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E66C3" w14:textId="77777777" w:rsidR="00C86248" w:rsidRDefault="00507742" w:rsidP="00926083">
      <w:pPr>
        <w:pStyle w:val="Title"/>
      </w:pPr>
      <w:r>
        <w:t>Health and Independence Report 2019</w:t>
      </w:r>
    </w:p>
    <w:p w14:paraId="6009331C" w14:textId="77777777" w:rsidR="00D27922" w:rsidRDefault="00507742" w:rsidP="00D27922">
      <w:pPr>
        <w:pStyle w:val="Subhead"/>
      </w:pPr>
      <w:r>
        <w:t>The Director-General of Health</w:t>
      </w:r>
      <w:r w:rsidR="002542AA">
        <w:t>’</w:t>
      </w:r>
      <w:r>
        <w:t>s Annual Report on the</w:t>
      </w:r>
      <w:r>
        <w:br/>
        <w:t>State of Public Health</w:t>
      </w:r>
    </w:p>
    <w:p w14:paraId="5BFAA511" w14:textId="77777777" w:rsidR="00C05132" w:rsidRDefault="00C05132" w:rsidP="00A06BE4"/>
    <w:p w14:paraId="399B6C98" w14:textId="77777777" w:rsidR="00142954" w:rsidRPr="00142954" w:rsidRDefault="00142954" w:rsidP="00142954">
      <w:pPr>
        <w:sectPr w:rsidR="00142954" w:rsidRPr="00142954" w:rsidSect="00925892">
          <w:headerReference w:type="default" r:id="rId11"/>
          <w:footerReference w:type="default" r:id="rId12"/>
          <w:pgSz w:w="11907" w:h="16834" w:code="9"/>
          <w:pgMar w:top="5670" w:right="1134" w:bottom="1134" w:left="1134" w:header="567" w:footer="851" w:gutter="0"/>
          <w:pgNumType w:start="1"/>
          <w:cols w:space="720"/>
        </w:sectPr>
      </w:pPr>
    </w:p>
    <w:p w14:paraId="1AA1E0E2" w14:textId="77777777" w:rsidR="00D27922" w:rsidRDefault="00D27922" w:rsidP="00D27922">
      <w:pPr>
        <w:pStyle w:val="Heading3"/>
      </w:pPr>
      <w:r>
        <w:lastRenderedPageBreak/>
        <w:t>Acknowledgements</w:t>
      </w:r>
    </w:p>
    <w:p w14:paraId="4F3CF386" w14:textId="77777777" w:rsidR="00507742" w:rsidRDefault="00507742" w:rsidP="00507742">
      <w:r>
        <w:t>This report was prepared by the Health System Improvement and Innovation directorate, Ministry of Health.</w:t>
      </w:r>
    </w:p>
    <w:p w14:paraId="70574913" w14:textId="77777777" w:rsidR="00D27922" w:rsidRPr="00D27922" w:rsidRDefault="00507742" w:rsidP="00507742">
      <w:pPr>
        <w:spacing w:before="120"/>
      </w:pPr>
      <w:r>
        <w:t>The authors would like to thank the content providers, peer reviewers and others who contributed to the production of this report.</w:t>
      </w:r>
    </w:p>
    <w:p w14:paraId="5F9B3F3C" w14:textId="77777777" w:rsidR="00A80363" w:rsidRPr="00C05132" w:rsidRDefault="00A80363" w:rsidP="00507742">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507742">
        <w:rPr>
          <w:rFonts w:cs="Segoe UI"/>
        </w:rPr>
        <w:t>2020</w:t>
      </w:r>
      <w:r w:rsidR="00442C1C" w:rsidRPr="00C05132">
        <w:rPr>
          <w:rFonts w:cs="Segoe UI"/>
        </w:rPr>
        <w:t xml:space="preserve">. </w:t>
      </w:r>
      <w:r w:rsidR="00507742">
        <w:rPr>
          <w:rFonts w:cs="Segoe UI"/>
          <w:i/>
        </w:rPr>
        <w:t>Health and Independence Report 2019</w:t>
      </w:r>
      <w:r w:rsidR="00D27922">
        <w:rPr>
          <w:rFonts w:cs="Segoe UI"/>
          <w:i/>
        </w:rPr>
        <w:t xml:space="preserve">: </w:t>
      </w:r>
      <w:r w:rsidR="00507742" w:rsidRPr="00507742">
        <w:rPr>
          <w:rFonts w:cs="Segoe UI"/>
          <w:i/>
        </w:rPr>
        <w:t>The</w:t>
      </w:r>
      <w:r w:rsidR="00507742">
        <w:rPr>
          <w:rFonts w:cs="Segoe UI"/>
          <w:i/>
        </w:rPr>
        <w:t> </w:t>
      </w:r>
      <w:r w:rsidR="00507742" w:rsidRPr="00507742">
        <w:rPr>
          <w:rFonts w:cs="Segoe UI"/>
          <w:i/>
        </w:rPr>
        <w:t>Director-General of Health</w:t>
      </w:r>
      <w:r w:rsidR="002542AA">
        <w:rPr>
          <w:rFonts w:cs="Segoe UI"/>
          <w:i/>
        </w:rPr>
        <w:t>’</w:t>
      </w:r>
      <w:r w:rsidR="00507742" w:rsidRPr="00507742">
        <w:rPr>
          <w:rFonts w:cs="Segoe UI"/>
          <w:i/>
        </w:rPr>
        <w:t>s Annual Report on the</w:t>
      </w:r>
      <w:r w:rsidR="00507742">
        <w:rPr>
          <w:rFonts w:cs="Segoe UI"/>
          <w:i/>
        </w:rPr>
        <w:t xml:space="preserve"> </w:t>
      </w:r>
      <w:r w:rsidR="00507742" w:rsidRPr="00507742">
        <w:rPr>
          <w:rFonts w:cs="Segoe UI"/>
          <w:i/>
        </w:rPr>
        <w:t>State of Public Health</w:t>
      </w:r>
      <w:r w:rsidR="00442C1C" w:rsidRPr="00C05132">
        <w:rPr>
          <w:rFonts w:cs="Segoe UI"/>
        </w:rPr>
        <w:t>. Wellington:</w:t>
      </w:r>
      <w:r w:rsidR="00507742">
        <w:rPr>
          <w:rFonts w:cs="Segoe UI"/>
        </w:rPr>
        <w:t> </w:t>
      </w:r>
      <w:r w:rsidR="00442C1C" w:rsidRPr="00C05132">
        <w:rPr>
          <w:rFonts w:cs="Segoe UI"/>
        </w:rPr>
        <w:t>Ministry of Health.</w:t>
      </w:r>
    </w:p>
    <w:p w14:paraId="61D5B8D6" w14:textId="1EF85A90" w:rsidR="00C86248" w:rsidRDefault="00C86248">
      <w:pPr>
        <w:pStyle w:val="Imprint"/>
      </w:pPr>
      <w:r>
        <w:t xml:space="preserve">Published </w:t>
      </w:r>
      <w:r w:rsidR="00896A5E">
        <w:t xml:space="preserve">in </w:t>
      </w:r>
      <w:r w:rsidR="005C1FE5">
        <w:t>March 2021</w:t>
      </w:r>
      <w:bookmarkStart w:id="0" w:name="_GoBack"/>
      <w:bookmarkEnd w:id="0"/>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5F20D3FD" w14:textId="07CB2379" w:rsidR="00082CD6" w:rsidRPr="009C0F2D" w:rsidRDefault="00D863D0" w:rsidP="00082CD6">
      <w:pPr>
        <w:pStyle w:val="Imprint"/>
      </w:pPr>
      <w:r w:rsidRPr="00896A5E">
        <w:t>ISBN</w:t>
      </w:r>
      <w:r w:rsidR="00442C1C" w:rsidRPr="00896A5E">
        <w:t xml:space="preserve"> </w:t>
      </w:r>
      <w:r w:rsidR="00507742" w:rsidRPr="00896A5E">
        <w:t>978-1-9</w:t>
      </w:r>
      <w:r w:rsidR="00896A5E" w:rsidRPr="00896A5E">
        <w:t>9</w:t>
      </w:r>
      <w:r w:rsidR="00507742" w:rsidRPr="00896A5E">
        <w:t>-</w:t>
      </w:r>
      <w:r w:rsidR="00896A5E" w:rsidRPr="00896A5E">
        <w:t>002982</w:t>
      </w:r>
      <w:r w:rsidR="00507742" w:rsidRPr="00896A5E">
        <w:t>-</w:t>
      </w:r>
      <w:r w:rsidR="00896A5E" w:rsidRPr="00896A5E">
        <w:t>0</w:t>
      </w:r>
      <w:r w:rsidR="002B7BEC" w:rsidRPr="00896A5E">
        <w:t xml:space="preserve"> </w:t>
      </w:r>
      <w:r w:rsidRPr="00896A5E">
        <w:t>(</w:t>
      </w:r>
      <w:r w:rsidR="00442C1C" w:rsidRPr="00896A5E">
        <w:t>online</w:t>
      </w:r>
      <w:r w:rsidRPr="00896A5E">
        <w:t>)</w:t>
      </w:r>
      <w:r w:rsidR="00507742" w:rsidRPr="00896A5E">
        <w:br/>
        <w:t>ISBN 978-1-9</w:t>
      </w:r>
      <w:r w:rsidR="00896A5E" w:rsidRPr="00896A5E">
        <w:t>9-002981</w:t>
      </w:r>
      <w:r w:rsidR="00507742" w:rsidRPr="00896A5E">
        <w:t>-</w:t>
      </w:r>
      <w:r w:rsidR="00896A5E" w:rsidRPr="00896A5E">
        <w:t>3</w:t>
      </w:r>
      <w:r w:rsidR="00507742" w:rsidRPr="00896A5E">
        <w:t xml:space="preserve"> (print)</w:t>
      </w:r>
      <w:r w:rsidR="00082CD6" w:rsidRPr="00896A5E">
        <w:br/>
        <w:t xml:space="preserve">HP </w:t>
      </w:r>
      <w:r w:rsidR="00507742" w:rsidRPr="00896A5E">
        <w:t>7</w:t>
      </w:r>
      <w:r w:rsidR="006A6B3A">
        <w:t>549</w:t>
      </w:r>
    </w:p>
    <w:p w14:paraId="0971807B" w14:textId="77777777" w:rsidR="00C86248" w:rsidRDefault="008C64C4" w:rsidP="00D27922">
      <w:pPr>
        <w:spacing w:before="360"/>
      </w:pPr>
      <w:r>
        <w:rPr>
          <w:noProof/>
          <w:lang w:eastAsia="en-NZ"/>
        </w:rPr>
        <w:drawing>
          <wp:inline distT="0" distB="0" distL="0" distR="0" wp14:anchorId="383767A0" wp14:editId="5DD95A32">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625AB3EA" w14:textId="77777777" w:rsidR="00A63DFF" w:rsidRDefault="00A63DFF" w:rsidP="00A63DFF">
      <w:pPr>
        <w:pStyle w:val="Imprint"/>
        <w:spacing w:before="240" w:after="480"/>
      </w:pPr>
      <w:r>
        <w:t xml:space="preserve">This document is available at </w:t>
      </w:r>
      <w:hyperlink r:id="rId14" w:history="1">
        <w:r w:rsidR="00476B21"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3213AE75" w14:textId="77777777" w:rsidTr="00A63DFF">
        <w:trPr>
          <w:cantSplit/>
        </w:trPr>
        <w:tc>
          <w:tcPr>
            <w:tcW w:w="1526" w:type="dxa"/>
          </w:tcPr>
          <w:p w14:paraId="4CB511EA"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4F645E73" wp14:editId="58883F70">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597D2C27"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381893A0" w14:textId="77777777" w:rsidR="007E74F1" w:rsidRPr="001F45A7" w:rsidRDefault="007E74F1" w:rsidP="006E2886">
      <w:pPr>
        <w:pStyle w:val="Imprint"/>
      </w:pPr>
    </w:p>
    <w:p w14:paraId="21E421CA" w14:textId="77777777" w:rsidR="00C86248" w:rsidRDefault="00C86248">
      <w:pPr>
        <w:jc w:val="center"/>
        <w:sectPr w:rsidR="00C86248" w:rsidSect="00925892">
          <w:footerReference w:type="even" r:id="rId16"/>
          <w:footerReference w:type="default" r:id="rId17"/>
          <w:pgSz w:w="11907" w:h="16834" w:code="9"/>
          <w:pgMar w:top="1701" w:right="2268" w:bottom="1134" w:left="2268" w:header="0" w:footer="0" w:gutter="0"/>
          <w:cols w:space="720"/>
          <w:vAlign w:val="bottom"/>
        </w:sectPr>
      </w:pPr>
    </w:p>
    <w:p w14:paraId="47F112DB" w14:textId="77777777" w:rsidR="00414C35" w:rsidRDefault="00414C35" w:rsidP="00F54E74">
      <w:pPr>
        <w:pStyle w:val="Heading1"/>
      </w:pPr>
      <w:bookmarkStart w:id="1" w:name="_Toc519278551"/>
      <w:bookmarkStart w:id="2" w:name="_Toc64536231"/>
      <w:bookmarkStart w:id="3" w:name="_Toc405792991"/>
      <w:bookmarkStart w:id="4" w:name="_Toc405793224"/>
      <w:r>
        <w:lastRenderedPageBreak/>
        <w:t>Foreword</w:t>
      </w:r>
      <w:bookmarkEnd w:id="1"/>
      <w:bookmarkEnd w:id="2"/>
    </w:p>
    <w:p w14:paraId="066D388C" w14:textId="25A6C641" w:rsidR="00507742" w:rsidRDefault="00507742" w:rsidP="00507742">
      <w:bookmarkStart w:id="5" w:name="_Hlk57707262"/>
      <w:r>
        <w:t>Tēnā koutou katoa</w:t>
      </w:r>
    </w:p>
    <w:bookmarkEnd w:id="5"/>
    <w:p w14:paraId="271F164C" w14:textId="77777777" w:rsidR="00507742" w:rsidRDefault="00507742" w:rsidP="00507742"/>
    <w:p w14:paraId="6EA7275D" w14:textId="51BC3D39" w:rsidR="002542AA" w:rsidRDefault="00507742" w:rsidP="00507742">
      <w:r>
        <w:t xml:space="preserve">I am pleased to present the </w:t>
      </w:r>
      <w:r w:rsidRPr="00507742">
        <w:rPr>
          <w:i/>
        </w:rPr>
        <w:t>Health and Independence Report 2019</w:t>
      </w:r>
      <w:r>
        <w:t xml:space="preserve">. </w:t>
      </w:r>
      <w:r w:rsidR="00FF5377">
        <w:t xml:space="preserve">Whilst overall </w:t>
      </w:r>
      <w:r>
        <w:t>New Zealanders</w:t>
      </w:r>
      <w:r w:rsidR="002542AA">
        <w:t>’</w:t>
      </w:r>
      <w:r>
        <w:t xml:space="preserve"> health and wellbeing continue</w:t>
      </w:r>
      <w:r w:rsidR="00FF5377">
        <w:t>s</w:t>
      </w:r>
      <w:r>
        <w:t xml:space="preserve"> to improve year on year, some population groups continue to experience </w:t>
      </w:r>
      <w:r w:rsidR="00182AF1">
        <w:t xml:space="preserve">worse </w:t>
      </w:r>
      <w:r>
        <w:t xml:space="preserve">health outcomes. We need to </w:t>
      </w:r>
      <w:r w:rsidR="00FF5377">
        <w:t xml:space="preserve">achieve better health </w:t>
      </w:r>
      <w:r>
        <w:t>outcomes for Māori, Pacific peoples, socioeconomically disadvantaged people and disabled people.</w:t>
      </w:r>
    </w:p>
    <w:p w14:paraId="1D9E1F1C" w14:textId="77777777" w:rsidR="00507742" w:rsidRDefault="00507742" w:rsidP="00507742"/>
    <w:p w14:paraId="561C469E" w14:textId="08F1705C" w:rsidR="00507742" w:rsidRDefault="00507742" w:rsidP="00507742">
      <w:r>
        <w:t>Th</w:t>
      </w:r>
      <w:r w:rsidR="00FF5377">
        <w:t>is</w:t>
      </w:r>
      <w:r>
        <w:t xml:space="preserve"> report is data-driven</w:t>
      </w:r>
      <w:r w:rsidR="003075E5">
        <w:t>,</w:t>
      </w:r>
      <w:r>
        <w:t xml:space="preserve"> describing health issues that affect New Zealanders and how they have changed over time. It presents data on determinants of health and wellbeing, which shows us where government agencies will need to </w:t>
      </w:r>
      <w:r w:rsidR="00FF5377">
        <w:t>take a collective approach</w:t>
      </w:r>
      <w:r>
        <w:t xml:space="preserve"> to improve health outcomes – because much of what affects our health happens outside of the health and disability system. </w:t>
      </w:r>
      <w:r w:rsidR="00FF5377">
        <w:t>P</w:t>
      </w:r>
      <w:r>
        <w:t xml:space="preserve">overty, housing, alcohol use and engagement in physical activity all have an important impact on health outcomes in New Zealand. </w:t>
      </w:r>
    </w:p>
    <w:p w14:paraId="15CE0640" w14:textId="77777777" w:rsidR="00507742" w:rsidRDefault="00507742" w:rsidP="00507742"/>
    <w:p w14:paraId="1BD2797A" w14:textId="77777777" w:rsidR="00507742" w:rsidRDefault="00507742" w:rsidP="00507742">
      <w:r>
        <w:t>Of course, outcomes are only one part of the story. There is also a story to tell about how the health and disability system, including the Ministry of Health, has responded to health needs and significant events over the year. The Ministry</w:t>
      </w:r>
      <w:r w:rsidR="002542AA">
        <w:t>’</w:t>
      </w:r>
      <w:r>
        <w:t>s Annual Report is a great source of this information, which you can access on the Ministry website.</w:t>
      </w:r>
    </w:p>
    <w:p w14:paraId="748B07F2" w14:textId="77777777" w:rsidR="00507742" w:rsidRDefault="00507742" w:rsidP="00507742"/>
    <w:p w14:paraId="14BCCBD3" w14:textId="31703CA2" w:rsidR="00507742" w:rsidRDefault="00182AF1" w:rsidP="00507742">
      <w:r w:rsidRPr="00182AF1">
        <w:t>By collating data from a range of information sources this report provides a</w:t>
      </w:r>
      <w:r w:rsidR="00FB2530">
        <w:t>n overview</w:t>
      </w:r>
      <w:r w:rsidRPr="00182AF1">
        <w:t xml:space="preserve"> of the state of public health in New Zealand. </w:t>
      </w:r>
      <w:r w:rsidR="00507742">
        <w:t>I trust that the report will be useful for all those working to improve the health and wellbeing of all New Zealanders.</w:t>
      </w:r>
    </w:p>
    <w:p w14:paraId="29E40956" w14:textId="77777777" w:rsidR="00507742" w:rsidRDefault="00507742" w:rsidP="00507742"/>
    <w:p w14:paraId="2C46FE1D" w14:textId="77777777" w:rsidR="00507742" w:rsidRDefault="00507742" w:rsidP="00507742">
      <w:r>
        <w:t>Ngā mihi</w:t>
      </w:r>
    </w:p>
    <w:p w14:paraId="3A8F5828" w14:textId="77777777" w:rsidR="00507742" w:rsidRDefault="00507742" w:rsidP="00507742"/>
    <w:p w14:paraId="2835C429" w14:textId="77777777" w:rsidR="00507742" w:rsidRDefault="00507742" w:rsidP="00507742">
      <w:r>
        <w:t>Dr Ashley Bloomfield</w:t>
      </w:r>
    </w:p>
    <w:p w14:paraId="31B31344" w14:textId="77777777" w:rsidR="00FB0A5B" w:rsidRDefault="00507742" w:rsidP="00507742">
      <w:r>
        <w:t>Director-General of Health</w:t>
      </w:r>
    </w:p>
    <w:p w14:paraId="3DF6DE49" w14:textId="77777777" w:rsidR="00FB0A5B" w:rsidRDefault="00FB0A5B" w:rsidP="00414C35"/>
    <w:p w14:paraId="42BA7468" w14:textId="77777777" w:rsidR="00414C35" w:rsidRDefault="00414C35" w:rsidP="00414C35">
      <w:pPr>
        <w:sectPr w:rsidR="00414C35" w:rsidSect="001D3E4E">
          <w:headerReference w:type="even" r:id="rId18"/>
          <w:headerReference w:type="default" r:id="rId19"/>
          <w:footerReference w:type="even" r:id="rId20"/>
          <w:footerReference w:type="default" r:id="rId21"/>
          <w:pgSz w:w="11907" w:h="16840" w:code="9"/>
          <w:pgMar w:top="1418" w:right="1701" w:bottom="1134" w:left="1843" w:header="284" w:footer="425" w:gutter="284"/>
          <w:pgNumType w:fmt="lowerRoman"/>
          <w:cols w:space="720"/>
        </w:sectPr>
      </w:pPr>
    </w:p>
    <w:p w14:paraId="0610841D" w14:textId="77777777" w:rsidR="00414C35" w:rsidRDefault="00414C35" w:rsidP="00414C35"/>
    <w:p w14:paraId="42A90734" w14:textId="77777777" w:rsidR="00414C35" w:rsidRDefault="00414C35" w:rsidP="00414C35">
      <w:pPr>
        <w:sectPr w:rsidR="00414C35" w:rsidSect="0078658E">
          <w:footerReference w:type="even" r:id="rId22"/>
          <w:footerReference w:type="default" r:id="rId23"/>
          <w:pgSz w:w="11907" w:h="16840" w:code="9"/>
          <w:pgMar w:top="1418" w:right="1701" w:bottom="1134" w:left="1843" w:header="284" w:footer="425" w:gutter="284"/>
          <w:pgNumType w:fmt="lowerRoman"/>
          <w:cols w:space="720"/>
        </w:sectPr>
      </w:pPr>
    </w:p>
    <w:p w14:paraId="69863858" w14:textId="77777777" w:rsidR="00C86248" w:rsidRDefault="00C86248" w:rsidP="00025A6F">
      <w:pPr>
        <w:pStyle w:val="IntroHead"/>
      </w:pPr>
      <w:r>
        <w:lastRenderedPageBreak/>
        <w:t>Contents</w:t>
      </w:r>
      <w:bookmarkEnd w:id="3"/>
      <w:bookmarkEnd w:id="4"/>
    </w:p>
    <w:p w14:paraId="635B1A49" w14:textId="556D9B41" w:rsidR="00EA04C7" w:rsidRDefault="00EA04C7">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64536231" w:history="1">
        <w:r w:rsidRPr="00235FF5">
          <w:rPr>
            <w:rStyle w:val="Hyperlink"/>
            <w:noProof/>
          </w:rPr>
          <w:t>Foreword</w:t>
        </w:r>
        <w:r>
          <w:rPr>
            <w:noProof/>
            <w:webHidden/>
          </w:rPr>
          <w:tab/>
        </w:r>
        <w:r>
          <w:rPr>
            <w:noProof/>
            <w:webHidden/>
          </w:rPr>
          <w:fldChar w:fldCharType="begin"/>
        </w:r>
        <w:r>
          <w:rPr>
            <w:noProof/>
            <w:webHidden/>
          </w:rPr>
          <w:instrText xml:space="preserve"> PAGEREF _Toc64536231 \h </w:instrText>
        </w:r>
        <w:r>
          <w:rPr>
            <w:noProof/>
            <w:webHidden/>
          </w:rPr>
        </w:r>
        <w:r>
          <w:rPr>
            <w:noProof/>
            <w:webHidden/>
          </w:rPr>
          <w:fldChar w:fldCharType="separate"/>
        </w:r>
        <w:r w:rsidR="003F39AB">
          <w:rPr>
            <w:noProof/>
            <w:webHidden/>
          </w:rPr>
          <w:t>iii</w:t>
        </w:r>
        <w:r>
          <w:rPr>
            <w:noProof/>
            <w:webHidden/>
          </w:rPr>
          <w:fldChar w:fldCharType="end"/>
        </w:r>
      </w:hyperlink>
    </w:p>
    <w:p w14:paraId="390C5C94" w14:textId="156366D1" w:rsidR="00EA04C7" w:rsidRDefault="003F39AB">
      <w:pPr>
        <w:pStyle w:val="TOC1"/>
        <w:rPr>
          <w:rFonts w:asciiTheme="minorHAnsi" w:eastAsiaTheme="minorEastAsia" w:hAnsiTheme="minorHAnsi" w:cstheme="minorBidi"/>
          <w:noProof/>
          <w:sz w:val="22"/>
          <w:szCs w:val="22"/>
          <w:lang w:eastAsia="en-NZ"/>
        </w:rPr>
      </w:pPr>
      <w:hyperlink w:anchor="_Toc64536232" w:history="1">
        <w:r w:rsidR="00EA04C7" w:rsidRPr="00235FF5">
          <w:rPr>
            <w:rStyle w:val="Hyperlink"/>
            <w:noProof/>
          </w:rPr>
          <w:t>Executive summary | Whakarāpopototanga matua</w:t>
        </w:r>
        <w:r w:rsidR="00EA04C7">
          <w:rPr>
            <w:noProof/>
            <w:webHidden/>
          </w:rPr>
          <w:tab/>
        </w:r>
        <w:r w:rsidR="00EA04C7">
          <w:rPr>
            <w:noProof/>
            <w:webHidden/>
          </w:rPr>
          <w:fldChar w:fldCharType="begin"/>
        </w:r>
        <w:r w:rsidR="00EA04C7">
          <w:rPr>
            <w:noProof/>
            <w:webHidden/>
          </w:rPr>
          <w:instrText xml:space="preserve"> PAGEREF _Toc64536232 \h </w:instrText>
        </w:r>
        <w:r w:rsidR="00EA04C7">
          <w:rPr>
            <w:noProof/>
            <w:webHidden/>
          </w:rPr>
        </w:r>
        <w:r w:rsidR="00EA04C7">
          <w:rPr>
            <w:noProof/>
            <w:webHidden/>
          </w:rPr>
          <w:fldChar w:fldCharType="separate"/>
        </w:r>
        <w:r>
          <w:rPr>
            <w:noProof/>
            <w:webHidden/>
          </w:rPr>
          <w:t>ix</w:t>
        </w:r>
        <w:r w:rsidR="00EA04C7">
          <w:rPr>
            <w:noProof/>
            <w:webHidden/>
          </w:rPr>
          <w:fldChar w:fldCharType="end"/>
        </w:r>
      </w:hyperlink>
    </w:p>
    <w:p w14:paraId="2A486F7C" w14:textId="4B30FC94" w:rsidR="00EA04C7" w:rsidRDefault="003F39AB">
      <w:pPr>
        <w:pStyle w:val="TOC1"/>
        <w:rPr>
          <w:rFonts w:asciiTheme="minorHAnsi" w:eastAsiaTheme="minorEastAsia" w:hAnsiTheme="minorHAnsi" w:cstheme="minorBidi"/>
          <w:noProof/>
          <w:sz w:val="22"/>
          <w:szCs w:val="22"/>
          <w:lang w:eastAsia="en-NZ"/>
        </w:rPr>
      </w:pPr>
      <w:hyperlink w:anchor="_Toc64536233" w:history="1">
        <w:r w:rsidR="00EA04C7" w:rsidRPr="00235FF5">
          <w:rPr>
            <w:rStyle w:val="Hyperlink"/>
            <w:noProof/>
          </w:rPr>
          <w:t>About this report | Kōrero tīmatanga</w:t>
        </w:r>
        <w:r w:rsidR="00EA04C7">
          <w:rPr>
            <w:noProof/>
            <w:webHidden/>
          </w:rPr>
          <w:tab/>
        </w:r>
        <w:r w:rsidR="00EA04C7">
          <w:rPr>
            <w:noProof/>
            <w:webHidden/>
          </w:rPr>
          <w:fldChar w:fldCharType="begin"/>
        </w:r>
        <w:r w:rsidR="00EA04C7">
          <w:rPr>
            <w:noProof/>
            <w:webHidden/>
          </w:rPr>
          <w:instrText xml:space="preserve"> PAGEREF _Toc64536233 \h </w:instrText>
        </w:r>
        <w:r w:rsidR="00EA04C7">
          <w:rPr>
            <w:noProof/>
            <w:webHidden/>
          </w:rPr>
        </w:r>
        <w:r w:rsidR="00EA04C7">
          <w:rPr>
            <w:noProof/>
            <w:webHidden/>
          </w:rPr>
          <w:fldChar w:fldCharType="separate"/>
        </w:r>
        <w:r>
          <w:rPr>
            <w:noProof/>
            <w:webHidden/>
          </w:rPr>
          <w:t>1</w:t>
        </w:r>
        <w:r w:rsidR="00EA04C7">
          <w:rPr>
            <w:noProof/>
            <w:webHidden/>
          </w:rPr>
          <w:fldChar w:fldCharType="end"/>
        </w:r>
      </w:hyperlink>
    </w:p>
    <w:p w14:paraId="37E9BA18" w14:textId="63DEF6A8" w:rsidR="00EA04C7" w:rsidRDefault="003F39AB">
      <w:pPr>
        <w:pStyle w:val="TOC1"/>
        <w:rPr>
          <w:rFonts w:asciiTheme="minorHAnsi" w:eastAsiaTheme="minorEastAsia" w:hAnsiTheme="minorHAnsi" w:cstheme="minorBidi"/>
          <w:noProof/>
          <w:sz w:val="22"/>
          <w:szCs w:val="22"/>
          <w:lang w:eastAsia="en-NZ"/>
        </w:rPr>
      </w:pPr>
      <w:hyperlink w:anchor="_Toc64536234" w:history="1">
        <w:r w:rsidR="00EA04C7" w:rsidRPr="00235FF5">
          <w:rPr>
            <w:rStyle w:val="Hyperlink"/>
            <w:noProof/>
          </w:rPr>
          <w:t>Starting point | Ōrokotīmatanga</w:t>
        </w:r>
        <w:r w:rsidR="00EA04C7">
          <w:rPr>
            <w:noProof/>
            <w:webHidden/>
          </w:rPr>
          <w:tab/>
        </w:r>
        <w:r w:rsidR="00EA04C7">
          <w:rPr>
            <w:noProof/>
            <w:webHidden/>
          </w:rPr>
          <w:fldChar w:fldCharType="begin"/>
        </w:r>
        <w:r w:rsidR="00EA04C7">
          <w:rPr>
            <w:noProof/>
            <w:webHidden/>
          </w:rPr>
          <w:instrText xml:space="preserve"> PAGEREF _Toc64536234 \h </w:instrText>
        </w:r>
        <w:r w:rsidR="00EA04C7">
          <w:rPr>
            <w:noProof/>
            <w:webHidden/>
          </w:rPr>
        </w:r>
        <w:r w:rsidR="00EA04C7">
          <w:rPr>
            <w:noProof/>
            <w:webHidden/>
          </w:rPr>
          <w:fldChar w:fldCharType="separate"/>
        </w:r>
        <w:r>
          <w:rPr>
            <w:noProof/>
            <w:webHidden/>
          </w:rPr>
          <w:t>3</w:t>
        </w:r>
        <w:r w:rsidR="00EA04C7">
          <w:rPr>
            <w:noProof/>
            <w:webHidden/>
          </w:rPr>
          <w:fldChar w:fldCharType="end"/>
        </w:r>
      </w:hyperlink>
    </w:p>
    <w:p w14:paraId="1C950097" w14:textId="2F38D209" w:rsidR="00EA04C7" w:rsidRDefault="003F39AB">
      <w:pPr>
        <w:pStyle w:val="TOC2"/>
        <w:rPr>
          <w:rFonts w:asciiTheme="minorHAnsi" w:eastAsiaTheme="minorEastAsia" w:hAnsiTheme="minorHAnsi" w:cstheme="minorBidi"/>
          <w:noProof/>
          <w:sz w:val="22"/>
          <w:szCs w:val="22"/>
          <w:lang w:eastAsia="en-NZ"/>
        </w:rPr>
      </w:pPr>
      <w:hyperlink w:anchor="_Toc64536235" w:history="1">
        <w:r w:rsidR="00EA04C7" w:rsidRPr="00235FF5">
          <w:rPr>
            <w:rStyle w:val="Hyperlink"/>
            <w:noProof/>
          </w:rPr>
          <w:t>Our population</w:t>
        </w:r>
        <w:r w:rsidR="00EA04C7">
          <w:rPr>
            <w:noProof/>
            <w:webHidden/>
          </w:rPr>
          <w:tab/>
        </w:r>
        <w:r w:rsidR="00EA04C7">
          <w:rPr>
            <w:noProof/>
            <w:webHidden/>
          </w:rPr>
          <w:fldChar w:fldCharType="begin"/>
        </w:r>
        <w:r w:rsidR="00EA04C7">
          <w:rPr>
            <w:noProof/>
            <w:webHidden/>
          </w:rPr>
          <w:instrText xml:space="preserve"> PAGEREF _Toc64536235 \h </w:instrText>
        </w:r>
        <w:r w:rsidR="00EA04C7">
          <w:rPr>
            <w:noProof/>
            <w:webHidden/>
          </w:rPr>
        </w:r>
        <w:r w:rsidR="00EA04C7">
          <w:rPr>
            <w:noProof/>
            <w:webHidden/>
          </w:rPr>
          <w:fldChar w:fldCharType="separate"/>
        </w:r>
        <w:r>
          <w:rPr>
            <w:noProof/>
            <w:webHidden/>
          </w:rPr>
          <w:t>3</w:t>
        </w:r>
        <w:r w:rsidR="00EA04C7">
          <w:rPr>
            <w:noProof/>
            <w:webHidden/>
          </w:rPr>
          <w:fldChar w:fldCharType="end"/>
        </w:r>
      </w:hyperlink>
    </w:p>
    <w:p w14:paraId="1B445A7A" w14:textId="3CC08BE2" w:rsidR="00EA04C7" w:rsidRDefault="003F39AB">
      <w:pPr>
        <w:pStyle w:val="TOC1"/>
        <w:rPr>
          <w:rFonts w:asciiTheme="minorHAnsi" w:eastAsiaTheme="minorEastAsia" w:hAnsiTheme="minorHAnsi" w:cstheme="minorBidi"/>
          <w:noProof/>
          <w:sz w:val="22"/>
          <w:szCs w:val="22"/>
          <w:lang w:eastAsia="en-NZ"/>
        </w:rPr>
      </w:pPr>
      <w:hyperlink w:anchor="_Toc64536236" w:history="1">
        <w:r w:rsidR="00EA04C7" w:rsidRPr="00235FF5">
          <w:rPr>
            <w:rStyle w:val="Hyperlink"/>
            <w:noProof/>
          </w:rPr>
          <w:t>Population health measures | Ngā mēhua hauora o te taupori</w:t>
        </w:r>
        <w:r w:rsidR="00EA04C7">
          <w:rPr>
            <w:noProof/>
            <w:webHidden/>
          </w:rPr>
          <w:tab/>
        </w:r>
        <w:r w:rsidR="00EA04C7">
          <w:rPr>
            <w:noProof/>
            <w:webHidden/>
          </w:rPr>
          <w:fldChar w:fldCharType="begin"/>
        </w:r>
        <w:r w:rsidR="00EA04C7">
          <w:rPr>
            <w:noProof/>
            <w:webHidden/>
          </w:rPr>
          <w:instrText xml:space="preserve"> PAGEREF _Toc64536236 \h </w:instrText>
        </w:r>
        <w:r w:rsidR="00EA04C7">
          <w:rPr>
            <w:noProof/>
            <w:webHidden/>
          </w:rPr>
        </w:r>
        <w:r w:rsidR="00EA04C7">
          <w:rPr>
            <w:noProof/>
            <w:webHidden/>
          </w:rPr>
          <w:fldChar w:fldCharType="separate"/>
        </w:r>
        <w:r>
          <w:rPr>
            <w:noProof/>
            <w:webHidden/>
          </w:rPr>
          <w:t>7</w:t>
        </w:r>
        <w:r w:rsidR="00EA04C7">
          <w:rPr>
            <w:noProof/>
            <w:webHidden/>
          </w:rPr>
          <w:fldChar w:fldCharType="end"/>
        </w:r>
      </w:hyperlink>
    </w:p>
    <w:p w14:paraId="284FC7F3" w14:textId="77CC5C7B" w:rsidR="00EA04C7" w:rsidRDefault="003F39AB">
      <w:pPr>
        <w:pStyle w:val="TOC2"/>
        <w:rPr>
          <w:rFonts w:asciiTheme="minorHAnsi" w:eastAsiaTheme="minorEastAsia" w:hAnsiTheme="minorHAnsi" w:cstheme="minorBidi"/>
          <w:noProof/>
          <w:sz w:val="22"/>
          <w:szCs w:val="22"/>
          <w:lang w:eastAsia="en-NZ"/>
        </w:rPr>
      </w:pPr>
      <w:hyperlink w:anchor="_Toc64536237" w:history="1">
        <w:r w:rsidR="00EA04C7" w:rsidRPr="00235FF5">
          <w:rPr>
            <w:rStyle w:val="Hyperlink"/>
            <w:noProof/>
          </w:rPr>
          <w:t>Self-rated health</w:t>
        </w:r>
        <w:r w:rsidR="00EA04C7">
          <w:rPr>
            <w:noProof/>
            <w:webHidden/>
          </w:rPr>
          <w:tab/>
        </w:r>
        <w:r w:rsidR="00EA04C7">
          <w:rPr>
            <w:noProof/>
            <w:webHidden/>
          </w:rPr>
          <w:fldChar w:fldCharType="begin"/>
        </w:r>
        <w:r w:rsidR="00EA04C7">
          <w:rPr>
            <w:noProof/>
            <w:webHidden/>
          </w:rPr>
          <w:instrText xml:space="preserve"> PAGEREF _Toc64536237 \h </w:instrText>
        </w:r>
        <w:r w:rsidR="00EA04C7">
          <w:rPr>
            <w:noProof/>
            <w:webHidden/>
          </w:rPr>
        </w:r>
        <w:r w:rsidR="00EA04C7">
          <w:rPr>
            <w:noProof/>
            <w:webHidden/>
          </w:rPr>
          <w:fldChar w:fldCharType="separate"/>
        </w:r>
        <w:r>
          <w:rPr>
            <w:noProof/>
            <w:webHidden/>
          </w:rPr>
          <w:t>7</w:t>
        </w:r>
        <w:r w:rsidR="00EA04C7">
          <w:rPr>
            <w:noProof/>
            <w:webHidden/>
          </w:rPr>
          <w:fldChar w:fldCharType="end"/>
        </w:r>
      </w:hyperlink>
    </w:p>
    <w:p w14:paraId="17B66FA6" w14:textId="315F9E75" w:rsidR="00EA04C7" w:rsidRDefault="003F39AB">
      <w:pPr>
        <w:pStyle w:val="TOC2"/>
        <w:rPr>
          <w:rFonts w:asciiTheme="minorHAnsi" w:eastAsiaTheme="minorEastAsia" w:hAnsiTheme="minorHAnsi" w:cstheme="minorBidi"/>
          <w:noProof/>
          <w:sz w:val="22"/>
          <w:szCs w:val="22"/>
          <w:lang w:eastAsia="en-NZ"/>
        </w:rPr>
      </w:pPr>
      <w:hyperlink w:anchor="_Toc64536238" w:history="1">
        <w:r w:rsidR="00EA04C7" w:rsidRPr="00235FF5">
          <w:rPr>
            <w:rStyle w:val="Hyperlink"/>
            <w:noProof/>
          </w:rPr>
          <w:t>Life expectancy and health expectancy</w:t>
        </w:r>
        <w:r w:rsidR="00EA04C7">
          <w:rPr>
            <w:noProof/>
            <w:webHidden/>
          </w:rPr>
          <w:tab/>
        </w:r>
        <w:r w:rsidR="00EA04C7">
          <w:rPr>
            <w:noProof/>
            <w:webHidden/>
          </w:rPr>
          <w:fldChar w:fldCharType="begin"/>
        </w:r>
        <w:r w:rsidR="00EA04C7">
          <w:rPr>
            <w:noProof/>
            <w:webHidden/>
          </w:rPr>
          <w:instrText xml:space="preserve"> PAGEREF _Toc64536238 \h </w:instrText>
        </w:r>
        <w:r w:rsidR="00EA04C7">
          <w:rPr>
            <w:noProof/>
            <w:webHidden/>
          </w:rPr>
        </w:r>
        <w:r w:rsidR="00EA04C7">
          <w:rPr>
            <w:noProof/>
            <w:webHidden/>
          </w:rPr>
          <w:fldChar w:fldCharType="separate"/>
        </w:r>
        <w:r>
          <w:rPr>
            <w:noProof/>
            <w:webHidden/>
          </w:rPr>
          <w:t>8</w:t>
        </w:r>
        <w:r w:rsidR="00EA04C7">
          <w:rPr>
            <w:noProof/>
            <w:webHidden/>
          </w:rPr>
          <w:fldChar w:fldCharType="end"/>
        </w:r>
      </w:hyperlink>
    </w:p>
    <w:p w14:paraId="4CE5F9E3" w14:textId="336340EC" w:rsidR="00EA04C7" w:rsidRDefault="003F39AB">
      <w:pPr>
        <w:pStyle w:val="TOC2"/>
        <w:rPr>
          <w:rFonts w:asciiTheme="minorHAnsi" w:eastAsiaTheme="minorEastAsia" w:hAnsiTheme="minorHAnsi" w:cstheme="minorBidi"/>
          <w:noProof/>
          <w:sz w:val="22"/>
          <w:szCs w:val="22"/>
          <w:lang w:eastAsia="en-NZ"/>
        </w:rPr>
      </w:pPr>
      <w:hyperlink w:anchor="_Toc64536239" w:history="1">
        <w:r w:rsidR="00EA04C7" w:rsidRPr="00235FF5">
          <w:rPr>
            <w:rStyle w:val="Hyperlink"/>
            <w:noProof/>
          </w:rPr>
          <w:t>Health loss</w:t>
        </w:r>
        <w:r w:rsidR="00EA04C7">
          <w:rPr>
            <w:noProof/>
            <w:webHidden/>
          </w:rPr>
          <w:tab/>
        </w:r>
        <w:r w:rsidR="00EA04C7">
          <w:rPr>
            <w:noProof/>
            <w:webHidden/>
          </w:rPr>
          <w:fldChar w:fldCharType="begin"/>
        </w:r>
        <w:r w:rsidR="00EA04C7">
          <w:rPr>
            <w:noProof/>
            <w:webHidden/>
          </w:rPr>
          <w:instrText xml:space="preserve"> PAGEREF _Toc64536239 \h </w:instrText>
        </w:r>
        <w:r w:rsidR="00EA04C7">
          <w:rPr>
            <w:noProof/>
            <w:webHidden/>
          </w:rPr>
        </w:r>
        <w:r w:rsidR="00EA04C7">
          <w:rPr>
            <w:noProof/>
            <w:webHidden/>
          </w:rPr>
          <w:fldChar w:fldCharType="separate"/>
        </w:r>
        <w:r>
          <w:rPr>
            <w:noProof/>
            <w:webHidden/>
          </w:rPr>
          <w:t>11</w:t>
        </w:r>
        <w:r w:rsidR="00EA04C7">
          <w:rPr>
            <w:noProof/>
            <w:webHidden/>
          </w:rPr>
          <w:fldChar w:fldCharType="end"/>
        </w:r>
      </w:hyperlink>
    </w:p>
    <w:p w14:paraId="2DB0575A" w14:textId="7F1B80D1" w:rsidR="00EA04C7" w:rsidRDefault="003F39AB">
      <w:pPr>
        <w:pStyle w:val="TOC2"/>
        <w:rPr>
          <w:rFonts w:asciiTheme="minorHAnsi" w:eastAsiaTheme="minorEastAsia" w:hAnsiTheme="minorHAnsi" w:cstheme="minorBidi"/>
          <w:noProof/>
          <w:sz w:val="22"/>
          <w:szCs w:val="22"/>
          <w:lang w:eastAsia="en-NZ"/>
        </w:rPr>
      </w:pPr>
      <w:hyperlink w:anchor="_Toc64536240" w:history="1">
        <w:r w:rsidR="00EA04C7" w:rsidRPr="00235FF5">
          <w:rPr>
            <w:rStyle w:val="Hyperlink"/>
            <w:noProof/>
          </w:rPr>
          <w:t>Morbidity</w:t>
        </w:r>
        <w:r w:rsidR="00EA04C7">
          <w:rPr>
            <w:noProof/>
            <w:webHidden/>
          </w:rPr>
          <w:tab/>
        </w:r>
        <w:r w:rsidR="00EA04C7">
          <w:rPr>
            <w:noProof/>
            <w:webHidden/>
          </w:rPr>
          <w:fldChar w:fldCharType="begin"/>
        </w:r>
        <w:r w:rsidR="00EA04C7">
          <w:rPr>
            <w:noProof/>
            <w:webHidden/>
          </w:rPr>
          <w:instrText xml:space="preserve"> PAGEREF _Toc64536240 \h </w:instrText>
        </w:r>
        <w:r w:rsidR="00EA04C7">
          <w:rPr>
            <w:noProof/>
            <w:webHidden/>
          </w:rPr>
        </w:r>
        <w:r w:rsidR="00EA04C7">
          <w:rPr>
            <w:noProof/>
            <w:webHidden/>
          </w:rPr>
          <w:fldChar w:fldCharType="separate"/>
        </w:r>
        <w:r>
          <w:rPr>
            <w:noProof/>
            <w:webHidden/>
          </w:rPr>
          <w:t>13</w:t>
        </w:r>
        <w:r w:rsidR="00EA04C7">
          <w:rPr>
            <w:noProof/>
            <w:webHidden/>
          </w:rPr>
          <w:fldChar w:fldCharType="end"/>
        </w:r>
      </w:hyperlink>
    </w:p>
    <w:p w14:paraId="6113E206" w14:textId="29551A52" w:rsidR="00EA04C7" w:rsidRDefault="003F39AB">
      <w:pPr>
        <w:pStyle w:val="TOC2"/>
        <w:rPr>
          <w:rFonts w:asciiTheme="minorHAnsi" w:eastAsiaTheme="minorEastAsia" w:hAnsiTheme="minorHAnsi" w:cstheme="minorBidi"/>
          <w:noProof/>
          <w:sz w:val="22"/>
          <w:szCs w:val="22"/>
          <w:lang w:eastAsia="en-NZ"/>
        </w:rPr>
      </w:pPr>
      <w:hyperlink w:anchor="_Toc64536241" w:history="1">
        <w:r w:rsidR="00EA04C7" w:rsidRPr="00235FF5">
          <w:rPr>
            <w:rStyle w:val="Hyperlink"/>
            <w:noProof/>
          </w:rPr>
          <w:t>Mortality</w:t>
        </w:r>
        <w:r w:rsidR="00EA04C7">
          <w:rPr>
            <w:noProof/>
            <w:webHidden/>
          </w:rPr>
          <w:tab/>
        </w:r>
        <w:r w:rsidR="00EA04C7">
          <w:rPr>
            <w:noProof/>
            <w:webHidden/>
          </w:rPr>
          <w:fldChar w:fldCharType="begin"/>
        </w:r>
        <w:r w:rsidR="00EA04C7">
          <w:rPr>
            <w:noProof/>
            <w:webHidden/>
          </w:rPr>
          <w:instrText xml:space="preserve"> PAGEREF _Toc64536241 \h </w:instrText>
        </w:r>
        <w:r w:rsidR="00EA04C7">
          <w:rPr>
            <w:noProof/>
            <w:webHidden/>
          </w:rPr>
        </w:r>
        <w:r w:rsidR="00EA04C7">
          <w:rPr>
            <w:noProof/>
            <w:webHidden/>
          </w:rPr>
          <w:fldChar w:fldCharType="separate"/>
        </w:r>
        <w:r>
          <w:rPr>
            <w:noProof/>
            <w:webHidden/>
          </w:rPr>
          <w:t>14</w:t>
        </w:r>
        <w:r w:rsidR="00EA04C7">
          <w:rPr>
            <w:noProof/>
            <w:webHidden/>
          </w:rPr>
          <w:fldChar w:fldCharType="end"/>
        </w:r>
      </w:hyperlink>
    </w:p>
    <w:p w14:paraId="52D2E136" w14:textId="57A52AE6" w:rsidR="00EA04C7" w:rsidRDefault="003F39AB">
      <w:pPr>
        <w:pStyle w:val="TOC1"/>
        <w:rPr>
          <w:rFonts w:asciiTheme="minorHAnsi" w:eastAsiaTheme="minorEastAsia" w:hAnsiTheme="minorHAnsi" w:cstheme="minorBidi"/>
          <w:noProof/>
          <w:sz w:val="22"/>
          <w:szCs w:val="22"/>
          <w:lang w:eastAsia="en-NZ"/>
        </w:rPr>
      </w:pPr>
      <w:hyperlink w:anchor="_Toc64536242" w:history="1">
        <w:r w:rsidR="00EA04C7" w:rsidRPr="00235FF5">
          <w:rPr>
            <w:rStyle w:val="Hyperlink"/>
            <w:noProof/>
          </w:rPr>
          <w:t>Causes of health loss | Ngā take mo te mate hauora</w:t>
        </w:r>
        <w:r w:rsidR="00EA04C7">
          <w:rPr>
            <w:noProof/>
            <w:webHidden/>
          </w:rPr>
          <w:tab/>
        </w:r>
        <w:r w:rsidR="00EA04C7">
          <w:rPr>
            <w:noProof/>
            <w:webHidden/>
          </w:rPr>
          <w:fldChar w:fldCharType="begin"/>
        </w:r>
        <w:r w:rsidR="00EA04C7">
          <w:rPr>
            <w:noProof/>
            <w:webHidden/>
          </w:rPr>
          <w:instrText xml:space="preserve"> PAGEREF _Toc64536242 \h </w:instrText>
        </w:r>
        <w:r w:rsidR="00EA04C7">
          <w:rPr>
            <w:noProof/>
            <w:webHidden/>
          </w:rPr>
        </w:r>
        <w:r w:rsidR="00EA04C7">
          <w:rPr>
            <w:noProof/>
            <w:webHidden/>
          </w:rPr>
          <w:fldChar w:fldCharType="separate"/>
        </w:r>
        <w:r>
          <w:rPr>
            <w:noProof/>
            <w:webHidden/>
          </w:rPr>
          <w:t>17</w:t>
        </w:r>
        <w:r w:rsidR="00EA04C7">
          <w:rPr>
            <w:noProof/>
            <w:webHidden/>
          </w:rPr>
          <w:fldChar w:fldCharType="end"/>
        </w:r>
      </w:hyperlink>
    </w:p>
    <w:p w14:paraId="7F16B712" w14:textId="19A8E85B" w:rsidR="00EA04C7" w:rsidRDefault="003F39AB">
      <w:pPr>
        <w:pStyle w:val="TOC2"/>
        <w:rPr>
          <w:rFonts w:asciiTheme="minorHAnsi" w:eastAsiaTheme="minorEastAsia" w:hAnsiTheme="minorHAnsi" w:cstheme="minorBidi"/>
          <w:noProof/>
          <w:sz w:val="22"/>
          <w:szCs w:val="22"/>
          <w:lang w:eastAsia="en-NZ"/>
        </w:rPr>
      </w:pPr>
      <w:hyperlink w:anchor="_Toc64536243" w:history="1">
        <w:r w:rsidR="00EA04C7" w:rsidRPr="00235FF5">
          <w:rPr>
            <w:rStyle w:val="Hyperlink"/>
            <w:noProof/>
          </w:rPr>
          <w:t>Cancers</w:t>
        </w:r>
        <w:r w:rsidR="00EA04C7">
          <w:rPr>
            <w:noProof/>
            <w:webHidden/>
          </w:rPr>
          <w:tab/>
        </w:r>
        <w:r w:rsidR="00EA04C7">
          <w:rPr>
            <w:noProof/>
            <w:webHidden/>
          </w:rPr>
          <w:fldChar w:fldCharType="begin"/>
        </w:r>
        <w:r w:rsidR="00EA04C7">
          <w:rPr>
            <w:noProof/>
            <w:webHidden/>
          </w:rPr>
          <w:instrText xml:space="preserve"> PAGEREF _Toc64536243 \h </w:instrText>
        </w:r>
        <w:r w:rsidR="00EA04C7">
          <w:rPr>
            <w:noProof/>
            <w:webHidden/>
          </w:rPr>
        </w:r>
        <w:r w:rsidR="00EA04C7">
          <w:rPr>
            <w:noProof/>
            <w:webHidden/>
          </w:rPr>
          <w:fldChar w:fldCharType="separate"/>
        </w:r>
        <w:r>
          <w:rPr>
            <w:noProof/>
            <w:webHidden/>
          </w:rPr>
          <w:t>17</w:t>
        </w:r>
        <w:r w:rsidR="00EA04C7">
          <w:rPr>
            <w:noProof/>
            <w:webHidden/>
          </w:rPr>
          <w:fldChar w:fldCharType="end"/>
        </w:r>
      </w:hyperlink>
    </w:p>
    <w:p w14:paraId="257A214E" w14:textId="4E81F240" w:rsidR="00EA04C7" w:rsidRDefault="003F39AB">
      <w:pPr>
        <w:pStyle w:val="TOC2"/>
        <w:rPr>
          <w:rFonts w:asciiTheme="minorHAnsi" w:eastAsiaTheme="minorEastAsia" w:hAnsiTheme="minorHAnsi" w:cstheme="minorBidi"/>
          <w:noProof/>
          <w:sz w:val="22"/>
          <w:szCs w:val="22"/>
          <w:lang w:eastAsia="en-NZ"/>
        </w:rPr>
      </w:pPr>
      <w:hyperlink w:anchor="_Toc64536244" w:history="1">
        <w:r w:rsidR="00EA04C7" w:rsidRPr="00235FF5">
          <w:rPr>
            <w:rStyle w:val="Hyperlink"/>
            <w:noProof/>
          </w:rPr>
          <w:t>Cardiovascular and cerebrovascular diseases</w:t>
        </w:r>
        <w:r w:rsidR="00EA04C7">
          <w:rPr>
            <w:noProof/>
            <w:webHidden/>
          </w:rPr>
          <w:tab/>
        </w:r>
        <w:r w:rsidR="00EA04C7">
          <w:rPr>
            <w:noProof/>
            <w:webHidden/>
          </w:rPr>
          <w:fldChar w:fldCharType="begin"/>
        </w:r>
        <w:r w:rsidR="00EA04C7">
          <w:rPr>
            <w:noProof/>
            <w:webHidden/>
          </w:rPr>
          <w:instrText xml:space="preserve"> PAGEREF _Toc64536244 \h </w:instrText>
        </w:r>
        <w:r w:rsidR="00EA04C7">
          <w:rPr>
            <w:noProof/>
            <w:webHidden/>
          </w:rPr>
        </w:r>
        <w:r w:rsidR="00EA04C7">
          <w:rPr>
            <w:noProof/>
            <w:webHidden/>
          </w:rPr>
          <w:fldChar w:fldCharType="separate"/>
        </w:r>
        <w:r>
          <w:rPr>
            <w:noProof/>
            <w:webHidden/>
          </w:rPr>
          <w:t>20</w:t>
        </w:r>
        <w:r w:rsidR="00EA04C7">
          <w:rPr>
            <w:noProof/>
            <w:webHidden/>
          </w:rPr>
          <w:fldChar w:fldCharType="end"/>
        </w:r>
      </w:hyperlink>
    </w:p>
    <w:p w14:paraId="595C793D" w14:textId="68DC50F5" w:rsidR="00EA04C7" w:rsidRDefault="003F39AB">
      <w:pPr>
        <w:pStyle w:val="TOC2"/>
        <w:rPr>
          <w:rFonts w:asciiTheme="minorHAnsi" w:eastAsiaTheme="minorEastAsia" w:hAnsiTheme="minorHAnsi" w:cstheme="minorBidi"/>
          <w:noProof/>
          <w:sz w:val="22"/>
          <w:szCs w:val="22"/>
          <w:lang w:eastAsia="en-NZ"/>
        </w:rPr>
      </w:pPr>
      <w:hyperlink w:anchor="_Toc64536245" w:history="1">
        <w:r w:rsidR="00EA04C7" w:rsidRPr="00235FF5">
          <w:rPr>
            <w:rStyle w:val="Hyperlink"/>
            <w:noProof/>
          </w:rPr>
          <w:t>Diabetes</w:t>
        </w:r>
        <w:r w:rsidR="00EA04C7">
          <w:rPr>
            <w:noProof/>
            <w:webHidden/>
          </w:rPr>
          <w:tab/>
        </w:r>
        <w:r w:rsidR="00EA04C7">
          <w:rPr>
            <w:noProof/>
            <w:webHidden/>
          </w:rPr>
          <w:fldChar w:fldCharType="begin"/>
        </w:r>
        <w:r w:rsidR="00EA04C7">
          <w:rPr>
            <w:noProof/>
            <w:webHidden/>
          </w:rPr>
          <w:instrText xml:space="preserve"> PAGEREF _Toc64536245 \h </w:instrText>
        </w:r>
        <w:r w:rsidR="00EA04C7">
          <w:rPr>
            <w:noProof/>
            <w:webHidden/>
          </w:rPr>
        </w:r>
        <w:r w:rsidR="00EA04C7">
          <w:rPr>
            <w:noProof/>
            <w:webHidden/>
          </w:rPr>
          <w:fldChar w:fldCharType="separate"/>
        </w:r>
        <w:r>
          <w:rPr>
            <w:noProof/>
            <w:webHidden/>
          </w:rPr>
          <w:t>21</w:t>
        </w:r>
        <w:r w:rsidR="00EA04C7">
          <w:rPr>
            <w:noProof/>
            <w:webHidden/>
          </w:rPr>
          <w:fldChar w:fldCharType="end"/>
        </w:r>
      </w:hyperlink>
    </w:p>
    <w:p w14:paraId="4BA3F313" w14:textId="0525FE4C" w:rsidR="00EA04C7" w:rsidRDefault="003F39AB">
      <w:pPr>
        <w:pStyle w:val="TOC2"/>
        <w:rPr>
          <w:rFonts w:asciiTheme="minorHAnsi" w:eastAsiaTheme="minorEastAsia" w:hAnsiTheme="minorHAnsi" w:cstheme="minorBidi"/>
          <w:noProof/>
          <w:sz w:val="22"/>
          <w:szCs w:val="22"/>
          <w:lang w:eastAsia="en-NZ"/>
        </w:rPr>
      </w:pPr>
      <w:hyperlink w:anchor="_Toc64536246" w:history="1">
        <w:r w:rsidR="00EA04C7" w:rsidRPr="00235FF5">
          <w:rPr>
            <w:rStyle w:val="Hyperlink"/>
            <w:noProof/>
          </w:rPr>
          <w:t>Mental health conditions</w:t>
        </w:r>
        <w:r w:rsidR="00EA04C7">
          <w:rPr>
            <w:noProof/>
            <w:webHidden/>
          </w:rPr>
          <w:tab/>
        </w:r>
        <w:r w:rsidR="00EA04C7">
          <w:rPr>
            <w:noProof/>
            <w:webHidden/>
          </w:rPr>
          <w:fldChar w:fldCharType="begin"/>
        </w:r>
        <w:r w:rsidR="00EA04C7">
          <w:rPr>
            <w:noProof/>
            <w:webHidden/>
          </w:rPr>
          <w:instrText xml:space="preserve"> PAGEREF _Toc64536246 \h </w:instrText>
        </w:r>
        <w:r w:rsidR="00EA04C7">
          <w:rPr>
            <w:noProof/>
            <w:webHidden/>
          </w:rPr>
        </w:r>
        <w:r w:rsidR="00EA04C7">
          <w:rPr>
            <w:noProof/>
            <w:webHidden/>
          </w:rPr>
          <w:fldChar w:fldCharType="separate"/>
        </w:r>
        <w:r>
          <w:rPr>
            <w:noProof/>
            <w:webHidden/>
          </w:rPr>
          <w:t>22</w:t>
        </w:r>
        <w:r w:rsidR="00EA04C7">
          <w:rPr>
            <w:noProof/>
            <w:webHidden/>
          </w:rPr>
          <w:fldChar w:fldCharType="end"/>
        </w:r>
      </w:hyperlink>
    </w:p>
    <w:p w14:paraId="6BB0F88A" w14:textId="20865BCE" w:rsidR="00EA04C7" w:rsidRDefault="003F39AB">
      <w:pPr>
        <w:pStyle w:val="TOC2"/>
        <w:rPr>
          <w:rFonts w:asciiTheme="minorHAnsi" w:eastAsiaTheme="minorEastAsia" w:hAnsiTheme="minorHAnsi" w:cstheme="minorBidi"/>
          <w:noProof/>
          <w:sz w:val="22"/>
          <w:szCs w:val="22"/>
          <w:lang w:eastAsia="en-NZ"/>
        </w:rPr>
      </w:pPr>
      <w:hyperlink w:anchor="_Toc64536247" w:history="1">
        <w:r w:rsidR="00EA04C7" w:rsidRPr="00235FF5">
          <w:rPr>
            <w:rStyle w:val="Hyperlink"/>
            <w:noProof/>
          </w:rPr>
          <w:t>Musculoskeletal conditions</w:t>
        </w:r>
        <w:r w:rsidR="00EA04C7">
          <w:rPr>
            <w:noProof/>
            <w:webHidden/>
          </w:rPr>
          <w:tab/>
        </w:r>
        <w:r w:rsidR="00EA04C7">
          <w:rPr>
            <w:noProof/>
            <w:webHidden/>
          </w:rPr>
          <w:fldChar w:fldCharType="begin"/>
        </w:r>
        <w:r w:rsidR="00EA04C7">
          <w:rPr>
            <w:noProof/>
            <w:webHidden/>
          </w:rPr>
          <w:instrText xml:space="preserve"> PAGEREF _Toc64536247 \h </w:instrText>
        </w:r>
        <w:r w:rsidR="00EA04C7">
          <w:rPr>
            <w:noProof/>
            <w:webHidden/>
          </w:rPr>
        </w:r>
        <w:r w:rsidR="00EA04C7">
          <w:rPr>
            <w:noProof/>
            <w:webHidden/>
          </w:rPr>
          <w:fldChar w:fldCharType="separate"/>
        </w:r>
        <w:r>
          <w:rPr>
            <w:noProof/>
            <w:webHidden/>
          </w:rPr>
          <w:t>24</w:t>
        </w:r>
        <w:r w:rsidR="00EA04C7">
          <w:rPr>
            <w:noProof/>
            <w:webHidden/>
          </w:rPr>
          <w:fldChar w:fldCharType="end"/>
        </w:r>
      </w:hyperlink>
    </w:p>
    <w:p w14:paraId="7F3BC1C3" w14:textId="11118E11" w:rsidR="00EA04C7" w:rsidRDefault="003F39AB">
      <w:pPr>
        <w:pStyle w:val="TOC2"/>
        <w:rPr>
          <w:rFonts w:asciiTheme="minorHAnsi" w:eastAsiaTheme="minorEastAsia" w:hAnsiTheme="minorHAnsi" w:cstheme="minorBidi"/>
          <w:noProof/>
          <w:sz w:val="22"/>
          <w:szCs w:val="22"/>
          <w:lang w:eastAsia="en-NZ"/>
        </w:rPr>
      </w:pPr>
      <w:hyperlink w:anchor="_Toc64536248" w:history="1">
        <w:r w:rsidR="00EA04C7" w:rsidRPr="00235FF5">
          <w:rPr>
            <w:rStyle w:val="Hyperlink"/>
            <w:noProof/>
          </w:rPr>
          <w:t>Chronic respiratory diseases</w:t>
        </w:r>
        <w:r w:rsidR="00EA04C7">
          <w:rPr>
            <w:noProof/>
            <w:webHidden/>
          </w:rPr>
          <w:tab/>
        </w:r>
        <w:r w:rsidR="00EA04C7">
          <w:rPr>
            <w:noProof/>
            <w:webHidden/>
          </w:rPr>
          <w:fldChar w:fldCharType="begin"/>
        </w:r>
        <w:r w:rsidR="00EA04C7">
          <w:rPr>
            <w:noProof/>
            <w:webHidden/>
          </w:rPr>
          <w:instrText xml:space="preserve"> PAGEREF _Toc64536248 \h </w:instrText>
        </w:r>
        <w:r w:rsidR="00EA04C7">
          <w:rPr>
            <w:noProof/>
            <w:webHidden/>
          </w:rPr>
        </w:r>
        <w:r w:rsidR="00EA04C7">
          <w:rPr>
            <w:noProof/>
            <w:webHidden/>
          </w:rPr>
          <w:fldChar w:fldCharType="separate"/>
        </w:r>
        <w:r>
          <w:rPr>
            <w:noProof/>
            <w:webHidden/>
          </w:rPr>
          <w:t>24</w:t>
        </w:r>
        <w:r w:rsidR="00EA04C7">
          <w:rPr>
            <w:noProof/>
            <w:webHidden/>
          </w:rPr>
          <w:fldChar w:fldCharType="end"/>
        </w:r>
      </w:hyperlink>
    </w:p>
    <w:p w14:paraId="32854AF4" w14:textId="01353E84" w:rsidR="00EA04C7" w:rsidRDefault="003F39AB">
      <w:pPr>
        <w:pStyle w:val="TOC2"/>
        <w:rPr>
          <w:rFonts w:asciiTheme="minorHAnsi" w:eastAsiaTheme="minorEastAsia" w:hAnsiTheme="minorHAnsi" w:cstheme="minorBidi"/>
          <w:noProof/>
          <w:sz w:val="22"/>
          <w:szCs w:val="22"/>
          <w:lang w:eastAsia="en-NZ"/>
        </w:rPr>
      </w:pPr>
      <w:hyperlink w:anchor="_Toc64536249" w:history="1">
        <w:r w:rsidR="00EA04C7" w:rsidRPr="00235FF5">
          <w:rPr>
            <w:rStyle w:val="Hyperlink"/>
            <w:noProof/>
          </w:rPr>
          <w:t>Oral health</w:t>
        </w:r>
        <w:r w:rsidR="00EA04C7">
          <w:rPr>
            <w:noProof/>
            <w:webHidden/>
          </w:rPr>
          <w:tab/>
        </w:r>
        <w:r w:rsidR="00EA04C7">
          <w:rPr>
            <w:noProof/>
            <w:webHidden/>
          </w:rPr>
          <w:fldChar w:fldCharType="begin"/>
        </w:r>
        <w:r w:rsidR="00EA04C7">
          <w:rPr>
            <w:noProof/>
            <w:webHidden/>
          </w:rPr>
          <w:instrText xml:space="preserve"> PAGEREF _Toc64536249 \h </w:instrText>
        </w:r>
        <w:r w:rsidR="00EA04C7">
          <w:rPr>
            <w:noProof/>
            <w:webHidden/>
          </w:rPr>
        </w:r>
        <w:r w:rsidR="00EA04C7">
          <w:rPr>
            <w:noProof/>
            <w:webHidden/>
          </w:rPr>
          <w:fldChar w:fldCharType="separate"/>
        </w:r>
        <w:r>
          <w:rPr>
            <w:noProof/>
            <w:webHidden/>
          </w:rPr>
          <w:t>25</w:t>
        </w:r>
        <w:r w:rsidR="00EA04C7">
          <w:rPr>
            <w:noProof/>
            <w:webHidden/>
          </w:rPr>
          <w:fldChar w:fldCharType="end"/>
        </w:r>
      </w:hyperlink>
    </w:p>
    <w:p w14:paraId="3E9948E2" w14:textId="4D6357C0" w:rsidR="00EA04C7" w:rsidRDefault="003F39AB">
      <w:pPr>
        <w:pStyle w:val="TOC2"/>
        <w:rPr>
          <w:rFonts w:asciiTheme="minorHAnsi" w:eastAsiaTheme="minorEastAsia" w:hAnsiTheme="minorHAnsi" w:cstheme="minorBidi"/>
          <w:noProof/>
          <w:sz w:val="22"/>
          <w:szCs w:val="22"/>
          <w:lang w:eastAsia="en-NZ"/>
        </w:rPr>
      </w:pPr>
      <w:hyperlink w:anchor="_Toc64536250" w:history="1">
        <w:r w:rsidR="00EA04C7" w:rsidRPr="00235FF5">
          <w:rPr>
            <w:rStyle w:val="Hyperlink"/>
            <w:noProof/>
          </w:rPr>
          <w:t>Communicable diseases</w:t>
        </w:r>
        <w:r w:rsidR="00EA04C7">
          <w:rPr>
            <w:noProof/>
            <w:webHidden/>
          </w:rPr>
          <w:tab/>
        </w:r>
        <w:r w:rsidR="00EA04C7">
          <w:rPr>
            <w:noProof/>
            <w:webHidden/>
          </w:rPr>
          <w:fldChar w:fldCharType="begin"/>
        </w:r>
        <w:r w:rsidR="00EA04C7">
          <w:rPr>
            <w:noProof/>
            <w:webHidden/>
          </w:rPr>
          <w:instrText xml:space="preserve"> PAGEREF _Toc64536250 \h </w:instrText>
        </w:r>
        <w:r w:rsidR="00EA04C7">
          <w:rPr>
            <w:noProof/>
            <w:webHidden/>
          </w:rPr>
        </w:r>
        <w:r w:rsidR="00EA04C7">
          <w:rPr>
            <w:noProof/>
            <w:webHidden/>
          </w:rPr>
          <w:fldChar w:fldCharType="separate"/>
        </w:r>
        <w:r>
          <w:rPr>
            <w:noProof/>
            <w:webHidden/>
          </w:rPr>
          <w:t>26</w:t>
        </w:r>
        <w:r w:rsidR="00EA04C7">
          <w:rPr>
            <w:noProof/>
            <w:webHidden/>
          </w:rPr>
          <w:fldChar w:fldCharType="end"/>
        </w:r>
      </w:hyperlink>
    </w:p>
    <w:p w14:paraId="198DE291" w14:textId="2D919C70" w:rsidR="00EA04C7" w:rsidRDefault="003F39AB">
      <w:pPr>
        <w:pStyle w:val="TOC1"/>
        <w:rPr>
          <w:rFonts w:asciiTheme="minorHAnsi" w:eastAsiaTheme="minorEastAsia" w:hAnsiTheme="minorHAnsi" w:cstheme="minorBidi"/>
          <w:noProof/>
          <w:sz w:val="22"/>
          <w:szCs w:val="22"/>
          <w:lang w:eastAsia="en-NZ"/>
        </w:rPr>
      </w:pPr>
      <w:hyperlink w:anchor="_Toc64536251" w:history="1">
        <w:r w:rsidR="00EA04C7" w:rsidRPr="00235FF5">
          <w:rPr>
            <w:rStyle w:val="Hyperlink"/>
            <w:noProof/>
          </w:rPr>
          <w:t>Determinants of health and wellbeing | Ngā whakatau o te hauora me oranga</w:t>
        </w:r>
        <w:r w:rsidR="00EA04C7">
          <w:rPr>
            <w:noProof/>
            <w:webHidden/>
          </w:rPr>
          <w:tab/>
        </w:r>
        <w:r w:rsidR="00EA04C7">
          <w:rPr>
            <w:noProof/>
            <w:webHidden/>
          </w:rPr>
          <w:fldChar w:fldCharType="begin"/>
        </w:r>
        <w:r w:rsidR="00EA04C7">
          <w:rPr>
            <w:noProof/>
            <w:webHidden/>
          </w:rPr>
          <w:instrText xml:space="preserve"> PAGEREF _Toc64536251 \h </w:instrText>
        </w:r>
        <w:r w:rsidR="00EA04C7">
          <w:rPr>
            <w:noProof/>
            <w:webHidden/>
          </w:rPr>
        </w:r>
        <w:r w:rsidR="00EA04C7">
          <w:rPr>
            <w:noProof/>
            <w:webHidden/>
          </w:rPr>
          <w:fldChar w:fldCharType="separate"/>
        </w:r>
        <w:r>
          <w:rPr>
            <w:noProof/>
            <w:webHidden/>
          </w:rPr>
          <w:t>29</w:t>
        </w:r>
        <w:r w:rsidR="00EA04C7">
          <w:rPr>
            <w:noProof/>
            <w:webHidden/>
          </w:rPr>
          <w:fldChar w:fldCharType="end"/>
        </w:r>
      </w:hyperlink>
    </w:p>
    <w:p w14:paraId="73398DB2" w14:textId="04A47769" w:rsidR="00EA04C7" w:rsidRDefault="003F39AB">
      <w:pPr>
        <w:pStyle w:val="TOC2"/>
        <w:rPr>
          <w:rFonts w:asciiTheme="minorHAnsi" w:eastAsiaTheme="minorEastAsia" w:hAnsiTheme="minorHAnsi" w:cstheme="minorBidi"/>
          <w:noProof/>
          <w:sz w:val="22"/>
          <w:szCs w:val="22"/>
          <w:lang w:eastAsia="en-NZ"/>
        </w:rPr>
      </w:pPr>
      <w:hyperlink w:anchor="_Toc64536252" w:history="1">
        <w:r w:rsidR="00EA04C7" w:rsidRPr="00235FF5">
          <w:rPr>
            <w:rStyle w:val="Hyperlink"/>
            <w:noProof/>
          </w:rPr>
          <w:t>Socioeconomic factors</w:t>
        </w:r>
        <w:r w:rsidR="00EA04C7">
          <w:rPr>
            <w:noProof/>
            <w:webHidden/>
          </w:rPr>
          <w:tab/>
        </w:r>
        <w:r w:rsidR="00EA04C7">
          <w:rPr>
            <w:noProof/>
            <w:webHidden/>
          </w:rPr>
          <w:fldChar w:fldCharType="begin"/>
        </w:r>
        <w:r w:rsidR="00EA04C7">
          <w:rPr>
            <w:noProof/>
            <w:webHidden/>
          </w:rPr>
          <w:instrText xml:space="preserve"> PAGEREF _Toc64536252 \h </w:instrText>
        </w:r>
        <w:r w:rsidR="00EA04C7">
          <w:rPr>
            <w:noProof/>
            <w:webHidden/>
          </w:rPr>
        </w:r>
        <w:r w:rsidR="00EA04C7">
          <w:rPr>
            <w:noProof/>
            <w:webHidden/>
          </w:rPr>
          <w:fldChar w:fldCharType="separate"/>
        </w:r>
        <w:r>
          <w:rPr>
            <w:noProof/>
            <w:webHidden/>
          </w:rPr>
          <w:t>30</w:t>
        </w:r>
        <w:r w:rsidR="00EA04C7">
          <w:rPr>
            <w:noProof/>
            <w:webHidden/>
          </w:rPr>
          <w:fldChar w:fldCharType="end"/>
        </w:r>
      </w:hyperlink>
    </w:p>
    <w:p w14:paraId="01FDC846" w14:textId="07F21BCC" w:rsidR="00EA04C7" w:rsidRDefault="003F39AB">
      <w:pPr>
        <w:pStyle w:val="TOC2"/>
        <w:rPr>
          <w:rFonts w:asciiTheme="minorHAnsi" w:eastAsiaTheme="minorEastAsia" w:hAnsiTheme="minorHAnsi" w:cstheme="minorBidi"/>
          <w:noProof/>
          <w:sz w:val="22"/>
          <w:szCs w:val="22"/>
          <w:lang w:eastAsia="en-NZ"/>
        </w:rPr>
      </w:pPr>
      <w:hyperlink w:anchor="_Toc64536253" w:history="1">
        <w:r w:rsidR="00EA04C7" w:rsidRPr="00235FF5">
          <w:rPr>
            <w:rStyle w:val="Hyperlink"/>
            <w:noProof/>
          </w:rPr>
          <w:t>Physical environment</w:t>
        </w:r>
        <w:r w:rsidR="00EA04C7">
          <w:rPr>
            <w:noProof/>
            <w:webHidden/>
          </w:rPr>
          <w:tab/>
        </w:r>
        <w:r w:rsidR="00EA04C7">
          <w:rPr>
            <w:noProof/>
            <w:webHidden/>
          </w:rPr>
          <w:fldChar w:fldCharType="begin"/>
        </w:r>
        <w:r w:rsidR="00EA04C7">
          <w:rPr>
            <w:noProof/>
            <w:webHidden/>
          </w:rPr>
          <w:instrText xml:space="preserve"> PAGEREF _Toc64536253 \h </w:instrText>
        </w:r>
        <w:r w:rsidR="00EA04C7">
          <w:rPr>
            <w:noProof/>
            <w:webHidden/>
          </w:rPr>
        </w:r>
        <w:r w:rsidR="00EA04C7">
          <w:rPr>
            <w:noProof/>
            <w:webHidden/>
          </w:rPr>
          <w:fldChar w:fldCharType="separate"/>
        </w:r>
        <w:r>
          <w:rPr>
            <w:noProof/>
            <w:webHidden/>
          </w:rPr>
          <w:t>33</w:t>
        </w:r>
        <w:r w:rsidR="00EA04C7">
          <w:rPr>
            <w:noProof/>
            <w:webHidden/>
          </w:rPr>
          <w:fldChar w:fldCharType="end"/>
        </w:r>
      </w:hyperlink>
    </w:p>
    <w:p w14:paraId="7FF8DA67" w14:textId="07F6FAF5" w:rsidR="00EA04C7" w:rsidRDefault="003F39AB">
      <w:pPr>
        <w:pStyle w:val="TOC2"/>
        <w:rPr>
          <w:rFonts w:asciiTheme="minorHAnsi" w:eastAsiaTheme="minorEastAsia" w:hAnsiTheme="minorHAnsi" w:cstheme="minorBidi"/>
          <w:noProof/>
          <w:sz w:val="22"/>
          <w:szCs w:val="22"/>
          <w:lang w:eastAsia="en-NZ"/>
        </w:rPr>
      </w:pPr>
      <w:hyperlink w:anchor="_Toc64536254" w:history="1">
        <w:r w:rsidR="00EA04C7" w:rsidRPr="00235FF5">
          <w:rPr>
            <w:rStyle w:val="Hyperlink"/>
            <w:noProof/>
          </w:rPr>
          <w:t>Health behaviours and risk factors</w:t>
        </w:r>
        <w:r w:rsidR="00EA04C7">
          <w:rPr>
            <w:noProof/>
            <w:webHidden/>
          </w:rPr>
          <w:tab/>
        </w:r>
        <w:r w:rsidR="00EA04C7">
          <w:rPr>
            <w:noProof/>
            <w:webHidden/>
          </w:rPr>
          <w:fldChar w:fldCharType="begin"/>
        </w:r>
        <w:r w:rsidR="00EA04C7">
          <w:rPr>
            <w:noProof/>
            <w:webHidden/>
          </w:rPr>
          <w:instrText xml:space="preserve"> PAGEREF _Toc64536254 \h </w:instrText>
        </w:r>
        <w:r w:rsidR="00EA04C7">
          <w:rPr>
            <w:noProof/>
            <w:webHidden/>
          </w:rPr>
        </w:r>
        <w:r w:rsidR="00EA04C7">
          <w:rPr>
            <w:noProof/>
            <w:webHidden/>
          </w:rPr>
          <w:fldChar w:fldCharType="separate"/>
        </w:r>
        <w:r>
          <w:rPr>
            <w:noProof/>
            <w:webHidden/>
          </w:rPr>
          <w:t>35</w:t>
        </w:r>
        <w:r w:rsidR="00EA04C7">
          <w:rPr>
            <w:noProof/>
            <w:webHidden/>
          </w:rPr>
          <w:fldChar w:fldCharType="end"/>
        </w:r>
      </w:hyperlink>
    </w:p>
    <w:p w14:paraId="08DF8B5F" w14:textId="7172F386" w:rsidR="00EA04C7" w:rsidRDefault="003F39AB">
      <w:pPr>
        <w:pStyle w:val="TOC2"/>
        <w:rPr>
          <w:rFonts w:asciiTheme="minorHAnsi" w:eastAsiaTheme="minorEastAsia" w:hAnsiTheme="minorHAnsi" w:cstheme="minorBidi"/>
          <w:noProof/>
          <w:sz w:val="22"/>
          <w:szCs w:val="22"/>
          <w:lang w:eastAsia="en-NZ"/>
        </w:rPr>
      </w:pPr>
      <w:hyperlink w:anchor="_Toc64536255" w:history="1">
        <w:r w:rsidR="00EA04C7" w:rsidRPr="00235FF5">
          <w:rPr>
            <w:rStyle w:val="Hyperlink"/>
            <w:noProof/>
          </w:rPr>
          <w:t>Health care</w:t>
        </w:r>
        <w:r w:rsidR="00EA04C7">
          <w:rPr>
            <w:noProof/>
            <w:webHidden/>
          </w:rPr>
          <w:tab/>
        </w:r>
        <w:r w:rsidR="00EA04C7">
          <w:rPr>
            <w:noProof/>
            <w:webHidden/>
          </w:rPr>
          <w:fldChar w:fldCharType="begin"/>
        </w:r>
        <w:r w:rsidR="00EA04C7">
          <w:rPr>
            <w:noProof/>
            <w:webHidden/>
          </w:rPr>
          <w:instrText xml:space="preserve"> PAGEREF _Toc64536255 \h </w:instrText>
        </w:r>
        <w:r w:rsidR="00EA04C7">
          <w:rPr>
            <w:noProof/>
            <w:webHidden/>
          </w:rPr>
        </w:r>
        <w:r w:rsidR="00EA04C7">
          <w:rPr>
            <w:noProof/>
            <w:webHidden/>
          </w:rPr>
          <w:fldChar w:fldCharType="separate"/>
        </w:r>
        <w:r>
          <w:rPr>
            <w:noProof/>
            <w:webHidden/>
          </w:rPr>
          <w:t>44</w:t>
        </w:r>
        <w:r w:rsidR="00EA04C7">
          <w:rPr>
            <w:noProof/>
            <w:webHidden/>
          </w:rPr>
          <w:fldChar w:fldCharType="end"/>
        </w:r>
      </w:hyperlink>
    </w:p>
    <w:p w14:paraId="02F27FED" w14:textId="1929A903" w:rsidR="00EA04C7" w:rsidRDefault="003F39AB">
      <w:pPr>
        <w:pStyle w:val="TOC1"/>
        <w:rPr>
          <w:rFonts w:asciiTheme="minorHAnsi" w:eastAsiaTheme="minorEastAsia" w:hAnsiTheme="minorHAnsi" w:cstheme="minorBidi"/>
          <w:noProof/>
          <w:sz w:val="22"/>
          <w:szCs w:val="22"/>
          <w:lang w:eastAsia="en-NZ"/>
        </w:rPr>
      </w:pPr>
      <w:hyperlink w:anchor="_Toc64536256" w:history="1">
        <w:r w:rsidR="00EA04C7" w:rsidRPr="00235FF5">
          <w:rPr>
            <w:rStyle w:val="Hyperlink"/>
            <w:noProof/>
          </w:rPr>
          <w:t>Technical notes | Ngā tuhipoka hangarau</w:t>
        </w:r>
        <w:r w:rsidR="00EA04C7">
          <w:rPr>
            <w:noProof/>
            <w:webHidden/>
          </w:rPr>
          <w:tab/>
        </w:r>
        <w:r w:rsidR="00EA04C7">
          <w:rPr>
            <w:noProof/>
            <w:webHidden/>
          </w:rPr>
          <w:fldChar w:fldCharType="begin"/>
        </w:r>
        <w:r w:rsidR="00EA04C7">
          <w:rPr>
            <w:noProof/>
            <w:webHidden/>
          </w:rPr>
          <w:instrText xml:space="preserve"> PAGEREF _Toc64536256 \h </w:instrText>
        </w:r>
        <w:r w:rsidR="00EA04C7">
          <w:rPr>
            <w:noProof/>
            <w:webHidden/>
          </w:rPr>
        </w:r>
        <w:r w:rsidR="00EA04C7">
          <w:rPr>
            <w:noProof/>
            <w:webHidden/>
          </w:rPr>
          <w:fldChar w:fldCharType="separate"/>
        </w:r>
        <w:r>
          <w:rPr>
            <w:noProof/>
            <w:webHidden/>
          </w:rPr>
          <w:t>50</w:t>
        </w:r>
        <w:r w:rsidR="00EA04C7">
          <w:rPr>
            <w:noProof/>
            <w:webHidden/>
          </w:rPr>
          <w:fldChar w:fldCharType="end"/>
        </w:r>
      </w:hyperlink>
    </w:p>
    <w:p w14:paraId="2C22545B" w14:textId="7E1EDECD" w:rsidR="00EA04C7" w:rsidRDefault="003F39AB">
      <w:pPr>
        <w:pStyle w:val="TOC1"/>
        <w:rPr>
          <w:rFonts w:asciiTheme="minorHAnsi" w:eastAsiaTheme="minorEastAsia" w:hAnsiTheme="minorHAnsi" w:cstheme="minorBidi"/>
          <w:noProof/>
          <w:sz w:val="22"/>
          <w:szCs w:val="22"/>
          <w:lang w:eastAsia="en-NZ"/>
        </w:rPr>
      </w:pPr>
      <w:hyperlink w:anchor="_Toc64536257" w:history="1">
        <w:r w:rsidR="00EA04C7" w:rsidRPr="00235FF5">
          <w:rPr>
            <w:rStyle w:val="Hyperlink"/>
            <w:noProof/>
          </w:rPr>
          <w:t>References | Ngā tohutoro</w:t>
        </w:r>
        <w:r w:rsidR="00EA04C7">
          <w:rPr>
            <w:noProof/>
            <w:webHidden/>
          </w:rPr>
          <w:tab/>
        </w:r>
        <w:r w:rsidR="00EA04C7">
          <w:rPr>
            <w:noProof/>
            <w:webHidden/>
          </w:rPr>
          <w:fldChar w:fldCharType="begin"/>
        </w:r>
        <w:r w:rsidR="00EA04C7">
          <w:rPr>
            <w:noProof/>
            <w:webHidden/>
          </w:rPr>
          <w:instrText xml:space="preserve"> PAGEREF _Toc64536257 \h </w:instrText>
        </w:r>
        <w:r w:rsidR="00EA04C7">
          <w:rPr>
            <w:noProof/>
            <w:webHidden/>
          </w:rPr>
        </w:r>
        <w:r w:rsidR="00EA04C7">
          <w:rPr>
            <w:noProof/>
            <w:webHidden/>
          </w:rPr>
          <w:fldChar w:fldCharType="separate"/>
        </w:r>
        <w:r>
          <w:rPr>
            <w:noProof/>
            <w:webHidden/>
          </w:rPr>
          <w:t>51</w:t>
        </w:r>
        <w:r w:rsidR="00EA04C7">
          <w:rPr>
            <w:noProof/>
            <w:webHidden/>
          </w:rPr>
          <w:fldChar w:fldCharType="end"/>
        </w:r>
      </w:hyperlink>
    </w:p>
    <w:p w14:paraId="78F6FEB3" w14:textId="3C0AF5D0" w:rsidR="00C86248" w:rsidRDefault="00EA04C7">
      <w:r>
        <w:rPr>
          <w:rFonts w:ascii="Segoe UI Semibold" w:hAnsi="Segoe UI Semibold"/>
          <w:b/>
          <w:sz w:val="24"/>
        </w:rPr>
        <w:fldChar w:fldCharType="end"/>
      </w:r>
    </w:p>
    <w:p w14:paraId="3696060D" w14:textId="77777777" w:rsidR="0033448B" w:rsidRDefault="0033448B" w:rsidP="0033448B">
      <w:pPr>
        <w:pStyle w:val="TOC1"/>
        <w:keepNext/>
      </w:pPr>
      <w:r>
        <w:lastRenderedPageBreak/>
        <w:t>List of Figures</w:t>
      </w:r>
    </w:p>
    <w:p w14:paraId="301B3C52" w14:textId="05434864" w:rsidR="00EA04C7" w:rsidRDefault="00EA04C7">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64536258" w:history="1">
        <w:r w:rsidRPr="00D0580A">
          <w:rPr>
            <w:rStyle w:val="Hyperlink"/>
            <w:noProof/>
          </w:rPr>
          <w:t>Figure 1: Estimated resident population, by age group, 2013 and 2018</w:t>
        </w:r>
        <w:r>
          <w:rPr>
            <w:noProof/>
            <w:webHidden/>
          </w:rPr>
          <w:tab/>
        </w:r>
        <w:r>
          <w:rPr>
            <w:noProof/>
            <w:webHidden/>
          </w:rPr>
          <w:fldChar w:fldCharType="begin"/>
        </w:r>
        <w:r>
          <w:rPr>
            <w:noProof/>
            <w:webHidden/>
          </w:rPr>
          <w:instrText xml:space="preserve"> PAGEREF _Toc64536258 \h </w:instrText>
        </w:r>
        <w:r>
          <w:rPr>
            <w:noProof/>
            <w:webHidden/>
          </w:rPr>
        </w:r>
        <w:r>
          <w:rPr>
            <w:noProof/>
            <w:webHidden/>
          </w:rPr>
          <w:fldChar w:fldCharType="separate"/>
        </w:r>
        <w:r w:rsidR="003F39AB">
          <w:rPr>
            <w:noProof/>
            <w:webHidden/>
          </w:rPr>
          <w:t>4</w:t>
        </w:r>
        <w:r>
          <w:rPr>
            <w:noProof/>
            <w:webHidden/>
          </w:rPr>
          <w:fldChar w:fldCharType="end"/>
        </w:r>
      </w:hyperlink>
    </w:p>
    <w:p w14:paraId="1FE5D0D6" w14:textId="187A3121" w:rsidR="00EA04C7" w:rsidRDefault="003F39AB">
      <w:pPr>
        <w:pStyle w:val="TOC3"/>
        <w:rPr>
          <w:rFonts w:asciiTheme="minorHAnsi" w:eastAsiaTheme="minorEastAsia" w:hAnsiTheme="minorHAnsi" w:cstheme="minorBidi"/>
          <w:noProof/>
          <w:sz w:val="22"/>
          <w:szCs w:val="22"/>
          <w:lang w:eastAsia="en-NZ"/>
        </w:rPr>
      </w:pPr>
      <w:hyperlink w:anchor="_Toc64536259" w:history="1">
        <w:r w:rsidR="00EA04C7" w:rsidRPr="00D0580A">
          <w:rPr>
            <w:rStyle w:val="Hyperlink"/>
            <w:noProof/>
          </w:rPr>
          <w:t>Figure 2: Percentage of estimated resident population, by DHB, June 2019</w:t>
        </w:r>
        <w:r w:rsidR="00EA04C7">
          <w:rPr>
            <w:noProof/>
            <w:webHidden/>
          </w:rPr>
          <w:tab/>
        </w:r>
        <w:r w:rsidR="00EA04C7">
          <w:rPr>
            <w:noProof/>
            <w:webHidden/>
          </w:rPr>
          <w:fldChar w:fldCharType="begin"/>
        </w:r>
        <w:r w:rsidR="00EA04C7">
          <w:rPr>
            <w:noProof/>
            <w:webHidden/>
          </w:rPr>
          <w:instrText xml:space="preserve"> PAGEREF _Toc64536259 \h </w:instrText>
        </w:r>
        <w:r w:rsidR="00EA04C7">
          <w:rPr>
            <w:noProof/>
            <w:webHidden/>
          </w:rPr>
        </w:r>
        <w:r w:rsidR="00EA04C7">
          <w:rPr>
            <w:noProof/>
            <w:webHidden/>
          </w:rPr>
          <w:fldChar w:fldCharType="separate"/>
        </w:r>
        <w:r>
          <w:rPr>
            <w:noProof/>
            <w:webHidden/>
          </w:rPr>
          <w:t>6</w:t>
        </w:r>
        <w:r w:rsidR="00EA04C7">
          <w:rPr>
            <w:noProof/>
            <w:webHidden/>
          </w:rPr>
          <w:fldChar w:fldCharType="end"/>
        </w:r>
      </w:hyperlink>
    </w:p>
    <w:p w14:paraId="4E895A50" w14:textId="0C90577E" w:rsidR="00EA04C7" w:rsidRDefault="003F39AB">
      <w:pPr>
        <w:pStyle w:val="TOC3"/>
        <w:rPr>
          <w:rFonts w:asciiTheme="minorHAnsi" w:eastAsiaTheme="minorEastAsia" w:hAnsiTheme="minorHAnsi" w:cstheme="minorBidi"/>
          <w:noProof/>
          <w:sz w:val="22"/>
          <w:szCs w:val="22"/>
          <w:lang w:eastAsia="en-NZ"/>
        </w:rPr>
      </w:pPr>
      <w:hyperlink w:anchor="_Toc64536260" w:history="1">
        <w:r w:rsidR="00EA04C7" w:rsidRPr="00D0580A">
          <w:rPr>
            <w:rStyle w:val="Hyperlink"/>
            <w:noProof/>
          </w:rPr>
          <w:t>Figure 3: DALY count and age-standardised DALY rate, 1990 to 2019</w:t>
        </w:r>
        <w:r w:rsidR="00EA04C7">
          <w:rPr>
            <w:noProof/>
            <w:webHidden/>
          </w:rPr>
          <w:tab/>
        </w:r>
        <w:r w:rsidR="00EA04C7">
          <w:rPr>
            <w:noProof/>
            <w:webHidden/>
          </w:rPr>
          <w:fldChar w:fldCharType="begin"/>
        </w:r>
        <w:r w:rsidR="00EA04C7">
          <w:rPr>
            <w:noProof/>
            <w:webHidden/>
          </w:rPr>
          <w:instrText xml:space="preserve"> PAGEREF _Toc64536260 \h </w:instrText>
        </w:r>
        <w:r w:rsidR="00EA04C7">
          <w:rPr>
            <w:noProof/>
            <w:webHidden/>
          </w:rPr>
        </w:r>
        <w:r w:rsidR="00EA04C7">
          <w:rPr>
            <w:noProof/>
            <w:webHidden/>
          </w:rPr>
          <w:fldChar w:fldCharType="separate"/>
        </w:r>
        <w:r>
          <w:rPr>
            <w:noProof/>
            <w:webHidden/>
          </w:rPr>
          <w:t>11</w:t>
        </w:r>
        <w:r w:rsidR="00EA04C7">
          <w:rPr>
            <w:noProof/>
            <w:webHidden/>
          </w:rPr>
          <w:fldChar w:fldCharType="end"/>
        </w:r>
      </w:hyperlink>
    </w:p>
    <w:p w14:paraId="065A8E3A" w14:textId="7DE4D5D8" w:rsidR="00EA04C7" w:rsidRDefault="003F39AB">
      <w:pPr>
        <w:pStyle w:val="TOC3"/>
        <w:rPr>
          <w:rFonts w:asciiTheme="minorHAnsi" w:eastAsiaTheme="minorEastAsia" w:hAnsiTheme="minorHAnsi" w:cstheme="minorBidi"/>
          <w:noProof/>
          <w:sz w:val="22"/>
          <w:szCs w:val="22"/>
          <w:lang w:eastAsia="en-NZ"/>
        </w:rPr>
      </w:pPr>
      <w:hyperlink w:anchor="_Toc64536261" w:history="1">
        <w:r w:rsidR="00EA04C7" w:rsidRPr="00D0580A">
          <w:rPr>
            <w:rStyle w:val="Hyperlink"/>
            <w:noProof/>
          </w:rPr>
          <w:t>Figure 4: Mortality rates, by sex, 1948 to 2017*</w:t>
        </w:r>
        <w:r w:rsidR="00EA04C7">
          <w:rPr>
            <w:noProof/>
            <w:webHidden/>
          </w:rPr>
          <w:tab/>
        </w:r>
        <w:r w:rsidR="00EA04C7">
          <w:rPr>
            <w:noProof/>
            <w:webHidden/>
          </w:rPr>
          <w:fldChar w:fldCharType="begin"/>
        </w:r>
        <w:r w:rsidR="00EA04C7">
          <w:rPr>
            <w:noProof/>
            <w:webHidden/>
          </w:rPr>
          <w:instrText xml:space="preserve"> PAGEREF _Toc64536261 \h </w:instrText>
        </w:r>
        <w:r w:rsidR="00EA04C7">
          <w:rPr>
            <w:noProof/>
            <w:webHidden/>
          </w:rPr>
        </w:r>
        <w:r w:rsidR="00EA04C7">
          <w:rPr>
            <w:noProof/>
            <w:webHidden/>
          </w:rPr>
          <w:fldChar w:fldCharType="separate"/>
        </w:r>
        <w:r>
          <w:rPr>
            <w:noProof/>
            <w:webHidden/>
          </w:rPr>
          <w:t>15</w:t>
        </w:r>
        <w:r w:rsidR="00EA04C7">
          <w:rPr>
            <w:noProof/>
            <w:webHidden/>
          </w:rPr>
          <w:fldChar w:fldCharType="end"/>
        </w:r>
      </w:hyperlink>
    </w:p>
    <w:p w14:paraId="5B0EEE68" w14:textId="697562DE" w:rsidR="00EA04C7" w:rsidRDefault="003F39AB">
      <w:pPr>
        <w:pStyle w:val="TOC3"/>
        <w:rPr>
          <w:rFonts w:asciiTheme="minorHAnsi" w:eastAsiaTheme="minorEastAsia" w:hAnsiTheme="minorHAnsi" w:cstheme="minorBidi"/>
          <w:noProof/>
          <w:sz w:val="22"/>
          <w:szCs w:val="22"/>
          <w:lang w:eastAsia="en-NZ"/>
        </w:rPr>
      </w:pPr>
      <w:hyperlink w:anchor="_Toc64536262" w:history="1">
        <w:r w:rsidR="00EA04C7" w:rsidRPr="00D0580A">
          <w:rPr>
            <w:rStyle w:val="Hyperlink"/>
            <w:noProof/>
          </w:rPr>
          <w:t>Figure 5: Mortality rates, Māori and non-Māori, 1996 to 2017*</w:t>
        </w:r>
        <w:r w:rsidR="00EA04C7">
          <w:rPr>
            <w:noProof/>
            <w:webHidden/>
          </w:rPr>
          <w:tab/>
        </w:r>
        <w:r w:rsidR="00EA04C7">
          <w:rPr>
            <w:noProof/>
            <w:webHidden/>
          </w:rPr>
          <w:fldChar w:fldCharType="begin"/>
        </w:r>
        <w:r w:rsidR="00EA04C7">
          <w:rPr>
            <w:noProof/>
            <w:webHidden/>
          </w:rPr>
          <w:instrText xml:space="preserve"> PAGEREF _Toc64536262 \h </w:instrText>
        </w:r>
        <w:r w:rsidR="00EA04C7">
          <w:rPr>
            <w:noProof/>
            <w:webHidden/>
          </w:rPr>
        </w:r>
        <w:r w:rsidR="00EA04C7">
          <w:rPr>
            <w:noProof/>
            <w:webHidden/>
          </w:rPr>
          <w:fldChar w:fldCharType="separate"/>
        </w:r>
        <w:r>
          <w:rPr>
            <w:noProof/>
            <w:webHidden/>
          </w:rPr>
          <w:t>16</w:t>
        </w:r>
        <w:r w:rsidR="00EA04C7">
          <w:rPr>
            <w:noProof/>
            <w:webHidden/>
          </w:rPr>
          <w:fldChar w:fldCharType="end"/>
        </w:r>
      </w:hyperlink>
    </w:p>
    <w:p w14:paraId="66DCF37B" w14:textId="6CD1CBCA" w:rsidR="00EA04C7" w:rsidRDefault="003F39AB">
      <w:pPr>
        <w:pStyle w:val="TOC3"/>
        <w:rPr>
          <w:rFonts w:asciiTheme="minorHAnsi" w:eastAsiaTheme="minorEastAsia" w:hAnsiTheme="minorHAnsi" w:cstheme="minorBidi"/>
          <w:noProof/>
          <w:sz w:val="22"/>
          <w:szCs w:val="22"/>
          <w:lang w:eastAsia="en-NZ"/>
        </w:rPr>
      </w:pPr>
      <w:hyperlink w:anchor="_Toc64536263" w:history="1">
        <w:r w:rsidR="00EA04C7" w:rsidRPr="00D0580A">
          <w:rPr>
            <w:rStyle w:val="Hyperlink"/>
            <w:noProof/>
          </w:rPr>
          <w:t>Figure 6: Cancer incidence rate, by cancer type and sex, 2008 to 2017</w:t>
        </w:r>
        <w:r w:rsidR="00EA04C7">
          <w:rPr>
            <w:noProof/>
            <w:webHidden/>
          </w:rPr>
          <w:tab/>
        </w:r>
        <w:r w:rsidR="00EA04C7">
          <w:rPr>
            <w:noProof/>
            <w:webHidden/>
          </w:rPr>
          <w:fldChar w:fldCharType="begin"/>
        </w:r>
        <w:r w:rsidR="00EA04C7">
          <w:rPr>
            <w:noProof/>
            <w:webHidden/>
          </w:rPr>
          <w:instrText xml:space="preserve"> PAGEREF _Toc64536263 \h </w:instrText>
        </w:r>
        <w:r w:rsidR="00EA04C7">
          <w:rPr>
            <w:noProof/>
            <w:webHidden/>
          </w:rPr>
        </w:r>
        <w:r w:rsidR="00EA04C7">
          <w:rPr>
            <w:noProof/>
            <w:webHidden/>
          </w:rPr>
          <w:fldChar w:fldCharType="separate"/>
        </w:r>
        <w:r>
          <w:rPr>
            <w:noProof/>
            <w:webHidden/>
          </w:rPr>
          <w:t>18</w:t>
        </w:r>
        <w:r w:rsidR="00EA04C7">
          <w:rPr>
            <w:noProof/>
            <w:webHidden/>
          </w:rPr>
          <w:fldChar w:fldCharType="end"/>
        </w:r>
      </w:hyperlink>
    </w:p>
    <w:p w14:paraId="45759E82" w14:textId="2B3E47DE" w:rsidR="00EA04C7" w:rsidRDefault="003F39AB">
      <w:pPr>
        <w:pStyle w:val="TOC3"/>
        <w:rPr>
          <w:rFonts w:asciiTheme="minorHAnsi" w:eastAsiaTheme="minorEastAsia" w:hAnsiTheme="minorHAnsi" w:cstheme="minorBidi"/>
          <w:noProof/>
          <w:sz w:val="22"/>
          <w:szCs w:val="22"/>
          <w:lang w:eastAsia="en-NZ"/>
        </w:rPr>
      </w:pPr>
      <w:hyperlink w:anchor="_Toc64536264" w:history="1">
        <w:r w:rsidR="00EA04C7" w:rsidRPr="00D0580A">
          <w:rPr>
            <w:rStyle w:val="Hyperlink"/>
            <w:noProof/>
          </w:rPr>
          <w:t>Figure 7: Cancer mortality rate, by cancer type and sex, 2008 to 2017*</w:t>
        </w:r>
        <w:r w:rsidR="00EA04C7">
          <w:rPr>
            <w:noProof/>
            <w:webHidden/>
          </w:rPr>
          <w:tab/>
        </w:r>
        <w:r w:rsidR="00EA04C7">
          <w:rPr>
            <w:noProof/>
            <w:webHidden/>
          </w:rPr>
          <w:fldChar w:fldCharType="begin"/>
        </w:r>
        <w:r w:rsidR="00EA04C7">
          <w:rPr>
            <w:noProof/>
            <w:webHidden/>
          </w:rPr>
          <w:instrText xml:space="preserve"> PAGEREF _Toc64536264 \h </w:instrText>
        </w:r>
        <w:r w:rsidR="00EA04C7">
          <w:rPr>
            <w:noProof/>
            <w:webHidden/>
          </w:rPr>
        </w:r>
        <w:r w:rsidR="00EA04C7">
          <w:rPr>
            <w:noProof/>
            <w:webHidden/>
          </w:rPr>
          <w:fldChar w:fldCharType="separate"/>
        </w:r>
        <w:r>
          <w:rPr>
            <w:noProof/>
            <w:webHidden/>
          </w:rPr>
          <w:t>19</w:t>
        </w:r>
        <w:r w:rsidR="00EA04C7">
          <w:rPr>
            <w:noProof/>
            <w:webHidden/>
          </w:rPr>
          <w:fldChar w:fldCharType="end"/>
        </w:r>
      </w:hyperlink>
    </w:p>
    <w:p w14:paraId="4C4EBF7C" w14:textId="3A745448" w:rsidR="00EA04C7" w:rsidRDefault="003F39AB">
      <w:pPr>
        <w:pStyle w:val="TOC3"/>
        <w:rPr>
          <w:rFonts w:asciiTheme="minorHAnsi" w:eastAsiaTheme="minorEastAsia" w:hAnsiTheme="minorHAnsi" w:cstheme="minorBidi"/>
          <w:noProof/>
          <w:sz w:val="22"/>
          <w:szCs w:val="22"/>
          <w:lang w:eastAsia="en-NZ"/>
        </w:rPr>
      </w:pPr>
      <w:hyperlink w:anchor="_Toc64536265" w:history="1">
        <w:r w:rsidR="00EA04C7" w:rsidRPr="00D0580A">
          <w:rPr>
            <w:rStyle w:val="Hyperlink"/>
            <w:noProof/>
          </w:rPr>
          <w:t>Figure 8: Prevalence of diabetes, by age and ethnic group, 2019</w:t>
        </w:r>
        <w:r w:rsidR="00EA04C7">
          <w:rPr>
            <w:noProof/>
            <w:webHidden/>
          </w:rPr>
          <w:tab/>
        </w:r>
        <w:r w:rsidR="00EA04C7">
          <w:rPr>
            <w:noProof/>
            <w:webHidden/>
          </w:rPr>
          <w:fldChar w:fldCharType="begin"/>
        </w:r>
        <w:r w:rsidR="00EA04C7">
          <w:rPr>
            <w:noProof/>
            <w:webHidden/>
          </w:rPr>
          <w:instrText xml:space="preserve"> PAGEREF _Toc64536265 \h </w:instrText>
        </w:r>
        <w:r w:rsidR="00EA04C7">
          <w:rPr>
            <w:noProof/>
            <w:webHidden/>
          </w:rPr>
        </w:r>
        <w:r w:rsidR="00EA04C7">
          <w:rPr>
            <w:noProof/>
            <w:webHidden/>
          </w:rPr>
          <w:fldChar w:fldCharType="separate"/>
        </w:r>
        <w:r>
          <w:rPr>
            <w:noProof/>
            <w:webHidden/>
          </w:rPr>
          <w:t>22</w:t>
        </w:r>
        <w:r w:rsidR="00EA04C7">
          <w:rPr>
            <w:noProof/>
            <w:webHidden/>
          </w:rPr>
          <w:fldChar w:fldCharType="end"/>
        </w:r>
      </w:hyperlink>
    </w:p>
    <w:p w14:paraId="0414E539" w14:textId="67441F98" w:rsidR="00EA04C7" w:rsidRDefault="003F39AB">
      <w:pPr>
        <w:pStyle w:val="TOC3"/>
        <w:rPr>
          <w:rFonts w:asciiTheme="minorHAnsi" w:eastAsiaTheme="minorEastAsia" w:hAnsiTheme="minorHAnsi" w:cstheme="minorBidi"/>
          <w:noProof/>
          <w:sz w:val="22"/>
          <w:szCs w:val="22"/>
          <w:lang w:eastAsia="en-NZ"/>
        </w:rPr>
      </w:pPr>
      <w:hyperlink w:anchor="_Toc64536266" w:history="1">
        <w:r w:rsidR="00EA04C7" w:rsidRPr="00D0580A">
          <w:rPr>
            <w:rStyle w:val="Hyperlink"/>
            <w:noProof/>
          </w:rPr>
          <w:t>Figure 9: Measles notification rate, by age group, 2019</w:t>
        </w:r>
        <w:r w:rsidR="00EA04C7">
          <w:rPr>
            <w:noProof/>
            <w:webHidden/>
          </w:rPr>
          <w:tab/>
        </w:r>
        <w:r w:rsidR="00EA04C7">
          <w:rPr>
            <w:noProof/>
            <w:webHidden/>
          </w:rPr>
          <w:fldChar w:fldCharType="begin"/>
        </w:r>
        <w:r w:rsidR="00EA04C7">
          <w:rPr>
            <w:noProof/>
            <w:webHidden/>
          </w:rPr>
          <w:instrText xml:space="preserve"> PAGEREF _Toc64536266 \h </w:instrText>
        </w:r>
        <w:r w:rsidR="00EA04C7">
          <w:rPr>
            <w:noProof/>
            <w:webHidden/>
          </w:rPr>
        </w:r>
        <w:r w:rsidR="00EA04C7">
          <w:rPr>
            <w:noProof/>
            <w:webHidden/>
          </w:rPr>
          <w:fldChar w:fldCharType="separate"/>
        </w:r>
        <w:r>
          <w:rPr>
            <w:noProof/>
            <w:webHidden/>
          </w:rPr>
          <w:t>26</w:t>
        </w:r>
        <w:r w:rsidR="00EA04C7">
          <w:rPr>
            <w:noProof/>
            <w:webHidden/>
          </w:rPr>
          <w:fldChar w:fldCharType="end"/>
        </w:r>
      </w:hyperlink>
    </w:p>
    <w:p w14:paraId="30AA61C6" w14:textId="42627851" w:rsidR="00EA04C7" w:rsidRDefault="003F39AB">
      <w:pPr>
        <w:pStyle w:val="TOC3"/>
        <w:rPr>
          <w:rFonts w:asciiTheme="minorHAnsi" w:eastAsiaTheme="minorEastAsia" w:hAnsiTheme="minorHAnsi" w:cstheme="minorBidi"/>
          <w:noProof/>
          <w:sz w:val="22"/>
          <w:szCs w:val="22"/>
          <w:lang w:eastAsia="en-NZ"/>
        </w:rPr>
      </w:pPr>
      <w:hyperlink w:anchor="_Toc64536267" w:history="1">
        <w:r w:rsidR="00EA04C7" w:rsidRPr="00D0580A">
          <w:rPr>
            <w:rStyle w:val="Hyperlink"/>
            <w:noProof/>
          </w:rPr>
          <w:t>Figure 10: Measles notification rate, by ethnic group, 2019</w:t>
        </w:r>
        <w:r w:rsidR="00EA04C7">
          <w:rPr>
            <w:noProof/>
            <w:webHidden/>
          </w:rPr>
          <w:tab/>
        </w:r>
        <w:r w:rsidR="00EA04C7">
          <w:rPr>
            <w:noProof/>
            <w:webHidden/>
          </w:rPr>
          <w:fldChar w:fldCharType="begin"/>
        </w:r>
        <w:r w:rsidR="00EA04C7">
          <w:rPr>
            <w:noProof/>
            <w:webHidden/>
          </w:rPr>
          <w:instrText xml:space="preserve"> PAGEREF _Toc64536267 \h </w:instrText>
        </w:r>
        <w:r w:rsidR="00EA04C7">
          <w:rPr>
            <w:noProof/>
            <w:webHidden/>
          </w:rPr>
        </w:r>
        <w:r w:rsidR="00EA04C7">
          <w:rPr>
            <w:noProof/>
            <w:webHidden/>
          </w:rPr>
          <w:fldChar w:fldCharType="separate"/>
        </w:r>
        <w:r>
          <w:rPr>
            <w:noProof/>
            <w:webHidden/>
          </w:rPr>
          <w:t>27</w:t>
        </w:r>
        <w:r w:rsidR="00EA04C7">
          <w:rPr>
            <w:noProof/>
            <w:webHidden/>
          </w:rPr>
          <w:fldChar w:fldCharType="end"/>
        </w:r>
      </w:hyperlink>
    </w:p>
    <w:p w14:paraId="1375A6E6" w14:textId="04A96BF9" w:rsidR="00EA04C7" w:rsidRDefault="003F39AB">
      <w:pPr>
        <w:pStyle w:val="TOC3"/>
        <w:rPr>
          <w:rFonts w:asciiTheme="minorHAnsi" w:eastAsiaTheme="minorEastAsia" w:hAnsiTheme="minorHAnsi" w:cstheme="minorBidi"/>
          <w:noProof/>
          <w:sz w:val="22"/>
          <w:szCs w:val="22"/>
          <w:lang w:eastAsia="en-NZ"/>
        </w:rPr>
      </w:pPr>
      <w:hyperlink w:anchor="_Toc64536268" w:history="1">
        <w:r w:rsidR="00EA04C7" w:rsidRPr="00D0580A">
          <w:rPr>
            <w:rStyle w:val="Hyperlink"/>
            <w:noProof/>
          </w:rPr>
          <w:t>Figure 11: First episode rheumatic fever hospitalisation rate, by ethnic group, 2002 to 2019</w:t>
        </w:r>
        <w:r w:rsidR="00EA04C7">
          <w:rPr>
            <w:noProof/>
            <w:webHidden/>
          </w:rPr>
          <w:tab/>
        </w:r>
        <w:r w:rsidR="00EA04C7">
          <w:rPr>
            <w:noProof/>
            <w:webHidden/>
          </w:rPr>
          <w:fldChar w:fldCharType="begin"/>
        </w:r>
        <w:r w:rsidR="00EA04C7">
          <w:rPr>
            <w:noProof/>
            <w:webHidden/>
          </w:rPr>
          <w:instrText xml:space="preserve"> PAGEREF _Toc64536268 \h </w:instrText>
        </w:r>
        <w:r w:rsidR="00EA04C7">
          <w:rPr>
            <w:noProof/>
            <w:webHidden/>
          </w:rPr>
        </w:r>
        <w:r w:rsidR="00EA04C7">
          <w:rPr>
            <w:noProof/>
            <w:webHidden/>
          </w:rPr>
          <w:fldChar w:fldCharType="separate"/>
        </w:r>
        <w:r>
          <w:rPr>
            <w:noProof/>
            <w:webHidden/>
          </w:rPr>
          <w:t>28</w:t>
        </w:r>
        <w:r w:rsidR="00EA04C7">
          <w:rPr>
            <w:noProof/>
            <w:webHidden/>
          </w:rPr>
          <w:fldChar w:fldCharType="end"/>
        </w:r>
      </w:hyperlink>
    </w:p>
    <w:p w14:paraId="23908159" w14:textId="7833FAA0" w:rsidR="00EA04C7" w:rsidRDefault="003F39AB">
      <w:pPr>
        <w:pStyle w:val="TOC3"/>
        <w:rPr>
          <w:rFonts w:asciiTheme="minorHAnsi" w:eastAsiaTheme="minorEastAsia" w:hAnsiTheme="minorHAnsi" w:cstheme="minorBidi"/>
          <w:noProof/>
          <w:sz w:val="22"/>
          <w:szCs w:val="22"/>
          <w:lang w:eastAsia="en-NZ"/>
        </w:rPr>
      </w:pPr>
      <w:hyperlink w:anchor="_Toc64536269" w:history="1">
        <w:r w:rsidR="00EA04C7" w:rsidRPr="00D0580A">
          <w:rPr>
            <w:rStyle w:val="Hyperlink"/>
            <w:noProof/>
          </w:rPr>
          <w:t>Figure 12: The determinants of health and how much each one contributes to our health outcomes</w:t>
        </w:r>
        <w:r w:rsidR="00EA04C7">
          <w:rPr>
            <w:noProof/>
            <w:webHidden/>
          </w:rPr>
          <w:tab/>
        </w:r>
        <w:r w:rsidR="00EA04C7">
          <w:rPr>
            <w:noProof/>
            <w:webHidden/>
          </w:rPr>
          <w:fldChar w:fldCharType="begin"/>
        </w:r>
        <w:r w:rsidR="00EA04C7">
          <w:rPr>
            <w:noProof/>
            <w:webHidden/>
          </w:rPr>
          <w:instrText xml:space="preserve"> PAGEREF _Toc64536269 \h </w:instrText>
        </w:r>
        <w:r w:rsidR="00EA04C7">
          <w:rPr>
            <w:noProof/>
            <w:webHidden/>
          </w:rPr>
        </w:r>
        <w:r w:rsidR="00EA04C7">
          <w:rPr>
            <w:noProof/>
            <w:webHidden/>
          </w:rPr>
          <w:fldChar w:fldCharType="separate"/>
        </w:r>
        <w:r>
          <w:rPr>
            <w:noProof/>
            <w:webHidden/>
          </w:rPr>
          <w:t>30</w:t>
        </w:r>
        <w:r w:rsidR="00EA04C7">
          <w:rPr>
            <w:noProof/>
            <w:webHidden/>
          </w:rPr>
          <w:fldChar w:fldCharType="end"/>
        </w:r>
      </w:hyperlink>
    </w:p>
    <w:p w14:paraId="79BF0B38" w14:textId="3B2242F8" w:rsidR="00EA04C7" w:rsidRDefault="003F39AB">
      <w:pPr>
        <w:pStyle w:val="TOC3"/>
        <w:rPr>
          <w:rFonts w:asciiTheme="minorHAnsi" w:eastAsiaTheme="minorEastAsia" w:hAnsiTheme="minorHAnsi" w:cstheme="minorBidi"/>
          <w:noProof/>
          <w:sz w:val="22"/>
          <w:szCs w:val="22"/>
          <w:lang w:eastAsia="en-NZ"/>
        </w:rPr>
      </w:pPr>
      <w:hyperlink w:anchor="_Toc64536270" w:history="1">
        <w:r w:rsidR="00EA04C7" w:rsidRPr="00D0580A">
          <w:rPr>
            <w:rStyle w:val="Hyperlink"/>
            <w:noProof/>
          </w:rPr>
          <w:t>Figure 13: Primary measures of child poverty, by ethnic group, 2018/19</w:t>
        </w:r>
        <w:r w:rsidR="00EA04C7">
          <w:rPr>
            <w:noProof/>
            <w:webHidden/>
          </w:rPr>
          <w:tab/>
        </w:r>
        <w:r w:rsidR="00EA04C7">
          <w:rPr>
            <w:noProof/>
            <w:webHidden/>
          </w:rPr>
          <w:fldChar w:fldCharType="begin"/>
        </w:r>
        <w:r w:rsidR="00EA04C7">
          <w:rPr>
            <w:noProof/>
            <w:webHidden/>
          </w:rPr>
          <w:instrText xml:space="preserve"> PAGEREF _Toc64536270 \h </w:instrText>
        </w:r>
        <w:r w:rsidR="00EA04C7">
          <w:rPr>
            <w:noProof/>
            <w:webHidden/>
          </w:rPr>
        </w:r>
        <w:r w:rsidR="00EA04C7">
          <w:rPr>
            <w:noProof/>
            <w:webHidden/>
          </w:rPr>
          <w:fldChar w:fldCharType="separate"/>
        </w:r>
        <w:r>
          <w:rPr>
            <w:noProof/>
            <w:webHidden/>
          </w:rPr>
          <w:t>32</w:t>
        </w:r>
        <w:r w:rsidR="00EA04C7">
          <w:rPr>
            <w:noProof/>
            <w:webHidden/>
          </w:rPr>
          <w:fldChar w:fldCharType="end"/>
        </w:r>
      </w:hyperlink>
    </w:p>
    <w:p w14:paraId="311E6605" w14:textId="5FFD4507" w:rsidR="00EA04C7" w:rsidRDefault="003F39AB">
      <w:pPr>
        <w:pStyle w:val="TOC3"/>
        <w:rPr>
          <w:rFonts w:asciiTheme="minorHAnsi" w:eastAsiaTheme="minorEastAsia" w:hAnsiTheme="minorHAnsi" w:cstheme="minorBidi"/>
          <w:noProof/>
          <w:sz w:val="22"/>
          <w:szCs w:val="22"/>
          <w:lang w:eastAsia="en-NZ"/>
        </w:rPr>
      </w:pPr>
      <w:hyperlink w:anchor="_Toc64536271" w:history="1">
        <w:r w:rsidR="00EA04C7" w:rsidRPr="00D0580A">
          <w:rPr>
            <w:rStyle w:val="Hyperlink"/>
            <w:noProof/>
          </w:rPr>
          <w:t>Figure 14: Housing dampness, by household tenure, 2018</w:t>
        </w:r>
        <w:r w:rsidR="00EA04C7">
          <w:rPr>
            <w:noProof/>
            <w:webHidden/>
          </w:rPr>
          <w:tab/>
        </w:r>
        <w:r w:rsidR="00EA04C7">
          <w:rPr>
            <w:noProof/>
            <w:webHidden/>
          </w:rPr>
          <w:fldChar w:fldCharType="begin"/>
        </w:r>
        <w:r w:rsidR="00EA04C7">
          <w:rPr>
            <w:noProof/>
            <w:webHidden/>
          </w:rPr>
          <w:instrText xml:space="preserve"> PAGEREF _Toc64536271 \h </w:instrText>
        </w:r>
        <w:r w:rsidR="00EA04C7">
          <w:rPr>
            <w:noProof/>
            <w:webHidden/>
          </w:rPr>
        </w:r>
        <w:r w:rsidR="00EA04C7">
          <w:rPr>
            <w:noProof/>
            <w:webHidden/>
          </w:rPr>
          <w:fldChar w:fldCharType="separate"/>
        </w:r>
        <w:r>
          <w:rPr>
            <w:noProof/>
            <w:webHidden/>
          </w:rPr>
          <w:t>33</w:t>
        </w:r>
        <w:r w:rsidR="00EA04C7">
          <w:rPr>
            <w:noProof/>
            <w:webHidden/>
          </w:rPr>
          <w:fldChar w:fldCharType="end"/>
        </w:r>
      </w:hyperlink>
    </w:p>
    <w:p w14:paraId="763C9F43" w14:textId="57A49368" w:rsidR="00EA04C7" w:rsidRDefault="003F39AB">
      <w:pPr>
        <w:pStyle w:val="TOC3"/>
        <w:rPr>
          <w:rFonts w:asciiTheme="minorHAnsi" w:eastAsiaTheme="minorEastAsia" w:hAnsiTheme="minorHAnsi" w:cstheme="minorBidi"/>
          <w:noProof/>
          <w:sz w:val="22"/>
          <w:szCs w:val="22"/>
          <w:lang w:eastAsia="en-NZ"/>
        </w:rPr>
      </w:pPr>
      <w:hyperlink w:anchor="_Toc64536272" w:history="1">
        <w:r w:rsidR="00EA04C7" w:rsidRPr="00D0580A">
          <w:rPr>
            <w:rStyle w:val="Hyperlink"/>
            <w:noProof/>
          </w:rPr>
          <w:t>Figure 15: Prevalence of current smoking, by age group, 2011/12 and 2018/19</w:t>
        </w:r>
        <w:r w:rsidR="00EA04C7">
          <w:rPr>
            <w:noProof/>
            <w:webHidden/>
          </w:rPr>
          <w:tab/>
        </w:r>
        <w:r w:rsidR="00EA04C7">
          <w:rPr>
            <w:noProof/>
            <w:webHidden/>
          </w:rPr>
          <w:fldChar w:fldCharType="begin"/>
        </w:r>
        <w:r w:rsidR="00EA04C7">
          <w:rPr>
            <w:noProof/>
            <w:webHidden/>
          </w:rPr>
          <w:instrText xml:space="preserve"> PAGEREF _Toc64536272 \h </w:instrText>
        </w:r>
        <w:r w:rsidR="00EA04C7">
          <w:rPr>
            <w:noProof/>
            <w:webHidden/>
          </w:rPr>
        </w:r>
        <w:r w:rsidR="00EA04C7">
          <w:rPr>
            <w:noProof/>
            <w:webHidden/>
          </w:rPr>
          <w:fldChar w:fldCharType="separate"/>
        </w:r>
        <w:r>
          <w:rPr>
            <w:noProof/>
            <w:webHidden/>
          </w:rPr>
          <w:t>36</w:t>
        </w:r>
        <w:r w:rsidR="00EA04C7">
          <w:rPr>
            <w:noProof/>
            <w:webHidden/>
          </w:rPr>
          <w:fldChar w:fldCharType="end"/>
        </w:r>
      </w:hyperlink>
    </w:p>
    <w:p w14:paraId="0EB6B831" w14:textId="2AF0A097" w:rsidR="00EA04C7" w:rsidRDefault="003F39AB">
      <w:pPr>
        <w:pStyle w:val="TOC3"/>
        <w:rPr>
          <w:rFonts w:asciiTheme="minorHAnsi" w:eastAsiaTheme="minorEastAsia" w:hAnsiTheme="minorHAnsi" w:cstheme="minorBidi"/>
          <w:noProof/>
          <w:sz w:val="22"/>
          <w:szCs w:val="22"/>
          <w:lang w:eastAsia="en-NZ"/>
        </w:rPr>
      </w:pPr>
      <w:hyperlink w:anchor="_Toc64536273" w:history="1">
        <w:r w:rsidR="00EA04C7" w:rsidRPr="00D0580A">
          <w:rPr>
            <w:rStyle w:val="Hyperlink"/>
            <w:noProof/>
          </w:rPr>
          <w:t>Figure 16: Prevalence of current smoking, by neighbourhood deprivation and gender, 2018/19</w:t>
        </w:r>
        <w:r w:rsidR="00EA04C7">
          <w:rPr>
            <w:noProof/>
            <w:webHidden/>
          </w:rPr>
          <w:tab/>
        </w:r>
        <w:r w:rsidR="00EA04C7">
          <w:rPr>
            <w:noProof/>
            <w:webHidden/>
          </w:rPr>
          <w:fldChar w:fldCharType="begin"/>
        </w:r>
        <w:r w:rsidR="00EA04C7">
          <w:rPr>
            <w:noProof/>
            <w:webHidden/>
          </w:rPr>
          <w:instrText xml:space="preserve"> PAGEREF _Toc64536273 \h </w:instrText>
        </w:r>
        <w:r w:rsidR="00EA04C7">
          <w:rPr>
            <w:noProof/>
            <w:webHidden/>
          </w:rPr>
        </w:r>
        <w:r w:rsidR="00EA04C7">
          <w:rPr>
            <w:noProof/>
            <w:webHidden/>
          </w:rPr>
          <w:fldChar w:fldCharType="separate"/>
        </w:r>
        <w:r>
          <w:rPr>
            <w:noProof/>
            <w:webHidden/>
          </w:rPr>
          <w:t>37</w:t>
        </w:r>
        <w:r w:rsidR="00EA04C7">
          <w:rPr>
            <w:noProof/>
            <w:webHidden/>
          </w:rPr>
          <w:fldChar w:fldCharType="end"/>
        </w:r>
      </w:hyperlink>
    </w:p>
    <w:p w14:paraId="12C4E42E" w14:textId="760C892A" w:rsidR="00EA04C7" w:rsidRDefault="003F39AB">
      <w:pPr>
        <w:pStyle w:val="TOC3"/>
        <w:rPr>
          <w:rFonts w:asciiTheme="minorHAnsi" w:eastAsiaTheme="minorEastAsia" w:hAnsiTheme="minorHAnsi" w:cstheme="minorBidi"/>
          <w:noProof/>
          <w:sz w:val="22"/>
          <w:szCs w:val="22"/>
          <w:lang w:eastAsia="en-NZ"/>
        </w:rPr>
      </w:pPr>
      <w:hyperlink w:anchor="_Toc64536274" w:history="1">
        <w:r w:rsidR="00EA04C7" w:rsidRPr="00D0580A">
          <w:rPr>
            <w:rStyle w:val="Hyperlink"/>
            <w:noProof/>
          </w:rPr>
          <w:t>Figure 17: Prevalence of hazardous drinking, by age group and gender, 2018/19</w:t>
        </w:r>
        <w:r w:rsidR="00EA04C7">
          <w:rPr>
            <w:noProof/>
            <w:webHidden/>
          </w:rPr>
          <w:tab/>
        </w:r>
        <w:r w:rsidR="00EA04C7">
          <w:rPr>
            <w:noProof/>
            <w:webHidden/>
          </w:rPr>
          <w:fldChar w:fldCharType="begin"/>
        </w:r>
        <w:r w:rsidR="00EA04C7">
          <w:rPr>
            <w:noProof/>
            <w:webHidden/>
          </w:rPr>
          <w:instrText xml:space="preserve"> PAGEREF _Toc64536274 \h </w:instrText>
        </w:r>
        <w:r w:rsidR="00EA04C7">
          <w:rPr>
            <w:noProof/>
            <w:webHidden/>
          </w:rPr>
        </w:r>
        <w:r w:rsidR="00EA04C7">
          <w:rPr>
            <w:noProof/>
            <w:webHidden/>
          </w:rPr>
          <w:fldChar w:fldCharType="separate"/>
        </w:r>
        <w:r>
          <w:rPr>
            <w:noProof/>
            <w:webHidden/>
          </w:rPr>
          <w:t>38</w:t>
        </w:r>
        <w:r w:rsidR="00EA04C7">
          <w:rPr>
            <w:noProof/>
            <w:webHidden/>
          </w:rPr>
          <w:fldChar w:fldCharType="end"/>
        </w:r>
      </w:hyperlink>
    </w:p>
    <w:p w14:paraId="26726AEA" w14:textId="740BE9F5" w:rsidR="00EA04C7" w:rsidRDefault="003F39AB">
      <w:pPr>
        <w:pStyle w:val="TOC3"/>
        <w:rPr>
          <w:rFonts w:asciiTheme="minorHAnsi" w:eastAsiaTheme="minorEastAsia" w:hAnsiTheme="minorHAnsi" w:cstheme="minorBidi"/>
          <w:noProof/>
          <w:sz w:val="22"/>
          <w:szCs w:val="22"/>
          <w:lang w:eastAsia="en-NZ"/>
        </w:rPr>
      </w:pPr>
      <w:hyperlink w:anchor="_Toc64536275" w:history="1">
        <w:r w:rsidR="00EA04C7" w:rsidRPr="00D0580A">
          <w:rPr>
            <w:rStyle w:val="Hyperlink"/>
            <w:noProof/>
          </w:rPr>
          <w:t>Figure 18: Prevalence of obesity, by age group, 2011/12 and 2018/19</w:t>
        </w:r>
        <w:r w:rsidR="00EA04C7">
          <w:rPr>
            <w:noProof/>
            <w:webHidden/>
          </w:rPr>
          <w:tab/>
        </w:r>
        <w:r w:rsidR="00EA04C7">
          <w:rPr>
            <w:noProof/>
            <w:webHidden/>
          </w:rPr>
          <w:fldChar w:fldCharType="begin"/>
        </w:r>
        <w:r w:rsidR="00EA04C7">
          <w:rPr>
            <w:noProof/>
            <w:webHidden/>
          </w:rPr>
          <w:instrText xml:space="preserve"> PAGEREF _Toc64536275 \h </w:instrText>
        </w:r>
        <w:r w:rsidR="00EA04C7">
          <w:rPr>
            <w:noProof/>
            <w:webHidden/>
          </w:rPr>
        </w:r>
        <w:r w:rsidR="00EA04C7">
          <w:rPr>
            <w:noProof/>
            <w:webHidden/>
          </w:rPr>
          <w:fldChar w:fldCharType="separate"/>
        </w:r>
        <w:r>
          <w:rPr>
            <w:noProof/>
            <w:webHidden/>
          </w:rPr>
          <w:t>42</w:t>
        </w:r>
        <w:r w:rsidR="00EA04C7">
          <w:rPr>
            <w:noProof/>
            <w:webHidden/>
          </w:rPr>
          <w:fldChar w:fldCharType="end"/>
        </w:r>
      </w:hyperlink>
    </w:p>
    <w:p w14:paraId="0E7C6150" w14:textId="1DF7C035" w:rsidR="00EA04C7" w:rsidRDefault="003F39AB">
      <w:pPr>
        <w:pStyle w:val="TOC3"/>
        <w:rPr>
          <w:rFonts w:asciiTheme="minorHAnsi" w:eastAsiaTheme="minorEastAsia" w:hAnsiTheme="minorHAnsi" w:cstheme="minorBidi"/>
          <w:noProof/>
          <w:sz w:val="22"/>
          <w:szCs w:val="22"/>
          <w:lang w:eastAsia="en-NZ"/>
        </w:rPr>
      </w:pPr>
      <w:hyperlink w:anchor="_Toc64536276" w:history="1">
        <w:r w:rsidR="00EA04C7" w:rsidRPr="00D0580A">
          <w:rPr>
            <w:rStyle w:val="Hyperlink"/>
            <w:noProof/>
          </w:rPr>
          <w:t>Figure 19: Prevalence of raised blood pressure, by age group and gender, 2018/19</w:t>
        </w:r>
        <w:r w:rsidR="00EA04C7">
          <w:rPr>
            <w:noProof/>
            <w:webHidden/>
          </w:rPr>
          <w:tab/>
        </w:r>
        <w:r w:rsidR="00EA04C7">
          <w:rPr>
            <w:noProof/>
            <w:webHidden/>
          </w:rPr>
          <w:fldChar w:fldCharType="begin"/>
        </w:r>
        <w:r w:rsidR="00EA04C7">
          <w:rPr>
            <w:noProof/>
            <w:webHidden/>
          </w:rPr>
          <w:instrText xml:space="preserve"> PAGEREF _Toc64536276 \h </w:instrText>
        </w:r>
        <w:r w:rsidR="00EA04C7">
          <w:rPr>
            <w:noProof/>
            <w:webHidden/>
          </w:rPr>
        </w:r>
        <w:r w:rsidR="00EA04C7">
          <w:rPr>
            <w:noProof/>
            <w:webHidden/>
          </w:rPr>
          <w:fldChar w:fldCharType="separate"/>
        </w:r>
        <w:r>
          <w:rPr>
            <w:noProof/>
            <w:webHidden/>
          </w:rPr>
          <w:t>43</w:t>
        </w:r>
        <w:r w:rsidR="00EA04C7">
          <w:rPr>
            <w:noProof/>
            <w:webHidden/>
          </w:rPr>
          <w:fldChar w:fldCharType="end"/>
        </w:r>
      </w:hyperlink>
    </w:p>
    <w:p w14:paraId="54ADE66B" w14:textId="32434BBC" w:rsidR="00EA04C7" w:rsidRDefault="003F39AB">
      <w:pPr>
        <w:pStyle w:val="TOC3"/>
        <w:rPr>
          <w:rFonts w:asciiTheme="minorHAnsi" w:eastAsiaTheme="minorEastAsia" w:hAnsiTheme="minorHAnsi" w:cstheme="minorBidi"/>
          <w:noProof/>
          <w:sz w:val="22"/>
          <w:szCs w:val="22"/>
          <w:lang w:eastAsia="en-NZ"/>
        </w:rPr>
      </w:pPr>
      <w:hyperlink w:anchor="_Toc64536277" w:history="1">
        <w:r w:rsidR="00EA04C7" w:rsidRPr="00D0580A">
          <w:rPr>
            <w:rStyle w:val="Hyperlink"/>
            <w:noProof/>
          </w:rPr>
          <w:t>Figure 20: Immunisation rates at eight months of age, by ethnic group, 2016 to 2019</w:t>
        </w:r>
        <w:r w:rsidR="00EA04C7">
          <w:rPr>
            <w:noProof/>
            <w:webHidden/>
          </w:rPr>
          <w:tab/>
        </w:r>
        <w:r w:rsidR="00EA04C7">
          <w:rPr>
            <w:noProof/>
            <w:webHidden/>
          </w:rPr>
          <w:fldChar w:fldCharType="begin"/>
        </w:r>
        <w:r w:rsidR="00EA04C7">
          <w:rPr>
            <w:noProof/>
            <w:webHidden/>
          </w:rPr>
          <w:instrText xml:space="preserve"> PAGEREF _Toc64536277 \h </w:instrText>
        </w:r>
        <w:r w:rsidR="00EA04C7">
          <w:rPr>
            <w:noProof/>
            <w:webHidden/>
          </w:rPr>
        </w:r>
        <w:r w:rsidR="00EA04C7">
          <w:rPr>
            <w:noProof/>
            <w:webHidden/>
          </w:rPr>
          <w:fldChar w:fldCharType="separate"/>
        </w:r>
        <w:r>
          <w:rPr>
            <w:noProof/>
            <w:webHidden/>
          </w:rPr>
          <w:t>45</w:t>
        </w:r>
        <w:r w:rsidR="00EA04C7">
          <w:rPr>
            <w:noProof/>
            <w:webHidden/>
          </w:rPr>
          <w:fldChar w:fldCharType="end"/>
        </w:r>
      </w:hyperlink>
    </w:p>
    <w:p w14:paraId="2E6D8518" w14:textId="2A9EFB0D" w:rsidR="00EA04C7" w:rsidRDefault="003F39AB">
      <w:pPr>
        <w:pStyle w:val="TOC3"/>
        <w:rPr>
          <w:rFonts w:asciiTheme="minorHAnsi" w:eastAsiaTheme="minorEastAsia" w:hAnsiTheme="minorHAnsi" w:cstheme="minorBidi"/>
          <w:noProof/>
          <w:sz w:val="22"/>
          <w:szCs w:val="22"/>
          <w:lang w:eastAsia="en-NZ"/>
        </w:rPr>
      </w:pPr>
      <w:hyperlink w:anchor="_Toc64536278" w:history="1">
        <w:r w:rsidR="00EA04C7" w:rsidRPr="00D0580A">
          <w:rPr>
            <w:rStyle w:val="Hyperlink"/>
            <w:noProof/>
          </w:rPr>
          <w:t>Figure 21: Immunisation rates at five years of age, by ethnic group, 2016 to 2019</w:t>
        </w:r>
        <w:r w:rsidR="00EA04C7">
          <w:rPr>
            <w:noProof/>
            <w:webHidden/>
          </w:rPr>
          <w:tab/>
        </w:r>
        <w:r w:rsidR="00EA04C7">
          <w:rPr>
            <w:noProof/>
            <w:webHidden/>
          </w:rPr>
          <w:fldChar w:fldCharType="begin"/>
        </w:r>
        <w:r w:rsidR="00EA04C7">
          <w:rPr>
            <w:noProof/>
            <w:webHidden/>
          </w:rPr>
          <w:instrText xml:space="preserve"> PAGEREF _Toc64536278 \h </w:instrText>
        </w:r>
        <w:r w:rsidR="00EA04C7">
          <w:rPr>
            <w:noProof/>
            <w:webHidden/>
          </w:rPr>
        </w:r>
        <w:r w:rsidR="00EA04C7">
          <w:rPr>
            <w:noProof/>
            <w:webHidden/>
          </w:rPr>
          <w:fldChar w:fldCharType="separate"/>
        </w:r>
        <w:r>
          <w:rPr>
            <w:noProof/>
            <w:webHidden/>
          </w:rPr>
          <w:t>46</w:t>
        </w:r>
        <w:r w:rsidR="00EA04C7">
          <w:rPr>
            <w:noProof/>
            <w:webHidden/>
          </w:rPr>
          <w:fldChar w:fldCharType="end"/>
        </w:r>
      </w:hyperlink>
    </w:p>
    <w:p w14:paraId="3A97A49D" w14:textId="3B574738" w:rsidR="00EA04C7" w:rsidRDefault="003F39AB">
      <w:pPr>
        <w:pStyle w:val="TOC3"/>
        <w:rPr>
          <w:rFonts w:asciiTheme="minorHAnsi" w:eastAsiaTheme="minorEastAsia" w:hAnsiTheme="minorHAnsi" w:cstheme="minorBidi"/>
          <w:noProof/>
          <w:sz w:val="22"/>
          <w:szCs w:val="22"/>
          <w:lang w:eastAsia="en-NZ"/>
        </w:rPr>
      </w:pPr>
      <w:hyperlink w:anchor="_Toc64536279" w:history="1">
        <w:r w:rsidR="00EA04C7" w:rsidRPr="00D0580A">
          <w:rPr>
            <w:rStyle w:val="Hyperlink"/>
            <w:noProof/>
          </w:rPr>
          <w:t>Figure 22: Breast cancer screening rates among women aged 50–69 years, by ethnic group, 2015 to 2019</w:t>
        </w:r>
        <w:r w:rsidR="00EA04C7">
          <w:rPr>
            <w:noProof/>
            <w:webHidden/>
          </w:rPr>
          <w:tab/>
        </w:r>
        <w:r w:rsidR="00EA04C7">
          <w:rPr>
            <w:noProof/>
            <w:webHidden/>
          </w:rPr>
          <w:fldChar w:fldCharType="begin"/>
        </w:r>
        <w:r w:rsidR="00EA04C7">
          <w:rPr>
            <w:noProof/>
            <w:webHidden/>
          </w:rPr>
          <w:instrText xml:space="preserve"> PAGEREF _Toc64536279 \h </w:instrText>
        </w:r>
        <w:r w:rsidR="00EA04C7">
          <w:rPr>
            <w:noProof/>
            <w:webHidden/>
          </w:rPr>
        </w:r>
        <w:r w:rsidR="00EA04C7">
          <w:rPr>
            <w:noProof/>
            <w:webHidden/>
          </w:rPr>
          <w:fldChar w:fldCharType="separate"/>
        </w:r>
        <w:r>
          <w:rPr>
            <w:noProof/>
            <w:webHidden/>
          </w:rPr>
          <w:t>47</w:t>
        </w:r>
        <w:r w:rsidR="00EA04C7">
          <w:rPr>
            <w:noProof/>
            <w:webHidden/>
          </w:rPr>
          <w:fldChar w:fldCharType="end"/>
        </w:r>
      </w:hyperlink>
    </w:p>
    <w:p w14:paraId="6692EC08" w14:textId="19B778D3" w:rsidR="00EA04C7" w:rsidRDefault="003F39AB">
      <w:pPr>
        <w:pStyle w:val="TOC3"/>
        <w:rPr>
          <w:rFonts w:asciiTheme="minorHAnsi" w:eastAsiaTheme="minorEastAsia" w:hAnsiTheme="minorHAnsi" w:cstheme="minorBidi"/>
          <w:noProof/>
          <w:sz w:val="22"/>
          <w:szCs w:val="22"/>
          <w:lang w:eastAsia="en-NZ"/>
        </w:rPr>
      </w:pPr>
      <w:hyperlink w:anchor="_Toc64536280" w:history="1">
        <w:r w:rsidR="00EA04C7" w:rsidRPr="00D0580A">
          <w:rPr>
            <w:rStyle w:val="Hyperlink"/>
            <w:noProof/>
          </w:rPr>
          <w:t>Figure 23: Cervical cancer screening rates among women aged 25–69 years, by ethnic group, 2015 to 2019</w:t>
        </w:r>
        <w:r w:rsidR="00EA04C7">
          <w:rPr>
            <w:noProof/>
            <w:webHidden/>
          </w:rPr>
          <w:tab/>
        </w:r>
        <w:r w:rsidR="00EA04C7">
          <w:rPr>
            <w:noProof/>
            <w:webHidden/>
          </w:rPr>
          <w:fldChar w:fldCharType="begin"/>
        </w:r>
        <w:r w:rsidR="00EA04C7">
          <w:rPr>
            <w:noProof/>
            <w:webHidden/>
          </w:rPr>
          <w:instrText xml:space="preserve"> PAGEREF _Toc64536280 \h </w:instrText>
        </w:r>
        <w:r w:rsidR="00EA04C7">
          <w:rPr>
            <w:noProof/>
            <w:webHidden/>
          </w:rPr>
        </w:r>
        <w:r w:rsidR="00EA04C7">
          <w:rPr>
            <w:noProof/>
            <w:webHidden/>
          </w:rPr>
          <w:fldChar w:fldCharType="separate"/>
        </w:r>
        <w:r>
          <w:rPr>
            <w:noProof/>
            <w:webHidden/>
          </w:rPr>
          <w:t>48</w:t>
        </w:r>
        <w:r w:rsidR="00EA04C7">
          <w:rPr>
            <w:noProof/>
            <w:webHidden/>
          </w:rPr>
          <w:fldChar w:fldCharType="end"/>
        </w:r>
      </w:hyperlink>
    </w:p>
    <w:p w14:paraId="2D75D64F" w14:textId="3E4CBF82" w:rsidR="00EA04C7" w:rsidRDefault="003F39AB">
      <w:pPr>
        <w:pStyle w:val="TOC3"/>
        <w:rPr>
          <w:rFonts w:asciiTheme="minorHAnsi" w:eastAsiaTheme="minorEastAsia" w:hAnsiTheme="minorHAnsi" w:cstheme="minorBidi"/>
          <w:noProof/>
          <w:sz w:val="22"/>
          <w:szCs w:val="22"/>
          <w:lang w:eastAsia="en-NZ"/>
        </w:rPr>
      </w:pPr>
      <w:hyperlink w:anchor="_Toc64536281" w:history="1">
        <w:r w:rsidR="00EA04C7" w:rsidRPr="00D0580A">
          <w:rPr>
            <w:rStyle w:val="Hyperlink"/>
            <w:noProof/>
          </w:rPr>
          <w:t>Figure 24: ASH rates for children aged 0–4 years, by ethnic group, 2016 to 2019</w:t>
        </w:r>
        <w:r w:rsidR="00EA04C7">
          <w:rPr>
            <w:noProof/>
            <w:webHidden/>
          </w:rPr>
          <w:tab/>
        </w:r>
        <w:r w:rsidR="00EA04C7">
          <w:rPr>
            <w:noProof/>
            <w:webHidden/>
          </w:rPr>
          <w:fldChar w:fldCharType="begin"/>
        </w:r>
        <w:r w:rsidR="00EA04C7">
          <w:rPr>
            <w:noProof/>
            <w:webHidden/>
          </w:rPr>
          <w:instrText xml:space="preserve"> PAGEREF _Toc64536281 \h </w:instrText>
        </w:r>
        <w:r w:rsidR="00EA04C7">
          <w:rPr>
            <w:noProof/>
            <w:webHidden/>
          </w:rPr>
        </w:r>
        <w:r w:rsidR="00EA04C7">
          <w:rPr>
            <w:noProof/>
            <w:webHidden/>
          </w:rPr>
          <w:fldChar w:fldCharType="separate"/>
        </w:r>
        <w:r>
          <w:rPr>
            <w:noProof/>
            <w:webHidden/>
          </w:rPr>
          <w:t>49</w:t>
        </w:r>
        <w:r w:rsidR="00EA04C7">
          <w:rPr>
            <w:noProof/>
            <w:webHidden/>
          </w:rPr>
          <w:fldChar w:fldCharType="end"/>
        </w:r>
      </w:hyperlink>
    </w:p>
    <w:p w14:paraId="1CAB61A7" w14:textId="5869020F" w:rsidR="00EA04C7" w:rsidRDefault="003F39AB">
      <w:pPr>
        <w:pStyle w:val="TOC3"/>
        <w:rPr>
          <w:rFonts w:asciiTheme="minorHAnsi" w:eastAsiaTheme="minorEastAsia" w:hAnsiTheme="minorHAnsi" w:cstheme="minorBidi"/>
          <w:noProof/>
          <w:sz w:val="22"/>
          <w:szCs w:val="22"/>
          <w:lang w:eastAsia="en-NZ"/>
        </w:rPr>
      </w:pPr>
      <w:hyperlink w:anchor="_Toc64536282" w:history="1">
        <w:r w:rsidR="00EA04C7" w:rsidRPr="00D0580A">
          <w:rPr>
            <w:rStyle w:val="Hyperlink"/>
            <w:noProof/>
          </w:rPr>
          <w:t>Figure 25: ASH rates for adults aged 45–64 years, by ethnic group, 2016 to 2019</w:t>
        </w:r>
        <w:r w:rsidR="00EA04C7">
          <w:rPr>
            <w:noProof/>
            <w:webHidden/>
          </w:rPr>
          <w:tab/>
        </w:r>
        <w:r w:rsidR="00EA04C7">
          <w:rPr>
            <w:noProof/>
            <w:webHidden/>
          </w:rPr>
          <w:fldChar w:fldCharType="begin"/>
        </w:r>
        <w:r w:rsidR="00EA04C7">
          <w:rPr>
            <w:noProof/>
            <w:webHidden/>
          </w:rPr>
          <w:instrText xml:space="preserve"> PAGEREF _Toc64536282 \h </w:instrText>
        </w:r>
        <w:r w:rsidR="00EA04C7">
          <w:rPr>
            <w:noProof/>
            <w:webHidden/>
          </w:rPr>
        </w:r>
        <w:r w:rsidR="00EA04C7">
          <w:rPr>
            <w:noProof/>
            <w:webHidden/>
          </w:rPr>
          <w:fldChar w:fldCharType="separate"/>
        </w:r>
        <w:r>
          <w:rPr>
            <w:noProof/>
            <w:webHidden/>
          </w:rPr>
          <w:t>49</w:t>
        </w:r>
        <w:r w:rsidR="00EA04C7">
          <w:rPr>
            <w:noProof/>
            <w:webHidden/>
          </w:rPr>
          <w:fldChar w:fldCharType="end"/>
        </w:r>
      </w:hyperlink>
    </w:p>
    <w:p w14:paraId="5A21291F" w14:textId="75CE0C0C" w:rsidR="0033448B" w:rsidRPr="000A0158" w:rsidRDefault="00EA04C7" w:rsidP="0033448B">
      <w:r>
        <w:fldChar w:fldCharType="end"/>
      </w:r>
    </w:p>
    <w:p w14:paraId="45337DF3" w14:textId="77777777" w:rsidR="003B3DA7" w:rsidRDefault="003B3DA7" w:rsidP="003B3DA7">
      <w:pPr>
        <w:pStyle w:val="TOC1"/>
        <w:keepNext/>
      </w:pPr>
      <w:r>
        <w:t>List of Tables</w:t>
      </w:r>
    </w:p>
    <w:p w14:paraId="3F0275ED" w14:textId="1F640AF5" w:rsidR="00EA04C7" w:rsidRDefault="00EA04C7">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64536283" w:history="1">
        <w:r w:rsidRPr="00DB0408">
          <w:rPr>
            <w:rStyle w:val="Hyperlink"/>
            <w:noProof/>
          </w:rPr>
          <w:t>Table 1: Estimated resident population, by ethnic group, June 2013 and June 2018</w:t>
        </w:r>
        <w:r>
          <w:rPr>
            <w:noProof/>
            <w:webHidden/>
          </w:rPr>
          <w:tab/>
        </w:r>
        <w:r>
          <w:rPr>
            <w:noProof/>
            <w:webHidden/>
          </w:rPr>
          <w:fldChar w:fldCharType="begin"/>
        </w:r>
        <w:r>
          <w:rPr>
            <w:noProof/>
            <w:webHidden/>
          </w:rPr>
          <w:instrText xml:space="preserve"> PAGEREF _Toc64536283 \h </w:instrText>
        </w:r>
        <w:r>
          <w:rPr>
            <w:noProof/>
            <w:webHidden/>
          </w:rPr>
        </w:r>
        <w:r>
          <w:rPr>
            <w:noProof/>
            <w:webHidden/>
          </w:rPr>
          <w:fldChar w:fldCharType="separate"/>
        </w:r>
        <w:r w:rsidR="003F39AB">
          <w:rPr>
            <w:noProof/>
            <w:webHidden/>
          </w:rPr>
          <w:t>4</w:t>
        </w:r>
        <w:r>
          <w:rPr>
            <w:noProof/>
            <w:webHidden/>
          </w:rPr>
          <w:fldChar w:fldCharType="end"/>
        </w:r>
      </w:hyperlink>
    </w:p>
    <w:p w14:paraId="5C72DB0A" w14:textId="4C1DD56E" w:rsidR="00EA04C7" w:rsidRDefault="003F39AB">
      <w:pPr>
        <w:pStyle w:val="TOC3"/>
        <w:rPr>
          <w:rFonts w:asciiTheme="minorHAnsi" w:eastAsiaTheme="minorEastAsia" w:hAnsiTheme="minorHAnsi" w:cstheme="minorBidi"/>
          <w:noProof/>
          <w:sz w:val="22"/>
          <w:szCs w:val="22"/>
          <w:lang w:eastAsia="en-NZ"/>
        </w:rPr>
      </w:pPr>
      <w:hyperlink w:anchor="_Toc64536284" w:history="1">
        <w:r w:rsidR="00EA04C7" w:rsidRPr="00DB0408">
          <w:rPr>
            <w:rStyle w:val="Hyperlink"/>
            <w:noProof/>
          </w:rPr>
          <w:t>Table 2: Life expectancy at birth (years), by sex, 1990 to 2019</w:t>
        </w:r>
        <w:r w:rsidR="00EA04C7">
          <w:rPr>
            <w:noProof/>
            <w:webHidden/>
          </w:rPr>
          <w:tab/>
        </w:r>
        <w:r w:rsidR="00EA04C7">
          <w:rPr>
            <w:noProof/>
            <w:webHidden/>
          </w:rPr>
          <w:fldChar w:fldCharType="begin"/>
        </w:r>
        <w:r w:rsidR="00EA04C7">
          <w:rPr>
            <w:noProof/>
            <w:webHidden/>
          </w:rPr>
          <w:instrText xml:space="preserve"> PAGEREF _Toc64536284 \h </w:instrText>
        </w:r>
        <w:r w:rsidR="00EA04C7">
          <w:rPr>
            <w:noProof/>
            <w:webHidden/>
          </w:rPr>
        </w:r>
        <w:r w:rsidR="00EA04C7">
          <w:rPr>
            <w:noProof/>
            <w:webHidden/>
          </w:rPr>
          <w:fldChar w:fldCharType="separate"/>
        </w:r>
        <w:r>
          <w:rPr>
            <w:noProof/>
            <w:webHidden/>
          </w:rPr>
          <w:t>8</w:t>
        </w:r>
        <w:r w:rsidR="00EA04C7">
          <w:rPr>
            <w:noProof/>
            <w:webHidden/>
          </w:rPr>
          <w:fldChar w:fldCharType="end"/>
        </w:r>
      </w:hyperlink>
    </w:p>
    <w:p w14:paraId="3D49F596" w14:textId="0221DF0A" w:rsidR="00EA04C7" w:rsidRDefault="003F39AB">
      <w:pPr>
        <w:pStyle w:val="TOC3"/>
        <w:rPr>
          <w:rFonts w:asciiTheme="minorHAnsi" w:eastAsiaTheme="minorEastAsia" w:hAnsiTheme="minorHAnsi" w:cstheme="minorBidi"/>
          <w:noProof/>
          <w:sz w:val="22"/>
          <w:szCs w:val="22"/>
          <w:lang w:eastAsia="en-NZ"/>
        </w:rPr>
      </w:pPr>
      <w:hyperlink w:anchor="_Toc64536285" w:history="1">
        <w:r w:rsidR="00EA04C7" w:rsidRPr="00DB0408">
          <w:rPr>
            <w:rStyle w:val="Hyperlink"/>
            <w:noProof/>
          </w:rPr>
          <w:t>Table 3: Health expectancy (years), by sex, 1990 to 2019</w:t>
        </w:r>
        <w:r w:rsidR="00EA04C7">
          <w:rPr>
            <w:noProof/>
            <w:webHidden/>
          </w:rPr>
          <w:tab/>
        </w:r>
        <w:r w:rsidR="00EA04C7">
          <w:rPr>
            <w:noProof/>
            <w:webHidden/>
          </w:rPr>
          <w:fldChar w:fldCharType="begin"/>
        </w:r>
        <w:r w:rsidR="00EA04C7">
          <w:rPr>
            <w:noProof/>
            <w:webHidden/>
          </w:rPr>
          <w:instrText xml:space="preserve"> PAGEREF _Toc64536285 \h </w:instrText>
        </w:r>
        <w:r w:rsidR="00EA04C7">
          <w:rPr>
            <w:noProof/>
            <w:webHidden/>
          </w:rPr>
        </w:r>
        <w:r w:rsidR="00EA04C7">
          <w:rPr>
            <w:noProof/>
            <w:webHidden/>
          </w:rPr>
          <w:fldChar w:fldCharType="separate"/>
        </w:r>
        <w:r>
          <w:rPr>
            <w:noProof/>
            <w:webHidden/>
          </w:rPr>
          <w:t>9</w:t>
        </w:r>
        <w:r w:rsidR="00EA04C7">
          <w:rPr>
            <w:noProof/>
            <w:webHidden/>
          </w:rPr>
          <w:fldChar w:fldCharType="end"/>
        </w:r>
      </w:hyperlink>
    </w:p>
    <w:p w14:paraId="595F44FF" w14:textId="1A0981B8" w:rsidR="00EA04C7" w:rsidRDefault="003F39AB">
      <w:pPr>
        <w:pStyle w:val="TOC3"/>
        <w:rPr>
          <w:rFonts w:asciiTheme="minorHAnsi" w:eastAsiaTheme="minorEastAsia" w:hAnsiTheme="minorHAnsi" w:cstheme="minorBidi"/>
          <w:noProof/>
          <w:sz w:val="22"/>
          <w:szCs w:val="22"/>
          <w:lang w:eastAsia="en-NZ"/>
        </w:rPr>
      </w:pPr>
      <w:hyperlink w:anchor="_Toc64536286" w:history="1">
        <w:r w:rsidR="00EA04C7" w:rsidRPr="00DB0408">
          <w:rPr>
            <w:rStyle w:val="Hyperlink"/>
            <w:noProof/>
          </w:rPr>
          <w:t>Table 4: Time spent in poor health (years), by sex, 1990 to 2019</w:t>
        </w:r>
        <w:r w:rsidR="00EA04C7">
          <w:rPr>
            <w:noProof/>
            <w:webHidden/>
          </w:rPr>
          <w:tab/>
        </w:r>
        <w:r w:rsidR="00EA04C7">
          <w:rPr>
            <w:noProof/>
            <w:webHidden/>
          </w:rPr>
          <w:fldChar w:fldCharType="begin"/>
        </w:r>
        <w:r w:rsidR="00EA04C7">
          <w:rPr>
            <w:noProof/>
            <w:webHidden/>
          </w:rPr>
          <w:instrText xml:space="preserve"> PAGEREF _Toc64536286 \h </w:instrText>
        </w:r>
        <w:r w:rsidR="00EA04C7">
          <w:rPr>
            <w:noProof/>
            <w:webHidden/>
          </w:rPr>
        </w:r>
        <w:r w:rsidR="00EA04C7">
          <w:rPr>
            <w:noProof/>
            <w:webHidden/>
          </w:rPr>
          <w:fldChar w:fldCharType="separate"/>
        </w:r>
        <w:r>
          <w:rPr>
            <w:noProof/>
            <w:webHidden/>
          </w:rPr>
          <w:t>9</w:t>
        </w:r>
        <w:r w:rsidR="00EA04C7">
          <w:rPr>
            <w:noProof/>
            <w:webHidden/>
          </w:rPr>
          <w:fldChar w:fldCharType="end"/>
        </w:r>
      </w:hyperlink>
    </w:p>
    <w:p w14:paraId="36E6CBBF" w14:textId="2A94F2A6" w:rsidR="00EA04C7" w:rsidRDefault="003F39AB">
      <w:pPr>
        <w:pStyle w:val="TOC3"/>
        <w:rPr>
          <w:rFonts w:asciiTheme="minorHAnsi" w:eastAsiaTheme="minorEastAsia" w:hAnsiTheme="minorHAnsi" w:cstheme="minorBidi"/>
          <w:noProof/>
          <w:sz w:val="22"/>
          <w:szCs w:val="22"/>
          <w:lang w:eastAsia="en-NZ"/>
        </w:rPr>
      </w:pPr>
      <w:hyperlink w:anchor="_Toc64536287" w:history="1">
        <w:r w:rsidR="00EA04C7" w:rsidRPr="00DB0408">
          <w:rPr>
            <w:rStyle w:val="Hyperlink"/>
            <w:noProof/>
          </w:rPr>
          <w:t>Table 5: Life expectancy at birth, by ethnic group and sex, 2013 to 2016</w:t>
        </w:r>
        <w:r w:rsidR="00EA04C7">
          <w:rPr>
            <w:noProof/>
            <w:webHidden/>
          </w:rPr>
          <w:tab/>
        </w:r>
        <w:r w:rsidR="00EA04C7">
          <w:rPr>
            <w:noProof/>
            <w:webHidden/>
          </w:rPr>
          <w:fldChar w:fldCharType="begin"/>
        </w:r>
        <w:r w:rsidR="00EA04C7">
          <w:rPr>
            <w:noProof/>
            <w:webHidden/>
          </w:rPr>
          <w:instrText xml:space="preserve"> PAGEREF _Toc64536287 \h </w:instrText>
        </w:r>
        <w:r w:rsidR="00EA04C7">
          <w:rPr>
            <w:noProof/>
            <w:webHidden/>
          </w:rPr>
        </w:r>
        <w:r w:rsidR="00EA04C7">
          <w:rPr>
            <w:noProof/>
            <w:webHidden/>
          </w:rPr>
          <w:fldChar w:fldCharType="separate"/>
        </w:r>
        <w:r>
          <w:rPr>
            <w:noProof/>
            <w:webHidden/>
          </w:rPr>
          <w:t>10</w:t>
        </w:r>
        <w:r w:rsidR="00EA04C7">
          <w:rPr>
            <w:noProof/>
            <w:webHidden/>
          </w:rPr>
          <w:fldChar w:fldCharType="end"/>
        </w:r>
      </w:hyperlink>
    </w:p>
    <w:p w14:paraId="4F232172" w14:textId="027B0E16" w:rsidR="00EA04C7" w:rsidRDefault="003F39AB">
      <w:pPr>
        <w:pStyle w:val="TOC3"/>
        <w:rPr>
          <w:rFonts w:asciiTheme="minorHAnsi" w:eastAsiaTheme="minorEastAsia" w:hAnsiTheme="minorHAnsi" w:cstheme="minorBidi"/>
          <w:noProof/>
          <w:sz w:val="22"/>
          <w:szCs w:val="22"/>
          <w:lang w:eastAsia="en-NZ"/>
        </w:rPr>
      </w:pPr>
      <w:hyperlink w:anchor="_Toc64536288" w:history="1">
        <w:r w:rsidR="00EA04C7" w:rsidRPr="00DB0408">
          <w:rPr>
            <w:rStyle w:val="Hyperlink"/>
            <w:noProof/>
          </w:rPr>
          <w:t>Table 6: Leading specific causes of health loss, 2019</w:t>
        </w:r>
        <w:r w:rsidR="00EA04C7">
          <w:rPr>
            <w:noProof/>
            <w:webHidden/>
          </w:rPr>
          <w:tab/>
        </w:r>
        <w:r w:rsidR="00EA04C7">
          <w:rPr>
            <w:noProof/>
            <w:webHidden/>
          </w:rPr>
          <w:fldChar w:fldCharType="begin"/>
        </w:r>
        <w:r w:rsidR="00EA04C7">
          <w:rPr>
            <w:noProof/>
            <w:webHidden/>
          </w:rPr>
          <w:instrText xml:space="preserve"> PAGEREF _Toc64536288 \h </w:instrText>
        </w:r>
        <w:r w:rsidR="00EA04C7">
          <w:rPr>
            <w:noProof/>
            <w:webHidden/>
          </w:rPr>
        </w:r>
        <w:r w:rsidR="00EA04C7">
          <w:rPr>
            <w:noProof/>
            <w:webHidden/>
          </w:rPr>
          <w:fldChar w:fldCharType="separate"/>
        </w:r>
        <w:r>
          <w:rPr>
            <w:noProof/>
            <w:webHidden/>
          </w:rPr>
          <w:t>12</w:t>
        </w:r>
        <w:r w:rsidR="00EA04C7">
          <w:rPr>
            <w:noProof/>
            <w:webHidden/>
          </w:rPr>
          <w:fldChar w:fldCharType="end"/>
        </w:r>
      </w:hyperlink>
    </w:p>
    <w:p w14:paraId="11C7020F" w14:textId="0E072AE9" w:rsidR="00EA04C7" w:rsidRDefault="003F39AB">
      <w:pPr>
        <w:pStyle w:val="TOC3"/>
        <w:rPr>
          <w:rFonts w:asciiTheme="minorHAnsi" w:eastAsiaTheme="minorEastAsia" w:hAnsiTheme="minorHAnsi" w:cstheme="minorBidi"/>
          <w:noProof/>
          <w:sz w:val="22"/>
          <w:szCs w:val="22"/>
          <w:lang w:eastAsia="en-NZ"/>
        </w:rPr>
      </w:pPr>
      <w:hyperlink w:anchor="_Toc64536289" w:history="1">
        <w:r w:rsidR="00EA04C7" w:rsidRPr="00DB0408">
          <w:rPr>
            <w:rStyle w:val="Hyperlink"/>
            <w:noProof/>
          </w:rPr>
          <w:t>Table 7: Leading specific causes of morbidity, 2019</w:t>
        </w:r>
        <w:r w:rsidR="00EA04C7">
          <w:rPr>
            <w:noProof/>
            <w:webHidden/>
          </w:rPr>
          <w:tab/>
        </w:r>
        <w:r w:rsidR="00EA04C7">
          <w:rPr>
            <w:noProof/>
            <w:webHidden/>
          </w:rPr>
          <w:fldChar w:fldCharType="begin"/>
        </w:r>
        <w:r w:rsidR="00EA04C7">
          <w:rPr>
            <w:noProof/>
            <w:webHidden/>
          </w:rPr>
          <w:instrText xml:space="preserve"> PAGEREF _Toc64536289 \h </w:instrText>
        </w:r>
        <w:r w:rsidR="00EA04C7">
          <w:rPr>
            <w:noProof/>
            <w:webHidden/>
          </w:rPr>
        </w:r>
        <w:r w:rsidR="00EA04C7">
          <w:rPr>
            <w:noProof/>
            <w:webHidden/>
          </w:rPr>
          <w:fldChar w:fldCharType="separate"/>
        </w:r>
        <w:r>
          <w:rPr>
            <w:noProof/>
            <w:webHidden/>
          </w:rPr>
          <w:t>13</w:t>
        </w:r>
        <w:r w:rsidR="00EA04C7">
          <w:rPr>
            <w:noProof/>
            <w:webHidden/>
          </w:rPr>
          <w:fldChar w:fldCharType="end"/>
        </w:r>
      </w:hyperlink>
    </w:p>
    <w:p w14:paraId="1AA6C5A7" w14:textId="2F460484" w:rsidR="00EA04C7" w:rsidRDefault="003F39AB">
      <w:pPr>
        <w:pStyle w:val="TOC3"/>
        <w:rPr>
          <w:rFonts w:asciiTheme="minorHAnsi" w:eastAsiaTheme="minorEastAsia" w:hAnsiTheme="minorHAnsi" w:cstheme="minorBidi"/>
          <w:noProof/>
          <w:sz w:val="22"/>
          <w:szCs w:val="22"/>
          <w:lang w:eastAsia="en-NZ"/>
        </w:rPr>
      </w:pPr>
      <w:hyperlink w:anchor="_Toc64536290" w:history="1">
        <w:r w:rsidR="00EA04C7" w:rsidRPr="00DB0408">
          <w:rPr>
            <w:rStyle w:val="Hyperlink"/>
            <w:noProof/>
          </w:rPr>
          <w:t>Table 8: Leading specific causes of premature mortality, 2019</w:t>
        </w:r>
        <w:r w:rsidR="00EA04C7">
          <w:rPr>
            <w:noProof/>
            <w:webHidden/>
          </w:rPr>
          <w:tab/>
        </w:r>
        <w:r w:rsidR="00EA04C7">
          <w:rPr>
            <w:noProof/>
            <w:webHidden/>
          </w:rPr>
          <w:fldChar w:fldCharType="begin"/>
        </w:r>
        <w:r w:rsidR="00EA04C7">
          <w:rPr>
            <w:noProof/>
            <w:webHidden/>
          </w:rPr>
          <w:instrText xml:space="preserve"> PAGEREF _Toc64536290 \h </w:instrText>
        </w:r>
        <w:r w:rsidR="00EA04C7">
          <w:rPr>
            <w:noProof/>
            <w:webHidden/>
          </w:rPr>
        </w:r>
        <w:r w:rsidR="00EA04C7">
          <w:rPr>
            <w:noProof/>
            <w:webHidden/>
          </w:rPr>
          <w:fldChar w:fldCharType="separate"/>
        </w:r>
        <w:r>
          <w:rPr>
            <w:noProof/>
            <w:webHidden/>
          </w:rPr>
          <w:t>14</w:t>
        </w:r>
        <w:r w:rsidR="00EA04C7">
          <w:rPr>
            <w:noProof/>
            <w:webHidden/>
          </w:rPr>
          <w:fldChar w:fldCharType="end"/>
        </w:r>
      </w:hyperlink>
    </w:p>
    <w:p w14:paraId="0AF96718" w14:textId="14A2EEEB" w:rsidR="00EA04C7" w:rsidRDefault="003F39AB">
      <w:pPr>
        <w:pStyle w:val="TOC3"/>
        <w:rPr>
          <w:rFonts w:asciiTheme="minorHAnsi" w:eastAsiaTheme="minorEastAsia" w:hAnsiTheme="minorHAnsi" w:cstheme="minorBidi"/>
          <w:noProof/>
          <w:sz w:val="22"/>
          <w:szCs w:val="22"/>
          <w:lang w:eastAsia="en-NZ"/>
        </w:rPr>
      </w:pPr>
      <w:hyperlink w:anchor="_Toc64536291" w:history="1">
        <w:r w:rsidR="00EA04C7" w:rsidRPr="00DB0408">
          <w:rPr>
            <w:rStyle w:val="Hyperlink"/>
            <w:noProof/>
          </w:rPr>
          <w:t>Table 9: Cancer incidence and mortality rates, Māori and non-Māori, 2017</w:t>
        </w:r>
        <w:r w:rsidR="00EA04C7">
          <w:rPr>
            <w:noProof/>
            <w:webHidden/>
          </w:rPr>
          <w:tab/>
        </w:r>
        <w:r w:rsidR="00EA04C7">
          <w:rPr>
            <w:noProof/>
            <w:webHidden/>
          </w:rPr>
          <w:fldChar w:fldCharType="begin"/>
        </w:r>
        <w:r w:rsidR="00EA04C7">
          <w:rPr>
            <w:noProof/>
            <w:webHidden/>
          </w:rPr>
          <w:instrText xml:space="preserve"> PAGEREF _Toc64536291 \h </w:instrText>
        </w:r>
        <w:r w:rsidR="00EA04C7">
          <w:rPr>
            <w:noProof/>
            <w:webHidden/>
          </w:rPr>
        </w:r>
        <w:r w:rsidR="00EA04C7">
          <w:rPr>
            <w:noProof/>
            <w:webHidden/>
          </w:rPr>
          <w:fldChar w:fldCharType="separate"/>
        </w:r>
        <w:r>
          <w:rPr>
            <w:noProof/>
            <w:webHidden/>
          </w:rPr>
          <w:t>19</w:t>
        </w:r>
        <w:r w:rsidR="00EA04C7">
          <w:rPr>
            <w:noProof/>
            <w:webHidden/>
          </w:rPr>
          <w:fldChar w:fldCharType="end"/>
        </w:r>
      </w:hyperlink>
    </w:p>
    <w:p w14:paraId="1CF4CBE1" w14:textId="2983C487" w:rsidR="00EA04C7" w:rsidRDefault="003F39AB">
      <w:pPr>
        <w:pStyle w:val="TOC3"/>
        <w:rPr>
          <w:rFonts w:asciiTheme="minorHAnsi" w:eastAsiaTheme="minorEastAsia" w:hAnsiTheme="minorHAnsi" w:cstheme="minorBidi"/>
          <w:noProof/>
          <w:sz w:val="22"/>
          <w:szCs w:val="22"/>
          <w:lang w:eastAsia="en-NZ"/>
        </w:rPr>
      </w:pPr>
      <w:hyperlink w:anchor="_Toc64536292" w:history="1">
        <w:r w:rsidR="00EA04C7" w:rsidRPr="00DB0408">
          <w:rPr>
            <w:rStyle w:val="Hyperlink"/>
            <w:noProof/>
          </w:rPr>
          <w:t>Table 10: Proportion of people living in homes with damp and mould, by ethnic group, 2018</w:t>
        </w:r>
        <w:r w:rsidR="00EA04C7">
          <w:rPr>
            <w:noProof/>
            <w:webHidden/>
          </w:rPr>
          <w:tab/>
        </w:r>
        <w:r w:rsidR="00EA04C7">
          <w:rPr>
            <w:noProof/>
            <w:webHidden/>
          </w:rPr>
          <w:fldChar w:fldCharType="begin"/>
        </w:r>
        <w:r w:rsidR="00EA04C7">
          <w:rPr>
            <w:noProof/>
            <w:webHidden/>
          </w:rPr>
          <w:instrText xml:space="preserve"> PAGEREF _Toc64536292 \h </w:instrText>
        </w:r>
        <w:r w:rsidR="00EA04C7">
          <w:rPr>
            <w:noProof/>
            <w:webHidden/>
          </w:rPr>
        </w:r>
        <w:r w:rsidR="00EA04C7">
          <w:rPr>
            <w:noProof/>
            <w:webHidden/>
          </w:rPr>
          <w:fldChar w:fldCharType="separate"/>
        </w:r>
        <w:r>
          <w:rPr>
            <w:noProof/>
            <w:webHidden/>
          </w:rPr>
          <w:t>33</w:t>
        </w:r>
        <w:r w:rsidR="00EA04C7">
          <w:rPr>
            <w:noProof/>
            <w:webHidden/>
          </w:rPr>
          <w:fldChar w:fldCharType="end"/>
        </w:r>
      </w:hyperlink>
    </w:p>
    <w:p w14:paraId="763E2724" w14:textId="7BA73405" w:rsidR="00EA04C7" w:rsidRDefault="003F39AB">
      <w:pPr>
        <w:pStyle w:val="TOC3"/>
        <w:rPr>
          <w:rFonts w:asciiTheme="minorHAnsi" w:eastAsiaTheme="minorEastAsia" w:hAnsiTheme="minorHAnsi" w:cstheme="minorBidi"/>
          <w:noProof/>
          <w:sz w:val="22"/>
          <w:szCs w:val="22"/>
          <w:lang w:eastAsia="en-NZ"/>
        </w:rPr>
      </w:pPr>
      <w:hyperlink w:anchor="_Toc64536293" w:history="1">
        <w:r w:rsidR="00EA04C7" w:rsidRPr="00DB0408">
          <w:rPr>
            <w:rStyle w:val="Hyperlink"/>
            <w:noProof/>
          </w:rPr>
          <w:t>Table 11: Percentage of health loss (DALYs) due to leading risk factors, 1990 to 2019</w:t>
        </w:r>
        <w:r w:rsidR="00EA04C7">
          <w:rPr>
            <w:noProof/>
            <w:webHidden/>
          </w:rPr>
          <w:tab/>
        </w:r>
        <w:r w:rsidR="00EA04C7">
          <w:rPr>
            <w:noProof/>
            <w:webHidden/>
          </w:rPr>
          <w:fldChar w:fldCharType="begin"/>
        </w:r>
        <w:r w:rsidR="00EA04C7">
          <w:rPr>
            <w:noProof/>
            <w:webHidden/>
          </w:rPr>
          <w:instrText xml:space="preserve"> PAGEREF _Toc64536293 \h </w:instrText>
        </w:r>
        <w:r w:rsidR="00EA04C7">
          <w:rPr>
            <w:noProof/>
            <w:webHidden/>
          </w:rPr>
        </w:r>
        <w:r w:rsidR="00EA04C7">
          <w:rPr>
            <w:noProof/>
            <w:webHidden/>
          </w:rPr>
          <w:fldChar w:fldCharType="separate"/>
        </w:r>
        <w:r>
          <w:rPr>
            <w:noProof/>
            <w:webHidden/>
          </w:rPr>
          <w:t>35</w:t>
        </w:r>
        <w:r w:rsidR="00EA04C7">
          <w:rPr>
            <w:noProof/>
            <w:webHidden/>
          </w:rPr>
          <w:fldChar w:fldCharType="end"/>
        </w:r>
      </w:hyperlink>
    </w:p>
    <w:p w14:paraId="497076F4" w14:textId="4C7D4E0B" w:rsidR="00EA04C7" w:rsidRDefault="003F39AB">
      <w:pPr>
        <w:pStyle w:val="TOC3"/>
        <w:rPr>
          <w:rFonts w:asciiTheme="minorHAnsi" w:eastAsiaTheme="minorEastAsia" w:hAnsiTheme="minorHAnsi" w:cstheme="minorBidi"/>
          <w:noProof/>
          <w:sz w:val="22"/>
          <w:szCs w:val="22"/>
          <w:lang w:eastAsia="en-NZ"/>
        </w:rPr>
      </w:pPr>
      <w:hyperlink w:anchor="_Toc64536294" w:history="1">
        <w:r w:rsidR="00EA04C7" w:rsidRPr="00DB0408">
          <w:rPr>
            <w:rStyle w:val="Hyperlink"/>
            <w:noProof/>
          </w:rPr>
          <w:t>Table 12: Prevalence of current smoking, by ethnic group, 2011/12 and 2018/19</w:t>
        </w:r>
        <w:r w:rsidR="00EA04C7">
          <w:rPr>
            <w:noProof/>
            <w:webHidden/>
          </w:rPr>
          <w:tab/>
        </w:r>
        <w:r w:rsidR="00EA04C7">
          <w:rPr>
            <w:noProof/>
            <w:webHidden/>
          </w:rPr>
          <w:fldChar w:fldCharType="begin"/>
        </w:r>
        <w:r w:rsidR="00EA04C7">
          <w:rPr>
            <w:noProof/>
            <w:webHidden/>
          </w:rPr>
          <w:instrText xml:space="preserve"> PAGEREF _Toc64536294 \h </w:instrText>
        </w:r>
        <w:r w:rsidR="00EA04C7">
          <w:rPr>
            <w:noProof/>
            <w:webHidden/>
          </w:rPr>
        </w:r>
        <w:r w:rsidR="00EA04C7">
          <w:rPr>
            <w:noProof/>
            <w:webHidden/>
          </w:rPr>
          <w:fldChar w:fldCharType="separate"/>
        </w:r>
        <w:r>
          <w:rPr>
            <w:noProof/>
            <w:webHidden/>
          </w:rPr>
          <w:t>36</w:t>
        </w:r>
        <w:r w:rsidR="00EA04C7">
          <w:rPr>
            <w:noProof/>
            <w:webHidden/>
          </w:rPr>
          <w:fldChar w:fldCharType="end"/>
        </w:r>
      </w:hyperlink>
    </w:p>
    <w:p w14:paraId="7A90579D" w14:textId="5B2ECE4C" w:rsidR="00EA04C7" w:rsidRDefault="003F39AB">
      <w:pPr>
        <w:pStyle w:val="TOC3"/>
        <w:rPr>
          <w:rFonts w:asciiTheme="minorHAnsi" w:eastAsiaTheme="minorEastAsia" w:hAnsiTheme="minorHAnsi" w:cstheme="minorBidi"/>
          <w:noProof/>
          <w:sz w:val="22"/>
          <w:szCs w:val="22"/>
          <w:lang w:eastAsia="en-NZ"/>
        </w:rPr>
      </w:pPr>
      <w:hyperlink w:anchor="_Toc64536295" w:history="1">
        <w:r w:rsidR="00EA04C7" w:rsidRPr="00DB0408">
          <w:rPr>
            <w:rStyle w:val="Hyperlink"/>
            <w:noProof/>
          </w:rPr>
          <w:t>Table 13: Barriers to accessing health care, 2018/19</w:t>
        </w:r>
        <w:r w:rsidR="00EA04C7">
          <w:rPr>
            <w:noProof/>
            <w:webHidden/>
          </w:rPr>
          <w:tab/>
        </w:r>
        <w:r w:rsidR="00EA04C7">
          <w:rPr>
            <w:noProof/>
            <w:webHidden/>
          </w:rPr>
          <w:fldChar w:fldCharType="begin"/>
        </w:r>
        <w:r w:rsidR="00EA04C7">
          <w:rPr>
            <w:noProof/>
            <w:webHidden/>
          </w:rPr>
          <w:instrText xml:space="preserve"> PAGEREF _Toc64536295 \h </w:instrText>
        </w:r>
        <w:r w:rsidR="00EA04C7">
          <w:rPr>
            <w:noProof/>
            <w:webHidden/>
          </w:rPr>
        </w:r>
        <w:r w:rsidR="00EA04C7">
          <w:rPr>
            <w:noProof/>
            <w:webHidden/>
          </w:rPr>
          <w:fldChar w:fldCharType="separate"/>
        </w:r>
        <w:r>
          <w:rPr>
            <w:noProof/>
            <w:webHidden/>
          </w:rPr>
          <w:t>44</w:t>
        </w:r>
        <w:r w:rsidR="00EA04C7">
          <w:rPr>
            <w:noProof/>
            <w:webHidden/>
          </w:rPr>
          <w:fldChar w:fldCharType="end"/>
        </w:r>
      </w:hyperlink>
    </w:p>
    <w:p w14:paraId="41DB8C29" w14:textId="0E7E0E3C" w:rsidR="003B3DA7" w:rsidRDefault="00EA04C7" w:rsidP="003B3DA7">
      <w:r>
        <w:rPr>
          <w:sz w:val="20"/>
        </w:rPr>
        <w:fldChar w:fldCharType="end"/>
      </w:r>
    </w:p>
    <w:p w14:paraId="1E9CCF32" w14:textId="77777777" w:rsidR="00FB0A5B" w:rsidRDefault="00FB0A5B" w:rsidP="003A5FEA"/>
    <w:p w14:paraId="00C583E4" w14:textId="77777777" w:rsidR="001D3E4E" w:rsidRDefault="001D3E4E" w:rsidP="003A5FEA">
      <w:pPr>
        <w:sectPr w:rsidR="001D3E4E" w:rsidSect="00925892">
          <w:headerReference w:type="even" r:id="rId24"/>
          <w:headerReference w:type="default" r:id="rId25"/>
          <w:footerReference w:type="even" r:id="rId26"/>
          <w:footerReference w:type="default" r:id="rId27"/>
          <w:pgSz w:w="11907" w:h="16840" w:code="9"/>
          <w:pgMar w:top="1418" w:right="1701" w:bottom="1134" w:left="1843" w:header="284" w:footer="425" w:gutter="284"/>
          <w:pgNumType w:fmt="lowerRoman"/>
          <w:cols w:space="720"/>
        </w:sectPr>
      </w:pPr>
    </w:p>
    <w:p w14:paraId="34616352" w14:textId="77777777" w:rsidR="00A073CF" w:rsidRDefault="00A073CF" w:rsidP="00A073CF"/>
    <w:p w14:paraId="172C220D" w14:textId="77777777" w:rsidR="00A073CF" w:rsidRPr="00A073CF" w:rsidRDefault="00A073CF" w:rsidP="00A073CF">
      <w:pPr>
        <w:sectPr w:rsidR="00A073CF" w:rsidRPr="00A073CF" w:rsidSect="00925892">
          <w:footerReference w:type="even" r:id="rId28"/>
          <w:pgSz w:w="11907" w:h="16840" w:code="9"/>
          <w:pgMar w:top="1418" w:right="1701" w:bottom="1134" w:left="1843" w:header="284" w:footer="425" w:gutter="284"/>
          <w:pgNumType w:fmt="lowerRoman"/>
          <w:cols w:space="720"/>
        </w:sectPr>
      </w:pPr>
    </w:p>
    <w:p w14:paraId="132302DD" w14:textId="77777777" w:rsidR="00507742" w:rsidRDefault="00DA7F9E" w:rsidP="00507742">
      <w:pPr>
        <w:pStyle w:val="Heading1"/>
      </w:pPr>
      <w:bookmarkStart w:id="6" w:name="_Toc64536232"/>
      <w:r>
        <w:lastRenderedPageBreak/>
        <w:t>Executive summary</w:t>
      </w:r>
      <w:r w:rsidR="00507742">
        <w:t xml:space="preserve"> </w:t>
      </w:r>
      <w:r w:rsidR="00507742" w:rsidRPr="00A85E82">
        <w:t>| Whakarāpopototanga matua</w:t>
      </w:r>
      <w:bookmarkEnd w:id="6"/>
    </w:p>
    <w:p w14:paraId="4131819C" w14:textId="77777777" w:rsidR="002542AA" w:rsidRDefault="00507742" w:rsidP="00145F4C">
      <w:pPr>
        <w:pStyle w:val="Heading4"/>
      </w:pPr>
      <w:r w:rsidRPr="007C35C7">
        <w:t>Overview of this year</w:t>
      </w:r>
      <w:r w:rsidR="002542AA">
        <w:t>’</w:t>
      </w:r>
      <w:r w:rsidRPr="007C35C7">
        <w:t>s report</w:t>
      </w:r>
    </w:p>
    <w:p w14:paraId="23460B0A" w14:textId="56B9BA6B" w:rsidR="00507742" w:rsidRDefault="00507742" w:rsidP="00BF1CEB">
      <w:pPr>
        <w:pStyle w:val="Bullet"/>
      </w:pPr>
      <w:r>
        <w:t xml:space="preserve">The 2019 report covers the period up to the end of 2019, so it does not include COVID-19 information. The </w:t>
      </w:r>
      <w:r w:rsidRPr="00AA5DA9">
        <w:rPr>
          <w:i/>
        </w:rPr>
        <w:t>Health and Independence Report 2020</w:t>
      </w:r>
      <w:r>
        <w:t xml:space="preserve"> will canvas the impact of COVID-19 on the health </w:t>
      </w:r>
      <w:r w:rsidR="00F61CFE">
        <w:t xml:space="preserve">and disability system </w:t>
      </w:r>
      <w:r>
        <w:t>and people</w:t>
      </w:r>
      <w:r w:rsidR="002542AA">
        <w:t>’</w:t>
      </w:r>
      <w:r>
        <w:t>s health and wellbeing</w:t>
      </w:r>
      <w:r w:rsidRPr="007C35C7">
        <w:t>.</w:t>
      </w:r>
    </w:p>
    <w:p w14:paraId="512233D5" w14:textId="712DF8F9" w:rsidR="00507742" w:rsidRDefault="008F0B9A" w:rsidP="00D036E7">
      <w:pPr>
        <w:pStyle w:val="Bullet"/>
      </w:pPr>
      <w:r w:rsidRPr="008F0B9A">
        <w:t xml:space="preserve">This report </w:t>
      </w:r>
      <w:r>
        <w:t xml:space="preserve">presents the latest data </w:t>
      </w:r>
      <w:r w:rsidR="00AA5D47">
        <w:t xml:space="preserve">for </w:t>
      </w:r>
      <w:r w:rsidR="00C8242F">
        <w:t xml:space="preserve">various </w:t>
      </w:r>
      <w:r>
        <w:t>measures of health, including life expectancy, causes of health loss, and determinants of health. It</w:t>
      </w:r>
      <w:r w:rsidR="00507742">
        <w:t xml:space="preserve"> complements the Ministry</w:t>
      </w:r>
      <w:r w:rsidR="002542AA">
        <w:t>’</w:t>
      </w:r>
      <w:r w:rsidR="00507742">
        <w:t xml:space="preserve">s Annual Report, which includes detailed information about the strategic direction of the health and disability system and measures of the </w:t>
      </w:r>
      <w:r w:rsidR="00F61CFE">
        <w:t>system</w:t>
      </w:r>
      <w:r w:rsidR="002542AA">
        <w:t>’</w:t>
      </w:r>
      <w:r w:rsidR="00507742">
        <w:t>s performance and impact</w:t>
      </w:r>
      <w:r w:rsidR="00507742" w:rsidRPr="007C35C7">
        <w:t>.</w:t>
      </w:r>
    </w:p>
    <w:p w14:paraId="282B4ADF" w14:textId="77777777" w:rsidR="00507742" w:rsidRPr="00D740DF" w:rsidRDefault="00507742" w:rsidP="00BF1CEB"/>
    <w:p w14:paraId="1FE41459" w14:textId="77777777" w:rsidR="00507742" w:rsidRPr="007C35C7" w:rsidRDefault="00507742" w:rsidP="002A1E25">
      <w:pPr>
        <w:pStyle w:val="Heading4"/>
      </w:pPr>
      <w:r>
        <w:t>Our population has grown rapidly and has become increasingly ethnically diverse</w:t>
      </w:r>
    </w:p>
    <w:p w14:paraId="0BED4AD0" w14:textId="364DB659" w:rsidR="00507742" w:rsidRDefault="00507742" w:rsidP="00BF1CEB">
      <w:pPr>
        <w:pStyle w:val="Bullet"/>
      </w:pPr>
      <w:r w:rsidRPr="009240D4">
        <w:t xml:space="preserve">Our population has grown by an average of </w:t>
      </w:r>
      <w:r w:rsidR="008F0B9A">
        <w:t>nearly</w:t>
      </w:r>
      <w:r w:rsidR="008F0B9A" w:rsidRPr="009240D4">
        <w:t xml:space="preserve"> 9</w:t>
      </w:r>
      <w:r w:rsidR="008F0B9A">
        <w:t>2</w:t>
      </w:r>
      <w:r w:rsidRPr="009240D4">
        <w:t>,000 people every year</w:t>
      </w:r>
      <w:r>
        <w:t xml:space="preserve"> for the last five years</w:t>
      </w:r>
      <w:r w:rsidRPr="009240D4">
        <w:t xml:space="preserve">. </w:t>
      </w:r>
      <w:r>
        <w:t>This</w:t>
      </w:r>
      <w:r w:rsidRPr="009F7730">
        <w:t xml:space="preserve"> </w:t>
      </w:r>
      <w:r>
        <w:t xml:space="preserve">population </w:t>
      </w:r>
      <w:r w:rsidRPr="009F7730">
        <w:t>growth was driven by high levels of net migratio</w:t>
      </w:r>
      <w:r>
        <w:t>n, with natural</w:t>
      </w:r>
      <w:r w:rsidRPr="009F7730">
        <w:t xml:space="preserve"> increase (births minus deaths)</w:t>
      </w:r>
      <w:r>
        <w:t xml:space="preserve"> accounting for one-third of this growth</w:t>
      </w:r>
      <w:r w:rsidRPr="009240D4">
        <w:t>.</w:t>
      </w:r>
    </w:p>
    <w:p w14:paraId="295BD50C" w14:textId="223E497D" w:rsidR="00507742" w:rsidRDefault="00507742" w:rsidP="00BF1CEB">
      <w:pPr>
        <w:pStyle w:val="Bullet"/>
      </w:pPr>
      <w:r>
        <w:t xml:space="preserve">The size of all major ethnic groups increased, but the </w:t>
      </w:r>
      <w:r w:rsidRPr="00F108B1">
        <w:t>rate</w:t>
      </w:r>
      <w:r>
        <w:t xml:space="preserve"> of growth was higher in the Māori, Pacific, </w:t>
      </w:r>
      <w:r w:rsidR="004E68C6">
        <w:t xml:space="preserve">Asian, </w:t>
      </w:r>
      <w:r>
        <w:t>and Middle Eastern, Latin American and African</w:t>
      </w:r>
      <w:r w:rsidRPr="00823C83">
        <w:t xml:space="preserve"> </w:t>
      </w:r>
      <w:r>
        <w:t xml:space="preserve">(MELAA) ethnic groups. </w:t>
      </w:r>
      <w:r w:rsidR="004E68C6">
        <w:t>Although the European or Other ethnic group has also increased in size, its rate of growth was slower and so it now makes up a smaller proportion of the population</w:t>
      </w:r>
      <w:r>
        <w:t>.</w:t>
      </w:r>
    </w:p>
    <w:p w14:paraId="4308EBC6" w14:textId="77777777" w:rsidR="00507742" w:rsidRPr="009240D4" w:rsidRDefault="00507742" w:rsidP="00BF1CEB">
      <w:pPr>
        <w:pStyle w:val="Bullet"/>
      </w:pPr>
      <w:r w:rsidRPr="009240D4">
        <w:t>At the same time</w:t>
      </w:r>
      <w:r>
        <w:t>,</w:t>
      </w:r>
      <w:r w:rsidRPr="009240D4">
        <w:t xml:space="preserve"> our population is ageing</w:t>
      </w:r>
      <w:r>
        <w:t>.</w:t>
      </w:r>
      <w:r w:rsidRPr="009240D4">
        <w:t xml:space="preserve"> </w:t>
      </w:r>
      <w:r>
        <w:t>O</w:t>
      </w:r>
      <w:r w:rsidRPr="009240D4">
        <w:t xml:space="preserve">ne in six people </w:t>
      </w:r>
      <w:r>
        <w:t xml:space="preserve">is </w:t>
      </w:r>
      <w:r w:rsidRPr="009240D4">
        <w:t>now aged 65 years or older.</w:t>
      </w:r>
    </w:p>
    <w:p w14:paraId="4849F088" w14:textId="77777777" w:rsidR="00507742" w:rsidRPr="007C35C7" w:rsidRDefault="00507742" w:rsidP="00BF1CEB"/>
    <w:p w14:paraId="579D76EF" w14:textId="77777777" w:rsidR="00507742" w:rsidRPr="007C35C7" w:rsidRDefault="00507742" w:rsidP="002A1E25">
      <w:pPr>
        <w:pStyle w:val="Heading4"/>
      </w:pPr>
      <w:r w:rsidRPr="007C35C7">
        <w:t>Most New Zealanders rate their health highly</w:t>
      </w:r>
    </w:p>
    <w:p w14:paraId="4EE88D62" w14:textId="77777777" w:rsidR="00507742" w:rsidRDefault="00507742" w:rsidP="00BF1CEB">
      <w:pPr>
        <w:pStyle w:val="Bullet"/>
      </w:pPr>
      <w:r>
        <w:t xml:space="preserve">Most </w:t>
      </w:r>
      <w:r w:rsidRPr="007C35C7">
        <w:t xml:space="preserve">adults </w:t>
      </w:r>
      <w:r>
        <w:t>(</w:t>
      </w:r>
      <w:r w:rsidRPr="007C35C7">
        <w:t>86 percent</w:t>
      </w:r>
      <w:r>
        <w:t>)</w:t>
      </w:r>
      <w:r w:rsidRPr="007C35C7">
        <w:t xml:space="preserve"> report </w:t>
      </w:r>
      <w:r>
        <w:t xml:space="preserve">their health as </w:t>
      </w:r>
      <w:r w:rsidRPr="007C35C7">
        <w:t>good, very good or excellent</w:t>
      </w:r>
      <w:r>
        <w:t xml:space="preserve">. However, this figure is slowly trending downwards, while </w:t>
      </w:r>
      <w:r w:rsidRPr="007C35C7">
        <w:t>the proportion of adults rating their health as</w:t>
      </w:r>
      <w:r>
        <w:t xml:space="preserve"> only</w:t>
      </w:r>
      <w:r w:rsidRPr="007C35C7">
        <w:t xml:space="preserve"> fair or poor </w:t>
      </w:r>
      <w:r>
        <w:t>is slowly increasing</w:t>
      </w:r>
      <w:r w:rsidRPr="007C35C7">
        <w:t>.</w:t>
      </w:r>
    </w:p>
    <w:p w14:paraId="4A84CB48" w14:textId="77777777" w:rsidR="00507742" w:rsidRPr="007C35C7" w:rsidRDefault="00507742" w:rsidP="00BF1CEB">
      <w:pPr>
        <w:pStyle w:val="Bullet"/>
      </w:pPr>
      <w:r>
        <w:t>Māori and Pacific adults have lower levels of self-rated health and these self-ratings have worsened over time.</w:t>
      </w:r>
    </w:p>
    <w:p w14:paraId="63776B76" w14:textId="77777777" w:rsidR="00507742" w:rsidRPr="007C35C7" w:rsidRDefault="00507742" w:rsidP="00BF1CEB"/>
    <w:p w14:paraId="776273B1" w14:textId="77777777" w:rsidR="002542AA" w:rsidRDefault="00507742" w:rsidP="002A1E25">
      <w:pPr>
        <w:pStyle w:val="Heading4"/>
      </w:pPr>
      <w:r w:rsidRPr="0001036D">
        <w:lastRenderedPageBreak/>
        <w:t xml:space="preserve">Life expectancy </w:t>
      </w:r>
      <w:r>
        <w:t>and health expectancy are increasing</w:t>
      </w:r>
    </w:p>
    <w:p w14:paraId="16FD47BD" w14:textId="77777777" w:rsidR="002542AA" w:rsidRDefault="00507742" w:rsidP="00BF1CEB">
      <w:pPr>
        <w:pStyle w:val="Bullet"/>
      </w:pPr>
      <w:r w:rsidRPr="007C35C7">
        <w:t xml:space="preserve">A boy born in 2019 could expect to live 79.9 years, and a girl 83.6 years. This </w:t>
      </w:r>
      <w:r>
        <w:t>has</w:t>
      </w:r>
      <w:r w:rsidRPr="007C35C7">
        <w:t xml:space="preserve"> increase</w:t>
      </w:r>
      <w:r>
        <w:t>d by</w:t>
      </w:r>
      <w:r w:rsidRPr="007C35C7">
        <w:t xml:space="preserve"> 7.2 and 5.2 years respectively since 1990.</w:t>
      </w:r>
    </w:p>
    <w:p w14:paraId="0DB5C9A5" w14:textId="769A530C" w:rsidR="00507742" w:rsidRDefault="00507742" w:rsidP="00BF1CEB">
      <w:pPr>
        <w:pStyle w:val="Bullet"/>
      </w:pPr>
      <w:r w:rsidRPr="007C35C7">
        <w:t>Health expectancy</w:t>
      </w:r>
      <w:r w:rsidR="004E68C6">
        <w:t>, which is the number of years lived in good health,</w:t>
      </w:r>
      <w:r w:rsidRPr="007C35C7">
        <w:t xml:space="preserve"> is 68.9 </w:t>
      </w:r>
      <w:r>
        <w:t xml:space="preserve">years </w:t>
      </w:r>
      <w:r w:rsidR="004E68C6">
        <w:t>for</w:t>
      </w:r>
      <w:r w:rsidR="004E68C6" w:rsidRPr="007C35C7">
        <w:t xml:space="preserve"> </w:t>
      </w:r>
      <w:r w:rsidRPr="007C35C7">
        <w:t>males</w:t>
      </w:r>
      <w:r>
        <w:t xml:space="preserve"> and </w:t>
      </w:r>
      <w:r w:rsidRPr="007C35C7">
        <w:t>70.3</w:t>
      </w:r>
      <w:r>
        <w:t xml:space="preserve"> years</w:t>
      </w:r>
      <w:r w:rsidRPr="007C35C7">
        <w:t xml:space="preserve"> </w:t>
      </w:r>
      <w:r w:rsidR="004E68C6">
        <w:t>for</w:t>
      </w:r>
      <w:r w:rsidR="004E68C6" w:rsidRPr="007C35C7">
        <w:t xml:space="preserve"> </w:t>
      </w:r>
      <w:r w:rsidRPr="007C35C7">
        <w:t xml:space="preserve">females. This </w:t>
      </w:r>
      <w:r>
        <w:t>has</w:t>
      </w:r>
      <w:r w:rsidRPr="007C35C7">
        <w:t xml:space="preserve"> increase</w:t>
      </w:r>
      <w:r>
        <w:t>d by</w:t>
      </w:r>
      <w:r w:rsidRPr="007C35C7">
        <w:t xml:space="preserve"> 5.6 and 4.2 years respectively since 1990.</w:t>
      </w:r>
    </w:p>
    <w:p w14:paraId="12058A53" w14:textId="77777777" w:rsidR="00507742" w:rsidRDefault="00507742" w:rsidP="00BF1CEB">
      <w:pPr>
        <w:pStyle w:val="Bullet"/>
      </w:pPr>
      <w:r>
        <w:t>New Zealand</w:t>
      </w:r>
      <w:r w:rsidR="002542AA">
        <w:t>’</w:t>
      </w:r>
      <w:r>
        <w:t>s life expectancy and health expectancy compare well with other similar countries.</w:t>
      </w:r>
    </w:p>
    <w:p w14:paraId="79983B49" w14:textId="77777777" w:rsidR="00507742" w:rsidRDefault="00507742" w:rsidP="00BF1CEB">
      <w:pPr>
        <w:pStyle w:val="Bullet"/>
      </w:pPr>
      <w:r>
        <w:t>A</w:t>
      </w:r>
      <w:r w:rsidRPr="00241CE1">
        <w:t xml:space="preserve">lthough both life expectancy and health expectancy have improved, the increase in health expectancy </w:t>
      </w:r>
      <w:r>
        <w:t xml:space="preserve">is slightly lower than for </w:t>
      </w:r>
      <w:r w:rsidRPr="00241CE1">
        <w:t xml:space="preserve">life expectancy. This means that while we are living longer, we are spending </w:t>
      </w:r>
      <w:r>
        <w:t>more time in</w:t>
      </w:r>
      <w:r w:rsidRPr="00241CE1">
        <w:t xml:space="preserve"> poor health</w:t>
      </w:r>
      <w:r>
        <w:t>.</w:t>
      </w:r>
    </w:p>
    <w:p w14:paraId="60275501" w14:textId="77777777" w:rsidR="00507742" w:rsidRDefault="00507742" w:rsidP="00BF1CEB"/>
    <w:p w14:paraId="5FF5005F" w14:textId="77777777" w:rsidR="00507742" w:rsidRPr="007C35C7" w:rsidRDefault="00507742" w:rsidP="002A1E25">
      <w:pPr>
        <w:pStyle w:val="Heading4"/>
      </w:pPr>
      <w:r>
        <w:t>Morbidity accounts for an increasing proportion of health loss</w:t>
      </w:r>
    </w:p>
    <w:p w14:paraId="551C23C3" w14:textId="361484A2" w:rsidR="00507742" w:rsidRPr="001B1AAE" w:rsidRDefault="002542AA" w:rsidP="00BF1CEB">
      <w:pPr>
        <w:pStyle w:val="Bullet"/>
        <w:rPr>
          <w:b/>
          <w:bCs/>
          <w:shd w:val="clear" w:color="auto" w:fill="FFFFFF"/>
        </w:rPr>
      </w:pPr>
      <w:r>
        <w:rPr>
          <w:shd w:val="clear" w:color="auto" w:fill="FFFFFF"/>
        </w:rPr>
        <w:t>‘</w:t>
      </w:r>
      <w:r w:rsidR="00507742" w:rsidRPr="005D4A8F">
        <w:rPr>
          <w:shd w:val="clear" w:color="auto" w:fill="FFFFFF"/>
        </w:rPr>
        <w:t>Health loss</w:t>
      </w:r>
      <w:r>
        <w:rPr>
          <w:shd w:val="clear" w:color="auto" w:fill="FFFFFF"/>
        </w:rPr>
        <w:t>’</w:t>
      </w:r>
      <w:r w:rsidR="00507742" w:rsidRPr="005D4A8F">
        <w:rPr>
          <w:shd w:val="clear" w:color="auto" w:fill="FFFFFF"/>
        </w:rPr>
        <w:t xml:space="preserve"> </w:t>
      </w:r>
      <w:r w:rsidR="00507742">
        <w:rPr>
          <w:shd w:val="clear" w:color="auto" w:fill="FFFFFF"/>
        </w:rPr>
        <w:t>means</w:t>
      </w:r>
      <w:r w:rsidR="00507742" w:rsidRPr="005D4A8F">
        <w:rPr>
          <w:shd w:val="clear" w:color="auto" w:fill="FFFFFF"/>
        </w:rPr>
        <w:t xml:space="preserve"> the gap between the state of health </w:t>
      </w:r>
      <w:r w:rsidR="00507742">
        <w:rPr>
          <w:shd w:val="clear" w:color="auto" w:fill="FFFFFF"/>
        </w:rPr>
        <w:t xml:space="preserve">of the </w:t>
      </w:r>
      <w:r w:rsidR="00507742" w:rsidRPr="005D4A8F">
        <w:rPr>
          <w:shd w:val="clear" w:color="auto" w:fill="FFFFFF"/>
        </w:rPr>
        <w:t>current</w:t>
      </w:r>
      <w:r w:rsidR="00507742" w:rsidRPr="00597B29">
        <w:rPr>
          <w:shd w:val="clear" w:color="auto" w:fill="FFFFFF"/>
        </w:rPr>
        <w:t xml:space="preserve"> </w:t>
      </w:r>
      <w:r w:rsidR="00507742">
        <w:rPr>
          <w:shd w:val="clear" w:color="auto" w:fill="FFFFFF"/>
        </w:rPr>
        <w:t>population</w:t>
      </w:r>
      <w:r w:rsidR="00507742" w:rsidRPr="005D4A8F">
        <w:rPr>
          <w:shd w:val="clear" w:color="auto" w:fill="FFFFFF"/>
        </w:rPr>
        <w:t xml:space="preserve"> and that of an ideal population in which everyone experiences</w:t>
      </w:r>
      <w:r w:rsidR="00507742">
        <w:rPr>
          <w:shd w:val="clear" w:color="auto" w:fill="FFFFFF"/>
        </w:rPr>
        <w:t xml:space="preserve"> a</w:t>
      </w:r>
      <w:r w:rsidR="00507742" w:rsidRPr="005D4A8F">
        <w:rPr>
          <w:shd w:val="clear" w:color="auto" w:fill="FFFFFF"/>
        </w:rPr>
        <w:t xml:space="preserve"> long li</w:t>
      </w:r>
      <w:r w:rsidR="00507742">
        <w:rPr>
          <w:shd w:val="clear" w:color="auto" w:fill="FFFFFF"/>
        </w:rPr>
        <w:t>fe</w:t>
      </w:r>
      <w:r w:rsidR="00507742" w:rsidRPr="005D4A8F">
        <w:rPr>
          <w:shd w:val="clear" w:color="auto" w:fill="FFFFFF"/>
        </w:rPr>
        <w:t xml:space="preserve"> free from illness or disability</w:t>
      </w:r>
      <w:r w:rsidR="00507742">
        <w:rPr>
          <w:shd w:val="clear" w:color="auto" w:fill="FFFFFF"/>
        </w:rPr>
        <w:t>.</w:t>
      </w:r>
    </w:p>
    <w:p w14:paraId="4C3103E8" w14:textId="47E28882" w:rsidR="001B1AAE" w:rsidRPr="00611CB3" w:rsidRDefault="000E7313" w:rsidP="00BF1CEB">
      <w:pPr>
        <w:pStyle w:val="Bullet"/>
        <w:rPr>
          <w:shd w:val="clear" w:color="auto" w:fill="FFFFFF"/>
        </w:rPr>
      </w:pPr>
      <w:r>
        <w:rPr>
          <w:shd w:val="clear" w:color="auto" w:fill="FFFFFF"/>
        </w:rPr>
        <w:t>T</w:t>
      </w:r>
      <w:r w:rsidR="00611CB3" w:rsidRPr="00611CB3">
        <w:rPr>
          <w:shd w:val="clear" w:color="auto" w:fill="FFFFFF"/>
        </w:rPr>
        <w:t xml:space="preserve">he </w:t>
      </w:r>
      <w:r w:rsidR="004104BA">
        <w:rPr>
          <w:shd w:val="clear" w:color="auto" w:fill="FFFFFF"/>
        </w:rPr>
        <w:t xml:space="preserve">overall </w:t>
      </w:r>
      <w:r w:rsidR="00611CB3" w:rsidRPr="00611CB3">
        <w:rPr>
          <w:shd w:val="clear" w:color="auto" w:fill="FFFFFF"/>
        </w:rPr>
        <w:t xml:space="preserve">rate of health loss </w:t>
      </w:r>
      <w:r w:rsidR="00246692">
        <w:rPr>
          <w:shd w:val="clear" w:color="auto" w:fill="FFFFFF"/>
        </w:rPr>
        <w:t>has declined since 1990</w:t>
      </w:r>
      <w:r w:rsidR="00E71C71">
        <w:rPr>
          <w:shd w:val="clear" w:color="auto" w:fill="FFFFFF"/>
        </w:rPr>
        <w:t xml:space="preserve">, </w:t>
      </w:r>
      <w:r w:rsidR="009D5459">
        <w:rPr>
          <w:shd w:val="clear" w:color="auto" w:fill="FFFFFF"/>
        </w:rPr>
        <w:t>once population growth and ageing are taken into account</w:t>
      </w:r>
      <w:r w:rsidR="00246692">
        <w:rPr>
          <w:shd w:val="clear" w:color="auto" w:fill="FFFFFF"/>
        </w:rPr>
        <w:t>.</w:t>
      </w:r>
    </w:p>
    <w:p w14:paraId="3394D538" w14:textId="1AFDC6ED" w:rsidR="00507742" w:rsidRPr="00145E07" w:rsidRDefault="00507742" w:rsidP="00BF1CEB">
      <w:pPr>
        <w:pStyle w:val="Bullet"/>
        <w:rPr>
          <w:b/>
          <w:bCs/>
          <w:shd w:val="clear" w:color="auto" w:fill="FFFFFF"/>
        </w:rPr>
      </w:pPr>
      <w:bookmarkStart w:id="7" w:name="_Hlk57126973"/>
      <w:r>
        <w:rPr>
          <w:shd w:val="clear" w:color="auto" w:fill="FFFFFF"/>
        </w:rPr>
        <w:t xml:space="preserve">In 1990 premature mortality was the main cause of health loss (accounting for about 60 percent of health loss). However, morbidity (non-fatal health loss) </w:t>
      </w:r>
      <w:r w:rsidR="008F0B9A">
        <w:rPr>
          <w:shd w:val="clear" w:color="auto" w:fill="FFFFFF"/>
        </w:rPr>
        <w:t xml:space="preserve">and premature mortality </w:t>
      </w:r>
      <w:r w:rsidR="00FB2530">
        <w:rPr>
          <w:shd w:val="clear" w:color="auto" w:fill="FFFFFF"/>
        </w:rPr>
        <w:t xml:space="preserve">now each </w:t>
      </w:r>
      <w:r>
        <w:rPr>
          <w:shd w:val="clear" w:color="auto" w:fill="FFFFFF"/>
        </w:rPr>
        <w:t>account for about half of all health loss.</w:t>
      </w:r>
    </w:p>
    <w:bookmarkEnd w:id="7"/>
    <w:p w14:paraId="6FC495F7" w14:textId="77777777" w:rsidR="00507742" w:rsidRDefault="00507742" w:rsidP="00BF1CEB">
      <w:pPr>
        <w:pStyle w:val="Bullet"/>
      </w:pPr>
      <w:r>
        <w:t xml:space="preserve">The reason for this transition is that the premature mortality rate has declined more quickly than the morbidity rate. In other words, we have </w:t>
      </w:r>
      <w:r w:rsidRPr="00B33C27">
        <w:t xml:space="preserve">been more successful in preventing early death than in preventing or </w:t>
      </w:r>
      <w:r>
        <w:t>improving</w:t>
      </w:r>
      <w:r w:rsidRPr="00B33C27">
        <w:t xml:space="preserve"> non-fatal illness or disability</w:t>
      </w:r>
      <w:r>
        <w:t>.</w:t>
      </w:r>
    </w:p>
    <w:p w14:paraId="63BA0FA7" w14:textId="77777777" w:rsidR="00507742" w:rsidRPr="007C35C7" w:rsidRDefault="00507742" w:rsidP="00BF1CEB"/>
    <w:p w14:paraId="73F75B4C" w14:textId="77777777" w:rsidR="00507742" w:rsidRPr="007C35C7" w:rsidRDefault="00507742" w:rsidP="002A1E25">
      <w:pPr>
        <w:pStyle w:val="Heading4"/>
      </w:pPr>
      <w:r w:rsidRPr="007C35C7">
        <w:t xml:space="preserve">Non-communicable diseases </w:t>
      </w:r>
      <w:r>
        <w:t>are the reason for</w:t>
      </w:r>
      <w:r w:rsidRPr="007C35C7">
        <w:t xml:space="preserve"> most of our </w:t>
      </w:r>
      <w:r>
        <w:t>health loss</w:t>
      </w:r>
    </w:p>
    <w:p w14:paraId="73766672" w14:textId="77777777" w:rsidR="002542AA" w:rsidRDefault="00507742" w:rsidP="00BF1CEB">
      <w:pPr>
        <w:pStyle w:val="Bullet"/>
      </w:pPr>
      <w:r w:rsidRPr="007C35C7">
        <w:t>Over 80 percent of our health loss is due to non-communicable disease</w:t>
      </w:r>
      <w:r>
        <w:t>s.</w:t>
      </w:r>
    </w:p>
    <w:p w14:paraId="5EE62408" w14:textId="2F607761" w:rsidR="008B3545" w:rsidRDefault="00507742" w:rsidP="00BF1CEB">
      <w:pPr>
        <w:pStyle w:val="Bullet"/>
      </w:pPr>
      <w:r>
        <w:t xml:space="preserve">Four condition groups together contribute to half of this health loss: </w:t>
      </w:r>
      <w:r w:rsidRPr="00B97E8E">
        <w:t>cancers</w:t>
      </w:r>
      <w:r>
        <w:t xml:space="preserve"> (18.5</w:t>
      </w:r>
      <w:r w:rsidR="00BF1CEB">
        <w:t> </w:t>
      </w:r>
      <w:r>
        <w:t>percent)</w:t>
      </w:r>
      <w:r w:rsidRPr="00B97E8E">
        <w:t>, cardiovascular and cerebrovascular diseases</w:t>
      </w:r>
      <w:r>
        <w:t xml:space="preserve"> (15.1 percent)</w:t>
      </w:r>
      <w:r w:rsidRPr="00B97E8E">
        <w:t>, mental disorders</w:t>
      </w:r>
      <w:r>
        <w:t xml:space="preserve"> (8.7 percent) and </w:t>
      </w:r>
      <w:r w:rsidRPr="00B97E8E">
        <w:t xml:space="preserve">musculoskeletal disorders </w:t>
      </w:r>
      <w:r>
        <w:t>(8.6 percent).</w:t>
      </w:r>
    </w:p>
    <w:p w14:paraId="166BC20C" w14:textId="77777777" w:rsidR="00507742" w:rsidRDefault="00507742" w:rsidP="00BF1CEB"/>
    <w:p w14:paraId="3EFFFBDC" w14:textId="77777777" w:rsidR="00507742" w:rsidRPr="007C35C7" w:rsidRDefault="00507742" w:rsidP="002A1E25">
      <w:pPr>
        <w:pStyle w:val="Heading4"/>
      </w:pPr>
      <w:r>
        <w:t>Total cancer mortality rates are declining slowly</w:t>
      </w:r>
    </w:p>
    <w:p w14:paraId="7E59DEF1" w14:textId="1B275717" w:rsidR="00507742" w:rsidRDefault="00507742" w:rsidP="00BF1CEB">
      <w:pPr>
        <w:pStyle w:val="Bullet"/>
        <w:keepNext/>
      </w:pPr>
      <w:r w:rsidRPr="00B17089">
        <w:t>Total cancer mortality rates are declining slowly</w:t>
      </w:r>
      <w:r>
        <w:t>, but</w:t>
      </w:r>
      <w:r w:rsidRPr="00B17089">
        <w:t xml:space="preserve"> </w:t>
      </w:r>
      <w:r>
        <w:t>trends differ by cancer type and population group.</w:t>
      </w:r>
    </w:p>
    <w:p w14:paraId="6F9CB04E" w14:textId="77777777" w:rsidR="00936155" w:rsidRDefault="00936155" w:rsidP="00936155">
      <w:pPr>
        <w:pStyle w:val="Bullet"/>
      </w:pPr>
      <w:r w:rsidRPr="0044465B">
        <w:t xml:space="preserve">The most common causes of cancer mortality </w:t>
      </w:r>
      <w:r>
        <w:t>are</w:t>
      </w:r>
      <w:r w:rsidRPr="0044465B">
        <w:t xml:space="preserve"> lung cancer, colorectal cancer, prostate cancer</w:t>
      </w:r>
      <w:r>
        <w:t>,</w:t>
      </w:r>
      <w:r w:rsidRPr="0044465B">
        <w:t xml:space="preserve"> </w:t>
      </w:r>
      <w:r>
        <w:t xml:space="preserve">female </w:t>
      </w:r>
      <w:r w:rsidRPr="0044465B">
        <w:t xml:space="preserve">breast cancer and </w:t>
      </w:r>
      <w:r>
        <w:t>pancreatic cancer.</w:t>
      </w:r>
      <w:r w:rsidRPr="0044465B">
        <w:t xml:space="preserve"> These five cancers account for </w:t>
      </w:r>
      <w:r>
        <w:t>about half</w:t>
      </w:r>
      <w:r w:rsidRPr="0044465B">
        <w:t xml:space="preserve"> of all cancer deaths</w:t>
      </w:r>
      <w:r>
        <w:t>.</w:t>
      </w:r>
    </w:p>
    <w:p w14:paraId="758B1772" w14:textId="7DA4AB70" w:rsidR="00507742" w:rsidRDefault="00507742" w:rsidP="00BF1CEB">
      <w:pPr>
        <w:pStyle w:val="Bullet"/>
      </w:pPr>
      <w:r>
        <w:t>Total cancer mortality rates are substantially higher for Māori and Pacific peoples. Lung, stomach and breast cancers are leading causes of ethnic inequities in cancer mortality.</w:t>
      </w:r>
    </w:p>
    <w:p w14:paraId="0B74FC5C" w14:textId="3DB10B3C" w:rsidR="00507742" w:rsidRPr="007C35C7" w:rsidRDefault="004E68C6" w:rsidP="002A1E25">
      <w:pPr>
        <w:pStyle w:val="Heading4"/>
      </w:pPr>
      <w:r>
        <w:lastRenderedPageBreak/>
        <w:t>Ischaemic heart disease and stroke</w:t>
      </w:r>
      <w:r w:rsidR="00507742">
        <w:t xml:space="preserve"> remain major cause</w:t>
      </w:r>
      <w:r>
        <w:t>s</w:t>
      </w:r>
      <w:r w:rsidR="00507742">
        <w:t xml:space="preserve"> of health loss</w:t>
      </w:r>
    </w:p>
    <w:p w14:paraId="220202E8" w14:textId="6D7D154C" w:rsidR="002542AA" w:rsidRDefault="00507742" w:rsidP="00BF1CEB">
      <w:pPr>
        <w:pStyle w:val="Bullet"/>
      </w:pPr>
      <w:r>
        <w:t xml:space="preserve">Cardiovascular diseases (mainly ischaemic heart disease) and </w:t>
      </w:r>
      <w:r w:rsidR="00CD04E3">
        <w:t xml:space="preserve">cerebrovascular diseases </w:t>
      </w:r>
      <w:r w:rsidR="004E68C6">
        <w:t xml:space="preserve">(mainly </w:t>
      </w:r>
      <w:r>
        <w:t>stroke</w:t>
      </w:r>
      <w:r w:rsidR="004E68C6">
        <w:t>)</w:t>
      </w:r>
      <w:r w:rsidRPr="007C35C7">
        <w:t xml:space="preserve"> remain major causes of health loss</w:t>
      </w:r>
      <w:r>
        <w:t>, even though mortality from both</w:t>
      </w:r>
      <w:r w:rsidRPr="0085019C">
        <w:t xml:space="preserve"> </w:t>
      </w:r>
      <w:r w:rsidR="00C8242F">
        <w:t xml:space="preserve">these diseases </w:t>
      </w:r>
      <w:r>
        <w:t>has declined substantially</w:t>
      </w:r>
      <w:r w:rsidRPr="007C35C7">
        <w:t xml:space="preserve"> over many decades.</w:t>
      </w:r>
    </w:p>
    <w:p w14:paraId="35984035" w14:textId="0D064370" w:rsidR="002542AA" w:rsidRDefault="00507742" w:rsidP="00BF1CEB">
      <w:pPr>
        <w:pStyle w:val="Bullet"/>
      </w:pPr>
      <w:r>
        <w:t xml:space="preserve">Ischaemic heart disease mortality rates are </w:t>
      </w:r>
      <w:r w:rsidR="00CD04E3">
        <w:t xml:space="preserve">nearly </w:t>
      </w:r>
      <w:r>
        <w:t>twice as high in Māori as in non-Māori.</w:t>
      </w:r>
    </w:p>
    <w:p w14:paraId="2CE407DF" w14:textId="77777777" w:rsidR="00507742" w:rsidRDefault="00507742" w:rsidP="00BF1CEB"/>
    <w:p w14:paraId="430ECEF4" w14:textId="77777777" w:rsidR="00507742" w:rsidRPr="007C35C7" w:rsidRDefault="00507742" w:rsidP="002A1E25">
      <w:pPr>
        <w:pStyle w:val="Heading4"/>
      </w:pPr>
      <w:r>
        <w:t>Diabetes accounts for</w:t>
      </w:r>
      <w:r w:rsidRPr="00BF1CEB">
        <w:rPr>
          <w:rStyle w:val="Heading3Char"/>
        </w:rPr>
        <w:t xml:space="preserve"> </w:t>
      </w:r>
      <w:r>
        <w:t>an increasing proportion of health loss</w:t>
      </w:r>
    </w:p>
    <w:p w14:paraId="2A26316C" w14:textId="4455E466" w:rsidR="00507742" w:rsidRDefault="00507742" w:rsidP="00BF1CEB">
      <w:pPr>
        <w:pStyle w:val="Bullet"/>
      </w:pPr>
      <w:r>
        <w:t>Diabetes prevalence has increased since 2010, although rates have stabilised in the last few years.</w:t>
      </w:r>
    </w:p>
    <w:p w14:paraId="1642BA5A" w14:textId="0D39FD56" w:rsidR="00507742" w:rsidRDefault="00FB2530" w:rsidP="00BF1CEB">
      <w:pPr>
        <w:pStyle w:val="Bullet"/>
      </w:pPr>
      <w:r>
        <w:t xml:space="preserve">The </w:t>
      </w:r>
      <w:r w:rsidR="00507742">
        <w:t xml:space="preserve">Pacific </w:t>
      </w:r>
      <w:r>
        <w:t xml:space="preserve">and Indian ethnic groups </w:t>
      </w:r>
      <w:r w:rsidR="00507742">
        <w:t>have the highest prevalence of diabetes</w:t>
      </w:r>
      <w:r w:rsidR="009E7C35">
        <w:t xml:space="preserve"> – by </w:t>
      </w:r>
      <w:r>
        <w:t>age 75 years around half are affected</w:t>
      </w:r>
      <w:r w:rsidR="00507742">
        <w:t>.</w:t>
      </w:r>
    </w:p>
    <w:p w14:paraId="18F3D86D" w14:textId="77777777" w:rsidR="002542AA" w:rsidRDefault="00507742" w:rsidP="00BF1CEB">
      <w:pPr>
        <w:pStyle w:val="Bullet"/>
      </w:pPr>
      <w:r>
        <w:t>Over half of the health loss from diabetes is due to excess weight (high body mass index).</w:t>
      </w:r>
    </w:p>
    <w:p w14:paraId="5DC29D3F" w14:textId="77777777" w:rsidR="00507742" w:rsidRDefault="00507742" w:rsidP="00BF1CEB"/>
    <w:p w14:paraId="0E1756F3" w14:textId="35407757" w:rsidR="00507742" w:rsidRPr="007C35C7" w:rsidRDefault="00507742" w:rsidP="002A1E25">
      <w:pPr>
        <w:pStyle w:val="Heading4"/>
      </w:pPr>
      <w:r>
        <w:t>Mental health</w:t>
      </w:r>
      <w:r w:rsidRPr="00BF1CEB">
        <w:rPr>
          <w:rStyle w:val="Heading3Char"/>
        </w:rPr>
        <w:t xml:space="preserve"> </w:t>
      </w:r>
      <w:r w:rsidR="004E68C6">
        <w:t xml:space="preserve">conditions </w:t>
      </w:r>
      <w:r>
        <w:t>are a leading cause of health loss</w:t>
      </w:r>
    </w:p>
    <w:p w14:paraId="306F72AF" w14:textId="77777777" w:rsidR="00507742" w:rsidRDefault="00507742" w:rsidP="00BF1CEB">
      <w:pPr>
        <w:pStyle w:val="Bullet"/>
        <w:keepNext/>
      </w:pPr>
      <w:r>
        <w:t>About one in twelve adults experiences high levels of psychological distress, which indicates a high or very high probability of having an anxiety or depressive disorder. Māori and Pacific women have the highest rates of psychological distress.</w:t>
      </w:r>
    </w:p>
    <w:p w14:paraId="3E8F6536" w14:textId="77777777" w:rsidR="002542AA" w:rsidRDefault="00507742" w:rsidP="00BF1CEB">
      <w:pPr>
        <w:pStyle w:val="Bullet"/>
      </w:pPr>
      <w:r>
        <w:t>Symptoms of severe anxiety and severe depression are more common in women than in men. The highest rates are in young women aged 15</w:t>
      </w:r>
      <w:r w:rsidRPr="001F6898">
        <w:t>–</w:t>
      </w:r>
      <w:r>
        <w:t>24 years.</w:t>
      </w:r>
    </w:p>
    <w:p w14:paraId="1E2AA6F4" w14:textId="48874DB6" w:rsidR="00507742" w:rsidRDefault="00507742" w:rsidP="00BF1CEB">
      <w:pPr>
        <w:pStyle w:val="Bullet"/>
      </w:pPr>
      <w:r>
        <w:t>Māori are about 1.6 times as likely as non-Māori to experience symptoms of severe anxiety and severe depression.</w:t>
      </w:r>
    </w:p>
    <w:p w14:paraId="09BD1B95" w14:textId="42197C0A" w:rsidR="00FB2530" w:rsidRDefault="00FB2530" w:rsidP="00BF1CEB">
      <w:pPr>
        <w:pStyle w:val="Bullet"/>
      </w:pPr>
      <w:r>
        <w:t>Adults living in the most deprived areas</w:t>
      </w:r>
      <w:r w:rsidRPr="00FB2530">
        <w:t xml:space="preserve"> </w:t>
      </w:r>
      <w:r>
        <w:t>are</w:t>
      </w:r>
      <w:r w:rsidRPr="00FB2530">
        <w:t xml:space="preserve"> 2.4 times as likely as </w:t>
      </w:r>
      <w:r>
        <w:t>adults</w:t>
      </w:r>
      <w:r w:rsidRPr="00FB2530">
        <w:t xml:space="preserve"> living in the least deprived areas to have symptoms of severe anxiety</w:t>
      </w:r>
      <w:r>
        <w:t>.</w:t>
      </w:r>
    </w:p>
    <w:p w14:paraId="6553AC6A" w14:textId="77777777" w:rsidR="00507742" w:rsidRPr="007C35C7" w:rsidRDefault="00507742" w:rsidP="00507742"/>
    <w:p w14:paraId="560A4D2D" w14:textId="77777777" w:rsidR="00507742" w:rsidRPr="007C35C7" w:rsidRDefault="00507742" w:rsidP="002A1E25">
      <w:pPr>
        <w:pStyle w:val="Heading4"/>
      </w:pPr>
      <w:r>
        <w:t>Staying vigilant for i</w:t>
      </w:r>
      <w:r w:rsidRPr="007C35C7">
        <w:t>nfectious disease</w:t>
      </w:r>
      <w:r>
        <w:t>s remains</w:t>
      </w:r>
      <w:r w:rsidRPr="007C35C7">
        <w:t xml:space="preserve"> necessary to protect public health</w:t>
      </w:r>
    </w:p>
    <w:p w14:paraId="643F9C0D" w14:textId="77777777" w:rsidR="00507742" w:rsidRDefault="00507742" w:rsidP="00BF1CEB">
      <w:pPr>
        <w:pStyle w:val="Bullet"/>
      </w:pPr>
      <w:r w:rsidRPr="003C7FA5">
        <w:t xml:space="preserve">Although </w:t>
      </w:r>
      <w:r>
        <w:t>non-communicable diseases</w:t>
      </w:r>
      <w:r w:rsidRPr="003C7FA5">
        <w:t xml:space="preserve"> account for most of the burden of disease in New Zealand, </w:t>
      </w:r>
      <w:r>
        <w:t xml:space="preserve">numerous outbreaks of </w:t>
      </w:r>
      <w:r w:rsidRPr="003C7FA5">
        <w:t xml:space="preserve">communicable (or infectious) diseases still </w:t>
      </w:r>
      <w:r>
        <w:t>occur</w:t>
      </w:r>
      <w:r w:rsidRPr="003C7FA5">
        <w:t xml:space="preserve"> and </w:t>
      </w:r>
      <w:r>
        <w:t xml:space="preserve">lead to </w:t>
      </w:r>
      <w:r w:rsidRPr="003C7FA5">
        <w:t>avoidable hospitalisations</w:t>
      </w:r>
      <w:r>
        <w:t>.</w:t>
      </w:r>
    </w:p>
    <w:p w14:paraId="77527D5B" w14:textId="77777777" w:rsidR="002542AA" w:rsidRDefault="00507742" w:rsidP="00BF1CEB">
      <w:pPr>
        <w:pStyle w:val="Bullet"/>
      </w:pPr>
      <w:r w:rsidRPr="007C35C7">
        <w:t xml:space="preserve">In 2019 New Zealand experienced its largest measles outbreak in nearly three decades. </w:t>
      </w:r>
      <w:r>
        <w:t xml:space="preserve">It affected </w:t>
      </w:r>
      <w:r w:rsidRPr="007C35C7">
        <w:t>Pacific peoples</w:t>
      </w:r>
      <w:r>
        <w:t xml:space="preserve"> disproportionately</w:t>
      </w:r>
      <w:r w:rsidRPr="007C35C7">
        <w:t xml:space="preserve">. </w:t>
      </w:r>
      <w:r>
        <w:t xml:space="preserve">Just over one-third of measles cases were hospitalised. </w:t>
      </w:r>
      <w:r w:rsidRPr="007C35C7">
        <w:t>Most cases of measles occurred in those who had not been immunised.</w:t>
      </w:r>
    </w:p>
    <w:p w14:paraId="329FF5B5" w14:textId="5FA06564" w:rsidR="00507742" w:rsidRPr="007C35C7" w:rsidRDefault="00507742" w:rsidP="00BF1CEB">
      <w:pPr>
        <w:pStyle w:val="Bullet"/>
      </w:pPr>
      <w:r w:rsidRPr="007C35C7">
        <w:t xml:space="preserve">Rates of rheumatic fever </w:t>
      </w:r>
      <w:r w:rsidR="004E68C6">
        <w:t>declined from 2013 to</w:t>
      </w:r>
      <w:r>
        <w:t xml:space="preserve"> 2015, </w:t>
      </w:r>
      <w:r w:rsidR="004E68C6">
        <w:t>but then</w:t>
      </w:r>
      <w:r>
        <w:t xml:space="preserve"> began </w:t>
      </w:r>
      <w:r w:rsidRPr="007C35C7">
        <w:t>increas</w:t>
      </w:r>
      <w:r>
        <w:t>ing</w:t>
      </w:r>
      <w:r w:rsidRPr="007C35C7">
        <w:t xml:space="preserve">, especially </w:t>
      </w:r>
      <w:r>
        <w:t>among</w:t>
      </w:r>
      <w:r w:rsidRPr="007C35C7">
        <w:t xml:space="preserve"> Pacific peoples</w:t>
      </w:r>
      <w:r>
        <w:t>. Rates of rheumatic fever in Pacific peoples are about nine times higher than the national average</w:t>
      </w:r>
      <w:r w:rsidRPr="007C35C7">
        <w:t>.</w:t>
      </w:r>
    </w:p>
    <w:p w14:paraId="0AC3E322" w14:textId="275E9BD9" w:rsidR="00507742" w:rsidRPr="007C35C7" w:rsidRDefault="00507742" w:rsidP="002A1E25">
      <w:pPr>
        <w:pStyle w:val="Heading4"/>
      </w:pPr>
      <w:r w:rsidRPr="007C35C7">
        <w:lastRenderedPageBreak/>
        <w:t xml:space="preserve">The </w:t>
      </w:r>
      <w:r w:rsidR="00F61CFE">
        <w:t>health and disability system</w:t>
      </w:r>
      <w:r w:rsidRPr="007C35C7">
        <w:t xml:space="preserve"> needs a stronger focus on keeping people well</w:t>
      </w:r>
    </w:p>
    <w:p w14:paraId="17ED57A9" w14:textId="77777777" w:rsidR="00507742" w:rsidRPr="007C35C7" w:rsidRDefault="00507742" w:rsidP="00BF1CEB">
      <w:pPr>
        <w:pStyle w:val="Bullet"/>
      </w:pPr>
      <w:r>
        <w:t>Reducing</w:t>
      </w:r>
      <w:r w:rsidRPr="007C35C7">
        <w:t xml:space="preserve"> </w:t>
      </w:r>
      <w:r>
        <w:t xml:space="preserve">exposure to </w:t>
      </w:r>
      <w:r w:rsidRPr="007C35C7">
        <w:t xml:space="preserve">risk factors </w:t>
      </w:r>
      <w:r>
        <w:t>through a combination of prevention and treatment could potentially prevent o</w:t>
      </w:r>
      <w:r w:rsidRPr="007C35C7">
        <w:t>ver a third (39 percent) of health loss.</w:t>
      </w:r>
    </w:p>
    <w:p w14:paraId="12C93CBD" w14:textId="77777777" w:rsidR="008F0B9A" w:rsidRDefault="00507742" w:rsidP="00BF1CEB">
      <w:pPr>
        <w:pStyle w:val="Bullet"/>
      </w:pPr>
      <w:r w:rsidRPr="00931F32">
        <w:t>The top</w:t>
      </w:r>
      <w:r>
        <w:t xml:space="preserve"> five</w:t>
      </w:r>
      <w:r w:rsidRPr="00931F32">
        <w:t xml:space="preserve"> risk factors for health loss in New Zealand are smoking, high body mass</w:t>
      </w:r>
      <w:r>
        <w:t xml:space="preserve"> index, </w:t>
      </w:r>
      <w:r w:rsidRPr="007C35C7">
        <w:t xml:space="preserve">high systolic blood pressure, dietary risks and high </w:t>
      </w:r>
      <w:r>
        <w:t>fasting plasma</w:t>
      </w:r>
      <w:r w:rsidRPr="007C35C7">
        <w:t xml:space="preserve"> </w:t>
      </w:r>
      <w:r>
        <w:t>glucose</w:t>
      </w:r>
      <w:r w:rsidRPr="007C35C7">
        <w:t>.</w:t>
      </w:r>
      <w:r>
        <w:t xml:space="preserve"> </w:t>
      </w:r>
    </w:p>
    <w:p w14:paraId="0748ACBD" w14:textId="37995D8A" w:rsidR="002542AA" w:rsidRDefault="00507742" w:rsidP="00BF1CEB">
      <w:pPr>
        <w:pStyle w:val="Bullet"/>
      </w:pPr>
      <w:r>
        <w:t>While the contribution of smoking, high systolic blood pressure and dietary risks to health loss has decreased over time, the rate of improvement has slowed over the last decade.</w:t>
      </w:r>
      <w:r w:rsidR="00D036E7">
        <w:t xml:space="preserve"> Other</w:t>
      </w:r>
      <w:r w:rsidR="00D036E7" w:rsidRPr="00D036E7">
        <w:t xml:space="preserve"> risk factors (eg, high body mass index, high fasting plasma glucose) are making an increasingly larger contribution to health loss</w:t>
      </w:r>
      <w:r w:rsidR="006D41BC">
        <w:t>.</w:t>
      </w:r>
    </w:p>
    <w:p w14:paraId="0A1786EF" w14:textId="77777777" w:rsidR="00507742" w:rsidRDefault="00507742" w:rsidP="00BF1CEB"/>
    <w:p w14:paraId="43A0421C" w14:textId="5A910EB1" w:rsidR="00507742" w:rsidRPr="007C35C7" w:rsidRDefault="00507742" w:rsidP="002A1E25">
      <w:pPr>
        <w:pStyle w:val="Heading4"/>
      </w:pPr>
      <w:r>
        <w:t>Smoking contributes strongly to inequities in health outcomes</w:t>
      </w:r>
      <w:r w:rsidR="00790E86">
        <w:t>, including life expectancy</w:t>
      </w:r>
    </w:p>
    <w:p w14:paraId="76150A5B" w14:textId="20519276" w:rsidR="00507742" w:rsidRDefault="00507742" w:rsidP="00BF1CEB">
      <w:pPr>
        <w:pStyle w:val="Bullet"/>
        <w:keepNext/>
      </w:pPr>
      <w:r>
        <w:t>Smoking</w:t>
      </w:r>
      <w:r w:rsidRPr="007B6673">
        <w:t xml:space="preserve"> contributes to inequities in life expectanc</w:t>
      </w:r>
      <w:r>
        <w:t>y</w:t>
      </w:r>
      <w:r w:rsidR="004E68C6">
        <w:t>, mainly due to inequities in mortality from lung cancer, chronic obstructive pulmonary disease and ischaemic heart disease</w:t>
      </w:r>
      <w:r>
        <w:t>.</w:t>
      </w:r>
    </w:p>
    <w:p w14:paraId="203B2B43" w14:textId="77777777" w:rsidR="00507742" w:rsidRDefault="00507742" w:rsidP="00BF1CEB">
      <w:pPr>
        <w:pStyle w:val="Bullet"/>
      </w:pPr>
      <w:r>
        <w:t xml:space="preserve">Smoking rates are declining, but the rate of decline is slower for Māori and Pacific peoples. </w:t>
      </w:r>
      <w:r w:rsidRPr="008F6CF3">
        <w:t>If this trend continues, inequities in smoking and related diseases could increase</w:t>
      </w:r>
      <w:r>
        <w:t>.</w:t>
      </w:r>
    </w:p>
    <w:p w14:paraId="18F779E4" w14:textId="00F391A5" w:rsidR="00507742" w:rsidRDefault="00507742" w:rsidP="00BF1CEB">
      <w:pPr>
        <w:pStyle w:val="Bullet"/>
      </w:pPr>
      <w:r>
        <w:t xml:space="preserve">The largest declines in smoking have been in young </w:t>
      </w:r>
      <w:r w:rsidR="00D036E7">
        <w:t>people</w:t>
      </w:r>
      <w:r>
        <w:t xml:space="preserve">, while rates are declining more slowly in older age groups. This </w:t>
      </w:r>
      <w:r w:rsidR="00D036E7">
        <w:t>indicates that</w:t>
      </w:r>
      <w:r>
        <w:t xml:space="preserve"> we have been more successful in reducing the number of people who start smoking than getting people to stop.</w:t>
      </w:r>
    </w:p>
    <w:p w14:paraId="47E8E914" w14:textId="2D0A1970" w:rsidR="00FF4687" w:rsidRDefault="00FF4687" w:rsidP="00BF1CEB">
      <w:pPr>
        <w:pStyle w:val="Bullet"/>
      </w:pPr>
      <w:r>
        <w:t>The most marked inequities in smoking are by socioeconomic status. After adjusting for age, gender and ethnic differences, adults living in the most deprived communities are more than three times as likely to smoke</w:t>
      </w:r>
      <w:r w:rsidR="00FB2530">
        <w:t xml:space="preserve"> as adults living in the least deprived communities</w:t>
      </w:r>
      <w:r>
        <w:t>.</w:t>
      </w:r>
    </w:p>
    <w:p w14:paraId="690BDD6B" w14:textId="77777777" w:rsidR="00507742" w:rsidRDefault="00507742" w:rsidP="00507742"/>
    <w:p w14:paraId="073A378D" w14:textId="582D8557" w:rsidR="00507742" w:rsidRPr="007C35C7" w:rsidRDefault="008B3545" w:rsidP="002A1E25">
      <w:pPr>
        <w:pStyle w:val="Heading4"/>
      </w:pPr>
      <w:r>
        <w:t>Obesity is a major risk factor for potentially avoidable health loss</w:t>
      </w:r>
    </w:p>
    <w:p w14:paraId="575BAD66" w14:textId="51923770" w:rsidR="000F2848" w:rsidRDefault="000F2848" w:rsidP="00BF1CEB">
      <w:pPr>
        <w:pStyle w:val="Bullet"/>
      </w:pPr>
      <w:r>
        <w:t xml:space="preserve">A high body mass index accounts for 8 percent of all health loss. </w:t>
      </w:r>
    </w:p>
    <w:p w14:paraId="5F71E25B" w14:textId="50783C7B" w:rsidR="00507742" w:rsidRDefault="00507742" w:rsidP="00BF1CEB">
      <w:pPr>
        <w:pStyle w:val="Bullet"/>
      </w:pPr>
      <w:r>
        <w:t>Although obesity rates appear to have stabilised, they remain high</w:t>
      </w:r>
      <w:r w:rsidR="00D036E7">
        <w:t xml:space="preserve"> (30.9 percent of adults and 11.3 percent of children)</w:t>
      </w:r>
      <w:r>
        <w:t>.</w:t>
      </w:r>
    </w:p>
    <w:p w14:paraId="238E75CA" w14:textId="7673FAD7" w:rsidR="00D036E7" w:rsidRDefault="00D036E7" w:rsidP="00BF1CEB">
      <w:pPr>
        <w:pStyle w:val="Bullet"/>
      </w:pPr>
      <w:r>
        <w:t>Adults aged 45–64 years have the highest rates of obesity and have had the largest increase since 2011/12.</w:t>
      </w:r>
    </w:p>
    <w:p w14:paraId="2F059780" w14:textId="007114DC" w:rsidR="00507742" w:rsidRDefault="00507742" w:rsidP="00BF1CEB">
      <w:pPr>
        <w:pStyle w:val="Bullet"/>
      </w:pPr>
      <w:r w:rsidRPr="008D2F03">
        <w:t xml:space="preserve">There are considerable inequities in obesity, with </w:t>
      </w:r>
      <w:r>
        <w:t>the highest rates</w:t>
      </w:r>
      <w:r w:rsidRPr="008D2F03">
        <w:t xml:space="preserve"> among Pacific peoples, Māori</w:t>
      </w:r>
      <w:r w:rsidR="00AA7140">
        <w:t>,</w:t>
      </w:r>
      <w:r w:rsidRPr="008D2F03">
        <w:t xml:space="preserve"> and people living in </w:t>
      </w:r>
      <w:r>
        <w:t xml:space="preserve">socioeconomically </w:t>
      </w:r>
      <w:r w:rsidRPr="008D2F03">
        <w:t>deprived areas.</w:t>
      </w:r>
    </w:p>
    <w:p w14:paraId="0491C632" w14:textId="77777777" w:rsidR="00507742" w:rsidRPr="007C35C7" w:rsidRDefault="00507742" w:rsidP="00BF1CEB"/>
    <w:p w14:paraId="676D2495" w14:textId="77777777" w:rsidR="002542AA" w:rsidRDefault="00507742" w:rsidP="002A1E25">
      <w:pPr>
        <w:pStyle w:val="Heading4"/>
      </w:pPr>
      <w:r>
        <w:lastRenderedPageBreak/>
        <w:t>Barriers to accessing health care disproportionately affect some groups</w:t>
      </w:r>
    </w:p>
    <w:p w14:paraId="61215FB6" w14:textId="77777777" w:rsidR="00507742" w:rsidRPr="00BF1CEB" w:rsidRDefault="00507742" w:rsidP="00BF1CEB">
      <w:pPr>
        <w:pStyle w:val="Bullet"/>
        <w:rPr>
          <w:spacing w:val="-2"/>
        </w:rPr>
      </w:pPr>
      <w:r w:rsidRPr="00BF1CEB">
        <w:rPr>
          <w:spacing w:val="-2"/>
        </w:rPr>
        <w:t>Pacific children are at least four times as likely to experience unmet need for a general practitioner (GP) due to cost and to have an unfilled prescription due to cost. Māori and Pacific adults are more likely to have an unfilled prescription due to cost.</w:t>
      </w:r>
    </w:p>
    <w:p w14:paraId="5861C56C" w14:textId="1B272369" w:rsidR="002542AA" w:rsidRDefault="00507742" w:rsidP="00BF1CEB">
      <w:pPr>
        <w:pStyle w:val="Bullet"/>
      </w:pPr>
      <w:r>
        <w:t xml:space="preserve">Pacific peoples and Māori </w:t>
      </w:r>
      <w:r w:rsidR="004E68C6">
        <w:t xml:space="preserve">have higher rates of ambulatory sensitive hospitalisations, which means they </w:t>
      </w:r>
      <w:r>
        <w:t xml:space="preserve">are more likely to be admitted to hospital </w:t>
      </w:r>
      <w:r w:rsidRPr="00DD4BB6">
        <w:t>with conditions that could have been prevented or treated in out-of-hospital settings such as primary health care</w:t>
      </w:r>
      <w:r>
        <w:t>.</w:t>
      </w:r>
    </w:p>
    <w:p w14:paraId="39DFA730" w14:textId="77777777" w:rsidR="00507742" w:rsidRDefault="00507742" w:rsidP="00BF1CEB"/>
    <w:p w14:paraId="541DA5F1" w14:textId="77777777" w:rsidR="00507742" w:rsidRPr="007C35C7" w:rsidRDefault="00507742" w:rsidP="002A1E25">
      <w:pPr>
        <w:pStyle w:val="Heading4"/>
      </w:pPr>
      <w:r>
        <w:t>There is scope to improve preventive health services</w:t>
      </w:r>
    </w:p>
    <w:p w14:paraId="1073EFA9" w14:textId="47863D06" w:rsidR="00507742" w:rsidRDefault="00507742" w:rsidP="00BF1CEB">
      <w:pPr>
        <w:pStyle w:val="Bullet"/>
      </w:pPr>
      <w:r>
        <w:t xml:space="preserve">In the last </w:t>
      </w:r>
      <w:r w:rsidR="004E68C6">
        <w:t xml:space="preserve">four </w:t>
      </w:r>
      <w:r>
        <w:t>years, childhood immunisation coverage at the age of eight months has declined, especially for Māori.</w:t>
      </w:r>
    </w:p>
    <w:p w14:paraId="4ABDE974" w14:textId="42442C35" w:rsidR="00507742" w:rsidRDefault="00507742" w:rsidP="00BF1CEB">
      <w:pPr>
        <w:pStyle w:val="Bullet"/>
      </w:pPr>
      <w:r>
        <w:t xml:space="preserve">Breast cancer screening rates have declined slightly in recent years for women overall and </w:t>
      </w:r>
      <w:r w:rsidR="00D036E7">
        <w:t>for Māori women</w:t>
      </w:r>
      <w:r>
        <w:t>. In contrast, coverage has improved for Pacific women, who now have the highest breast screening rates.</w:t>
      </w:r>
    </w:p>
    <w:p w14:paraId="72B1F6C8" w14:textId="77777777" w:rsidR="00507742" w:rsidRPr="007C35C7" w:rsidRDefault="00507742" w:rsidP="00BF1CEB">
      <w:pPr>
        <w:pStyle w:val="Bullet"/>
      </w:pPr>
      <w:r>
        <w:t>Cervical screening rates are trending downwards, especially for Pacific women. However, the lowest cervical screening rates are in Māori and Asian women.</w:t>
      </w:r>
    </w:p>
    <w:p w14:paraId="30554939" w14:textId="77777777" w:rsidR="00507742" w:rsidRDefault="00507742" w:rsidP="00BF1CEB"/>
    <w:p w14:paraId="52E6DF35" w14:textId="77777777" w:rsidR="00507742" w:rsidRPr="00155F26" w:rsidRDefault="00507742" w:rsidP="002A1E25">
      <w:pPr>
        <w:pStyle w:val="Heading4"/>
      </w:pPr>
      <w:r>
        <w:t>Health equity continues to be a challenge</w:t>
      </w:r>
    </w:p>
    <w:p w14:paraId="7E0DC360" w14:textId="77777777" w:rsidR="00507742" w:rsidRDefault="00507742" w:rsidP="00BF1CEB">
      <w:pPr>
        <w:pStyle w:val="Bullet"/>
      </w:pPr>
      <w:r w:rsidRPr="00B3068B">
        <w:t>Māori, Pacific peoples</w:t>
      </w:r>
      <w:r>
        <w:t>,</w:t>
      </w:r>
      <w:r w:rsidRPr="00B3068B">
        <w:t xml:space="preserve"> socioeconomically disadvantaged groups </w:t>
      </w:r>
      <w:r>
        <w:t xml:space="preserve">and disabled people </w:t>
      </w:r>
      <w:r w:rsidRPr="00B3068B">
        <w:t>generally experience worse health outcomes than other New Zealanders</w:t>
      </w:r>
      <w:r>
        <w:t>.</w:t>
      </w:r>
    </w:p>
    <w:p w14:paraId="710D32E2" w14:textId="00CFBAA0" w:rsidR="002542AA" w:rsidRDefault="00D036E7" w:rsidP="00BF1CEB">
      <w:pPr>
        <w:pStyle w:val="Bullet"/>
      </w:pPr>
      <w:r>
        <w:t>L</w:t>
      </w:r>
      <w:r w:rsidR="00507742">
        <w:t xml:space="preserve">ife expectancy </w:t>
      </w:r>
      <w:r>
        <w:t xml:space="preserve">for Māori and Pacific people </w:t>
      </w:r>
      <w:r w:rsidR="00507742">
        <w:t>is currently five</w:t>
      </w:r>
      <w:r w:rsidR="00507742" w:rsidRPr="007C35C7">
        <w:t xml:space="preserve"> to </w:t>
      </w:r>
      <w:r w:rsidR="00507742">
        <w:t>seven</w:t>
      </w:r>
      <w:r w:rsidR="00507742" w:rsidRPr="007C35C7">
        <w:t xml:space="preserve"> years</w:t>
      </w:r>
      <w:r w:rsidR="00507742">
        <w:t xml:space="preserve"> lower than for non-Māori and non-Pacific people</w:t>
      </w:r>
      <w:r w:rsidR="00507742" w:rsidRPr="007C35C7">
        <w:t>.</w:t>
      </w:r>
    </w:p>
    <w:p w14:paraId="2265EF6E" w14:textId="2F088330" w:rsidR="00507742" w:rsidRDefault="00507742" w:rsidP="00BF1CEB">
      <w:pPr>
        <w:pStyle w:val="Bullet"/>
      </w:pPr>
      <w:r w:rsidRPr="00AC4CB7">
        <w:t xml:space="preserve">Māori have </w:t>
      </w:r>
      <w:r w:rsidR="004E68C6">
        <w:t>worse</w:t>
      </w:r>
      <w:r w:rsidR="004E68C6" w:rsidRPr="00AC4CB7">
        <w:t xml:space="preserve"> </w:t>
      </w:r>
      <w:r w:rsidRPr="00AC4CB7">
        <w:t xml:space="preserve">health outcomes than non-Māori for </w:t>
      </w:r>
      <w:r>
        <w:t>most health</w:t>
      </w:r>
      <w:r w:rsidRPr="00AC4CB7">
        <w:t xml:space="preserve"> indicators, including higher mortality rates for ischaemic heart disease, stroke</w:t>
      </w:r>
      <w:r>
        <w:t>,</w:t>
      </w:r>
      <w:r w:rsidRPr="00AC4CB7">
        <w:t xml:space="preserve"> </w:t>
      </w:r>
      <w:r w:rsidR="004E68C6">
        <w:t xml:space="preserve">all </w:t>
      </w:r>
      <w:r w:rsidRPr="00AC4CB7">
        <w:t xml:space="preserve">cancers </w:t>
      </w:r>
      <w:r w:rsidR="004E68C6">
        <w:t xml:space="preserve">combined </w:t>
      </w:r>
      <w:r>
        <w:t>and chronic respiratory diseases</w:t>
      </w:r>
      <w:r w:rsidRPr="00AC4CB7">
        <w:t xml:space="preserve">. Some of these differences are due to higher exposure to risk factors, </w:t>
      </w:r>
      <w:r>
        <w:t>particularly</w:t>
      </w:r>
      <w:r w:rsidRPr="00AC4CB7">
        <w:t xml:space="preserve"> smoking.</w:t>
      </w:r>
      <w:r>
        <w:t xml:space="preserve"> Māori experience higher rates of unmet need for health care and have lower coverage rates for preventive health services (eg, immunisation and cancer screening).</w:t>
      </w:r>
    </w:p>
    <w:p w14:paraId="3B9F1505" w14:textId="749D99A8" w:rsidR="00507742" w:rsidRDefault="00507742" w:rsidP="00BF1CEB">
      <w:pPr>
        <w:pStyle w:val="Bullet"/>
      </w:pPr>
      <w:r w:rsidRPr="00DF63F9">
        <w:t xml:space="preserve">Pacific peoples also </w:t>
      </w:r>
      <w:r>
        <w:t>do</w:t>
      </w:r>
      <w:r w:rsidRPr="00DF63F9">
        <w:t xml:space="preserve"> less well for </w:t>
      </w:r>
      <w:r>
        <w:t>many</w:t>
      </w:r>
      <w:r w:rsidRPr="00DF63F9">
        <w:t xml:space="preserve"> health indicators. For example, they have very high rates of obesity and diabetes. </w:t>
      </w:r>
      <w:r>
        <w:t xml:space="preserve">Pacific children are disproportionately affected by infectious diseases, such as measles and rheumatic fever. </w:t>
      </w:r>
      <w:r w:rsidRPr="00DF63F9">
        <w:t xml:space="preserve">Pacific peoples experience higher levels of unmet need for </w:t>
      </w:r>
      <w:r>
        <w:t>primary health</w:t>
      </w:r>
      <w:r w:rsidRPr="00DF63F9">
        <w:t xml:space="preserve"> care</w:t>
      </w:r>
      <w:r>
        <w:t>; key barriers to access are</w:t>
      </w:r>
      <w:r w:rsidRPr="00DF63F9">
        <w:t xml:space="preserve"> the cost</w:t>
      </w:r>
      <w:r>
        <w:t>s</w:t>
      </w:r>
      <w:r w:rsidRPr="00DF63F9">
        <w:t xml:space="preserve"> of GP visits and prescriptions.</w:t>
      </w:r>
      <w:r>
        <w:t xml:space="preserve"> Rates of </w:t>
      </w:r>
      <w:r w:rsidR="004E68C6">
        <w:t>ambulatory sensitive</w:t>
      </w:r>
      <w:r>
        <w:t xml:space="preserve"> hospitalisations in Pacific peoples are about twice the national average.</w:t>
      </w:r>
    </w:p>
    <w:p w14:paraId="60F63449" w14:textId="77777777" w:rsidR="002542AA" w:rsidRDefault="00507742" w:rsidP="00BF1CEB">
      <w:pPr>
        <w:pStyle w:val="Bullet"/>
      </w:pPr>
      <w:r>
        <w:t>Currently, information on health outcomes, risk factors and protective factors for disabled people is limited. However, from 2019/20 the New Zealand Health Survey will include results by disability status.</w:t>
      </w:r>
    </w:p>
    <w:p w14:paraId="6040BBB2" w14:textId="77777777" w:rsidR="00507742" w:rsidRPr="007C35C7" w:rsidRDefault="00507742" w:rsidP="00BF1CEB"/>
    <w:p w14:paraId="2E6D7A13" w14:textId="5D1CBE56" w:rsidR="00507742" w:rsidRPr="007C35C7" w:rsidRDefault="00507742" w:rsidP="002A1E25">
      <w:pPr>
        <w:pStyle w:val="Heading4"/>
      </w:pPr>
      <w:r w:rsidRPr="007C35C7">
        <w:lastRenderedPageBreak/>
        <w:t xml:space="preserve">Some determinants of health lie outside the </w:t>
      </w:r>
      <w:r>
        <w:t xml:space="preserve">control of individuals and the </w:t>
      </w:r>
      <w:r w:rsidR="00F61CFE">
        <w:t>health and disability system</w:t>
      </w:r>
    </w:p>
    <w:p w14:paraId="38F0FFA6" w14:textId="32BED045" w:rsidR="00507742" w:rsidRDefault="00507742" w:rsidP="00BF1CEB">
      <w:pPr>
        <w:pStyle w:val="Bullet"/>
      </w:pPr>
      <w:r w:rsidRPr="00E97CC6">
        <w:t>Many underlying causes of ill</w:t>
      </w:r>
      <w:r>
        <w:t xml:space="preserve"> </w:t>
      </w:r>
      <w:r w:rsidRPr="00E97CC6">
        <w:t xml:space="preserve">health lie beyond </w:t>
      </w:r>
      <w:r>
        <w:t>what</w:t>
      </w:r>
      <w:r w:rsidRPr="00E97CC6">
        <w:t xml:space="preserve"> individuals </w:t>
      </w:r>
      <w:r>
        <w:t xml:space="preserve">can control </w:t>
      </w:r>
      <w:r w:rsidRPr="00E97CC6">
        <w:t xml:space="preserve">in their day-to-day lives, and even beyond the </w:t>
      </w:r>
      <w:r w:rsidR="00F61CFE">
        <w:t>health and disability system</w:t>
      </w:r>
      <w:r w:rsidR="002542AA">
        <w:t>’</w:t>
      </w:r>
      <w:r>
        <w:t>s influence</w:t>
      </w:r>
      <w:r w:rsidRPr="00800664">
        <w:t xml:space="preserve">. Addressing the socioeconomic determinants of health will </w:t>
      </w:r>
      <w:r>
        <w:t>both</w:t>
      </w:r>
      <w:r w:rsidRPr="00800664">
        <w:t xml:space="preserve"> help reduce health inequities</w:t>
      </w:r>
      <w:r>
        <w:t xml:space="preserve"> between groups and</w:t>
      </w:r>
      <w:r w:rsidRPr="00800664">
        <w:t xml:space="preserve"> improve the health of all New Zealanders</w:t>
      </w:r>
      <w:r>
        <w:t>.</w:t>
      </w:r>
    </w:p>
    <w:p w14:paraId="108C477E" w14:textId="5D48B78A" w:rsidR="00507742" w:rsidRPr="007C35C7" w:rsidRDefault="00507742" w:rsidP="00BF1CEB">
      <w:pPr>
        <w:pStyle w:val="Bullet"/>
      </w:pPr>
      <w:r w:rsidRPr="00A66823">
        <w:t xml:space="preserve">Poverty can negatively affect health in a number of ways, including through poor or no housing, inadequate nutrition </w:t>
      </w:r>
      <w:r>
        <w:t>and</w:t>
      </w:r>
      <w:r w:rsidRPr="00A66823">
        <w:t xml:space="preserve"> lack of access to health care</w:t>
      </w:r>
      <w:r w:rsidRPr="007C35C7">
        <w:t>.</w:t>
      </w:r>
      <w:r>
        <w:t xml:space="preserve"> </w:t>
      </w:r>
      <w:r w:rsidR="00D036E7">
        <w:t xml:space="preserve">Just under </w:t>
      </w:r>
      <w:r>
        <w:t>one in seven children lives in a household that receives less than half of the median household income. Although children from all ethnic groups live in households with low income and relative material hardship, Māori and Pacific children are disproportionately affected.</w:t>
      </w:r>
    </w:p>
    <w:p w14:paraId="709F6B7C" w14:textId="77777777" w:rsidR="00507742" w:rsidRDefault="00507742" w:rsidP="00BF1CEB">
      <w:pPr>
        <w:pStyle w:val="Bullet"/>
      </w:pPr>
      <w:r>
        <w:t>About one in five homes is affected by damp. About 4 percent of homes always have visible mould larger than an A4 sheet of paper. Pacific peoples, Māori and disabled people are more likely to live in houses with damp and mould.</w:t>
      </w:r>
    </w:p>
    <w:p w14:paraId="2EEB7586" w14:textId="77777777" w:rsidR="00507742" w:rsidRPr="007C35C7" w:rsidRDefault="00507742" w:rsidP="00BF1CEB">
      <w:pPr>
        <w:pStyle w:val="Bullet"/>
      </w:pPr>
      <w:r>
        <w:t>Household crowding increases health risks, particularly risks of infectious diseases. About one in ten New Zealanders lives in a crowded house. The rate is much higher for Pacific peoples.</w:t>
      </w:r>
    </w:p>
    <w:p w14:paraId="1A086ABA" w14:textId="77777777" w:rsidR="00F16595" w:rsidRDefault="00F16595" w:rsidP="00BF1CEB"/>
    <w:p w14:paraId="4FF31B44" w14:textId="77777777" w:rsidR="001D3E4E" w:rsidRDefault="001D3E4E" w:rsidP="003A5FEA">
      <w:pPr>
        <w:sectPr w:rsidR="001D3E4E" w:rsidSect="00925892">
          <w:footerReference w:type="even" r:id="rId29"/>
          <w:pgSz w:w="11907" w:h="16840" w:code="9"/>
          <w:pgMar w:top="1418" w:right="1701" w:bottom="1134" w:left="1843" w:header="284" w:footer="425" w:gutter="284"/>
          <w:pgNumType w:fmt="lowerRoman"/>
          <w:cols w:space="720"/>
        </w:sectPr>
      </w:pPr>
    </w:p>
    <w:p w14:paraId="3C69D44C" w14:textId="77777777" w:rsidR="00507742" w:rsidRDefault="00507742" w:rsidP="00507742">
      <w:pPr>
        <w:pStyle w:val="Heading1"/>
      </w:pPr>
      <w:bookmarkStart w:id="8" w:name="_Toc64536233"/>
      <w:r>
        <w:lastRenderedPageBreak/>
        <w:t>About this report |</w:t>
      </w:r>
      <w:r w:rsidR="002542AA">
        <w:t xml:space="preserve"> </w:t>
      </w:r>
      <w:r w:rsidRPr="00D4208C">
        <w:t>Kōrero tīmatanga</w:t>
      </w:r>
      <w:bookmarkEnd w:id="8"/>
    </w:p>
    <w:p w14:paraId="43024439" w14:textId="49B6061E" w:rsidR="00507742" w:rsidRDefault="00507742" w:rsidP="00FC33F9">
      <w:r>
        <w:t>The Health and Independence Report presents an overview of the state of health and wellbeing of New Zealanders on behalf of the Director-General of Health. It draws on information from a range of sources. It is prepared annually in line with section 3 of the Health Act 1956. This report complements the Ministry</w:t>
      </w:r>
      <w:r w:rsidR="002542AA">
        <w:t>’</w:t>
      </w:r>
      <w:r>
        <w:t xml:space="preserve">s Annual Report (Ministry of Health 2020a), which includes detailed information on the strategic direction of the health and disability system and measures of the </w:t>
      </w:r>
      <w:r w:rsidR="00F61CFE">
        <w:t>health and disability system</w:t>
      </w:r>
      <w:r w:rsidR="002542AA">
        <w:t>’</w:t>
      </w:r>
      <w:r>
        <w:t>s performance and impact.</w:t>
      </w:r>
    </w:p>
    <w:p w14:paraId="490005AA" w14:textId="77777777" w:rsidR="00507742" w:rsidRDefault="00507742" w:rsidP="00FC33F9"/>
    <w:p w14:paraId="20E62520" w14:textId="671596B2" w:rsidR="002542AA" w:rsidRDefault="00507742" w:rsidP="00507742">
      <w:r>
        <w:t>The 20</w:t>
      </w:r>
      <w:r w:rsidRPr="00FC33F9">
        <w:t>1</w:t>
      </w:r>
      <w:r>
        <w:t xml:space="preserve">9 report covers the period up to the end of 2019, so it does not include any data on COVID-19. The Ministry has begun planning for the </w:t>
      </w:r>
      <w:r w:rsidRPr="00AA5DA9">
        <w:rPr>
          <w:i/>
        </w:rPr>
        <w:t>Health and Independence Report 2020</w:t>
      </w:r>
      <w:r>
        <w:t xml:space="preserve">, which will be published in 2021. COVID-19 has revealed a lot about the strengths, weaknesses, and performance of the health and disability system, and there is still a lot to understand about the impact this has had on New Zealanders. The 2020 report will canvas this impact, including how primary and community care had to shift to providing appointments over the phone or internet, the disruption of other services as the health </w:t>
      </w:r>
      <w:r w:rsidR="00F61CFE">
        <w:t xml:space="preserve">and disability system </w:t>
      </w:r>
      <w:r>
        <w:t>dedicated their resources to preparing for widespread community transmission, and the impact the pandemic has had on people</w:t>
      </w:r>
      <w:r w:rsidR="002542AA">
        <w:t>’</w:t>
      </w:r>
      <w:r>
        <w:t>s mental health and wellbeing. Due to time lags in data, some of these topics may be covered in reports after 2020.</w:t>
      </w:r>
    </w:p>
    <w:p w14:paraId="382AF259" w14:textId="77777777" w:rsidR="00507742" w:rsidRDefault="00507742" w:rsidP="00FC33F9"/>
    <w:p w14:paraId="62A0233C" w14:textId="77777777" w:rsidR="00507742" w:rsidRDefault="00507742" w:rsidP="00FC33F9">
      <w:bookmarkStart w:id="9" w:name="_Hlk55569928"/>
      <w:r>
        <w:t>This year</w:t>
      </w:r>
      <w:r w:rsidR="002542AA">
        <w:t>’</w:t>
      </w:r>
      <w:r>
        <w:t xml:space="preserve">s Health and Independence Report contains </w:t>
      </w:r>
      <w:bookmarkEnd w:id="9"/>
      <w:r>
        <w:t>the following sections:</w:t>
      </w:r>
    </w:p>
    <w:p w14:paraId="3474AC02" w14:textId="77777777" w:rsidR="00507742" w:rsidRDefault="00507742" w:rsidP="00FC33F9">
      <w:pPr>
        <w:pStyle w:val="Bullet"/>
      </w:pPr>
      <w:r>
        <w:t>Starting point – an overview of our population</w:t>
      </w:r>
    </w:p>
    <w:p w14:paraId="7AF7A230" w14:textId="22CDFAFB" w:rsidR="00507742" w:rsidRDefault="00507742" w:rsidP="00FC33F9">
      <w:pPr>
        <w:pStyle w:val="Bullet"/>
      </w:pPr>
      <w:r>
        <w:t>Population health measures – including life expectancy, health expectancy</w:t>
      </w:r>
      <w:r w:rsidR="004E68C6">
        <w:t>, health loss</w:t>
      </w:r>
      <w:r w:rsidR="00FF5377">
        <w:t>,</w:t>
      </w:r>
      <w:r>
        <w:t xml:space="preserve"> morbidity and mortality</w:t>
      </w:r>
    </w:p>
    <w:p w14:paraId="091606FF" w14:textId="77777777" w:rsidR="004E68C6" w:rsidRDefault="004E68C6">
      <w:pPr>
        <w:pStyle w:val="Bullet"/>
      </w:pPr>
      <w:r>
        <w:t>Causes of health loss – including cancers, cardiovascular and cerebrovascular diseases, diabetes, mental health conditions, musculoskeletal conditions, chronic respiratory diseases and oral health</w:t>
      </w:r>
    </w:p>
    <w:p w14:paraId="2D172C58" w14:textId="77777777" w:rsidR="00507742" w:rsidRDefault="00507742" w:rsidP="00FC33F9">
      <w:pPr>
        <w:pStyle w:val="Bullet"/>
      </w:pPr>
      <w:r>
        <w:t>Determinants of health and wellbeing – socioeconomic, physical environment, health behaviours and health care.</w:t>
      </w:r>
    </w:p>
    <w:p w14:paraId="6D0CFF49" w14:textId="77777777" w:rsidR="00507742" w:rsidRDefault="00507742" w:rsidP="00FC33F9"/>
    <w:p w14:paraId="26AA9320" w14:textId="77777777" w:rsidR="00507742" w:rsidRDefault="00507742" w:rsidP="00FC33F9">
      <w:r>
        <w:t xml:space="preserve">Health can be measured in many different ways. This report uses measures of the occurrence of diseases and risk factors (eg, incidence and prevalence), mortality and health loss. Health loss is the gap between the state of health of the current population and that of an ideal population in which everyone lives a long life free from illness and disability. Health loss is measured using the disability-adjusted life year (DALY), which combines information on both fatal (early death) and non-fatal (illness or disability) outcomes. </w:t>
      </w:r>
      <w:r w:rsidRPr="00B03635">
        <w:t>One DALY represents the loss of one year of life lived in good health.</w:t>
      </w:r>
    </w:p>
    <w:p w14:paraId="78DAF2FC" w14:textId="77777777" w:rsidR="00507742" w:rsidRDefault="00507742" w:rsidP="00FC33F9"/>
    <w:p w14:paraId="02A8AEE1" w14:textId="77777777" w:rsidR="00507742" w:rsidRDefault="00507742" w:rsidP="00FC33F9">
      <w:r>
        <w:t xml:space="preserve">This report uses data available from a range of sources, including the national administrative data sets (such as the Mortality Collection), the New Zealand Health Survey and the Global Burden of Disease Study, as well as data from other </w:t>
      </w:r>
      <w:r w:rsidRPr="00952261">
        <w:t xml:space="preserve">agencies, </w:t>
      </w:r>
      <w:r w:rsidRPr="00952261">
        <w:lastRenderedPageBreak/>
        <w:t xml:space="preserve">such as Stats </w:t>
      </w:r>
      <w:r>
        <w:t>NZ</w:t>
      </w:r>
      <w:r w:rsidRPr="00952261">
        <w:t>. This report describes the latest data and trends. It tells us what is happening, but not why.</w:t>
      </w:r>
    </w:p>
    <w:p w14:paraId="1C498EA2" w14:textId="77777777" w:rsidR="00FC33F9" w:rsidRDefault="00FC33F9" w:rsidP="00FC33F9"/>
    <w:p w14:paraId="4CF1ACBA" w14:textId="64108B98" w:rsidR="00507742" w:rsidRDefault="00507742" w:rsidP="00FC33F9">
      <w:r w:rsidRPr="00952261">
        <w:t xml:space="preserve">All data reported is the latest available at the time of writing, although the time lag between the most recent data and the present can be substantial. For example, the most recent mortality data </w:t>
      </w:r>
      <w:r>
        <w:t>is</w:t>
      </w:r>
      <w:r w:rsidRPr="00952261">
        <w:t xml:space="preserve"> for 2016 (although the report</w:t>
      </w:r>
      <w:r>
        <w:t xml:space="preserve"> include</w:t>
      </w:r>
      <w:r w:rsidR="006D41BC">
        <w:t>s</w:t>
      </w:r>
      <w:r w:rsidRPr="00952261">
        <w:t xml:space="preserve"> provisional 2017 data</w:t>
      </w:r>
      <w:r w:rsidR="006D41BC">
        <w:t xml:space="preserve"> where possible</w:t>
      </w:r>
      <w:r w:rsidRPr="00952261">
        <w:t>).</w:t>
      </w:r>
      <w:r>
        <w:t xml:space="preserve"> For recent years, data from the Global Burden of Disease Study is based on modelling.</w:t>
      </w:r>
    </w:p>
    <w:p w14:paraId="6E7C3E2C" w14:textId="77777777" w:rsidR="00507742" w:rsidRDefault="00507742" w:rsidP="00FC33F9"/>
    <w:p w14:paraId="2F6A1FB0" w14:textId="77777777" w:rsidR="002542AA" w:rsidRDefault="00507742" w:rsidP="00FC33F9">
      <w:r>
        <w:t>Where possible, the report includes time trends and presents information by sex, age and ethnic group. It also presents selected results by neighbourhood deprivation, as measured by the New Zealand Index of Deprivation.</w:t>
      </w:r>
    </w:p>
    <w:p w14:paraId="154E669A" w14:textId="77777777" w:rsidR="00507742" w:rsidRDefault="00507742" w:rsidP="00FC33F9"/>
    <w:p w14:paraId="7BC2D63E" w14:textId="77777777" w:rsidR="00507742" w:rsidRDefault="00507742" w:rsidP="00572CF6">
      <w:pPr>
        <w:pStyle w:val="Heading1"/>
      </w:pPr>
      <w:bookmarkStart w:id="10" w:name="_Toc57295666"/>
      <w:bookmarkStart w:id="11" w:name="_Toc64536234"/>
      <w:r>
        <w:lastRenderedPageBreak/>
        <w:t xml:space="preserve">Starting point </w:t>
      </w:r>
      <w:r w:rsidRPr="002A586E">
        <w:t>| Ōrokotīmatanga</w:t>
      </w:r>
      <w:bookmarkEnd w:id="10"/>
      <w:bookmarkEnd w:id="11"/>
    </w:p>
    <w:p w14:paraId="7CA2007B" w14:textId="77777777" w:rsidR="00507742" w:rsidRDefault="00507742" w:rsidP="00572CF6">
      <w:pPr>
        <w:pStyle w:val="Introductoryparagraph"/>
      </w:pPr>
      <w:r w:rsidRPr="00AF7928">
        <w:t>New Zealand has a diverse, growing and ageing population. We must meet the health and disability needs of all New Zealanders.</w:t>
      </w:r>
    </w:p>
    <w:p w14:paraId="6DF9678A" w14:textId="77777777" w:rsidR="00701607" w:rsidRPr="00701607" w:rsidRDefault="00701607" w:rsidP="00701607"/>
    <w:p w14:paraId="140618E3" w14:textId="77777777" w:rsidR="00507742" w:rsidRDefault="00507742" w:rsidP="00572CF6">
      <w:pPr>
        <w:pStyle w:val="Heading2"/>
      </w:pPr>
      <w:bookmarkStart w:id="12" w:name="_TOC_250030"/>
      <w:bookmarkStart w:id="13" w:name="_Toc57295667"/>
      <w:bookmarkStart w:id="14" w:name="_Toc64536235"/>
      <w:bookmarkStart w:id="15" w:name="_Hlk56507891"/>
      <w:r w:rsidRPr="007D038A">
        <w:t xml:space="preserve">Our </w:t>
      </w:r>
      <w:bookmarkEnd w:id="12"/>
      <w:r>
        <w:t>population</w:t>
      </w:r>
      <w:bookmarkEnd w:id="13"/>
      <w:bookmarkEnd w:id="14"/>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0ED953ED" w14:textId="77777777" w:rsidTr="00572CF6">
        <w:trPr>
          <w:cantSplit/>
        </w:trPr>
        <w:tc>
          <w:tcPr>
            <w:tcW w:w="7973" w:type="dxa"/>
          </w:tcPr>
          <w:p w14:paraId="48F58AC4" w14:textId="77777777" w:rsidR="00507742" w:rsidRPr="00933A6B" w:rsidRDefault="00507742" w:rsidP="00572CF6">
            <w:pPr>
              <w:pStyle w:val="TableText"/>
              <w:rPr>
                <w:color w:val="0A6AB4"/>
                <w:sz w:val="24"/>
                <w:szCs w:val="24"/>
              </w:rPr>
            </w:pPr>
            <w:r w:rsidRPr="001327B6">
              <w:rPr>
                <w:color w:val="0A6AB4"/>
                <w:sz w:val="24"/>
                <w:szCs w:val="24"/>
              </w:rPr>
              <w:t>Aotearoa New Zealand is home to five million people: a</w:t>
            </w:r>
            <w:r w:rsidR="00572CF6">
              <w:rPr>
                <w:color w:val="0A6AB4"/>
                <w:sz w:val="24"/>
                <w:szCs w:val="24"/>
              </w:rPr>
              <w:t xml:space="preserve"> </w:t>
            </w:r>
            <w:r w:rsidRPr="001327B6">
              <w:rPr>
                <w:color w:val="0A6AB4"/>
                <w:sz w:val="24"/>
                <w:szCs w:val="24"/>
              </w:rPr>
              <w:t xml:space="preserve">population that </w:t>
            </w:r>
            <w:r>
              <w:rPr>
                <w:color w:val="0A6AB4"/>
                <w:sz w:val="24"/>
                <w:szCs w:val="24"/>
              </w:rPr>
              <w:t>has grown rapidly and become more ethnically diverse</w:t>
            </w:r>
          </w:p>
        </w:tc>
      </w:tr>
    </w:tbl>
    <w:p w14:paraId="427572F4" w14:textId="77777777" w:rsidR="00507742" w:rsidRPr="001327B6" w:rsidRDefault="00507742" w:rsidP="00572CF6"/>
    <w:p w14:paraId="2EC7DBE6" w14:textId="69C8290C" w:rsidR="002542AA" w:rsidRDefault="00507742" w:rsidP="00572CF6">
      <w:r>
        <w:t xml:space="preserve">Our population is growing and changing. The increasing size, diversity and age of the New Zealand population impacts on the health </w:t>
      </w:r>
      <w:r w:rsidR="00F61CFE">
        <w:t xml:space="preserve">and disability system </w:t>
      </w:r>
      <w:r>
        <w:t>by increasing the demand for its services.</w:t>
      </w:r>
    </w:p>
    <w:p w14:paraId="444BD78D" w14:textId="77777777" w:rsidR="00507742" w:rsidRDefault="00507742" w:rsidP="00572CF6"/>
    <w:p w14:paraId="2C9923A0" w14:textId="77777777" w:rsidR="002542AA" w:rsidRDefault="00507742" w:rsidP="00572CF6">
      <w:r w:rsidRPr="00B55355">
        <w:t xml:space="preserve">As at December 2019, New Zealand had an estimated resident population of </w:t>
      </w:r>
      <w:r w:rsidRPr="004327C1">
        <w:t>5.04 million (Stats NZ 2020a).</w:t>
      </w:r>
    </w:p>
    <w:p w14:paraId="09F87E14" w14:textId="77777777" w:rsidR="00507742" w:rsidRPr="004327C1" w:rsidRDefault="00507742" w:rsidP="00572CF6"/>
    <w:p w14:paraId="1D098DA6" w14:textId="77777777" w:rsidR="002542AA" w:rsidRDefault="00507742" w:rsidP="00572CF6">
      <w:r w:rsidRPr="004327C1">
        <w:t>Data from June 2018 and 2013 show</w:t>
      </w:r>
      <w:r>
        <w:t>s</w:t>
      </w:r>
      <w:r w:rsidRPr="004327C1">
        <w:t xml:space="preserve"> how our population has changed in recent years (Stats NZ 2020b). Over this five-year period, our population increased by</w:t>
      </w:r>
      <w:r>
        <w:t xml:space="preserve"> 458,500 (10</w:t>
      </w:r>
      <w:r w:rsidR="00572CF6">
        <w:t> </w:t>
      </w:r>
      <w:r>
        <w:t xml:space="preserve">percent). The average annual growth was 91,700, which is equivalent to a new city between the size of Palmerston North and </w:t>
      </w:r>
      <w:r w:rsidRPr="008C0A18">
        <w:t>Dunedin</w:t>
      </w:r>
      <w:r>
        <w:t xml:space="preserve"> every year. This</w:t>
      </w:r>
      <w:r w:rsidRPr="009F7730">
        <w:t xml:space="preserve"> </w:t>
      </w:r>
      <w:r>
        <w:t xml:space="preserve">population </w:t>
      </w:r>
      <w:r w:rsidRPr="009F7730">
        <w:t>growth was driven by high levels of net migratio</w:t>
      </w:r>
      <w:r>
        <w:t>n, with natural</w:t>
      </w:r>
      <w:r w:rsidRPr="009F7730">
        <w:t xml:space="preserve"> increase (births minus deaths)</w:t>
      </w:r>
      <w:r>
        <w:t xml:space="preserve"> accounting for one-third of this growth (Stats NZ 2020c).</w:t>
      </w:r>
    </w:p>
    <w:p w14:paraId="128BDE9E" w14:textId="77777777" w:rsidR="00507742" w:rsidRDefault="00507742" w:rsidP="00572CF6">
      <w:pPr>
        <w:spacing w:after="240"/>
      </w:pP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52766FE2" w14:textId="77777777" w:rsidTr="00572CF6">
        <w:trPr>
          <w:cantSplit/>
        </w:trPr>
        <w:tc>
          <w:tcPr>
            <w:tcW w:w="7973" w:type="dxa"/>
          </w:tcPr>
          <w:p w14:paraId="1AE8078D" w14:textId="77777777" w:rsidR="00507742" w:rsidRPr="00933A6B" w:rsidRDefault="00507742" w:rsidP="00572CF6">
            <w:pPr>
              <w:pStyle w:val="TableText"/>
              <w:rPr>
                <w:color w:val="0A6AB4"/>
                <w:sz w:val="24"/>
                <w:szCs w:val="24"/>
              </w:rPr>
            </w:pPr>
            <w:r>
              <w:rPr>
                <w:color w:val="0A6AB4"/>
                <w:sz w:val="24"/>
                <w:szCs w:val="24"/>
              </w:rPr>
              <w:t>The biggest growth has occurred among those aged 25</w:t>
            </w:r>
            <w:r w:rsidRPr="00A54EC4">
              <w:rPr>
                <w:color w:val="0A6AB4"/>
                <w:sz w:val="24"/>
                <w:szCs w:val="24"/>
              </w:rPr>
              <w:t>–</w:t>
            </w:r>
            <w:r>
              <w:rPr>
                <w:color w:val="0A6AB4"/>
                <w:sz w:val="24"/>
                <w:szCs w:val="24"/>
              </w:rPr>
              <w:t>34 years</w:t>
            </w:r>
          </w:p>
        </w:tc>
      </w:tr>
    </w:tbl>
    <w:p w14:paraId="24AF0BC4" w14:textId="77777777" w:rsidR="00507742" w:rsidRPr="001327B6" w:rsidRDefault="00507742" w:rsidP="00572CF6"/>
    <w:p w14:paraId="6A632FCC" w14:textId="4EFE3F04" w:rsidR="00507742" w:rsidRDefault="00507742" w:rsidP="00572CF6">
      <w:r>
        <w:t xml:space="preserve">As </w:t>
      </w:r>
      <w:r w:rsidR="00572CF6">
        <w:fldChar w:fldCharType="begin"/>
      </w:r>
      <w:r w:rsidR="00572CF6">
        <w:instrText xml:space="preserve"> REF _Ref57367556 \h </w:instrText>
      </w:r>
      <w:r w:rsidR="00572CF6">
        <w:fldChar w:fldCharType="separate"/>
      </w:r>
      <w:r w:rsidR="003F39AB">
        <w:t xml:space="preserve">Figure </w:t>
      </w:r>
      <w:r w:rsidR="003F39AB">
        <w:rPr>
          <w:noProof/>
        </w:rPr>
        <w:t>1</w:t>
      </w:r>
      <w:r w:rsidR="00572CF6">
        <w:fldChar w:fldCharType="end"/>
      </w:r>
      <w:r>
        <w:t xml:space="preserve"> shows, the size of all age groups has increased since 2013 but the </w:t>
      </w:r>
      <w:r w:rsidRPr="00506763">
        <w:t>rate</w:t>
      </w:r>
      <w:r>
        <w:t xml:space="preserve"> of growth was highest among those aged 25</w:t>
      </w:r>
      <w:r w:rsidRPr="00A54EC4">
        <w:t>–</w:t>
      </w:r>
      <w:r>
        <w:t>34 years (a 29 percent increase) – this is a result of net migration. The next highest rate of growth was among those aged 65</w:t>
      </w:r>
      <w:r w:rsidR="00572CF6">
        <w:t> </w:t>
      </w:r>
      <w:r>
        <w:t xml:space="preserve">years and over (17 percent overall), which is mainly due to population ageing. </w:t>
      </w:r>
      <w:r w:rsidRPr="003059AE">
        <w:t xml:space="preserve">One in six (15 percent) people </w:t>
      </w:r>
      <w:r>
        <w:t>is</w:t>
      </w:r>
      <w:r w:rsidRPr="003059AE">
        <w:t xml:space="preserve"> now aged 65 years or older</w:t>
      </w:r>
      <w:r>
        <w:t>.</w:t>
      </w:r>
    </w:p>
    <w:p w14:paraId="7A2D9DE4" w14:textId="77777777" w:rsidR="00507742" w:rsidRDefault="00507742" w:rsidP="00572CF6"/>
    <w:p w14:paraId="430F2C8A" w14:textId="391FFBED" w:rsidR="00507742" w:rsidRDefault="00572CF6" w:rsidP="00572CF6">
      <w:pPr>
        <w:pStyle w:val="Figure"/>
      </w:pPr>
      <w:bookmarkStart w:id="16" w:name="_Ref57367556"/>
      <w:bookmarkStart w:id="17" w:name="_Toc57295958"/>
      <w:bookmarkStart w:id="18" w:name="_Toc64536258"/>
      <w:r>
        <w:lastRenderedPageBreak/>
        <w:t xml:space="preserve">Figure </w:t>
      </w:r>
      <w:fldSimple w:instr=" SEQ Figure \* ARABIC ">
        <w:r w:rsidR="003F39AB">
          <w:rPr>
            <w:noProof/>
          </w:rPr>
          <w:t>1</w:t>
        </w:r>
      </w:fldSimple>
      <w:bookmarkEnd w:id="16"/>
      <w:r w:rsidR="00507742">
        <w:t>: Estimated resident population, by age group, 2013 and 2018</w:t>
      </w:r>
      <w:bookmarkEnd w:id="17"/>
      <w:bookmarkEnd w:id="18"/>
    </w:p>
    <w:p w14:paraId="382C7596" w14:textId="6C061DED" w:rsidR="00507742" w:rsidRDefault="00EC60FD" w:rsidP="006C3C53">
      <w:r w:rsidRPr="00A65244">
        <w:rPr>
          <w:noProof/>
          <w:lang w:eastAsia="en-NZ"/>
        </w:rPr>
        <w:drawing>
          <wp:inline distT="0" distB="0" distL="0" distR="0" wp14:anchorId="41B6EC1B" wp14:editId="09140A35">
            <wp:extent cx="5130165" cy="3129280"/>
            <wp:effectExtent l="0" t="0" r="0" b="0"/>
            <wp:docPr id="4" name="Picture 4" descr="This bar graph shows that there are more people in every age group in 2018 then there were in 2013. The largest growth occurred in the 25-34 age group, followed by the 55-64 and 56-74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30165" cy="3129280"/>
                    </a:xfrm>
                    <a:prstGeom prst="rect">
                      <a:avLst/>
                    </a:prstGeom>
                  </pic:spPr>
                </pic:pic>
              </a:graphicData>
            </a:graphic>
          </wp:inline>
        </w:drawing>
      </w:r>
    </w:p>
    <w:p w14:paraId="1CA7D1F6" w14:textId="0AD36E89" w:rsidR="00507742" w:rsidRDefault="00507742" w:rsidP="00572CF6">
      <w:pPr>
        <w:pStyle w:val="Source"/>
      </w:pPr>
      <w:r w:rsidRPr="004327C1">
        <w:t xml:space="preserve">Source: Stats NZ </w:t>
      </w:r>
      <w:r w:rsidR="009E77CA">
        <w:t>(</w:t>
      </w:r>
      <w:r w:rsidRPr="004327C1">
        <w:t>2020b</w:t>
      </w:r>
      <w:r w:rsidR="009E77CA">
        <w:t>)</w:t>
      </w:r>
    </w:p>
    <w:p w14:paraId="6D2E955E" w14:textId="77777777" w:rsidR="00507742" w:rsidRPr="0033251D" w:rsidRDefault="00507742" w:rsidP="00572CF6">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40C3B523" w14:textId="77777777" w:rsidTr="00572CF6">
        <w:trPr>
          <w:cantSplit/>
        </w:trPr>
        <w:tc>
          <w:tcPr>
            <w:tcW w:w="7973" w:type="dxa"/>
          </w:tcPr>
          <w:p w14:paraId="2F253089" w14:textId="77777777" w:rsidR="00507742" w:rsidRPr="00933A6B" w:rsidRDefault="00507742" w:rsidP="00572CF6">
            <w:pPr>
              <w:pStyle w:val="TableText"/>
              <w:rPr>
                <w:color w:val="0A6AB4"/>
                <w:sz w:val="24"/>
                <w:szCs w:val="24"/>
              </w:rPr>
            </w:pPr>
            <w:r>
              <w:rPr>
                <w:color w:val="0A6AB4"/>
                <w:sz w:val="24"/>
                <w:szCs w:val="24"/>
              </w:rPr>
              <w:t>The ethnic mix of our population has changed</w:t>
            </w:r>
          </w:p>
        </w:tc>
      </w:tr>
    </w:tbl>
    <w:p w14:paraId="2F08D07D" w14:textId="77777777" w:rsidR="00507742" w:rsidRPr="001327B6" w:rsidRDefault="00507742" w:rsidP="00572CF6"/>
    <w:p w14:paraId="00331DE9" w14:textId="2AA18FD7" w:rsidR="00507742" w:rsidRDefault="00507742" w:rsidP="00572CF6">
      <w:r>
        <w:t xml:space="preserve">As </w:t>
      </w:r>
      <w:r w:rsidR="00572CF6">
        <w:fldChar w:fldCharType="begin"/>
      </w:r>
      <w:r w:rsidR="00572CF6">
        <w:instrText xml:space="preserve"> REF _Ref57367609 \h </w:instrText>
      </w:r>
      <w:r w:rsidR="00572CF6">
        <w:fldChar w:fldCharType="separate"/>
      </w:r>
      <w:r w:rsidR="003F39AB">
        <w:t xml:space="preserve">Table </w:t>
      </w:r>
      <w:r w:rsidR="003F39AB">
        <w:rPr>
          <w:noProof/>
        </w:rPr>
        <w:t>1</w:t>
      </w:r>
      <w:r w:rsidR="00572CF6">
        <w:fldChar w:fldCharType="end"/>
      </w:r>
      <w:r>
        <w:t xml:space="preserve"> shows, the size of all major ethnic groups increased from 2013 to 2018. However, the </w:t>
      </w:r>
      <w:r w:rsidRPr="00F108B1">
        <w:t>rate</w:t>
      </w:r>
      <w:r>
        <w:t xml:space="preserve"> of growth was higher in the Māori, Pacific, Asian and Middle Eastern, Latin American and African</w:t>
      </w:r>
      <w:r w:rsidRPr="00942176">
        <w:t xml:space="preserve"> </w:t>
      </w:r>
      <w:r>
        <w:t>(MELAA) ethnic groups. As a result, these groups now make up an increased proportion of New Zealand</w:t>
      </w:r>
      <w:r w:rsidR="002542AA">
        <w:t>’</w:t>
      </w:r>
      <w:r>
        <w:t>s population. Although the European or Other ethnic group has also increased in size, its rate of growth was slower and so it now makes up a smaller proportion of the population.</w:t>
      </w:r>
    </w:p>
    <w:p w14:paraId="440F2699" w14:textId="77777777" w:rsidR="00507742" w:rsidRDefault="00507742" w:rsidP="00572CF6"/>
    <w:p w14:paraId="144882D8" w14:textId="5C4266C5" w:rsidR="00507742" w:rsidRPr="009A5E21" w:rsidRDefault="00572CF6" w:rsidP="00572CF6">
      <w:pPr>
        <w:pStyle w:val="Table"/>
      </w:pPr>
      <w:bookmarkStart w:id="19" w:name="_Ref57367609"/>
      <w:bookmarkStart w:id="20" w:name="_Toc57273365"/>
      <w:bookmarkStart w:id="21" w:name="_Toc64536283"/>
      <w:r>
        <w:t xml:space="preserve">Table </w:t>
      </w:r>
      <w:fldSimple w:instr=" SEQ Table \* ARABIC ">
        <w:r w:rsidR="003F39AB">
          <w:rPr>
            <w:noProof/>
          </w:rPr>
          <w:t>1</w:t>
        </w:r>
      </w:fldSimple>
      <w:bookmarkEnd w:id="19"/>
      <w:r w:rsidR="00507742" w:rsidRPr="009A5E21">
        <w:t xml:space="preserve">: </w:t>
      </w:r>
      <w:r w:rsidR="00507742">
        <w:t>Estimated resident population, by ethnic group, June 2013 and June 2018</w:t>
      </w:r>
      <w:bookmarkEnd w:id="20"/>
      <w:bookmarkEnd w:id="21"/>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828"/>
        <w:gridCol w:w="1063"/>
        <w:gridCol w:w="1063"/>
        <w:gridCol w:w="1134"/>
        <w:gridCol w:w="992"/>
      </w:tblGrid>
      <w:tr w:rsidR="00572CF6" w:rsidRPr="00572CF6" w14:paraId="74A04349" w14:textId="77777777" w:rsidTr="00572CF6">
        <w:trPr>
          <w:cantSplit/>
        </w:trPr>
        <w:tc>
          <w:tcPr>
            <w:tcW w:w="3828" w:type="dxa"/>
            <w:vMerge w:val="restart"/>
            <w:tcBorders>
              <w:top w:val="nil"/>
              <w:right w:val="single" w:sz="4" w:space="0" w:color="A6A6A6" w:themeColor="background1" w:themeShade="A6"/>
            </w:tcBorders>
            <w:shd w:val="clear" w:color="auto" w:fill="D9D9D9" w:themeFill="background1" w:themeFillShade="D9"/>
          </w:tcPr>
          <w:p w14:paraId="3CD0505E" w14:textId="77777777" w:rsidR="00572CF6" w:rsidRPr="00572CF6" w:rsidRDefault="00572CF6" w:rsidP="00572CF6">
            <w:pPr>
              <w:pStyle w:val="TableText"/>
              <w:rPr>
                <w:b/>
              </w:rPr>
            </w:pPr>
            <w:r w:rsidRPr="00572CF6">
              <w:rPr>
                <w:b/>
              </w:rPr>
              <w:t>Ethnic group</w:t>
            </w:r>
          </w:p>
        </w:tc>
        <w:tc>
          <w:tcPr>
            <w:tcW w:w="2126"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1EA7ECF5" w14:textId="77777777" w:rsidR="00572CF6" w:rsidRPr="00572CF6" w:rsidRDefault="00572CF6" w:rsidP="00572CF6">
            <w:pPr>
              <w:pStyle w:val="TableText"/>
              <w:jc w:val="center"/>
              <w:rPr>
                <w:b/>
              </w:rPr>
            </w:pPr>
            <w:r w:rsidRPr="00572CF6">
              <w:rPr>
                <w:b/>
              </w:rPr>
              <w:t>2013</w:t>
            </w:r>
          </w:p>
        </w:tc>
        <w:tc>
          <w:tcPr>
            <w:tcW w:w="2126" w:type="dxa"/>
            <w:gridSpan w:val="2"/>
            <w:tcBorders>
              <w:top w:val="nil"/>
              <w:left w:val="single" w:sz="4" w:space="0" w:color="A6A6A6" w:themeColor="background1" w:themeShade="A6"/>
              <w:bottom w:val="nil"/>
            </w:tcBorders>
            <w:shd w:val="clear" w:color="auto" w:fill="D9D9D9" w:themeFill="background1" w:themeFillShade="D9"/>
          </w:tcPr>
          <w:p w14:paraId="2B3A3F6F" w14:textId="77777777" w:rsidR="00572CF6" w:rsidRPr="00572CF6" w:rsidRDefault="00572CF6" w:rsidP="00572CF6">
            <w:pPr>
              <w:pStyle w:val="TableText"/>
              <w:jc w:val="center"/>
              <w:rPr>
                <w:b/>
              </w:rPr>
            </w:pPr>
            <w:r w:rsidRPr="00572CF6">
              <w:rPr>
                <w:b/>
              </w:rPr>
              <w:t>2018</w:t>
            </w:r>
          </w:p>
        </w:tc>
      </w:tr>
      <w:tr w:rsidR="00572CF6" w:rsidRPr="00572CF6" w14:paraId="78BAE8A0" w14:textId="77777777" w:rsidTr="00572CF6">
        <w:trPr>
          <w:cantSplit/>
        </w:trPr>
        <w:tc>
          <w:tcPr>
            <w:tcW w:w="3828" w:type="dxa"/>
            <w:vMerge/>
            <w:tcBorders>
              <w:bottom w:val="nil"/>
              <w:right w:val="single" w:sz="4" w:space="0" w:color="A6A6A6" w:themeColor="background1" w:themeShade="A6"/>
            </w:tcBorders>
            <w:shd w:val="clear" w:color="auto" w:fill="D9D9D9" w:themeFill="background1" w:themeFillShade="D9"/>
          </w:tcPr>
          <w:p w14:paraId="4342500A" w14:textId="77777777" w:rsidR="00572CF6" w:rsidRPr="00572CF6" w:rsidRDefault="00572CF6" w:rsidP="00572CF6">
            <w:pPr>
              <w:pStyle w:val="TableText"/>
              <w:rPr>
                <w:b/>
              </w:rPr>
            </w:pPr>
          </w:p>
        </w:tc>
        <w:tc>
          <w:tcPr>
            <w:tcW w:w="1063" w:type="dxa"/>
            <w:tcBorders>
              <w:top w:val="nil"/>
              <w:left w:val="single" w:sz="4" w:space="0" w:color="A6A6A6" w:themeColor="background1" w:themeShade="A6"/>
              <w:bottom w:val="nil"/>
            </w:tcBorders>
            <w:shd w:val="clear" w:color="auto" w:fill="D9D9D9" w:themeFill="background1" w:themeFillShade="D9"/>
          </w:tcPr>
          <w:p w14:paraId="620567AC" w14:textId="77777777" w:rsidR="00572CF6" w:rsidRPr="00572CF6" w:rsidRDefault="00572CF6" w:rsidP="00572CF6">
            <w:pPr>
              <w:pStyle w:val="TableText"/>
              <w:spacing w:before="0"/>
              <w:jc w:val="center"/>
              <w:rPr>
                <w:b/>
              </w:rPr>
            </w:pPr>
            <w:r w:rsidRPr="00572CF6">
              <w:rPr>
                <w:b/>
              </w:rPr>
              <w:t>Number</w:t>
            </w:r>
          </w:p>
        </w:tc>
        <w:tc>
          <w:tcPr>
            <w:tcW w:w="1063" w:type="dxa"/>
            <w:tcBorders>
              <w:top w:val="nil"/>
              <w:bottom w:val="nil"/>
              <w:right w:val="single" w:sz="4" w:space="0" w:color="A6A6A6" w:themeColor="background1" w:themeShade="A6"/>
            </w:tcBorders>
            <w:shd w:val="clear" w:color="auto" w:fill="D9D9D9" w:themeFill="background1" w:themeFillShade="D9"/>
          </w:tcPr>
          <w:p w14:paraId="04671BBD" w14:textId="77777777" w:rsidR="00572CF6" w:rsidRPr="00572CF6" w:rsidRDefault="00572CF6" w:rsidP="00572CF6">
            <w:pPr>
              <w:pStyle w:val="TableText"/>
              <w:spacing w:before="0"/>
              <w:jc w:val="center"/>
              <w:rPr>
                <w:b/>
              </w:rPr>
            </w:pPr>
            <w:r w:rsidRPr="00572CF6">
              <w:rPr>
                <w:b/>
              </w:rPr>
              <w:t>Percent</w:t>
            </w:r>
          </w:p>
        </w:tc>
        <w:tc>
          <w:tcPr>
            <w:tcW w:w="1134" w:type="dxa"/>
            <w:tcBorders>
              <w:top w:val="nil"/>
              <w:left w:val="single" w:sz="4" w:space="0" w:color="A6A6A6" w:themeColor="background1" w:themeShade="A6"/>
              <w:bottom w:val="nil"/>
            </w:tcBorders>
            <w:shd w:val="clear" w:color="auto" w:fill="D9D9D9" w:themeFill="background1" w:themeFillShade="D9"/>
          </w:tcPr>
          <w:p w14:paraId="029FC482" w14:textId="77777777" w:rsidR="00572CF6" w:rsidRPr="00572CF6" w:rsidRDefault="00572CF6" w:rsidP="00572CF6">
            <w:pPr>
              <w:pStyle w:val="TableText"/>
              <w:spacing w:before="0"/>
              <w:jc w:val="center"/>
              <w:rPr>
                <w:b/>
              </w:rPr>
            </w:pPr>
            <w:r w:rsidRPr="00572CF6">
              <w:rPr>
                <w:b/>
              </w:rPr>
              <w:t>Number</w:t>
            </w:r>
          </w:p>
        </w:tc>
        <w:tc>
          <w:tcPr>
            <w:tcW w:w="992" w:type="dxa"/>
            <w:tcBorders>
              <w:top w:val="nil"/>
              <w:bottom w:val="nil"/>
            </w:tcBorders>
            <w:shd w:val="clear" w:color="auto" w:fill="D9D9D9" w:themeFill="background1" w:themeFillShade="D9"/>
          </w:tcPr>
          <w:p w14:paraId="46424E19" w14:textId="77777777" w:rsidR="00572CF6" w:rsidRPr="00572CF6" w:rsidRDefault="00572CF6" w:rsidP="00572CF6">
            <w:pPr>
              <w:pStyle w:val="TableText"/>
              <w:spacing w:before="0"/>
              <w:jc w:val="center"/>
              <w:rPr>
                <w:b/>
              </w:rPr>
            </w:pPr>
            <w:r w:rsidRPr="00572CF6">
              <w:rPr>
                <w:b/>
              </w:rPr>
              <w:t>Percent</w:t>
            </w:r>
          </w:p>
        </w:tc>
      </w:tr>
      <w:tr w:rsidR="00507742" w:rsidRPr="009A5E21" w14:paraId="7F4423F6" w14:textId="77777777" w:rsidTr="00572CF6">
        <w:trPr>
          <w:cantSplit/>
        </w:trPr>
        <w:tc>
          <w:tcPr>
            <w:tcW w:w="3828" w:type="dxa"/>
            <w:tcBorders>
              <w:top w:val="nil"/>
              <w:right w:val="single" w:sz="4" w:space="0" w:color="A6A6A6" w:themeColor="background1" w:themeShade="A6"/>
            </w:tcBorders>
            <w:shd w:val="clear" w:color="auto" w:fill="auto"/>
          </w:tcPr>
          <w:p w14:paraId="357B4746" w14:textId="77777777" w:rsidR="00507742" w:rsidRPr="009A5E21" w:rsidRDefault="00507742" w:rsidP="00572CF6">
            <w:pPr>
              <w:pStyle w:val="TableText"/>
            </w:pPr>
            <w:r w:rsidRPr="008A2F55">
              <w:t>European or Other (including New Zealander)</w:t>
            </w:r>
          </w:p>
        </w:tc>
        <w:tc>
          <w:tcPr>
            <w:tcW w:w="1063" w:type="dxa"/>
            <w:tcBorders>
              <w:top w:val="nil"/>
              <w:left w:val="single" w:sz="4" w:space="0" w:color="A6A6A6" w:themeColor="background1" w:themeShade="A6"/>
            </w:tcBorders>
          </w:tcPr>
          <w:p w14:paraId="556A19BA" w14:textId="77777777" w:rsidR="00507742" w:rsidRPr="008A2F55" w:rsidRDefault="00507742" w:rsidP="00572CF6">
            <w:pPr>
              <w:pStyle w:val="TableText"/>
              <w:tabs>
                <w:tab w:val="decimal" w:pos="851"/>
              </w:tabs>
            </w:pPr>
            <w:r w:rsidRPr="00F10FF4">
              <w:t>3</w:t>
            </w:r>
            <w:r>
              <w:t>,</w:t>
            </w:r>
            <w:r w:rsidRPr="00F10FF4">
              <w:t>312</w:t>
            </w:r>
            <w:r>
              <w:t>,</w:t>
            </w:r>
            <w:r w:rsidRPr="00F10FF4">
              <w:t>100</w:t>
            </w:r>
          </w:p>
        </w:tc>
        <w:tc>
          <w:tcPr>
            <w:tcW w:w="1063" w:type="dxa"/>
            <w:tcBorders>
              <w:top w:val="nil"/>
              <w:right w:val="single" w:sz="4" w:space="0" w:color="A6A6A6" w:themeColor="background1" w:themeShade="A6"/>
            </w:tcBorders>
          </w:tcPr>
          <w:p w14:paraId="6269D17B" w14:textId="77777777" w:rsidR="00507742" w:rsidRPr="008A2F55" w:rsidRDefault="00507742" w:rsidP="00572CF6">
            <w:pPr>
              <w:pStyle w:val="TableText"/>
              <w:tabs>
                <w:tab w:val="decimal" w:pos="510"/>
              </w:tabs>
            </w:pPr>
            <w:r>
              <w:t>74.6</w:t>
            </w:r>
          </w:p>
        </w:tc>
        <w:tc>
          <w:tcPr>
            <w:tcW w:w="1134" w:type="dxa"/>
            <w:tcBorders>
              <w:top w:val="nil"/>
              <w:left w:val="single" w:sz="4" w:space="0" w:color="A6A6A6" w:themeColor="background1" w:themeShade="A6"/>
            </w:tcBorders>
          </w:tcPr>
          <w:p w14:paraId="10963E84" w14:textId="77777777" w:rsidR="00507742" w:rsidRDefault="00507742" w:rsidP="00572CF6">
            <w:pPr>
              <w:pStyle w:val="TableText"/>
              <w:tabs>
                <w:tab w:val="decimal" w:pos="935"/>
              </w:tabs>
            </w:pPr>
            <w:r w:rsidRPr="008A2F55">
              <w:t>3,441,700</w:t>
            </w:r>
          </w:p>
        </w:tc>
        <w:tc>
          <w:tcPr>
            <w:tcW w:w="992" w:type="dxa"/>
            <w:tcBorders>
              <w:top w:val="nil"/>
            </w:tcBorders>
            <w:shd w:val="clear" w:color="auto" w:fill="auto"/>
          </w:tcPr>
          <w:p w14:paraId="6EE917D4" w14:textId="77777777" w:rsidR="00507742" w:rsidRPr="009A5E21" w:rsidRDefault="00507742" w:rsidP="00572CF6">
            <w:pPr>
              <w:pStyle w:val="TableText"/>
              <w:tabs>
                <w:tab w:val="decimal" w:pos="510"/>
              </w:tabs>
            </w:pPr>
            <w:r>
              <w:t>70.2</w:t>
            </w:r>
          </w:p>
        </w:tc>
      </w:tr>
      <w:tr w:rsidR="00507742" w:rsidRPr="009A5E21" w14:paraId="2D209FEB" w14:textId="77777777" w:rsidTr="00572CF6">
        <w:trPr>
          <w:cantSplit/>
        </w:trPr>
        <w:tc>
          <w:tcPr>
            <w:tcW w:w="3828" w:type="dxa"/>
            <w:tcBorders>
              <w:right w:val="single" w:sz="4" w:space="0" w:color="A6A6A6" w:themeColor="background1" w:themeShade="A6"/>
            </w:tcBorders>
            <w:shd w:val="clear" w:color="auto" w:fill="auto"/>
          </w:tcPr>
          <w:p w14:paraId="74248F9F" w14:textId="77777777" w:rsidR="00507742" w:rsidRPr="009A5E21" w:rsidRDefault="00507742" w:rsidP="00572CF6">
            <w:pPr>
              <w:pStyle w:val="TableText"/>
            </w:pPr>
            <w:r>
              <w:t>Māori</w:t>
            </w:r>
          </w:p>
        </w:tc>
        <w:tc>
          <w:tcPr>
            <w:tcW w:w="1063" w:type="dxa"/>
            <w:tcBorders>
              <w:left w:val="single" w:sz="4" w:space="0" w:color="A6A6A6" w:themeColor="background1" w:themeShade="A6"/>
            </w:tcBorders>
          </w:tcPr>
          <w:p w14:paraId="39A6BF52" w14:textId="77777777" w:rsidR="00507742" w:rsidRPr="008A2F55" w:rsidRDefault="00507742" w:rsidP="00572CF6">
            <w:pPr>
              <w:pStyle w:val="TableText"/>
              <w:tabs>
                <w:tab w:val="decimal" w:pos="851"/>
              </w:tabs>
            </w:pPr>
            <w:r w:rsidRPr="00F10FF4">
              <w:t>692</w:t>
            </w:r>
            <w:r>
              <w:t>,</w:t>
            </w:r>
            <w:r w:rsidRPr="00F10FF4">
              <w:t>300</w:t>
            </w:r>
          </w:p>
        </w:tc>
        <w:tc>
          <w:tcPr>
            <w:tcW w:w="1063" w:type="dxa"/>
            <w:tcBorders>
              <w:right w:val="single" w:sz="4" w:space="0" w:color="A6A6A6" w:themeColor="background1" w:themeShade="A6"/>
            </w:tcBorders>
          </w:tcPr>
          <w:p w14:paraId="4D0690AB" w14:textId="77777777" w:rsidR="00507742" w:rsidRPr="008A2F55" w:rsidRDefault="00507742" w:rsidP="00572CF6">
            <w:pPr>
              <w:pStyle w:val="TableText"/>
              <w:tabs>
                <w:tab w:val="decimal" w:pos="510"/>
              </w:tabs>
            </w:pPr>
            <w:r>
              <w:t>15.6</w:t>
            </w:r>
          </w:p>
        </w:tc>
        <w:tc>
          <w:tcPr>
            <w:tcW w:w="1134" w:type="dxa"/>
            <w:tcBorders>
              <w:left w:val="single" w:sz="4" w:space="0" w:color="A6A6A6" w:themeColor="background1" w:themeShade="A6"/>
            </w:tcBorders>
          </w:tcPr>
          <w:p w14:paraId="0FE8CED5" w14:textId="77777777" w:rsidR="00507742" w:rsidRDefault="00507742" w:rsidP="00572CF6">
            <w:pPr>
              <w:pStyle w:val="TableText"/>
              <w:tabs>
                <w:tab w:val="decimal" w:pos="935"/>
              </w:tabs>
            </w:pPr>
            <w:r w:rsidRPr="008A2F55">
              <w:t>816,500</w:t>
            </w:r>
          </w:p>
        </w:tc>
        <w:tc>
          <w:tcPr>
            <w:tcW w:w="992" w:type="dxa"/>
            <w:shd w:val="clear" w:color="auto" w:fill="auto"/>
          </w:tcPr>
          <w:p w14:paraId="71538BA1" w14:textId="77777777" w:rsidR="00507742" w:rsidRPr="009A5E21" w:rsidRDefault="00507742" w:rsidP="00572CF6">
            <w:pPr>
              <w:pStyle w:val="TableText"/>
              <w:tabs>
                <w:tab w:val="decimal" w:pos="510"/>
              </w:tabs>
            </w:pPr>
            <w:r>
              <w:t>16.7</w:t>
            </w:r>
          </w:p>
        </w:tc>
      </w:tr>
      <w:tr w:rsidR="00507742" w:rsidRPr="009A5E21" w14:paraId="1AC236CF" w14:textId="77777777" w:rsidTr="00572CF6">
        <w:trPr>
          <w:cantSplit/>
        </w:trPr>
        <w:tc>
          <w:tcPr>
            <w:tcW w:w="3828" w:type="dxa"/>
            <w:tcBorders>
              <w:right w:val="single" w:sz="4" w:space="0" w:color="A6A6A6" w:themeColor="background1" w:themeShade="A6"/>
            </w:tcBorders>
            <w:shd w:val="clear" w:color="auto" w:fill="auto"/>
          </w:tcPr>
          <w:p w14:paraId="57A3BABC" w14:textId="77777777" w:rsidR="00507742" w:rsidRPr="009A5E21" w:rsidRDefault="00507742" w:rsidP="00572CF6">
            <w:pPr>
              <w:pStyle w:val="TableText"/>
            </w:pPr>
            <w:r w:rsidRPr="008A2F55">
              <w:t>Pacific</w:t>
            </w:r>
          </w:p>
        </w:tc>
        <w:tc>
          <w:tcPr>
            <w:tcW w:w="1063" w:type="dxa"/>
            <w:tcBorders>
              <w:left w:val="single" w:sz="4" w:space="0" w:color="A6A6A6" w:themeColor="background1" w:themeShade="A6"/>
            </w:tcBorders>
          </w:tcPr>
          <w:p w14:paraId="3F3F9943" w14:textId="77777777" w:rsidR="00507742" w:rsidRPr="008A2F55" w:rsidRDefault="00507742" w:rsidP="00572CF6">
            <w:pPr>
              <w:pStyle w:val="TableText"/>
              <w:tabs>
                <w:tab w:val="decimal" w:pos="851"/>
              </w:tabs>
            </w:pPr>
            <w:r w:rsidRPr="00F10FF4">
              <w:t>344</w:t>
            </w:r>
            <w:r>
              <w:t>,</w:t>
            </w:r>
            <w:r w:rsidRPr="00F10FF4">
              <w:t>400</w:t>
            </w:r>
          </w:p>
        </w:tc>
        <w:tc>
          <w:tcPr>
            <w:tcW w:w="1063" w:type="dxa"/>
            <w:tcBorders>
              <w:right w:val="single" w:sz="4" w:space="0" w:color="A6A6A6" w:themeColor="background1" w:themeShade="A6"/>
            </w:tcBorders>
          </w:tcPr>
          <w:p w14:paraId="05E76673" w14:textId="77777777" w:rsidR="00507742" w:rsidRPr="008A2F55" w:rsidRDefault="00507742" w:rsidP="00572CF6">
            <w:pPr>
              <w:pStyle w:val="TableText"/>
              <w:tabs>
                <w:tab w:val="decimal" w:pos="510"/>
              </w:tabs>
            </w:pPr>
            <w:r>
              <w:t>7.8</w:t>
            </w:r>
          </w:p>
        </w:tc>
        <w:tc>
          <w:tcPr>
            <w:tcW w:w="1134" w:type="dxa"/>
            <w:tcBorders>
              <w:left w:val="single" w:sz="4" w:space="0" w:color="A6A6A6" w:themeColor="background1" w:themeShade="A6"/>
            </w:tcBorders>
          </w:tcPr>
          <w:p w14:paraId="19520BB8" w14:textId="77777777" w:rsidR="00507742" w:rsidRDefault="00507742" w:rsidP="00572CF6">
            <w:pPr>
              <w:pStyle w:val="TableText"/>
              <w:tabs>
                <w:tab w:val="decimal" w:pos="935"/>
              </w:tabs>
            </w:pPr>
            <w:r w:rsidRPr="008A2F55">
              <w:t>407,700</w:t>
            </w:r>
          </w:p>
        </w:tc>
        <w:tc>
          <w:tcPr>
            <w:tcW w:w="992" w:type="dxa"/>
            <w:shd w:val="clear" w:color="auto" w:fill="auto"/>
          </w:tcPr>
          <w:p w14:paraId="7B983F52" w14:textId="77777777" w:rsidR="00507742" w:rsidRDefault="00507742" w:rsidP="00572CF6">
            <w:pPr>
              <w:pStyle w:val="TableText"/>
              <w:tabs>
                <w:tab w:val="decimal" w:pos="510"/>
              </w:tabs>
            </w:pPr>
            <w:r w:rsidRPr="008A2F55">
              <w:t>8</w:t>
            </w:r>
            <w:r>
              <w:t>.3</w:t>
            </w:r>
          </w:p>
        </w:tc>
      </w:tr>
      <w:tr w:rsidR="00507742" w:rsidRPr="009A5E21" w14:paraId="61B8A72C" w14:textId="77777777" w:rsidTr="00572CF6">
        <w:trPr>
          <w:cantSplit/>
        </w:trPr>
        <w:tc>
          <w:tcPr>
            <w:tcW w:w="3828" w:type="dxa"/>
            <w:tcBorders>
              <w:right w:val="single" w:sz="4" w:space="0" w:color="A6A6A6" w:themeColor="background1" w:themeShade="A6"/>
            </w:tcBorders>
            <w:shd w:val="clear" w:color="auto" w:fill="auto"/>
          </w:tcPr>
          <w:p w14:paraId="27BD6D28" w14:textId="77777777" w:rsidR="00507742" w:rsidRDefault="00507742" w:rsidP="00572CF6">
            <w:pPr>
              <w:pStyle w:val="TableText"/>
            </w:pPr>
            <w:r w:rsidRPr="008A2F55">
              <w:t>Asian</w:t>
            </w:r>
          </w:p>
        </w:tc>
        <w:tc>
          <w:tcPr>
            <w:tcW w:w="1063" w:type="dxa"/>
            <w:tcBorders>
              <w:left w:val="single" w:sz="4" w:space="0" w:color="A6A6A6" w:themeColor="background1" w:themeShade="A6"/>
            </w:tcBorders>
          </w:tcPr>
          <w:p w14:paraId="291155B9" w14:textId="77777777" w:rsidR="00507742" w:rsidRPr="008A2F55" w:rsidRDefault="00507742" w:rsidP="00572CF6">
            <w:pPr>
              <w:pStyle w:val="TableText"/>
              <w:tabs>
                <w:tab w:val="decimal" w:pos="851"/>
              </w:tabs>
            </w:pPr>
            <w:r w:rsidRPr="00F10FF4">
              <w:t>541</w:t>
            </w:r>
            <w:r>
              <w:t>,</w:t>
            </w:r>
            <w:r w:rsidRPr="00F10FF4">
              <w:t>300</w:t>
            </w:r>
          </w:p>
        </w:tc>
        <w:tc>
          <w:tcPr>
            <w:tcW w:w="1063" w:type="dxa"/>
            <w:tcBorders>
              <w:right w:val="single" w:sz="4" w:space="0" w:color="A6A6A6" w:themeColor="background1" w:themeShade="A6"/>
            </w:tcBorders>
          </w:tcPr>
          <w:p w14:paraId="19126AE8" w14:textId="77777777" w:rsidR="00507742" w:rsidRPr="008A2F55" w:rsidRDefault="00507742" w:rsidP="00572CF6">
            <w:pPr>
              <w:pStyle w:val="TableText"/>
              <w:tabs>
                <w:tab w:val="decimal" w:pos="510"/>
              </w:tabs>
            </w:pPr>
            <w:r>
              <w:t>12.2</w:t>
            </w:r>
          </w:p>
        </w:tc>
        <w:tc>
          <w:tcPr>
            <w:tcW w:w="1134" w:type="dxa"/>
            <w:tcBorders>
              <w:left w:val="single" w:sz="4" w:space="0" w:color="A6A6A6" w:themeColor="background1" w:themeShade="A6"/>
            </w:tcBorders>
          </w:tcPr>
          <w:p w14:paraId="729C11CE" w14:textId="77777777" w:rsidR="00507742" w:rsidRDefault="00507742" w:rsidP="00572CF6">
            <w:pPr>
              <w:pStyle w:val="TableText"/>
              <w:tabs>
                <w:tab w:val="decimal" w:pos="935"/>
              </w:tabs>
            </w:pPr>
            <w:r w:rsidRPr="008A2F55">
              <w:t>770,600</w:t>
            </w:r>
          </w:p>
        </w:tc>
        <w:tc>
          <w:tcPr>
            <w:tcW w:w="992" w:type="dxa"/>
            <w:shd w:val="clear" w:color="auto" w:fill="auto"/>
          </w:tcPr>
          <w:p w14:paraId="68640FA2" w14:textId="77777777" w:rsidR="00507742" w:rsidRDefault="00507742" w:rsidP="00572CF6">
            <w:pPr>
              <w:pStyle w:val="TableText"/>
              <w:tabs>
                <w:tab w:val="decimal" w:pos="510"/>
              </w:tabs>
            </w:pPr>
            <w:r>
              <w:t>15.7</w:t>
            </w:r>
          </w:p>
        </w:tc>
      </w:tr>
      <w:tr w:rsidR="00507742" w:rsidRPr="009A5E21" w14:paraId="76E16CB0" w14:textId="77777777" w:rsidTr="00572CF6">
        <w:trPr>
          <w:cantSplit/>
        </w:trPr>
        <w:tc>
          <w:tcPr>
            <w:tcW w:w="3828" w:type="dxa"/>
            <w:tcBorders>
              <w:right w:val="single" w:sz="4" w:space="0" w:color="A6A6A6" w:themeColor="background1" w:themeShade="A6"/>
            </w:tcBorders>
            <w:shd w:val="clear" w:color="auto" w:fill="auto"/>
          </w:tcPr>
          <w:p w14:paraId="03F21D5A" w14:textId="77777777" w:rsidR="00507742" w:rsidRDefault="00507742" w:rsidP="00572CF6">
            <w:pPr>
              <w:pStyle w:val="TableText"/>
            </w:pPr>
            <w:r w:rsidRPr="008A2F55">
              <w:t>Middle Eastern</w:t>
            </w:r>
            <w:r>
              <w:t xml:space="preserve">, </w:t>
            </w:r>
            <w:r w:rsidRPr="008A2F55">
              <w:t>Latin American</w:t>
            </w:r>
            <w:r>
              <w:t xml:space="preserve"> and </w:t>
            </w:r>
            <w:r w:rsidRPr="008A2F55">
              <w:t>African</w:t>
            </w:r>
          </w:p>
        </w:tc>
        <w:tc>
          <w:tcPr>
            <w:tcW w:w="1063" w:type="dxa"/>
            <w:tcBorders>
              <w:left w:val="single" w:sz="4" w:space="0" w:color="A6A6A6" w:themeColor="background1" w:themeShade="A6"/>
            </w:tcBorders>
          </w:tcPr>
          <w:p w14:paraId="7A5CBB6A" w14:textId="77777777" w:rsidR="00507742" w:rsidRPr="008A2F55" w:rsidRDefault="00507742" w:rsidP="00572CF6">
            <w:pPr>
              <w:pStyle w:val="TableText"/>
              <w:tabs>
                <w:tab w:val="decimal" w:pos="851"/>
              </w:tabs>
            </w:pPr>
            <w:r w:rsidRPr="00F10FF4">
              <w:t>53</w:t>
            </w:r>
            <w:r>
              <w:t>,</w:t>
            </w:r>
            <w:r w:rsidRPr="00F10FF4">
              <w:t>100</w:t>
            </w:r>
          </w:p>
        </w:tc>
        <w:tc>
          <w:tcPr>
            <w:tcW w:w="1063" w:type="dxa"/>
            <w:tcBorders>
              <w:right w:val="single" w:sz="4" w:space="0" w:color="A6A6A6" w:themeColor="background1" w:themeShade="A6"/>
            </w:tcBorders>
          </w:tcPr>
          <w:p w14:paraId="528EDAC7" w14:textId="77777777" w:rsidR="00507742" w:rsidRPr="008A2F55" w:rsidRDefault="00507742" w:rsidP="00572CF6">
            <w:pPr>
              <w:pStyle w:val="TableText"/>
              <w:tabs>
                <w:tab w:val="decimal" w:pos="510"/>
              </w:tabs>
            </w:pPr>
            <w:r>
              <w:t>1.2</w:t>
            </w:r>
          </w:p>
        </w:tc>
        <w:tc>
          <w:tcPr>
            <w:tcW w:w="1134" w:type="dxa"/>
            <w:tcBorders>
              <w:left w:val="single" w:sz="4" w:space="0" w:color="A6A6A6" w:themeColor="background1" w:themeShade="A6"/>
            </w:tcBorders>
          </w:tcPr>
          <w:p w14:paraId="4D6BD524" w14:textId="77777777" w:rsidR="00507742" w:rsidRDefault="00507742" w:rsidP="00572CF6">
            <w:pPr>
              <w:pStyle w:val="TableText"/>
              <w:tabs>
                <w:tab w:val="decimal" w:pos="935"/>
              </w:tabs>
            </w:pPr>
            <w:r w:rsidRPr="008A2F55">
              <w:t>77,000</w:t>
            </w:r>
          </w:p>
        </w:tc>
        <w:tc>
          <w:tcPr>
            <w:tcW w:w="992" w:type="dxa"/>
            <w:shd w:val="clear" w:color="auto" w:fill="auto"/>
          </w:tcPr>
          <w:p w14:paraId="3CDC9F8B" w14:textId="77777777" w:rsidR="00507742" w:rsidRDefault="00507742" w:rsidP="00572CF6">
            <w:pPr>
              <w:pStyle w:val="TableText"/>
              <w:tabs>
                <w:tab w:val="decimal" w:pos="510"/>
              </w:tabs>
            </w:pPr>
            <w:r>
              <w:t>1.6</w:t>
            </w:r>
          </w:p>
        </w:tc>
      </w:tr>
      <w:tr w:rsidR="00507742" w:rsidRPr="00572CF6" w14:paraId="0E974FF1" w14:textId="77777777" w:rsidTr="00572CF6">
        <w:trPr>
          <w:cantSplit/>
        </w:trPr>
        <w:tc>
          <w:tcPr>
            <w:tcW w:w="3828" w:type="dxa"/>
            <w:tcBorders>
              <w:right w:val="single" w:sz="4" w:space="0" w:color="A6A6A6" w:themeColor="background1" w:themeShade="A6"/>
            </w:tcBorders>
            <w:shd w:val="clear" w:color="auto" w:fill="auto"/>
          </w:tcPr>
          <w:p w14:paraId="411389EF" w14:textId="77777777" w:rsidR="00507742" w:rsidRPr="00572CF6" w:rsidRDefault="00572CF6" w:rsidP="00572CF6">
            <w:pPr>
              <w:pStyle w:val="TableText"/>
              <w:rPr>
                <w:b/>
              </w:rPr>
            </w:pPr>
            <w:r w:rsidRPr="00572CF6">
              <w:rPr>
                <w:b/>
              </w:rPr>
              <w:t>Total</w:t>
            </w:r>
          </w:p>
        </w:tc>
        <w:tc>
          <w:tcPr>
            <w:tcW w:w="1063" w:type="dxa"/>
            <w:tcBorders>
              <w:left w:val="single" w:sz="4" w:space="0" w:color="A6A6A6" w:themeColor="background1" w:themeShade="A6"/>
            </w:tcBorders>
          </w:tcPr>
          <w:p w14:paraId="259F622E" w14:textId="77777777" w:rsidR="00507742" w:rsidRPr="00572CF6" w:rsidRDefault="00507742" w:rsidP="00572CF6">
            <w:pPr>
              <w:pStyle w:val="TableText"/>
              <w:tabs>
                <w:tab w:val="decimal" w:pos="851"/>
              </w:tabs>
              <w:rPr>
                <w:b/>
              </w:rPr>
            </w:pPr>
            <w:r w:rsidRPr="00572CF6">
              <w:rPr>
                <w:b/>
              </w:rPr>
              <w:t>4,442,100</w:t>
            </w:r>
          </w:p>
        </w:tc>
        <w:tc>
          <w:tcPr>
            <w:tcW w:w="1063" w:type="dxa"/>
            <w:tcBorders>
              <w:right w:val="single" w:sz="4" w:space="0" w:color="A6A6A6" w:themeColor="background1" w:themeShade="A6"/>
            </w:tcBorders>
          </w:tcPr>
          <w:p w14:paraId="6E8635B5" w14:textId="77777777" w:rsidR="00507742" w:rsidRPr="00572CF6" w:rsidRDefault="00507742" w:rsidP="00572CF6">
            <w:pPr>
              <w:pStyle w:val="TableText"/>
              <w:tabs>
                <w:tab w:val="decimal" w:pos="510"/>
              </w:tabs>
              <w:rPr>
                <w:b/>
              </w:rPr>
            </w:pPr>
          </w:p>
        </w:tc>
        <w:tc>
          <w:tcPr>
            <w:tcW w:w="1134" w:type="dxa"/>
            <w:tcBorders>
              <w:left w:val="single" w:sz="4" w:space="0" w:color="A6A6A6" w:themeColor="background1" w:themeShade="A6"/>
            </w:tcBorders>
          </w:tcPr>
          <w:p w14:paraId="2DC74708" w14:textId="77777777" w:rsidR="00507742" w:rsidRPr="00572CF6" w:rsidRDefault="00507742" w:rsidP="00572CF6">
            <w:pPr>
              <w:pStyle w:val="TableText"/>
              <w:tabs>
                <w:tab w:val="decimal" w:pos="935"/>
              </w:tabs>
              <w:rPr>
                <w:b/>
              </w:rPr>
            </w:pPr>
            <w:r w:rsidRPr="00572CF6">
              <w:rPr>
                <w:b/>
              </w:rPr>
              <w:t>4,900,600</w:t>
            </w:r>
          </w:p>
        </w:tc>
        <w:tc>
          <w:tcPr>
            <w:tcW w:w="992" w:type="dxa"/>
            <w:shd w:val="clear" w:color="auto" w:fill="auto"/>
          </w:tcPr>
          <w:p w14:paraId="50FCD57F" w14:textId="77777777" w:rsidR="00507742" w:rsidRPr="00572CF6" w:rsidRDefault="00507742" w:rsidP="00572CF6">
            <w:pPr>
              <w:pStyle w:val="TableText"/>
              <w:tabs>
                <w:tab w:val="decimal" w:pos="510"/>
              </w:tabs>
              <w:rPr>
                <w:b/>
              </w:rPr>
            </w:pPr>
          </w:p>
        </w:tc>
      </w:tr>
    </w:tbl>
    <w:p w14:paraId="5DE28C1E" w14:textId="77777777" w:rsidR="00572CF6" w:rsidRDefault="00507742" w:rsidP="00572CF6">
      <w:pPr>
        <w:pStyle w:val="Note"/>
      </w:pPr>
      <w:r>
        <w:t>Note</w:t>
      </w:r>
      <w:r w:rsidRPr="009A5E21">
        <w:t xml:space="preserve">: </w:t>
      </w:r>
      <w:r>
        <w:t>Ethnic groups are based on total response ethnicity.</w:t>
      </w:r>
    </w:p>
    <w:p w14:paraId="5726443F" w14:textId="77777777" w:rsidR="00507742" w:rsidRDefault="00507742" w:rsidP="006402DF">
      <w:pPr>
        <w:pStyle w:val="Source"/>
        <w:spacing w:before="0"/>
      </w:pPr>
      <w:r w:rsidRPr="004327C1">
        <w:t xml:space="preserve">Source: Stats NZ </w:t>
      </w:r>
      <w:r>
        <w:t>(</w:t>
      </w:r>
      <w:r w:rsidRPr="004327C1">
        <w:t>2020b</w:t>
      </w:r>
      <w:r>
        <w:t>)</w:t>
      </w:r>
    </w:p>
    <w:p w14:paraId="72150D8F" w14:textId="77777777" w:rsidR="00507742" w:rsidRDefault="00507742" w:rsidP="006402DF">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619BC543" w14:textId="77777777" w:rsidTr="00572CF6">
        <w:trPr>
          <w:cantSplit/>
        </w:trPr>
        <w:tc>
          <w:tcPr>
            <w:tcW w:w="7973" w:type="dxa"/>
          </w:tcPr>
          <w:p w14:paraId="2CB61DA3" w14:textId="77777777" w:rsidR="00507742" w:rsidRPr="00933A6B" w:rsidRDefault="00507742" w:rsidP="00572CF6">
            <w:pPr>
              <w:pStyle w:val="TableText"/>
              <w:keepNext/>
              <w:keepLines/>
              <w:rPr>
                <w:color w:val="0A6AB4"/>
                <w:sz w:val="24"/>
                <w:szCs w:val="24"/>
              </w:rPr>
            </w:pPr>
            <w:r>
              <w:rPr>
                <w:color w:val="0A6AB4"/>
                <w:sz w:val="24"/>
                <w:szCs w:val="24"/>
              </w:rPr>
              <w:lastRenderedPageBreak/>
              <w:t>One</w:t>
            </w:r>
            <w:r w:rsidR="006402DF">
              <w:rPr>
                <w:color w:val="0A6AB4"/>
                <w:sz w:val="24"/>
                <w:szCs w:val="24"/>
              </w:rPr>
              <w:t xml:space="preserve"> in six New Zealanders is Māori</w:t>
            </w:r>
          </w:p>
        </w:tc>
      </w:tr>
    </w:tbl>
    <w:p w14:paraId="2FEB8D62" w14:textId="77777777" w:rsidR="00507742" w:rsidRDefault="00507742" w:rsidP="006402DF">
      <w:pPr>
        <w:keepNext/>
      </w:pPr>
    </w:p>
    <w:p w14:paraId="7A9BAD9B" w14:textId="77777777" w:rsidR="002542AA" w:rsidRDefault="00507742" w:rsidP="006402DF">
      <w:pPr>
        <w:keepNext/>
        <w:keepLines/>
      </w:pPr>
      <w:r>
        <w:t>As of June 2018, there were 816,500 Māori in New Zealand, which is 16.7 percent of the total population (up from 15.6 percent in 2013). The Māori population has a younger age structure than most other New Zealanders, with a median age of 25.6 years compared with the national median of 37.2 years.</w:t>
      </w:r>
    </w:p>
    <w:p w14:paraId="41601EAD" w14:textId="77777777" w:rsidR="00507742" w:rsidRDefault="00507742" w:rsidP="006402DF">
      <w:pPr>
        <w:spacing w:after="240"/>
      </w:pP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65643770" w14:textId="77777777" w:rsidTr="00572CF6">
        <w:trPr>
          <w:cantSplit/>
        </w:trPr>
        <w:tc>
          <w:tcPr>
            <w:tcW w:w="7973" w:type="dxa"/>
          </w:tcPr>
          <w:p w14:paraId="1F85A6FF" w14:textId="77777777" w:rsidR="00507742" w:rsidRPr="00933A6B" w:rsidRDefault="00507742" w:rsidP="00572CF6">
            <w:pPr>
              <w:pStyle w:val="TableText"/>
              <w:rPr>
                <w:color w:val="0A6AB4"/>
                <w:sz w:val="24"/>
                <w:szCs w:val="24"/>
              </w:rPr>
            </w:pPr>
            <w:r w:rsidRPr="00AD4FF7">
              <w:rPr>
                <w:color w:val="0A6AB4"/>
                <w:sz w:val="24"/>
                <w:szCs w:val="24"/>
              </w:rPr>
              <w:t>Pacific peoples in New Zealand are diverse</w:t>
            </w:r>
            <w:r>
              <w:rPr>
                <w:color w:val="0A6AB4"/>
                <w:sz w:val="24"/>
                <w:szCs w:val="24"/>
              </w:rPr>
              <w:t xml:space="preserve"> and</w:t>
            </w:r>
            <w:r w:rsidR="006402DF">
              <w:rPr>
                <w:color w:val="0A6AB4"/>
                <w:sz w:val="24"/>
                <w:szCs w:val="24"/>
              </w:rPr>
              <w:t xml:space="preserve"> youthful</w:t>
            </w:r>
          </w:p>
        </w:tc>
      </w:tr>
    </w:tbl>
    <w:p w14:paraId="50AFA35F" w14:textId="77777777" w:rsidR="00507742" w:rsidRDefault="00507742" w:rsidP="006402DF"/>
    <w:p w14:paraId="7D1B4BA0" w14:textId="77777777" w:rsidR="00507742" w:rsidRPr="006402DF" w:rsidRDefault="00507742" w:rsidP="006402DF">
      <w:pPr>
        <w:rPr>
          <w:spacing w:val="-2"/>
        </w:rPr>
      </w:pPr>
      <w:r w:rsidRPr="006402DF">
        <w:rPr>
          <w:spacing w:val="-2"/>
        </w:rPr>
        <w:t>As of June 2018, there were 407,700 Pacific peoples in New Zealand, which is 8.3</w:t>
      </w:r>
      <w:r w:rsidR="006402DF" w:rsidRPr="006402DF">
        <w:rPr>
          <w:spacing w:val="-2"/>
        </w:rPr>
        <w:t> </w:t>
      </w:r>
      <w:r w:rsidRPr="006402DF">
        <w:rPr>
          <w:spacing w:val="-2"/>
        </w:rPr>
        <w:t xml:space="preserve">percent of the total population (up from 7.8 percent in 2013). Samoan, Tongan, Cook Islands Māori and Niuean are the largest Pacific ethnic groups in New Zealand. </w:t>
      </w:r>
      <w:bookmarkStart w:id="22" w:name="_Hlk55570422"/>
      <w:r w:rsidRPr="006402DF">
        <w:rPr>
          <w:spacing w:val="-2"/>
        </w:rPr>
        <w:t>About two-thirds (66.4 percent) of Pacific peoples are New Zealand born</w:t>
      </w:r>
      <w:bookmarkEnd w:id="22"/>
      <w:r w:rsidRPr="006402DF">
        <w:rPr>
          <w:spacing w:val="-2"/>
        </w:rPr>
        <w:t>. The Pacific population has a younger age structure than other New Zealanders, with a median age of 23.7 years.</w:t>
      </w:r>
    </w:p>
    <w:p w14:paraId="1B312A58" w14:textId="77777777" w:rsidR="00507742" w:rsidRDefault="00507742" w:rsidP="006402DF">
      <w:pPr>
        <w:spacing w:after="240"/>
      </w:pP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4979B991" w14:textId="77777777" w:rsidTr="00572CF6">
        <w:trPr>
          <w:cantSplit/>
        </w:trPr>
        <w:tc>
          <w:tcPr>
            <w:tcW w:w="7973" w:type="dxa"/>
          </w:tcPr>
          <w:p w14:paraId="48323721" w14:textId="77777777" w:rsidR="00507742" w:rsidRPr="00933A6B" w:rsidRDefault="00507742" w:rsidP="006402DF">
            <w:pPr>
              <w:pStyle w:val="TableText"/>
              <w:rPr>
                <w:color w:val="0A6AB4"/>
                <w:sz w:val="24"/>
                <w:szCs w:val="24"/>
              </w:rPr>
            </w:pPr>
            <w:r>
              <w:rPr>
                <w:color w:val="0A6AB4"/>
                <w:sz w:val="24"/>
                <w:szCs w:val="24"/>
              </w:rPr>
              <w:t>The Asian population is diverse and growing rapidly</w:t>
            </w:r>
          </w:p>
        </w:tc>
      </w:tr>
    </w:tbl>
    <w:p w14:paraId="5DD0BB94" w14:textId="77777777" w:rsidR="00507742" w:rsidRDefault="00507742" w:rsidP="006402DF"/>
    <w:p w14:paraId="2BB8F6AE" w14:textId="77777777" w:rsidR="002542AA" w:rsidRDefault="00507742" w:rsidP="006402DF">
      <w:r>
        <w:t>As of June 2018, there were</w:t>
      </w:r>
      <w:r w:rsidRPr="00AD4FF7">
        <w:t xml:space="preserve"> </w:t>
      </w:r>
      <w:r>
        <w:t>770,600 Asian people in New Zealand, which is 15.7</w:t>
      </w:r>
      <w:r w:rsidR="006402DF">
        <w:t> </w:t>
      </w:r>
      <w:r>
        <w:t xml:space="preserve">percent of the total population (up from 12.2 percent in 2013). </w:t>
      </w:r>
      <w:r w:rsidRPr="00451048">
        <w:t xml:space="preserve">The </w:t>
      </w:r>
      <w:r>
        <w:t>Asian ethnic group is highly diverse. The largest Asian ethnic groups are Chinese, Indian, Filipino and Korean. The median age of the Asian population is 31.5 years.</w:t>
      </w:r>
    </w:p>
    <w:p w14:paraId="71DC49D9" w14:textId="77777777" w:rsidR="00507742" w:rsidRDefault="00507742" w:rsidP="006402DF">
      <w:pPr>
        <w:spacing w:after="240"/>
      </w:pP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3A8074FB" w14:textId="77777777" w:rsidTr="00572CF6">
        <w:trPr>
          <w:cantSplit/>
        </w:trPr>
        <w:tc>
          <w:tcPr>
            <w:tcW w:w="7973" w:type="dxa"/>
          </w:tcPr>
          <w:p w14:paraId="2B0A0577" w14:textId="77777777" w:rsidR="00507742" w:rsidRPr="00933A6B" w:rsidRDefault="00507742" w:rsidP="006402DF">
            <w:pPr>
              <w:pStyle w:val="TableText"/>
              <w:rPr>
                <w:color w:val="0A6AB4"/>
                <w:sz w:val="24"/>
                <w:szCs w:val="24"/>
              </w:rPr>
            </w:pPr>
            <w:r>
              <w:rPr>
                <w:color w:val="0A6AB4"/>
                <w:sz w:val="24"/>
                <w:szCs w:val="24"/>
              </w:rPr>
              <w:t>One in four New Zealanders is disabled</w:t>
            </w:r>
          </w:p>
        </w:tc>
      </w:tr>
    </w:tbl>
    <w:p w14:paraId="6D149759" w14:textId="77777777" w:rsidR="00507742" w:rsidRDefault="00507742" w:rsidP="006402DF"/>
    <w:p w14:paraId="49FF2D30" w14:textId="77777777" w:rsidR="00507742" w:rsidRPr="006402DF" w:rsidRDefault="00507742" w:rsidP="006402DF">
      <w:pPr>
        <w:ind w:right="-284"/>
        <w:rPr>
          <w:spacing w:val="-2"/>
        </w:rPr>
      </w:pPr>
      <w:r w:rsidRPr="006402DF">
        <w:rPr>
          <w:spacing w:val="-2"/>
        </w:rPr>
        <w:t>The most recent data on the prevalence of disability comes from the 2013 New Zealand Disability Survey, which found that 24 percent of the population (1.1 million) had a disability (Stats NZ 2014). The disability rate increases with age, to the point that 59</w:t>
      </w:r>
      <w:r w:rsidR="006402DF" w:rsidRPr="006402DF">
        <w:rPr>
          <w:spacing w:val="-2"/>
        </w:rPr>
        <w:t> </w:t>
      </w:r>
      <w:r w:rsidRPr="006402DF">
        <w:rPr>
          <w:spacing w:val="-2"/>
        </w:rPr>
        <w:t>percent of adults aged 65 years and over are disabled. For adults, the most common types of impairment were physical limitations, whereas for children it was learning difficulties. Just over half of disabled people (53 percent) had more than one type of impairment.</w:t>
      </w:r>
    </w:p>
    <w:p w14:paraId="5D756E04" w14:textId="77777777" w:rsidR="00507742" w:rsidRDefault="00507742" w:rsidP="006402DF">
      <w:pPr>
        <w:spacing w:after="240"/>
      </w:pP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15C37969" w14:textId="77777777" w:rsidTr="00572CF6">
        <w:trPr>
          <w:cantSplit/>
        </w:trPr>
        <w:tc>
          <w:tcPr>
            <w:tcW w:w="7973" w:type="dxa"/>
          </w:tcPr>
          <w:p w14:paraId="7D0A78A6" w14:textId="77777777" w:rsidR="00507742" w:rsidRPr="00933A6B" w:rsidRDefault="00507742" w:rsidP="006402DF">
            <w:pPr>
              <w:pStyle w:val="TableText"/>
              <w:rPr>
                <w:color w:val="0A6AB4"/>
                <w:sz w:val="24"/>
                <w:szCs w:val="24"/>
              </w:rPr>
            </w:pPr>
            <w:r>
              <w:rPr>
                <w:color w:val="0A6AB4"/>
                <w:sz w:val="24"/>
                <w:szCs w:val="24"/>
              </w:rPr>
              <w:t>More than half of New Zealanders live in major urban areas</w:t>
            </w:r>
          </w:p>
        </w:tc>
      </w:tr>
    </w:tbl>
    <w:p w14:paraId="0715636D" w14:textId="77777777" w:rsidR="00507742" w:rsidRDefault="00507742" w:rsidP="006402DF"/>
    <w:p w14:paraId="5A93FB80" w14:textId="77777777" w:rsidR="00507742" w:rsidRPr="004327C1" w:rsidRDefault="00507742" w:rsidP="006402DF">
      <w:r w:rsidRPr="00A67572">
        <w:t xml:space="preserve">The New Zealand population is </w:t>
      </w:r>
      <w:r>
        <w:t>largely</w:t>
      </w:r>
      <w:r w:rsidRPr="00A67572">
        <w:t xml:space="preserve"> based in major, large or medium</w:t>
      </w:r>
      <w:r>
        <w:t>-sized</w:t>
      </w:r>
      <w:r w:rsidRPr="00A67572">
        <w:t xml:space="preserve"> urban areas (74 percent of the population)</w:t>
      </w:r>
      <w:r>
        <w:t>.</w:t>
      </w:r>
      <w:r w:rsidRPr="00A67572">
        <w:t xml:space="preserve"> </w:t>
      </w:r>
      <w:r>
        <w:t>M</w:t>
      </w:r>
      <w:r w:rsidRPr="00A67572">
        <w:t>ore than half of people (51 percent) liv</w:t>
      </w:r>
      <w:r>
        <w:t>e</w:t>
      </w:r>
      <w:r w:rsidRPr="00A67572">
        <w:t xml:space="preserve"> </w:t>
      </w:r>
      <w:r w:rsidRPr="004327C1">
        <w:t xml:space="preserve">in major urban areas </w:t>
      </w:r>
      <w:r>
        <w:t>that have</w:t>
      </w:r>
      <w:r w:rsidRPr="004327C1">
        <w:t xml:space="preserve"> 100,000 residents or more (Stats NZ 2020</w:t>
      </w:r>
      <w:r>
        <w:t>d</w:t>
      </w:r>
      <w:r w:rsidRPr="004327C1">
        <w:t>). Sixteen percent of the population live in rural areas.</w:t>
      </w:r>
    </w:p>
    <w:p w14:paraId="7A245276" w14:textId="77777777" w:rsidR="00507742" w:rsidRPr="004327C1" w:rsidRDefault="00507742" w:rsidP="006402DF"/>
    <w:bookmarkStart w:id="23" w:name="_Hlk56580656"/>
    <w:p w14:paraId="5E7C6776" w14:textId="7A010D11" w:rsidR="002542AA" w:rsidRDefault="00F311A7" w:rsidP="006402DF">
      <w:r>
        <w:fldChar w:fldCharType="begin"/>
      </w:r>
      <w:r>
        <w:instrText xml:space="preserve"> REF _Ref57382313 \h </w:instrText>
      </w:r>
      <w:r>
        <w:fldChar w:fldCharType="separate"/>
      </w:r>
      <w:r w:rsidR="003F39AB">
        <w:t xml:space="preserve">Figure </w:t>
      </w:r>
      <w:r w:rsidR="003F39AB">
        <w:rPr>
          <w:noProof/>
        </w:rPr>
        <w:t>2</w:t>
      </w:r>
      <w:r>
        <w:fldChar w:fldCharType="end"/>
      </w:r>
      <w:r w:rsidR="00507742" w:rsidRPr="004327C1">
        <w:t xml:space="preserve"> shows the </w:t>
      </w:r>
      <w:r w:rsidR="00507742">
        <w:t xml:space="preserve">percentage of the </w:t>
      </w:r>
      <w:r w:rsidR="00507742" w:rsidRPr="004327C1">
        <w:t xml:space="preserve">estimated resident population living in each </w:t>
      </w:r>
      <w:r w:rsidR="00507742">
        <w:t>district health board (</w:t>
      </w:r>
      <w:r w:rsidR="00507742" w:rsidRPr="004327C1">
        <w:t>DHB</w:t>
      </w:r>
      <w:r w:rsidR="00507742">
        <w:t>)</w:t>
      </w:r>
      <w:r w:rsidR="00507742" w:rsidRPr="004327C1">
        <w:t xml:space="preserve"> region. The estimated population</w:t>
      </w:r>
      <w:r w:rsidR="00507742">
        <w:t xml:space="preserve"> of New Zealand</w:t>
      </w:r>
      <w:r w:rsidR="00507742" w:rsidRPr="004327C1">
        <w:t xml:space="preserve"> increased by 16 percent</w:t>
      </w:r>
      <w:r w:rsidR="00507742">
        <w:t xml:space="preserve"> overall</w:t>
      </w:r>
      <w:r w:rsidR="00507742" w:rsidRPr="004327C1">
        <w:t xml:space="preserve"> between 2009 and 2019 (Stats NZ 2020</w:t>
      </w:r>
      <w:r w:rsidR="00507742">
        <w:t>d</w:t>
      </w:r>
      <w:r w:rsidR="00507742" w:rsidRPr="004327C1">
        <w:t>). The DHB regions with the largest percentage increase in population over this time were Bay of Plenty (23</w:t>
      </w:r>
      <w:r w:rsidR="006402DF">
        <w:t> </w:t>
      </w:r>
      <w:r w:rsidR="00507742" w:rsidRPr="004327C1">
        <w:t>percent increase), Counties Manukau (22 percent) and Northland (20 percent).</w:t>
      </w:r>
    </w:p>
    <w:p w14:paraId="6599F79A" w14:textId="2DB28174" w:rsidR="00507742" w:rsidRPr="00687E57" w:rsidRDefault="006402DF" w:rsidP="006402DF">
      <w:pPr>
        <w:pStyle w:val="Figure"/>
        <w:spacing w:before="360"/>
      </w:pPr>
      <w:bookmarkStart w:id="24" w:name="_Ref57382313"/>
      <w:bookmarkStart w:id="25" w:name="_Toc57295959"/>
      <w:bookmarkStart w:id="26" w:name="_Toc64536259"/>
      <w:bookmarkEnd w:id="23"/>
      <w:r>
        <w:lastRenderedPageBreak/>
        <w:t xml:space="preserve">Figure </w:t>
      </w:r>
      <w:fldSimple w:instr=" SEQ Figure \* ARABIC ">
        <w:r w:rsidR="003F39AB">
          <w:rPr>
            <w:noProof/>
          </w:rPr>
          <w:t>2</w:t>
        </w:r>
      </w:fldSimple>
      <w:bookmarkEnd w:id="24"/>
      <w:r w:rsidR="00507742" w:rsidRPr="00687E57">
        <w:t xml:space="preserve">: </w:t>
      </w:r>
      <w:r w:rsidR="00507742">
        <w:t>Percentage of e</w:t>
      </w:r>
      <w:r w:rsidR="00507742" w:rsidRPr="00687E57">
        <w:t xml:space="preserve">stimated </w:t>
      </w:r>
      <w:r w:rsidR="00507742">
        <w:t>r</w:t>
      </w:r>
      <w:r w:rsidR="00507742" w:rsidRPr="00687E57">
        <w:t xml:space="preserve">esident </w:t>
      </w:r>
      <w:r w:rsidR="00507742">
        <w:t>p</w:t>
      </w:r>
      <w:r w:rsidR="00507742" w:rsidRPr="00687E57">
        <w:t>opulation</w:t>
      </w:r>
      <w:r w:rsidR="00507742">
        <w:t xml:space="preserve">, by DHB, </w:t>
      </w:r>
      <w:r w:rsidR="00507742" w:rsidRPr="00687E57">
        <w:t>June 2019</w:t>
      </w:r>
      <w:bookmarkEnd w:id="25"/>
      <w:bookmarkEnd w:id="26"/>
    </w:p>
    <w:p w14:paraId="5EBCB1B3" w14:textId="77777777" w:rsidR="00507742" w:rsidRPr="00D82764" w:rsidRDefault="00507742" w:rsidP="00507742">
      <w:pPr>
        <w:rPr>
          <w:highlight w:val="yellow"/>
        </w:rPr>
      </w:pPr>
      <w:r>
        <w:rPr>
          <w:noProof/>
          <w:lang w:eastAsia="en-NZ"/>
        </w:rPr>
        <w:drawing>
          <wp:inline distT="0" distB="0" distL="0" distR="0" wp14:anchorId="32D7D007" wp14:editId="3353ED3D">
            <wp:extent cx="5127085" cy="8237913"/>
            <wp:effectExtent l="0" t="0" r="0" b="0"/>
            <wp:docPr id="930" name="Picture 930" descr="This figure shows the percentage of the population in each DHB is 3.8% in Northland, 12.5% in Waitemata, 10% in Auckland, 11.6% in Counties Manukau, 8.6% in Waikato, 5.1% in Bay of Plenty, 2.3% in Lakes, 1% in Tairawhiti, 2.5% in Taranaki, 1.4% in Whanganui, 3.5% in Hawke's Bay, 3.7% in MidCentral, 1% in Wairarapa, 3.1% in Hutt Valley, 6.4% in Capital and Coast, 3.2% in Nelson Marlborough, 0.6% in West Coast, 11.4% in Canterbury, 1.2% in South Canterbury and 6.9% in Sout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84" b="987"/>
                    <a:stretch/>
                  </pic:blipFill>
                  <pic:spPr bwMode="auto">
                    <a:xfrm>
                      <a:off x="0" y="0"/>
                      <a:ext cx="5130165" cy="8242861"/>
                    </a:xfrm>
                    <a:prstGeom prst="rect">
                      <a:avLst/>
                    </a:prstGeom>
                    <a:noFill/>
                    <a:ln>
                      <a:noFill/>
                    </a:ln>
                    <a:extLst>
                      <a:ext uri="{53640926-AAD7-44D8-BBD7-CCE9431645EC}">
                        <a14:shadowObscured xmlns:a14="http://schemas.microsoft.com/office/drawing/2010/main"/>
                      </a:ext>
                    </a:extLst>
                  </pic:spPr>
                </pic:pic>
              </a:graphicData>
            </a:graphic>
          </wp:inline>
        </w:drawing>
      </w:r>
    </w:p>
    <w:bookmarkEnd w:id="15"/>
    <w:p w14:paraId="07FA094E" w14:textId="77777777" w:rsidR="00507742" w:rsidRPr="00553A03" w:rsidRDefault="00507742" w:rsidP="006402DF">
      <w:pPr>
        <w:pStyle w:val="Source"/>
      </w:pPr>
      <w:r w:rsidRPr="004327C1">
        <w:t xml:space="preserve">Source: Stats NZ </w:t>
      </w:r>
      <w:r>
        <w:t>(</w:t>
      </w:r>
      <w:r w:rsidRPr="004327C1">
        <w:t>2020</w:t>
      </w:r>
      <w:r>
        <w:t>b)</w:t>
      </w:r>
    </w:p>
    <w:p w14:paraId="1E43B0AE" w14:textId="77777777" w:rsidR="00507742" w:rsidRDefault="00507742" w:rsidP="006402DF">
      <w:pPr>
        <w:rPr>
          <w:highlight w:val="yellow"/>
        </w:rPr>
      </w:pPr>
    </w:p>
    <w:p w14:paraId="25DDD7A8" w14:textId="77777777" w:rsidR="00507742" w:rsidRPr="007D038A" w:rsidRDefault="00507742" w:rsidP="00701607">
      <w:pPr>
        <w:pStyle w:val="Heading1"/>
      </w:pPr>
      <w:bookmarkStart w:id="27" w:name="_TOC_250029"/>
      <w:bookmarkStart w:id="28" w:name="_TOC_250028"/>
      <w:bookmarkStart w:id="29" w:name="_TOC_250027"/>
      <w:bookmarkStart w:id="30" w:name="_TOC_250026"/>
      <w:bookmarkStart w:id="31" w:name="_TOC_250005"/>
      <w:bookmarkStart w:id="32" w:name="_TOC_250021"/>
      <w:bookmarkStart w:id="33" w:name="_Toc57295668"/>
      <w:bookmarkStart w:id="34" w:name="_Toc64536236"/>
      <w:bookmarkEnd w:id="27"/>
      <w:bookmarkEnd w:id="28"/>
      <w:bookmarkEnd w:id="29"/>
      <w:bookmarkEnd w:id="30"/>
      <w:bookmarkEnd w:id="31"/>
      <w:r w:rsidRPr="00956A33">
        <w:lastRenderedPageBreak/>
        <w:t>Population health</w:t>
      </w:r>
      <w:r w:rsidRPr="007D038A">
        <w:t xml:space="preserve"> measures |</w:t>
      </w:r>
      <w:r>
        <w:t xml:space="preserve"> </w:t>
      </w:r>
      <w:r w:rsidRPr="007D038A">
        <w:t xml:space="preserve">Ngā mēhua hauora </w:t>
      </w:r>
      <w:bookmarkEnd w:id="32"/>
      <w:r w:rsidRPr="007D038A">
        <w:t>o te taupori</w:t>
      </w:r>
      <w:bookmarkEnd w:id="33"/>
      <w:bookmarkEnd w:id="34"/>
    </w:p>
    <w:p w14:paraId="4AA716B5" w14:textId="77777777" w:rsidR="00507742" w:rsidRDefault="00507742" w:rsidP="00701607">
      <w:pPr>
        <w:pStyle w:val="Introductoryparagraph"/>
        <w:ind w:right="567"/>
      </w:pPr>
      <w:r w:rsidRPr="007D038A">
        <w:t>We measure the health of our population in various ways to identify health issues affecting New</w:t>
      </w:r>
      <w:r w:rsidR="00701607">
        <w:t> </w:t>
      </w:r>
      <w:r w:rsidRPr="007D038A">
        <w:t xml:space="preserve">Zealanders and </w:t>
      </w:r>
      <w:r>
        <w:t xml:space="preserve">to </w:t>
      </w:r>
      <w:r w:rsidRPr="007D038A">
        <w:t>highlight inequity in health outcomes for certain groups</w:t>
      </w:r>
      <w:r>
        <w:t>.</w:t>
      </w:r>
    </w:p>
    <w:p w14:paraId="071EECF5" w14:textId="77777777" w:rsidR="00701607" w:rsidRPr="00701607" w:rsidRDefault="00701607" w:rsidP="00701607"/>
    <w:p w14:paraId="48752641" w14:textId="77777777" w:rsidR="00507742" w:rsidRPr="00CF2DB2" w:rsidRDefault="00507742" w:rsidP="00507742">
      <w:pPr>
        <w:pStyle w:val="Heading2"/>
      </w:pPr>
      <w:bookmarkStart w:id="35" w:name="_TOC_250004"/>
      <w:bookmarkStart w:id="36" w:name="_Toc53048797"/>
      <w:bookmarkStart w:id="37" w:name="_Toc57295669"/>
      <w:bookmarkStart w:id="38" w:name="_Toc64536237"/>
      <w:bookmarkStart w:id="39" w:name="_Hlk56348937"/>
      <w:bookmarkEnd w:id="35"/>
      <w:r w:rsidRPr="00CF2DB2">
        <w:t>Self-rated health</w:t>
      </w:r>
      <w:bookmarkEnd w:id="36"/>
      <w:bookmarkEnd w:id="37"/>
      <w:bookmarkEnd w:id="38"/>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rsidRPr="00CF2DB2" w14:paraId="092A54C8" w14:textId="77777777" w:rsidTr="00572CF6">
        <w:trPr>
          <w:cantSplit/>
        </w:trPr>
        <w:tc>
          <w:tcPr>
            <w:tcW w:w="7973" w:type="dxa"/>
          </w:tcPr>
          <w:p w14:paraId="51496EBE" w14:textId="77777777" w:rsidR="00507742" w:rsidRPr="00CF2DB2" w:rsidRDefault="00507742" w:rsidP="00701607">
            <w:pPr>
              <w:pStyle w:val="TableText"/>
              <w:rPr>
                <w:color w:val="0A6AB4"/>
                <w:sz w:val="24"/>
                <w:szCs w:val="24"/>
              </w:rPr>
            </w:pPr>
            <w:r w:rsidRPr="00CF2DB2">
              <w:rPr>
                <w:color w:val="0A6AB4"/>
                <w:sz w:val="24"/>
                <w:szCs w:val="24"/>
              </w:rPr>
              <w:t xml:space="preserve">Most New Zealanders continue </w:t>
            </w:r>
            <w:r>
              <w:rPr>
                <w:color w:val="0A6AB4"/>
                <w:sz w:val="24"/>
                <w:szCs w:val="24"/>
              </w:rPr>
              <w:t>to rate their health as</w:t>
            </w:r>
            <w:r w:rsidR="00701607">
              <w:rPr>
                <w:color w:val="0A6AB4"/>
                <w:sz w:val="24"/>
                <w:szCs w:val="24"/>
              </w:rPr>
              <w:br/>
            </w:r>
            <w:r>
              <w:rPr>
                <w:color w:val="0A6AB4"/>
                <w:sz w:val="24"/>
                <w:szCs w:val="24"/>
              </w:rPr>
              <w:t>good, very good or excellent</w:t>
            </w:r>
          </w:p>
        </w:tc>
      </w:tr>
    </w:tbl>
    <w:p w14:paraId="38032365" w14:textId="77777777" w:rsidR="00507742" w:rsidRPr="00CF2DB2" w:rsidRDefault="00507742" w:rsidP="00701607"/>
    <w:p w14:paraId="6B71B002" w14:textId="77777777" w:rsidR="00507742" w:rsidRDefault="00507742" w:rsidP="00701607">
      <w:r w:rsidRPr="00CF2DB2">
        <w:t xml:space="preserve">In </w:t>
      </w:r>
      <w:r>
        <w:t>the 2018/19 New Zealand Health Survey</w:t>
      </w:r>
      <w:r w:rsidRPr="00CF2DB2">
        <w:t xml:space="preserve">, </w:t>
      </w:r>
      <w:r>
        <w:t>86.2</w:t>
      </w:r>
      <w:r w:rsidRPr="00CF2DB2">
        <w:t xml:space="preserve"> percent of adults reported </w:t>
      </w:r>
      <w:r>
        <w:t>their health was good, very good or excellent</w:t>
      </w:r>
      <w:r w:rsidRPr="00CF2DB2">
        <w:t xml:space="preserve"> (Ministry of Health 2019</w:t>
      </w:r>
      <w:r>
        <w:t>a</w:t>
      </w:r>
      <w:r w:rsidRPr="00CF2DB2">
        <w:t xml:space="preserve">). </w:t>
      </w:r>
      <w:r>
        <w:t>Results were similar for men (87.2 percent) and women (85.3 percent).</w:t>
      </w:r>
    </w:p>
    <w:p w14:paraId="037A2029" w14:textId="77777777" w:rsidR="00507742" w:rsidRDefault="00507742" w:rsidP="00701607"/>
    <w:p w14:paraId="7F3079DE" w14:textId="77777777" w:rsidR="00507742" w:rsidRDefault="00507742" w:rsidP="00701607">
      <w:r>
        <w:t>Since 2011/12, the proportion of adults rating their health as good, very good or excellent</w:t>
      </w:r>
      <w:r w:rsidRPr="006B3A18">
        <w:t xml:space="preserve"> </w:t>
      </w:r>
      <w:r>
        <w:t>has decreased by a small but statistically significant amount (from 89.3 to 86.2</w:t>
      </w:r>
      <w:r w:rsidR="00701607">
        <w:t> </w:t>
      </w:r>
      <w:r>
        <w:t>percent). Over the same period, the proportion of adults rating their health as fair or poor has increased from 10.7 to 13.8 percent.</w:t>
      </w:r>
    </w:p>
    <w:p w14:paraId="01C0239A" w14:textId="77777777" w:rsidR="00507742" w:rsidRDefault="00507742" w:rsidP="00701607"/>
    <w:p w14:paraId="4322786D" w14:textId="77777777" w:rsidR="00507742" w:rsidRDefault="00507742" w:rsidP="00701607">
      <w:r>
        <w:t>Māori and Pacific adults have lower levels of self-rated health and these have worsened over time. For Māori</w:t>
      </w:r>
      <w:r w:rsidRPr="00A91DFA">
        <w:t xml:space="preserve"> </w:t>
      </w:r>
      <w:r>
        <w:t xml:space="preserve">adults, 77.3 percent reported their health was good, very good or excellent in 2018/19, down from 83.6 percent in 2011/12. </w:t>
      </w:r>
      <w:bookmarkStart w:id="40" w:name="_Hlk55570694"/>
      <w:r>
        <w:t>For Pacific adults, 78.7</w:t>
      </w:r>
      <w:r w:rsidR="00885AE8">
        <w:t> </w:t>
      </w:r>
      <w:r>
        <w:t>percent reported their health was good, very good or excellent in 2018/19</w:t>
      </w:r>
      <w:bookmarkEnd w:id="40"/>
      <w:r>
        <w:t>, down from 87.2</w:t>
      </w:r>
      <w:r w:rsidR="00701607">
        <w:t> </w:t>
      </w:r>
      <w:r>
        <w:t>percent in 2011/12. The proportion of Māori and Pacific adults rating their health as fair or poor has increased since 2011/12 – from 16.4 to 22.7 percent for Māori and from 12.8 to 21.3 percent for Pacific peoples.</w:t>
      </w:r>
    </w:p>
    <w:p w14:paraId="1C72D142" w14:textId="77777777" w:rsidR="00507742" w:rsidRDefault="00507742" w:rsidP="00701607"/>
    <w:p w14:paraId="7BD28B6B" w14:textId="77777777" w:rsidR="002542AA" w:rsidRDefault="00507742" w:rsidP="00701607">
      <w:pPr>
        <w:keepNext/>
        <w:keepLines/>
      </w:pPr>
      <w:r>
        <w:lastRenderedPageBreak/>
        <w:t>Self-rated health varies by socioeconomic deprivation. Adults living in the most deprived areas were less likely to report their health was good, very good or excellent (79.4</w:t>
      </w:r>
      <w:r w:rsidRPr="003C70E1">
        <w:t xml:space="preserve"> </w:t>
      </w:r>
      <w:r>
        <w:t>percent) than adults living in the least deprived areas (91.0 percent). This difference was statistically significant after adjusting for differences in age, gender and ethnicity.</w:t>
      </w:r>
    </w:p>
    <w:p w14:paraId="573B7BC9" w14:textId="77777777" w:rsidR="00507742" w:rsidRDefault="00507742" w:rsidP="00701607"/>
    <w:p w14:paraId="2008A7DC" w14:textId="77777777" w:rsidR="002542AA" w:rsidRDefault="00507742" w:rsidP="00701607">
      <w:r>
        <w:t>Nearly all parents (98.2 percent) rated their child</w:t>
      </w:r>
      <w:r w:rsidR="002542AA">
        <w:t>’</w:t>
      </w:r>
      <w:r>
        <w:t>s health as good, very good or excellent in 2018/19. Levels of parent-rated child health have not changed since 2011/12. There are no significant differences in parent-rated child health by ethnic group or socioeconomic deprivation.</w:t>
      </w:r>
    </w:p>
    <w:p w14:paraId="071C7499" w14:textId="77777777" w:rsidR="00701607" w:rsidRDefault="00701607" w:rsidP="00701607"/>
    <w:p w14:paraId="69B1C49B" w14:textId="77777777" w:rsidR="00507742" w:rsidRDefault="00507742" w:rsidP="00701607">
      <w:pPr>
        <w:pStyle w:val="Heading2"/>
      </w:pPr>
      <w:bookmarkStart w:id="41" w:name="_Toc57295670"/>
      <w:bookmarkStart w:id="42" w:name="_Toc64536238"/>
      <w:bookmarkEnd w:id="39"/>
      <w:r w:rsidRPr="007D038A">
        <w:t>Life expectancy</w:t>
      </w:r>
      <w:r>
        <w:t xml:space="preserve"> and health expectancy</w:t>
      </w:r>
      <w:bookmarkEnd w:id="41"/>
      <w:bookmarkEnd w:id="42"/>
    </w:p>
    <w:p w14:paraId="63D062E5" w14:textId="77777777" w:rsidR="00507742" w:rsidRDefault="00507742" w:rsidP="00701607">
      <w:bookmarkStart w:id="43" w:name="_Hlk55806088"/>
      <w:bookmarkStart w:id="44" w:name="_Hlk55806078"/>
      <w:r>
        <w:t xml:space="preserve">Data on life expectancy and health expectancy comes from the 2019 cycle of the Global Burden of Disease Study. </w:t>
      </w:r>
      <w:r w:rsidRPr="006948FF">
        <w:t xml:space="preserve">Results are available by </w:t>
      </w:r>
      <w:r>
        <w:t xml:space="preserve">age and </w:t>
      </w:r>
      <w:r w:rsidRPr="006948FF">
        <w:t xml:space="preserve">sex but not </w:t>
      </w:r>
      <w:r>
        <w:t>for other population sub-groups</w:t>
      </w:r>
      <w:r w:rsidRPr="006948FF">
        <w:t xml:space="preserve">. </w:t>
      </w:r>
      <w:bookmarkStart w:id="45" w:name="_Hlk55808035"/>
      <w:bookmarkEnd w:id="43"/>
      <w:r>
        <w:t>In future cycles of the Global Burden of Disease Study estimates will be available for Māori and non-Māori, which will be the first comparison by ethnicity this international project has ever produced.</w:t>
      </w:r>
      <w:bookmarkEnd w:id="45"/>
    </w:p>
    <w:bookmarkEnd w:id="44"/>
    <w:p w14:paraId="4C6EDD4F" w14:textId="77777777" w:rsidR="00507742" w:rsidRPr="00CD609A" w:rsidRDefault="00507742" w:rsidP="00701607">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5A5A2CBB" w14:textId="77777777" w:rsidTr="00572CF6">
        <w:trPr>
          <w:cantSplit/>
        </w:trPr>
        <w:tc>
          <w:tcPr>
            <w:tcW w:w="7973" w:type="dxa"/>
          </w:tcPr>
          <w:p w14:paraId="542CEBAD" w14:textId="77777777" w:rsidR="00507742" w:rsidRPr="00933A6B" w:rsidRDefault="00507742" w:rsidP="00701607">
            <w:pPr>
              <w:pStyle w:val="TableText"/>
              <w:rPr>
                <w:color w:val="0A6AB4"/>
                <w:sz w:val="24"/>
                <w:szCs w:val="24"/>
              </w:rPr>
            </w:pPr>
            <w:r w:rsidRPr="00B8445D">
              <w:rPr>
                <w:color w:val="0A6AB4"/>
                <w:sz w:val="24"/>
                <w:szCs w:val="24"/>
              </w:rPr>
              <w:t xml:space="preserve">Life expectancy </w:t>
            </w:r>
            <w:r>
              <w:rPr>
                <w:color w:val="0A6AB4"/>
                <w:sz w:val="24"/>
                <w:szCs w:val="24"/>
              </w:rPr>
              <w:t>continues to increase but more slowly than before</w:t>
            </w:r>
          </w:p>
        </w:tc>
      </w:tr>
    </w:tbl>
    <w:p w14:paraId="5072D674" w14:textId="77777777" w:rsidR="00507742" w:rsidRPr="00202BF8" w:rsidRDefault="00507742" w:rsidP="00701607"/>
    <w:p w14:paraId="6099F5C8" w14:textId="778EF721" w:rsidR="002542AA" w:rsidRDefault="00507742" w:rsidP="00701607">
      <w:r>
        <w:t>New Zealanders are living longer than ever before. In 2019,</w:t>
      </w:r>
      <w:r w:rsidRPr="007D038A">
        <w:t xml:space="preserve"> life expectancy at birth </w:t>
      </w:r>
      <w:r>
        <w:t>was</w:t>
      </w:r>
      <w:r w:rsidRPr="007D038A">
        <w:t xml:space="preserve"> </w:t>
      </w:r>
      <w:r>
        <w:t>79.9 </w:t>
      </w:r>
      <w:r w:rsidRPr="007D038A">
        <w:t xml:space="preserve">years for males and </w:t>
      </w:r>
      <w:r w:rsidRPr="0048471C">
        <w:t>83.6</w:t>
      </w:r>
      <w:r w:rsidRPr="007D038A">
        <w:t xml:space="preserve"> years for females</w:t>
      </w:r>
      <w:r>
        <w:t xml:space="preserve"> (Global Burden of Disease Collaborative Network 2020). Since 1990,</w:t>
      </w:r>
      <w:r w:rsidRPr="007D038A">
        <w:t xml:space="preserve"> men have gained </w:t>
      </w:r>
      <w:r>
        <w:t>7.2</w:t>
      </w:r>
      <w:r w:rsidRPr="007D038A">
        <w:t xml:space="preserve"> years of life and women </w:t>
      </w:r>
      <w:r>
        <w:t>5.2</w:t>
      </w:r>
      <w:r w:rsidRPr="007D038A">
        <w:t xml:space="preserve"> years</w:t>
      </w:r>
      <w:r>
        <w:t xml:space="preserve"> (</w:t>
      </w:r>
      <w:r w:rsidR="00701607">
        <w:fldChar w:fldCharType="begin"/>
      </w:r>
      <w:r w:rsidR="00701607">
        <w:instrText xml:space="preserve"> REF _Ref57368534 \h </w:instrText>
      </w:r>
      <w:r w:rsidR="00701607">
        <w:fldChar w:fldCharType="separate"/>
      </w:r>
      <w:r w:rsidR="003F39AB">
        <w:t>Table </w:t>
      </w:r>
      <w:r w:rsidR="003F39AB">
        <w:rPr>
          <w:noProof/>
        </w:rPr>
        <w:t>2</w:t>
      </w:r>
      <w:r w:rsidR="00701607">
        <w:fldChar w:fldCharType="end"/>
      </w:r>
      <w:r>
        <w:t>)</w:t>
      </w:r>
      <w:r w:rsidRPr="007D038A">
        <w:t>. While women have historically lived longer and continue to do so, the life expectancy gap between men and women is slowly decreasing.</w:t>
      </w:r>
    </w:p>
    <w:p w14:paraId="0D76EB1A" w14:textId="77777777" w:rsidR="00507742" w:rsidRDefault="00507742" w:rsidP="00701607"/>
    <w:p w14:paraId="2625F813" w14:textId="78C86355" w:rsidR="00507742" w:rsidRPr="00816588" w:rsidRDefault="00701607" w:rsidP="00701607">
      <w:pPr>
        <w:pStyle w:val="Table"/>
      </w:pPr>
      <w:bookmarkStart w:id="46" w:name="_Ref57368534"/>
      <w:bookmarkStart w:id="47" w:name="_Toc57273366"/>
      <w:bookmarkStart w:id="48" w:name="_Toc64536284"/>
      <w:r>
        <w:t>Table </w:t>
      </w:r>
      <w:fldSimple w:instr=" SEQ Table \* ARABIC ">
        <w:r w:rsidR="003F39AB">
          <w:rPr>
            <w:noProof/>
          </w:rPr>
          <w:t>2</w:t>
        </w:r>
      </w:fldSimple>
      <w:bookmarkEnd w:id="46"/>
      <w:r w:rsidR="00507742" w:rsidRPr="00816588">
        <w:t>:</w:t>
      </w:r>
      <w:r w:rsidR="00507742">
        <w:t xml:space="preserve"> Life expectancy at birth (years), by sex, 1990 to 2019</w:t>
      </w:r>
      <w:bookmarkEnd w:id="47"/>
      <w:bookmarkEnd w:id="48"/>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418"/>
        <w:gridCol w:w="1309"/>
        <w:gridCol w:w="1310"/>
        <w:gridCol w:w="1310"/>
        <w:gridCol w:w="1310"/>
        <w:gridCol w:w="1423"/>
      </w:tblGrid>
      <w:tr w:rsidR="00507742" w:rsidRPr="00816588" w14:paraId="0AAEB19D" w14:textId="77777777" w:rsidTr="00701607">
        <w:trPr>
          <w:cantSplit/>
        </w:trPr>
        <w:tc>
          <w:tcPr>
            <w:tcW w:w="1418" w:type="dxa"/>
            <w:tcBorders>
              <w:top w:val="nil"/>
              <w:bottom w:val="nil"/>
            </w:tcBorders>
            <w:shd w:val="clear" w:color="auto" w:fill="D9D9D9" w:themeFill="background1" w:themeFillShade="D9"/>
          </w:tcPr>
          <w:p w14:paraId="19AAAA26" w14:textId="77777777" w:rsidR="00507742" w:rsidRPr="00816588" w:rsidRDefault="00507742" w:rsidP="00572CF6">
            <w:pPr>
              <w:pStyle w:val="TableText"/>
              <w:rPr>
                <w:b/>
              </w:rPr>
            </w:pPr>
            <w:r>
              <w:rPr>
                <w:b/>
              </w:rPr>
              <w:t>Sex</w:t>
            </w:r>
          </w:p>
        </w:tc>
        <w:tc>
          <w:tcPr>
            <w:tcW w:w="1309" w:type="dxa"/>
            <w:tcBorders>
              <w:top w:val="nil"/>
              <w:bottom w:val="nil"/>
            </w:tcBorders>
            <w:shd w:val="clear" w:color="auto" w:fill="D9D9D9" w:themeFill="background1" w:themeFillShade="D9"/>
          </w:tcPr>
          <w:p w14:paraId="434E44F4" w14:textId="77777777" w:rsidR="00507742" w:rsidRPr="00816588" w:rsidRDefault="00507742" w:rsidP="00572CF6">
            <w:pPr>
              <w:pStyle w:val="TableText"/>
              <w:jc w:val="center"/>
              <w:rPr>
                <w:b/>
              </w:rPr>
            </w:pPr>
            <w:r>
              <w:rPr>
                <w:b/>
              </w:rPr>
              <w:t>1990</w:t>
            </w:r>
          </w:p>
        </w:tc>
        <w:tc>
          <w:tcPr>
            <w:tcW w:w="1310" w:type="dxa"/>
            <w:tcBorders>
              <w:top w:val="nil"/>
              <w:bottom w:val="nil"/>
            </w:tcBorders>
            <w:shd w:val="clear" w:color="auto" w:fill="D9D9D9" w:themeFill="background1" w:themeFillShade="D9"/>
          </w:tcPr>
          <w:p w14:paraId="2CB8139E" w14:textId="77777777" w:rsidR="00507742" w:rsidRDefault="00507742" w:rsidP="00572CF6">
            <w:pPr>
              <w:pStyle w:val="TableText"/>
              <w:jc w:val="center"/>
              <w:rPr>
                <w:b/>
              </w:rPr>
            </w:pPr>
            <w:r>
              <w:rPr>
                <w:b/>
              </w:rPr>
              <w:t>2000</w:t>
            </w:r>
          </w:p>
        </w:tc>
        <w:tc>
          <w:tcPr>
            <w:tcW w:w="1310" w:type="dxa"/>
            <w:tcBorders>
              <w:top w:val="nil"/>
              <w:bottom w:val="nil"/>
            </w:tcBorders>
            <w:shd w:val="clear" w:color="auto" w:fill="D9D9D9" w:themeFill="background1" w:themeFillShade="D9"/>
          </w:tcPr>
          <w:p w14:paraId="2CD5591C" w14:textId="77777777" w:rsidR="00507742" w:rsidRPr="00816588" w:rsidRDefault="00507742" w:rsidP="00572CF6">
            <w:pPr>
              <w:pStyle w:val="TableText"/>
              <w:jc w:val="center"/>
              <w:rPr>
                <w:b/>
              </w:rPr>
            </w:pPr>
            <w:r>
              <w:rPr>
                <w:b/>
              </w:rPr>
              <w:t>2010</w:t>
            </w:r>
          </w:p>
        </w:tc>
        <w:tc>
          <w:tcPr>
            <w:tcW w:w="1310" w:type="dxa"/>
            <w:tcBorders>
              <w:top w:val="nil"/>
              <w:bottom w:val="nil"/>
            </w:tcBorders>
            <w:shd w:val="clear" w:color="auto" w:fill="D9D9D9" w:themeFill="background1" w:themeFillShade="D9"/>
          </w:tcPr>
          <w:p w14:paraId="0FC8504E" w14:textId="77777777" w:rsidR="00507742" w:rsidRDefault="00507742" w:rsidP="00572CF6">
            <w:pPr>
              <w:pStyle w:val="TableText"/>
              <w:jc w:val="center"/>
              <w:rPr>
                <w:b/>
              </w:rPr>
            </w:pPr>
            <w:r>
              <w:rPr>
                <w:b/>
              </w:rPr>
              <w:t>2019</w:t>
            </w:r>
          </w:p>
        </w:tc>
        <w:tc>
          <w:tcPr>
            <w:tcW w:w="1423" w:type="dxa"/>
            <w:tcBorders>
              <w:top w:val="nil"/>
              <w:bottom w:val="nil"/>
            </w:tcBorders>
            <w:shd w:val="clear" w:color="auto" w:fill="D9D9D9" w:themeFill="background1" w:themeFillShade="D9"/>
          </w:tcPr>
          <w:p w14:paraId="12BD7E9B" w14:textId="77777777" w:rsidR="00507742" w:rsidRDefault="00507742" w:rsidP="00572CF6">
            <w:pPr>
              <w:pStyle w:val="TableText"/>
              <w:jc w:val="center"/>
              <w:rPr>
                <w:b/>
              </w:rPr>
            </w:pPr>
            <w:r>
              <w:rPr>
                <w:b/>
              </w:rPr>
              <w:t>Change from 1990 to 2019</w:t>
            </w:r>
          </w:p>
        </w:tc>
      </w:tr>
      <w:tr w:rsidR="00507742" w:rsidRPr="00816588" w14:paraId="38795D20" w14:textId="77777777" w:rsidTr="00701607">
        <w:trPr>
          <w:cantSplit/>
        </w:trPr>
        <w:tc>
          <w:tcPr>
            <w:tcW w:w="1418" w:type="dxa"/>
            <w:tcBorders>
              <w:top w:val="nil"/>
            </w:tcBorders>
          </w:tcPr>
          <w:p w14:paraId="6AE09B71" w14:textId="77777777" w:rsidR="00507742" w:rsidRPr="00816588" w:rsidRDefault="00507742" w:rsidP="00572CF6">
            <w:pPr>
              <w:pStyle w:val="TableText"/>
            </w:pPr>
            <w:r>
              <w:t>Males</w:t>
            </w:r>
          </w:p>
        </w:tc>
        <w:tc>
          <w:tcPr>
            <w:tcW w:w="1309" w:type="dxa"/>
            <w:tcBorders>
              <w:top w:val="nil"/>
            </w:tcBorders>
          </w:tcPr>
          <w:p w14:paraId="45B81BDC" w14:textId="77777777" w:rsidR="00507742" w:rsidRPr="00816588" w:rsidRDefault="00507742" w:rsidP="00572CF6">
            <w:pPr>
              <w:pStyle w:val="TableText"/>
              <w:jc w:val="center"/>
            </w:pPr>
            <w:r>
              <w:t>72.7</w:t>
            </w:r>
          </w:p>
        </w:tc>
        <w:tc>
          <w:tcPr>
            <w:tcW w:w="1310" w:type="dxa"/>
            <w:tcBorders>
              <w:top w:val="nil"/>
            </w:tcBorders>
          </w:tcPr>
          <w:p w14:paraId="4311B0A5" w14:textId="77777777" w:rsidR="00507742" w:rsidRDefault="00507742" w:rsidP="00572CF6">
            <w:pPr>
              <w:pStyle w:val="TableText"/>
              <w:jc w:val="center"/>
            </w:pPr>
            <w:r>
              <w:t>75.9</w:t>
            </w:r>
          </w:p>
        </w:tc>
        <w:tc>
          <w:tcPr>
            <w:tcW w:w="1310" w:type="dxa"/>
            <w:tcBorders>
              <w:top w:val="nil"/>
            </w:tcBorders>
          </w:tcPr>
          <w:p w14:paraId="18B28F19" w14:textId="77777777" w:rsidR="00507742" w:rsidRPr="00816588" w:rsidRDefault="00507742" w:rsidP="00572CF6">
            <w:pPr>
              <w:pStyle w:val="TableText"/>
              <w:jc w:val="center"/>
            </w:pPr>
            <w:r>
              <w:t>79.0</w:t>
            </w:r>
          </w:p>
        </w:tc>
        <w:tc>
          <w:tcPr>
            <w:tcW w:w="1310" w:type="dxa"/>
            <w:tcBorders>
              <w:top w:val="nil"/>
            </w:tcBorders>
          </w:tcPr>
          <w:p w14:paraId="15286DCE" w14:textId="77777777" w:rsidR="00507742" w:rsidRPr="000860F2" w:rsidRDefault="00507742" w:rsidP="00572CF6">
            <w:pPr>
              <w:pStyle w:val="TableText"/>
              <w:jc w:val="center"/>
            </w:pPr>
            <w:r w:rsidRPr="000860F2">
              <w:t>79.9</w:t>
            </w:r>
          </w:p>
        </w:tc>
        <w:tc>
          <w:tcPr>
            <w:tcW w:w="1423" w:type="dxa"/>
            <w:tcBorders>
              <w:top w:val="nil"/>
            </w:tcBorders>
          </w:tcPr>
          <w:p w14:paraId="4B092265" w14:textId="77777777" w:rsidR="00507742" w:rsidRPr="000860F2" w:rsidRDefault="00507742" w:rsidP="00572CF6">
            <w:pPr>
              <w:pStyle w:val="TableText"/>
              <w:jc w:val="center"/>
            </w:pPr>
            <w:r>
              <w:t>7.2</w:t>
            </w:r>
          </w:p>
        </w:tc>
      </w:tr>
      <w:tr w:rsidR="00507742" w:rsidRPr="00816588" w14:paraId="46FBAFDF" w14:textId="77777777" w:rsidTr="00701607">
        <w:trPr>
          <w:cantSplit/>
        </w:trPr>
        <w:tc>
          <w:tcPr>
            <w:tcW w:w="1418" w:type="dxa"/>
          </w:tcPr>
          <w:p w14:paraId="22F665B3" w14:textId="77777777" w:rsidR="00507742" w:rsidRPr="00816588" w:rsidRDefault="00507742" w:rsidP="00572CF6">
            <w:pPr>
              <w:pStyle w:val="TableText"/>
            </w:pPr>
            <w:r>
              <w:t>Females</w:t>
            </w:r>
          </w:p>
        </w:tc>
        <w:tc>
          <w:tcPr>
            <w:tcW w:w="1309" w:type="dxa"/>
          </w:tcPr>
          <w:p w14:paraId="61A84C08" w14:textId="77777777" w:rsidR="00507742" w:rsidRPr="00816588" w:rsidRDefault="00507742" w:rsidP="00572CF6">
            <w:pPr>
              <w:pStyle w:val="TableText"/>
              <w:jc w:val="center"/>
            </w:pPr>
            <w:r>
              <w:t>78.4</w:t>
            </w:r>
          </w:p>
        </w:tc>
        <w:tc>
          <w:tcPr>
            <w:tcW w:w="1310" w:type="dxa"/>
          </w:tcPr>
          <w:p w14:paraId="1079BE1A" w14:textId="77777777" w:rsidR="00507742" w:rsidRPr="00816588" w:rsidRDefault="00507742" w:rsidP="00572CF6">
            <w:pPr>
              <w:pStyle w:val="TableText"/>
              <w:jc w:val="center"/>
            </w:pPr>
            <w:r>
              <w:t>80.8</w:t>
            </w:r>
          </w:p>
        </w:tc>
        <w:tc>
          <w:tcPr>
            <w:tcW w:w="1310" w:type="dxa"/>
          </w:tcPr>
          <w:p w14:paraId="297EB434" w14:textId="77777777" w:rsidR="00507742" w:rsidRPr="00816588" w:rsidRDefault="00507742" w:rsidP="00572CF6">
            <w:pPr>
              <w:pStyle w:val="TableText"/>
              <w:jc w:val="center"/>
            </w:pPr>
            <w:r>
              <w:t>82.8</w:t>
            </w:r>
          </w:p>
        </w:tc>
        <w:tc>
          <w:tcPr>
            <w:tcW w:w="1310" w:type="dxa"/>
          </w:tcPr>
          <w:p w14:paraId="7CD3F0AD" w14:textId="77777777" w:rsidR="00507742" w:rsidRPr="00B57AA2" w:rsidRDefault="00507742" w:rsidP="00572CF6">
            <w:pPr>
              <w:pStyle w:val="TableText"/>
              <w:jc w:val="center"/>
            </w:pPr>
            <w:r>
              <w:t>83.6</w:t>
            </w:r>
          </w:p>
        </w:tc>
        <w:tc>
          <w:tcPr>
            <w:tcW w:w="1423" w:type="dxa"/>
          </w:tcPr>
          <w:p w14:paraId="69C5091E" w14:textId="77777777" w:rsidR="00507742" w:rsidRPr="00816588" w:rsidRDefault="00507742" w:rsidP="00572CF6">
            <w:pPr>
              <w:pStyle w:val="TableText"/>
              <w:jc w:val="center"/>
            </w:pPr>
            <w:r>
              <w:t>5.2</w:t>
            </w:r>
          </w:p>
        </w:tc>
      </w:tr>
    </w:tbl>
    <w:p w14:paraId="4096CE09" w14:textId="77777777" w:rsidR="00507742" w:rsidRPr="00816588" w:rsidRDefault="00507742" w:rsidP="00507742">
      <w:pPr>
        <w:spacing w:line="20" w:lineRule="atLeast"/>
        <w:ind w:left="1695"/>
        <w:rPr>
          <w:rFonts w:ascii="Arial Unicode MS" w:eastAsia="Arial Unicode MS" w:hAnsi="Arial Unicode MS" w:cs="Arial Unicode MS"/>
          <w:sz w:val="2"/>
          <w:szCs w:val="2"/>
        </w:rPr>
      </w:pPr>
    </w:p>
    <w:p w14:paraId="746B08CE" w14:textId="406C946B" w:rsidR="00507742" w:rsidRDefault="009E77CA" w:rsidP="00701607">
      <w:pPr>
        <w:pStyle w:val="Source"/>
      </w:pPr>
      <w:r>
        <w:t>Source: Global Burden of Disease Collaborative Network (2020)</w:t>
      </w:r>
    </w:p>
    <w:p w14:paraId="493DC95C" w14:textId="77777777" w:rsidR="00507742" w:rsidRDefault="00507742" w:rsidP="00701607"/>
    <w:p w14:paraId="6262B872" w14:textId="77777777" w:rsidR="00507742" w:rsidRDefault="00507742" w:rsidP="00701607">
      <w:r>
        <w:t>New Zealand</w:t>
      </w:r>
      <w:r w:rsidR="002542AA">
        <w:t>’</w:t>
      </w:r>
      <w:r>
        <w:t>s life expectancy compares well with other similar countries. In 2019, life expectancy at birth in high socioeconomic development index (SDI) countries was 78.6</w:t>
      </w:r>
      <w:r w:rsidR="00701607">
        <w:t> </w:t>
      </w:r>
      <w:r>
        <w:t>years for males and 83.8 years for females (Global Burden of Disease Collaborative Network 2020).</w:t>
      </w:r>
    </w:p>
    <w:p w14:paraId="004AC815" w14:textId="77777777" w:rsidR="00507742" w:rsidRDefault="00507742" w:rsidP="00701607">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712B88B4" w14:textId="77777777" w:rsidTr="00572CF6">
        <w:trPr>
          <w:cantSplit/>
        </w:trPr>
        <w:tc>
          <w:tcPr>
            <w:tcW w:w="7973" w:type="dxa"/>
          </w:tcPr>
          <w:p w14:paraId="4FEA78DD" w14:textId="77777777" w:rsidR="00507742" w:rsidRPr="00933A6B" w:rsidRDefault="00507742" w:rsidP="00572CF6">
            <w:pPr>
              <w:pStyle w:val="TableText"/>
              <w:keepNext/>
              <w:rPr>
                <w:color w:val="0A6AB4"/>
                <w:sz w:val="24"/>
                <w:szCs w:val="24"/>
              </w:rPr>
            </w:pPr>
            <w:r>
              <w:rPr>
                <w:color w:val="0A6AB4"/>
                <w:sz w:val="24"/>
                <w:szCs w:val="24"/>
              </w:rPr>
              <w:lastRenderedPageBreak/>
              <w:t>H</w:t>
            </w:r>
            <w:r w:rsidRPr="00B8445D">
              <w:rPr>
                <w:color w:val="0A6AB4"/>
                <w:sz w:val="24"/>
                <w:szCs w:val="24"/>
              </w:rPr>
              <w:t>ealth-adjusted life expectancy</w:t>
            </w:r>
            <w:r w:rsidR="00701607">
              <w:rPr>
                <w:color w:val="0A6AB4"/>
                <w:sz w:val="24"/>
                <w:szCs w:val="24"/>
              </w:rPr>
              <w:t xml:space="preserve"> is increasing</w:t>
            </w:r>
          </w:p>
        </w:tc>
      </w:tr>
    </w:tbl>
    <w:p w14:paraId="2E28687D" w14:textId="77777777" w:rsidR="00507742" w:rsidRDefault="00507742" w:rsidP="00701607">
      <w:pPr>
        <w:keepNext/>
      </w:pPr>
    </w:p>
    <w:p w14:paraId="5F3D4A11" w14:textId="2086A9A2" w:rsidR="00507742" w:rsidRDefault="00507742" w:rsidP="00701607">
      <w:r>
        <w:t>H</w:t>
      </w:r>
      <w:r w:rsidRPr="00300DB6">
        <w:t>ealth-adjusted life expectancy (health expectancy) represents the number of years we live in good health</w:t>
      </w:r>
      <w:r>
        <w:t xml:space="preserve"> – that is, without functional limitation. Health expectancy is an important indicator of </w:t>
      </w:r>
      <w:r w:rsidR="00F61CFE">
        <w:t>health and disability system</w:t>
      </w:r>
      <w:r>
        <w:t xml:space="preserve"> performance, reflecting the contribution that all sectors make to keeping people healthy and independent throughout their lives.</w:t>
      </w:r>
    </w:p>
    <w:p w14:paraId="4D4F5307" w14:textId="77777777" w:rsidR="00507742" w:rsidRDefault="00507742" w:rsidP="00507742"/>
    <w:p w14:paraId="7731201C" w14:textId="6574149F" w:rsidR="002542AA" w:rsidRDefault="00507742" w:rsidP="00507742">
      <w:r w:rsidRPr="007D038A">
        <w:t xml:space="preserve">Health expectancy at birth is </w:t>
      </w:r>
      <w:r>
        <w:t>68.9</w:t>
      </w:r>
      <w:r w:rsidRPr="007D038A">
        <w:t xml:space="preserve"> years for males and </w:t>
      </w:r>
      <w:r>
        <w:t>70.3</w:t>
      </w:r>
      <w:r w:rsidRPr="007D038A">
        <w:t xml:space="preserve"> years for females</w:t>
      </w:r>
      <w:r>
        <w:t xml:space="preserve"> (Global Burden of Disease Collaborative Network 2020)</w:t>
      </w:r>
      <w:r w:rsidRPr="007D038A">
        <w:t>. Over time, health expectancy has increased for both men and women</w:t>
      </w:r>
      <w:r>
        <w:t xml:space="preserve"> (Table 3)</w:t>
      </w:r>
      <w:r w:rsidRPr="007D038A">
        <w:t xml:space="preserve">. </w:t>
      </w:r>
      <w:r w:rsidR="004E68C6">
        <w:t>Since 1990,</w:t>
      </w:r>
      <w:r w:rsidR="004E68C6" w:rsidRPr="007D038A">
        <w:t xml:space="preserve"> men have gained </w:t>
      </w:r>
      <w:r w:rsidR="004E68C6">
        <w:t>5.6</w:t>
      </w:r>
      <w:r w:rsidR="004E68C6" w:rsidRPr="007D038A">
        <w:t xml:space="preserve"> years of </w:t>
      </w:r>
      <w:r w:rsidR="004E68C6">
        <w:t xml:space="preserve">healthy </w:t>
      </w:r>
      <w:r w:rsidR="004E68C6" w:rsidRPr="007D038A">
        <w:t xml:space="preserve">life and women </w:t>
      </w:r>
      <w:r w:rsidR="004E68C6">
        <w:t>4.2</w:t>
      </w:r>
      <w:r w:rsidR="004E68C6" w:rsidRPr="007D038A">
        <w:t xml:space="preserve"> years</w:t>
      </w:r>
      <w:r w:rsidRPr="007D038A">
        <w:t>.</w:t>
      </w:r>
    </w:p>
    <w:p w14:paraId="32A9D9F1" w14:textId="77777777" w:rsidR="00507742" w:rsidRDefault="00507742" w:rsidP="00410C25"/>
    <w:p w14:paraId="391AD17C" w14:textId="112ECF7D" w:rsidR="00507742" w:rsidRPr="00816588" w:rsidRDefault="00410C25" w:rsidP="00410C25">
      <w:pPr>
        <w:pStyle w:val="Table"/>
      </w:pPr>
      <w:bookmarkStart w:id="49" w:name="_Toc54689252"/>
      <w:bookmarkStart w:id="50" w:name="_Toc57273367"/>
      <w:bookmarkStart w:id="51" w:name="_Toc64536285"/>
      <w:r>
        <w:t>Table </w:t>
      </w:r>
      <w:fldSimple w:instr=" SEQ Table \* ARABIC ">
        <w:r w:rsidR="003F39AB">
          <w:rPr>
            <w:noProof/>
          </w:rPr>
          <w:t>3</w:t>
        </w:r>
      </w:fldSimple>
      <w:r w:rsidR="00507742" w:rsidRPr="00816588">
        <w:t>:</w:t>
      </w:r>
      <w:r w:rsidR="00507742">
        <w:t xml:space="preserve"> Health expectancy (years), by sex, 1990 to 2019</w:t>
      </w:r>
      <w:bookmarkEnd w:id="49"/>
      <w:bookmarkEnd w:id="50"/>
      <w:bookmarkEnd w:id="51"/>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418"/>
        <w:gridCol w:w="1309"/>
        <w:gridCol w:w="1310"/>
        <w:gridCol w:w="1310"/>
        <w:gridCol w:w="1310"/>
        <w:gridCol w:w="1423"/>
      </w:tblGrid>
      <w:tr w:rsidR="00507742" w:rsidRPr="00816588" w14:paraId="745FBC74" w14:textId="77777777" w:rsidTr="00410C25">
        <w:trPr>
          <w:cantSplit/>
        </w:trPr>
        <w:tc>
          <w:tcPr>
            <w:tcW w:w="1418" w:type="dxa"/>
            <w:tcBorders>
              <w:top w:val="nil"/>
              <w:bottom w:val="nil"/>
            </w:tcBorders>
            <w:shd w:val="clear" w:color="auto" w:fill="D9D9D9" w:themeFill="background1" w:themeFillShade="D9"/>
          </w:tcPr>
          <w:p w14:paraId="54E36134" w14:textId="77777777" w:rsidR="00507742" w:rsidRPr="00816588" w:rsidRDefault="00507742" w:rsidP="00572CF6">
            <w:pPr>
              <w:pStyle w:val="TableText"/>
              <w:rPr>
                <w:b/>
              </w:rPr>
            </w:pPr>
            <w:r>
              <w:rPr>
                <w:b/>
              </w:rPr>
              <w:t>Sex</w:t>
            </w:r>
          </w:p>
        </w:tc>
        <w:tc>
          <w:tcPr>
            <w:tcW w:w="1309" w:type="dxa"/>
            <w:tcBorders>
              <w:top w:val="nil"/>
              <w:bottom w:val="nil"/>
            </w:tcBorders>
            <w:shd w:val="clear" w:color="auto" w:fill="D9D9D9" w:themeFill="background1" w:themeFillShade="D9"/>
          </w:tcPr>
          <w:p w14:paraId="3214FBF5" w14:textId="77777777" w:rsidR="00507742" w:rsidRPr="00816588" w:rsidRDefault="00507742" w:rsidP="00572CF6">
            <w:pPr>
              <w:pStyle w:val="TableText"/>
              <w:jc w:val="center"/>
              <w:rPr>
                <w:b/>
              </w:rPr>
            </w:pPr>
            <w:r>
              <w:rPr>
                <w:b/>
              </w:rPr>
              <w:t>1990</w:t>
            </w:r>
          </w:p>
        </w:tc>
        <w:tc>
          <w:tcPr>
            <w:tcW w:w="1310" w:type="dxa"/>
            <w:tcBorders>
              <w:top w:val="nil"/>
              <w:bottom w:val="nil"/>
            </w:tcBorders>
            <w:shd w:val="clear" w:color="auto" w:fill="D9D9D9" w:themeFill="background1" w:themeFillShade="D9"/>
          </w:tcPr>
          <w:p w14:paraId="6A12A757" w14:textId="77777777" w:rsidR="00507742" w:rsidRDefault="00507742" w:rsidP="00572CF6">
            <w:pPr>
              <w:pStyle w:val="TableText"/>
              <w:jc w:val="center"/>
              <w:rPr>
                <w:b/>
              </w:rPr>
            </w:pPr>
            <w:r>
              <w:rPr>
                <w:b/>
              </w:rPr>
              <w:t>2000</w:t>
            </w:r>
          </w:p>
        </w:tc>
        <w:tc>
          <w:tcPr>
            <w:tcW w:w="1310" w:type="dxa"/>
            <w:tcBorders>
              <w:top w:val="nil"/>
              <w:bottom w:val="nil"/>
            </w:tcBorders>
            <w:shd w:val="clear" w:color="auto" w:fill="D9D9D9" w:themeFill="background1" w:themeFillShade="D9"/>
          </w:tcPr>
          <w:p w14:paraId="68AA9D6E" w14:textId="77777777" w:rsidR="00507742" w:rsidRPr="00816588" w:rsidRDefault="00507742" w:rsidP="00572CF6">
            <w:pPr>
              <w:pStyle w:val="TableText"/>
              <w:jc w:val="center"/>
              <w:rPr>
                <w:b/>
              </w:rPr>
            </w:pPr>
            <w:r>
              <w:rPr>
                <w:b/>
              </w:rPr>
              <w:t>2010</w:t>
            </w:r>
          </w:p>
        </w:tc>
        <w:tc>
          <w:tcPr>
            <w:tcW w:w="1310" w:type="dxa"/>
            <w:tcBorders>
              <w:top w:val="nil"/>
              <w:bottom w:val="nil"/>
            </w:tcBorders>
            <w:shd w:val="clear" w:color="auto" w:fill="D9D9D9" w:themeFill="background1" w:themeFillShade="D9"/>
          </w:tcPr>
          <w:p w14:paraId="74666338" w14:textId="77777777" w:rsidR="00507742" w:rsidRDefault="00507742" w:rsidP="00572CF6">
            <w:pPr>
              <w:pStyle w:val="TableText"/>
              <w:jc w:val="center"/>
              <w:rPr>
                <w:b/>
              </w:rPr>
            </w:pPr>
            <w:r>
              <w:rPr>
                <w:b/>
              </w:rPr>
              <w:t>2019</w:t>
            </w:r>
          </w:p>
        </w:tc>
        <w:tc>
          <w:tcPr>
            <w:tcW w:w="1423" w:type="dxa"/>
            <w:tcBorders>
              <w:top w:val="nil"/>
              <w:bottom w:val="nil"/>
            </w:tcBorders>
            <w:shd w:val="clear" w:color="auto" w:fill="D9D9D9" w:themeFill="background1" w:themeFillShade="D9"/>
          </w:tcPr>
          <w:p w14:paraId="16F94884" w14:textId="77777777" w:rsidR="00507742" w:rsidRDefault="00507742" w:rsidP="00572CF6">
            <w:pPr>
              <w:pStyle w:val="TableText"/>
              <w:jc w:val="center"/>
              <w:rPr>
                <w:b/>
              </w:rPr>
            </w:pPr>
            <w:r>
              <w:rPr>
                <w:b/>
              </w:rPr>
              <w:t>Change from 1990 to 2019</w:t>
            </w:r>
          </w:p>
        </w:tc>
      </w:tr>
      <w:tr w:rsidR="00507742" w:rsidRPr="00816588" w14:paraId="1AF18DA4" w14:textId="77777777" w:rsidTr="00410C25">
        <w:trPr>
          <w:cantSplit/>
        </w:trPr>
        <w:tc>
          <w:tcPr>
            <w:tcW w:w="1418" w:type="dxa"/>
            <w:tcBorders>
              <w:top w:val="nil"/>
            </w:tcBorders>
          </w:tcPr>
          <w:p w14:paraId="17CD9971" w14:textId="77777777" w:rsidR="00507742" w:rsidRPr="00816588" w:rsidRDefault="00507742" w:rsidP="00572CF6">
            <w:pPr>
              <w:pStyle w:val="TableText"/>
            </w:pPr>
            <w:r>
              <w:t>Males</w:t>
            </w:r>
          </w:p>
        </w:tc>
        <w:tc>
          <w:tcPr>
            <w:tcW w:w="1309" w:type="dxa"/>
            <w:tcBorders>
              <w:top w:val="nil"/>
            </w:tcBorders>
          </w:tcPr>
          <w:p w14:paraId="45843BB9" w14:textId="77777777" w:rsidR="00507742" w:rsidRPr="00816588" w:rsidRDefault="00507742" w:rsidP="00572CF6">
            <w:pPr>
              <w:pStyle w:val="TableText"/>
              <w:jc w:val="center"/>
            </w:pPr>
            <w:r>
              <w:t>63.3</w:t>
            </w:r>
          </w:p>
        </w:tc>
        <w:tc>
          <w:tcPr>
            <w:tcW w:w="1310" w:type="dxa"/>
            <w:tcBorders>
              <w:top w:val="nil"/>
            </w:tcBorders>
          </w:tcPr>
          <w:p w14:paraId="7CF40078" w14:textId="77777777" w:rsidR="00507742" w:rsidRDefault="00507742" w:rsidP="00572CF6">
            <w:pPr>
              <w:pStyle w:val="TableText"/>
              <w:jc w:val="center"/>
            </w:pPr>
            <w:r>
              <w:t>65.9</w:t>
            </w:r>
          </w:p>
        </w:tc>
        <w:tc>
          <w:tcPr>
            <w:tcW w:w="1310" w:type="dxa"/>
            <w:tcBorders>
              <w:top w:val="nil"/>
            </w:tcBorders>
          </w:tcPr>
          <w:p w14:paraId="37C2FABF" w14:textId="77777777" w:rsidR="00507742" w:rsidRPr="00816588" w:rsidRDefault="00507742" w:rsidP="00572CF6">
            <w:pPr>
              <w:pStyle w:val="TableText"/>
              <w:jc w:val="center"/>
            </w:pPr>
            <w:r>
              <w:t>68.4</w:t>
            </w:r>
          </w:p>
        </w:tc>
        <w:tc>
          <w:tcPr>
            <w:tcW w:w="1310" w:type="dxa"/>
            <w:tcBorders>
              <w:top w:val="nil"/>
            </w:tcBorders>
          </w:tcPr>
          <w:p w14:paraId="4E1A54AB" w14:textId="77777777" w:rsidR="00507742" w:rsidRPr="000860F2" w:rsidRDefault="00507742" w:rsidP="00572CF6">
            <w:pPr>
              <w:pStyle w:val="TableText"/>
              <w:jc w:val="center"/>
            </w:pPr>
            <w:r>
              <w:t>68.9</w:t>
            </w:r>
          </w:p>
        </w:tc>
        <w:tc>
          <w:tcPr>
            <w:tcW w:w="1423" w:type="dxa"/>
            <w:tcBorders>
              <w:top w:val="nil"/>
            </w:tcBorders>
          </w:tcPr>
          <w:p w14:paraId="632EF172" w14:textId="77777777" w:rsidR="00507742" w:rsidRPr="000860F2" w:rsidRDefault="00507742" w:rsidP="00572CF6">
            <w:pPr>
              <w:pStyle w:val="TableText"/>
              <w:jc w:val="center"/>
            </w:pPr>
            <w:r>
              <w:t>5.6</w:t>
            </w:r>
          </w:p>
        </w:tc>
      </w:tr>
      <w:tr w:rsidR="00507742" w:rsidRPr="00816588" w14:paraId="13128DCB" w14:textId="77777777" w:rsidTr="00410C25">
        <w:trPr>
          <w:cantSplit/>
        </w:trPr>
        <w:tc>
          <w:tcPr>
            <w:tcW w:w="1418" w:type="dxa"/>
          </w:tcPr>
          <w:p w14:paraId="3FD37D48" w14:textId="77777777" w:rsidR="00507742" w:rsidRPr="00816588" w:rsidRDefault="00507742" w:rsidP="00572CF6">
            <w:pPr>
              <w:pStyle w:val="TableText"/>
            </w:pPr>
            <w:r>
              <w:t>Females</w:t>
            </w:r>
          </w:p>
        </w:tc>
        <w:tc>
          <w:tcPr>
            <w:tcW w:w="1309" w:type="dxa"/>
          </w:tcPr>
          <w:p w14:paraId="2F7A0F8B" w14:textId="77777777" w:rsidR="00507742" w:rsidRPr="00816588" w:rsidRDefault="00507742" w:rsidP="00572CF6">
            <w:pPr>
              <w:pStyle w:val="TableText"/>
              <w:jc w:val="center"/>
            </w:pPr>
            <w:r>
              <w:t>66.1</w:t>
            </w:r>
          </w:p>
        </w:tc>
        <w:tc>
          <w:tcPr>
            <w:tcW w:w="1310" w:type="dxa"/>
          </w:tcPr>
          <w:p w14:paraId="78B31FE9" w14:textId="77777777" w:rsidR="00507742" w:rsidRPr="00816588" w:rsidRDefault="00507742" w:rsidP="00572CF6">
            <w:pPr>
              <w:pStyle w:val="TableText"/>
              <w:jc w:val="center"/>
            </w:pPr>
            <w:r>
              <w:t>68.3</w:t>
            </w:r>
          </w:p>
        </w:tc>
        <w:tc>
          <w:tcPr>
            <w:tcW w:w="1310" w:type="dxa"/>
          </w:tcPr>
          <w:p w14:paraId="0ADC1460" w14:textId="77777777" w:rsidR="00507742" w:rsidRPr="00816588" w:rsidRDefault="00507742" w:rsidP="00572CF6">
            <w:pPr>
              <w:pStyle w:val="TableText"/>
              <w:jc w:val="center"/>
            </w:pPr>
            <w:r>
              <w:t>70.0</w:t>
            </w:r>
          </w:p>
        </w:tc>
        <w:tc>
          <w:tcPr>
            <w:tcW w:w="1310" w:type="dxa"/>
          </w:tcPr>
          <w:p w14:paraId="38065B8D" w14:textId="77777777" w:rsidR="00507742" w:rsidRPr="00B57AA2" w:rsidRDefault="00507742" w:rsidP="00572CF6">
            <w:pPr>
              <w:pStyle w:val="TableText"/>
              <w:jc w:val="center"/>
            </w:pPr>
            <w:r>
              <w:t>70.3</w:t>
            </w:r>
          </w:p>
        </w:tc>
        <w:tc>
          <w:tcPr>
            <w:tcW w:w="1423" w:type="dxa"/>
          </w:tcPr>
          <w:p w14:paraId="66F2FE4C" w14:textId="77777777" w:rsidR="00507742" w:rsidRPr="00816588" w:rsidRDefault="00507742" w:rsidP="00572CF6">
            <w:pPr>
              <w:pStyle w:val="TableText"/>
              <w:jc w:val="center"/>
            </w:pPr>
            <w:r>
              <w:t>4.2</w:t>
            </w:r>
          </w:p>
        </w:tc>
      </w:tr>
    </w:tbl>
    <w:p w14:paraId="49D6529A" w14:textId="77777777" w:rsidR="00507742" w:rsidRPr="00816588" w:rsidRDefault="00507742" w:rsidP="00507742">
      <w:pPr>
        <w:spacing w:line="20" w:lineRule="atLeast"/>
        <w:ind w:left="1695"/>
        <w:rPr>
          <w:rFonts w:ascii="Arial Unicode MS" w:eastAsia="Arial Unicode MS" w:hAnsi="Arial Unicode MS" w:cs="Arial Unicode MS"/>
          <w:sz w:val="2"/>
          <w:szCs w:val="2"/>
        </w:rPr>
      </w:pPr>
    </w:p>
    <w:p w14:paraId="3E2BBE14" w14:textId="706FBB41" w:rsidR="00507742" w:rsidRDefault="009E77CA" w:rsidP="00410C25">
      <w:pPr>
        <w:pStyle w:val="Source"/>
      </w:pPr>
      <w:r>
        <w:t>Source: Global Burden of Disease Collaborative Network (2020)</w:t>
      </w:r>
    </w:p>
    <w:p w14:paraId="2F27E0D4" w14:textId="77777777" w:rsidR="00507742" w:rsidRDefault="00507742" w:rsidP="00410C25"/>
    <w:p w14:paraId="27E8FD82" w14:textId="77777777" w:rsidR="00507742" w:rsidRDefault="00507742" w:rsidP="00410C25">
      <w:r>
        <w:t>New Zealand</w:t>
      </w:r>
      <w:r w:rsidR="002542AA">
        <w:t>’</w:t>
      </w:r>
      <w:r>
        <w:t>s health expectancy compares well with other similar countries. In 2019, health expectancy at birth in high SDI countries was 68.2 years for males and 70.2 years for females (Global Burden of Disease Collaborative Network 2020).</w:t>
      </w:r>
    </w:p>
    <w:p w14:paraId="30522B8F" w14:textId="77777777" w:rsidR="00507742" w:rsidRDefault="00507742" w:rsidP="00410C25">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3BF8AA3A" w14:textId="77777777" w:rsidTr="00572CF6">
        <w:trPr>
          <w:cantSplit/>
        </w:trPr>
        <w:tc>
          <w:tcPr>
            <w:tcW w:w="7973" w:type="dxa"/>
          </w:tcPr>
          <w:p w14:paraId="5B5DE3CA" w14:textId="77777777" w:rsidR="00507742" w:rsidRPr="00933A6B" w:rsidRDefault="00507742" w:rsidP="00410C25">
            <w:pPr>
              <w:pStyle w:val="TableText"/>
              <w:rPr>
                <w:color w:val="0A6AB4"/>
                <w:sz w:val="24"/>
                <w:szCs w:val="24"/>
              </w:rPr>
            </w:pPr>
            <w:r>
              <w:rPr>
                <w:color w:val="0A6AB4"/>
                <w:sz w:val="24"/>
                <w:szCs w:val="24"/>
              </w:rPr>
              <w:t>The number of years spent in poor health is relatively stable</w:t>
            </w:r>
          </w:p>
        </w:tc>
      </w:tr>
    </w:tbl>
    <w:p w14:paraId="4DA757D9" w14:textId="77777777" w:rsidR="00507742" w:rsidRDefault="00507742" w:rsidP="00410C25"/>
    <w:p w14:paraId="27E20570" w14:textId="019D1318" w:rsidR="002542AA" w:rsidRDefault="00507742" w:rsidP="00410C25">
      <w:r>
        <w:t>A</w:t>
      </w:r>
      <w:r w:rsidRPr="00241CE1">
        <w:t xml:space="preserve">lthough both life expectancy and health expectancy have improved, the increase in health expectancy </w:t>
      </w:r>
      <w:r>
        <w:t xml:space="preserve">is slightly lower than the increase in </w:t>
      </w:r>
      <w:r w:rsidRPr="00241CE1">
        <w:t xml:space="preserve">life expectancy. This means that while we are living longer, we are spending </w:t>
      </w:r>
      <w:r>
        <w:t>more of our time in</w:t>
      </w:r>
      <w:r w:rsidRPr="00241CE1">
        <w:t xml:space="preserve"> poor health</w:t>
      </w:r>
      <w:r>
        <w:t xml:space="preserve"> (</w:t>
      </w:r>
      <w:r w:rsidR="00410C25">
        <w:fldChar w:fldCharType="begin"/>
      </w:r>
      <w:r w:rsidR="00410C25">
        <w:instrText xml:space="preserve"> REF _Ref57368753 \h </w:instrText>
      </w:r>
      <w:r w:rsidR="00410C25">
        <w:fldChar w:fldCharType="separate"/>
      </w:r>
      <w:r w:rsidR="003F39AB">
        <w:t>Table </w:t>
      </w:r>
      <w:r w:rsidR="003F39AB">
        <w:rPr>
          <w:noProof/>
        </w:rPr>
        <w:t>4</w:t>
      </w:r>
      <w:r w:rsidR="00410C25">
        <w:fldChar w:fldCharType="end"/>
      </w:r>
      <w:r>
        <w:t>).</w:t>
      </w:r>
    </w:p>
    <w:p w14:paraId="24F758DB" w14:textId="77777777" w:rsidR="00507742" w:rsidRDefault="00507742" w:rsidP="00507742">
      <w:pPr>
        <w:keepNext/>
      </w:pPr>
    </w:p>
    <w:p w14:paraId="401881C1" w14:textId="50CD10EF" w:rsidR="00507742" w:rsidRPr="00816588" w:rsidRDefault="00410C25" w:rsidP="00410C25">
      <w:pPr>
        <w:pStyle w:val="Table"/>
      </w:pPr>
      <w:bookmarkStart w:id="52" w:name="_Ref57368753"/>
      <w:bookmarkStart w:id="53" w:name="_Toc54689253"/>
      <w:bookmarkStart w:id="54" w:name="_Toc57273368"/>
      <w:bookmarkStart w:id="55" w:name="_Toc64536286"/>
      <w:r>
        <w:t>Table </w:t>
      </w:r>
      <w:fldSimple w:instr=" SEQ Table \* ARABIC ">
        <w:r w:rsidR="003F39AB">
          <w:rPr>
            <w:noProof/>
          </w:rPr>
          <w:t>4</w:t>
        </w:r>
      </w:fldSimple>
      <w:bookmarkEnd w:id="52"/>
      <w:r w:rsidR="00507742" w:rsidRPr="00816588">
        <w:t>:</w:t>
      </w:r>
      <w:r w:rsidR="00507742">
        <w:t xml:space="preserve"> Time spent in poor health (years), by sex, 1990 to 2019</w:t>
      </w:r>
      <w:bookmarkEnd w:id="53"/>
      <w:bookmarkEnd w:id="54"/>
      <w:bookmarkEnd w:id="55"/>
      <w:r w:rsidR="00507742">
        <w:t xml:space="preserve"> </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276"/>
        <w:gridCol w:w="1309"/>
        <w:gridCol w:w="1310"/>
        <w:gridCol w:w="1310"/>
        <w:gridCol w:w="1310"/>
        <w:gridCol w:w="1565"/>
      </w:tblGrid>
      <w:tr w:rsidR="00507742" w:rsidRPr="00816588" w14:paraId="1C563C99" w14:textId="77777777" w:rsidTr="00410C25">
        <w:trPr>
          <w:cantSplit/>
        </w:trPr>
        <w:tc>
          <w:tcPr>
            <w:tcW w:w="1276" w:type="dxa"/>
            <w:tcBorders>
              <w:top w:val="nil"/>
              <w:bottom w:val="nil"/>
            </w:tcBorders>
            <w:shd w:val="clear" w:color="auto" w:fill="D9D9D9" w:themeFill="background1" w:themeFillShade="D9"/>
          </w:tcPr>
          <w:p w14:paraId="0736ABCC" w14:textId="77777777" w:rsidR="00507742" w:rsidRPr="00816588" w:rsidRDefault="00507742" w:rsidP="00572CF6">
            <w:pPr>
              <w:pStyle w:val="TableText"/>
              <w:rPr>
                <w:b/>
              </w:rPr>
            </w:pPr>
            <w:r>
              <w:rPr>
                <w:b/>
              </w:rPr>
              <w:t>Sex</w:t>
            </w:r>
          </w:p>
        </w:tc>
        <w:tc>
          <w:tcPr>
            <w:tcW w:w="1309" w:type="dxa"/>
            <w:tcBorders>
              <w:top w:val="nil"/>
              <w:bottom w:val="nil"/>
            </w:tcBorders>
            <w:shd w:val="clear" w:color="auto" w:fill="D9D9D9" w:themeFill="background1" w:themeFillShade="D9"/>
          </w:tcPr>
          <w:p w14:paraId="57696D0D" w14:textId="77777777" w:rsidR="00507742" w:rsidRPr="00816588" w:rsidRDefault="00507742" w:rsidP="00572CF6">
            <w:pPr>
              <w:pStyle w:val="TableText"/>
              <w:jc w:val="center"/>
              <w:rPr>
                <w:b/>
              </w:rPr>
            </w:pPr>
            <w:r>
              <w:rPr>
                <w:b/>
              </w:rPr>
              <w:t>1990</w:t>
            </w:r>
          </w:p>
        </w:tc>
        <w:tc>
          <w:tcPr>
            <w:tcW w:w="1310" w:type="dxa"/>
            <w:tcBorders>
              <w:top w:val="nil"/>
              <w:bottom w:val="nil"/>
            </w:tcBorders>
            <w:shd w:val="clear" w:color="auto" w:fill="D9D9D9" w:themeFill="background1" w:themeFillShade="D9"/>
          </w:tcPr>
          <w:p w14:paraId="0289718E" w14:textId="77777777" w:rsidR="00507742" w:rsidRDefault="00507742" w:rsidP="00572CF6">
            <w:pPr>
              <w:pStyle w:val="TableText"/>
              <w:jc w:val="center"/>
              <w:rPr>
                <w:b/>
              </w:rPr>
            </w:pPr>
            <w:r>
              <w:rPr>
                <w:b/>
              </w:rPr>
              <w:t>2000</w:t>
            </w:r>
          </w:p>
        </w:tc>
        <w:tc>
          <w:tcPr>
            <w:tcW w:w="1310" w:type="dxa"/>
            <w:tcBorders>
              <w:top w:val="nil"/>
              <w:bottom w:val="nil"/>
            </w:tcBorders>
            <w:shd w:val="clear" w:color="auto" w:fill="D9D9D9" w:themeFill="background1" w:themeFillShade="D9"/>
          </w:tcPr>
          <w:p w14:paraId="6DD6024A" w14:textId="77777777" w:rsidR="00507742" w:rsidRPr="00816588" w:rsidRDefault="00507742" w:rsidP="00572CF6">
            <w:pPr>
              <w:pStyle w:val="TableText"/>
              <w:jc w:val="center"/>
              <w:rPr>
                <w:b/>
              </w:rPr>
            </w:pPr>
            <w:r>
              <w:rPr>
                <w:b/>
              </w:rPr>
              <w:t>2010</w:t>
            </w:r>
          </w:p>
        </w:tc>
        <w:tc>
          <w:tcPr>
            <w:tcW w:w="1310" w:type="dxa"/>
            <w:tcBorders>
              <w:top w:val="nil"/>
              <w:bottom w:val="nil"/>
            </w:tcBorders>
            <w:shd w:val="clear" w:color="auto" w:fill="D9D9D9" w:themeFill="background1" w:themeFillShade="D9"/>
          </w:tcPr>
          <w:p w14:paraId="4622C972" w14:textId="77777777" w:rsidR="00507742" w:rsidRDefault="00507742" w:rsidP="00572CF6">
            <w:pPr>
              <w:pStyle w:val="TableText"/>
              <w:jc w:val="center"/>
              <w:rPr>
                <w:b/>
              </w:rPr>
            </w:pPr>
            <w:r>
              <w:rPr>
                <w:b/>
              </w:rPr>
              <w:t>2019</w:t>
            </w:r>
          </w:p>
        </w:tc>
        <w:tc>
          <w:tcPr>
            <w:tcW w:w="1565" w:type="dxa"/>
            <w:tcBorders>
              <w:top w:val="nil"/>
              <w:bottom w:val="nil"/>
            </w:tcBorders>
            <w:shd w:val="clear" w:color="auto" w:fill="D9D9D9" w:themeFill="background1" w:themeFillShade="D9"/>
          </w:tcPr>
          <w:p w14:paraId="3F96EEDC" w14:textId="77777777" w:rsidR="00507742" w:rsidRDefault="00507742" w:rsidP="00572CF6">
            <w:pPr>
              <w:pStyle w:val="TableText"/>
              <w:jc w:val="center"/>
              <w:rPr>
                <w:b/>
              </w:rPr>
            </w:pPr>
            <w:r>
              <w:rPr>
                <w:b/>
              </w:rPr>
              <w:t>Change from 1990 to 2019</w:t>
            </w:r>
          </w:p>
        </w:tc>
      </w:tr>
      <w:tr w:rsidR="00507742" w:rsidRPr="00816588" w14:paraId="3CD5E810" w14:textId="77777777" w:rsidTr="00410C25">
        <w:trPr>
          <w:cantSplit/>
        </w:trPr>
        <w:tc>
          <w:tcPr>
            <w:tcW w:w="1276" w:type="dxa"/>
            <w:tcBorders>
              <w:top w:val="nil"/>
            </w:tcBorders>
          </w:tcPr>
          <w:p w14:paraId="335F88C8" w14:textId="77777777" w:rsidR="00507742" w:rsidRDefault="00507742" w:rsidP="00572CF6">
            <w:pPr>
              <w:pStyle w:val="TableText"/>
            </w:pPr>
            <w:r>
              <w:t>Males</w:t>
            </w:r>
          </w:p>
        </w:tc>
        <w:tc>
          <w:tcPr>
            <w:tcW w:w="1309" w:type="dxa"/>
            <w:tcBorders>
              <w:top w:val="nil"/>
            </w:tcBorders>
          </w:tcPr>
          <w:p w14:paraId="730F3A45" w14:textId="77777777" w:rsidR="00507742" w:rsidRDefault="00507742" w:rsidP="00572CF6">
            <w:pPr>
              <w:pStyle w:val="TableText"/>
              <w:jc w:val="center"/>
            </w:pPr>
            <w:r>
              <w:t>9.4</w:t>
            </w:r>
          </w:p>
        </w:tc>
        <w:tc>
          <w:tcPr>
            <w:tcW w:w="1310" w:type="dxa"/>
            <w:tcBorders>
              <w:top w:val="nil"/>
            </w:tcBorders>
          </w:tcPr>
          <w:p w14:paraId="2A3B4C33" w14:textId="77777777" w:rsidR="00507742" w:rsidRDefault="00507742" w:rsidP="00572CF6">
            <w:pPr>
              <w:pStyle w:val="TableText"/>
              <w:jc w:val="center"/>
            </w:pPr>
            <w:r>
              <w:t>10.0</w:t>
            </w:r>
          </w:p>
        </w:tc>
        <w:tc>
          <w:tcPr>
            <w:tcW w:w="1310" w:type="dxa"/>
            <w:tcBorders>
              <w:top w:val="nil"/>
            </w:tcBorders>
          </w:tcPr>
          <w:p w14:paraId="3FE6FFFE" w14:textId="77777777" w:rsidR="00507742" w:rsidRDefault="00507742" w:rsidP="00572CF6">
            <w:pPr>
              <w:pStyle w:val="TableText"/>
              <w:jc w:val="center"/>
            </w:pPr>
            <w:r>
              <w:t>10.6</w:t>
            </w:r>
          </w:p>
        </w:tc>
        <w:tc>
          <w:tcPr>
            <w:tcW w:w="1310" w:type="dxa"/>
            <w:tcBorders>
              <w:top w:val="nil"/>
            </w:tcBorders>
          </w:tcPr>
          <w:p w14:paraId="1BF78758" w14:textId="77777777" w:rsidR="00507742" w:rsidRPr="00900327" w:rsidRDefault="00507742" w:rsidP="00572CF6">
            <w:pPr>
              <w:pStyle w:val="TableText"/>
              <w:jc w:val="center"/>
            </w:pPr>
            <w:r>
              <w:t>11.0</w:t>
            </w:r>
          </w:p>
        </w:tc>
        <w:tc>
          <w:tcPr>
            <w:tcW w:w="1565" w:type="dxa"/>
            <w:tcBorders>
              <w:top w:val="nil"/>
            </w:tcBorders>
          </w:tcPr>
          <w:p w14:paraId="02100D2B" w14:textId="77777777" w:rsidR="00507742" w:rsidRPr="00B57AA2" w:rsidRDefault="00507742" w:rsidP="00572CF6">
            <w:pPr>
              <w:pStyle w:val="TableText"/>
              <w:jc w:val="center"/>
            </w:pPr>
            <w:r>
              <w:t>1.6</w:t>
            </w:r>
          </w:p>
        </w:tc>
      </w:tr>
      <w:tr w:rsidR="00507742" w:rsidRPr="00816588" w14:paraId="40395714" w14:textId="77777777" w:rsidTr="00410C25">
        <w:trPr>
          <w:cantSplit/>
        </w:trPr>
        <w:tc>
          <w:tcPr>
            <w:tcW w:w="1276" w:type="dxa"/>
          </w:tcPr>
          <w:p w14:paraId="7534858E" w14:textId="77777777" w:rsidR="00507742" w:rsidRDefault="00507742" w:rsidP="00572CF6">
            <w:pPr>
              <w:pStyle w:val="TableText"/>
            </w:pPr>
            <w:r>
              <w:t>Females</w:t>
            </w:r>
          </w:p>
        </w:tc>
        <w:tc>
          <w:tcPr>
            <w:tcW w:w="1309" w:type="dxa"/>
          </w:tcPr>
          <w:p w14:paraId="7AF47DF6" w14:textId="77777777" w:rsidR="00507742" w:rsidRPr="00900327" w:rsidRDefault="00507742" w:rsidP="00572CF6">
            <w:pPr>
              <w:pStyle w:val="TableText"/>
              <w:jc w:val="center"/>
            </w:pPr>
            <w:r>
              <w:t>12.3</w:t>
            </w:r>
          </w:p>
        </w:tc>
        <w:tc>
          <w:tcPr>
            <w:tcW w:w="1310" w:type="dxa"/>
          </w:tcPr>
          <w:p w14:paraId="10913D6E" w14:textId="77777777" w:rsidR="00507742" w:rsidRPr="00900327" w:rsidRDefault="00507742" w:rsidP="00572CF6">
            <w:pPr>
              <w:pStyle w:val="TableText"/>
              <w:jc w:val="center"/>
            </w:pPr>
            <w:r>
              <w:t>12.5</w:t>
            </w:r>
          </w:p>
        </w:tc>
        <w:tc>
          <w:tcPr>
            <w:tcW w:w="1310" w:type="dxa"/>
          </w:tcPr>
          <w:p w14:paraId="2EEE7091" w14:textId="77777777" w:rsidR="00507742" w:rsidRPr="00900327" w:rsidRDefault="00507742" w:rsidP="00572CF6">
            <w:pPr>
              <w:pStyle w:val="TableText"/>
              <w:jc w:val="center"/>
            </w:pPr>
            <w:r>
              <w:t>12.8</w:t>
            </w:r>
          </w:p>
        </w:tc>
        <w:tc>
          <w:tcPr>
            <w:tcW w:w="1310" w:type="dxa"/>
          </w:tcPr>
          <w:p w14:paraId="0C6128B8" w14:textId="77777777" w:rsidR="00507742" w:rsidRPr="00900327" w:rsidRDefault="00507742" w:rsidP="00572CF6">
            <w:pPr>
              <w:pStyle w:val="TableText"/>
              <w:jc w:val="center"/>
            </w:pPr>
            <w:r>
              <w:t>13.3</w:t>
            </w:r>
          </w:p>
        </w:tc>
        <w:tc>
          <w:tcPr>
            <w:tcW w:w="1565" w:type="dxa"/>
          </w:tcPr>
          <w:p w14:paraId="0663DD9C" w14:textId="77777777" w:rsidR="00507742" w:rsidRDefault="00507742" w:rsidP="00572CF6">
            <w:pPr>
              <w:pStyle w:val="TableText"/>
              <w:jc w:val="center"/>
            </w:pPr>
            <w:r>
              <w:t>1.0</w:t>
            </w:r>
          </w:p>
        </w:tc>
      </w:tr>
    </w:tbl>
    <w:p w14:paraId="72CE76F3" w14:textId="77777777" w:rsidR="00507742" w:rsidRPr="00816588" w:rsidRDefault="00507742" w:rsidP="00507742">
      <w:pPr>
        <w:spacing w:line="20" w:lineRule="atLeast"/>
        <w:ind w:left="1695"/>
        <w:rPr>
          <w:rFonts w:ascii="Arial Unicode MS" w:eastAsia="Arial Unicode MS" w:hAnsi="Arial Unicode MS" w:cs="Arial Unicode MS"/>
          <w:sz w:val="2"/>
          <w:szCs w:val="2"/>
        </w:rPr>
      </w:pPr>
    </w:p>
    <w:p w14:paraId="75B63C90" w14:textId="18AD2102" w:rsidR="00507742" w:rsidRDefault="009E77CA" w:rsidP="00410C25">
      <w:pPr>
        <w:pStyle w:val="Source"/>
      </w:pPr>
      <w:r>
        <w:t>Source: Global Burden of Disease Collaborative Network (2020)</w:t>
      </w:r>
    </w:p>
    <w:p w14:paraId="6B3E5CEA" w14:textId="77777777" w:rsidR="00507742" w:rsidRDefault="00507742" w:rsidP="00410C25">
      <w:pPr>
        <w:spacing w:after="240"/>
        <w:rPr>
          <w:rFonts w:eastAsia="Arial Unicode MS"/>
        </w:rPr>
      </w:pP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005ACDB6" w14:textId="77777777" w:rsidTr="00572CF6">
        <w:trPr>
          <w:cantSplit/>
        </w:trPr>
        <w:tc>
          <w:tcPr>
            <w:tcW w:w="7973" w:type="dxa"/>
          </w:tcPr>
          <w:p w14:paraId="527F7FE8" w14:textId="5A86DEEC" w:rsidR="00507742" w:rsidRPr="00933A6B" w:rsidRDefault="00EA4A5B" w:rsidP="00410C25">
            <w:pPr>
              <w:pStyle w:val="TableText"/>
              <w:keepNext/>
              <w:rPr>
                <w:color w:val="0A6AB4"/>
                <w:sz w:val="24"/>
                <w:szCs w:val="24"/>
              </w:rPr>
            </w:pPr>
            <w:r>
              <w:rPr>
                <w:color w:val="0A6AB4"/>
                <w:sz w:val="24"/>
                <w:szCs w:val="24"/>
              </w:rPr>
              <w:lastRenderedPageBreak/>
              <w:t>Life</w:t>
            </w:r>
            <w:r w:rsidR="00410C25">
              <w:rPr>
                <w:color w:val="0A6AB4"/>
                <w:sz w:val="24"/>
                <w:szCs w:val="24"/>
              </w:rPr>
              <w:t xml:space="preserve"> expectancy</w:t>
            </w:r>
            <w:r>
              <w:rPr>
                <w:color w:val="0A6AB4"/>
                <w:sz w:val="24"/>
                <w:szCs w:val="24"/>
              </w:rPr>
              <w:t xml:space="preserve"> is five to seven years lower for Māori and Pacific</w:t>
            </w:r>
          </w:p>
        </w:tc>
      </w:tr>
    </w:tbl>
    <w:p w14:paraId="36927E35" w14:textId="77777777" w:rsidR="00507742" w:rsidRPr="007D038A" w:rsidRDefault="00507742" w:rsidP="00410C25">
      <w:pPr>
        <w:keepNext/>
      </w:pPr>
    </w:p>
    <w:p w14:paraId="2D008ED9" w14:textId="77777777" w:rsidR="00507742" w:rsidRDefault="00507742" w:rsidP="00410C25">
      <w:pPr>
        <w:keepNext/>
      </w:pPr>
      <w:r w:rsidRPr="007D038A">
        <w:t xml:space="preserve">Life expectancy calculations based on </w:t>
      </w:r>
      <w:r>
        <w:t xml:space="preserve">the </w:t>
      </w:r>
      <w:r w:rsidRPr="007D038A">
        <w:t xml:space="preserve">most recent data </w:t>
      </w:r>
      <w:r>
        <w:t>is</w:t>
      </w:r>
      <w:r w:rsidRPr="007D038A">
        <w:t xml:space="preserve"> not available for Māori and Pacific peoples or by socioeconomic or disability status. </w:t>
      </w:r>
      <w:r w:rsidRPr="006948FF">
        <w:t xml:space="preserve">Stats NZ will publish period life tables for </w:t>
      </w:r>
      <w:r>
        <w:t xml:space="preserve">the period </w:t>
      </w:r>
      <w:r w:rsidRPr="006948FF">
        <w:t>2017</w:t>
      </w:r>
      <w:r>
        <w:t xml:space="preserve"> to 20</w:t>
      </w:r>
      <w:r w:rsidRPr="006948FF">
        <w:t xml:space="preserve">19, including life tables for major ethnic groups, in </w:t>
      </w:r>
      <w:r>
        <w:t>2021.</w:t>
      </w:r>
    </w:p>
    <w:p w14:paraId="0974E9A9" w14:textId="77777777" w:rsidR="00507742" w:rsidRDefault="00507742" w:rsidP="00410C25">
      <w:pPr>
        <w:keepNext/>
      </w:pPr>
    </w:p>
    <w:p w14:paraId="6534AF2A" w14:textId="0F822F20" w:rsidR="002542AA" w:rsidRDefault="00507742" w:rsidP="00410C25">
      <w:r w:rsidRPr="007D038A">
        <w:t xml:space="preserve">A </w:t>
      </w:r>
      <w:r>
        <w:t>recent</w:t>
      </w:r>
      <w:r w:rsidRPr="007D038A">
        <w:t xml:space="preserve"> study estimated life expectancy for Māori, Pacific and non-Māori</w:t>
      </w:r>
      <w:r>
        <w:t xml:space="preserve">, </w:t>
      </w:r>
      <w:r w:rsidRPr="007D038A">
        <w:t xml:space="preserve">non-Pacific men and women over the three-year period from 2013 to 2015 (Walsh and Grey </w:t>
      </w:r>
      <w:r>
        <w:t>2019</w:t>
      </w:r>
      <w:r w:rsidRPr="007D038A">
        <w:t>).</w:t>
      </w:r>
      <w:r w:rsidRPr="00FC72B9">
        <w:t xml:space="preserve"> </w:t>
      </w:r>
      <w:r w:rsidR="00CE7557">
        <w:t>L</w:t>
      </w:r>
      <w:r>
        <w:t xml:space="preserve">ife expectancy at birth was about seven years lower for Māori and more than five years lower for Pacific peoples </w:t>
      </w:r>
      <w:r w:rsidR="00CE7557">
        <w:t xml:space="preserve">compared with non-Māori, non-Pacific peoples </w:t>
      </w:r>
      <w:r>
        <w:t>(</w:t>
      </w:r>
      <w:r w:rsidR="00410C25">
        <w:fldChar w:fldCharType="begin"/>
      </w:r>
      <w:r w:rsidR="00410C25">
        <w:instrText xml:space="preserve"> REF _Ref57368832 \h </w:instrText>
      </w:r>
      <w:r w:rsidR="00410C25">
        <w:fldChar w:fldCharType="separate"/>
      </w:r>
      <w:r w:rsidR="003F39AB">
        <w:t>Table </w:t>
      </w:r>
      <w:r w:rsidR="003F39AB">
        <w:rPr>
          <w:noProof/>
        </w:rPr>
        <w:t>5</w:t>
      </w:r>
      <w:r w:rsidR="00410C25">
        <w:fldChar w:fldCharType="end"/>
      </w:r>
      <w:r>
        <w:t>).</w:t>
      </w:r>
    </w:p>
    <w:p w14:paraId="3130D5FF" w14:textId="77777777" w:rsidR="00507742" w:rsidRDefault="00507742" w:rsidP="00410C25"/>
    <w:p w14:paraId="398E5527" w14:textId="60F2D942" w:rsidR="00507742" w:rsidRPr="00103052" w:rsidRDefault="00410C25" w:rsidP="00410C25">
      <w:pPr>
        <w:pStyle w:val="Table"/>
      </w:pPr>
      <w:bookmarkStart w:id="56" w:name="_Ref57368832"/>
      <w:bookmarkStart w:id="57" w:name="_Toc57273369"/>
      <w:bookmarkStart w:id="58" w:name="_Toc64536287"/>
      <w:r>
        <w:t>Table </w:t>
      </w:r>
      <w:fldSimple w:instr=" SEQ Table \* ARABIC ">
        <w:r w:rsidR="003F39AB">
          <w:rPr>
            <w:noProof/>
          </w:rPr>
          <w:t>5</w:t>
        </w:r>
      </w:fldSimple>
      <w:bookmarkEnd w:id="56"/>
      <w:r w:rsidR="00507742" w:rsidRPr="00103052">
        <w:t>: Life expectancy at birth, by ethnic group and sex, 2013</w:t>
      </w:r>
      <w:r w:rsidR="00507742">
        <w:t xml:space="preserve"> to </w:t>
      </w:r>
      <w:r w:rsidR="00507742" w:rsidRPr="00103052">
        <w:t>2016</w:t>
      </w:r>
      <w:bookmarkEnd w:id="57"/>
      <w:bookmarkEnd w:id="58"/>
    </w:p>
    <w:tbl>
      <w:tblPr>
        <w:tblW w:w="774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580"/>
        <w:gridCol w:w="2580"/>
        <w:gridCol w:w="2580"/>
      </w:tblGrid>
      <w:tr w:rsidR="00507742" w:rsidRPr="00103052" w14:paraId="000907D3" w14:textId="77777777" w:rsidTr="00B85260">
        <w:trPr>
          <w:cantSplit/>
        </w:trPr>
        <w:tc>
          <w:tcPr>
            <w:tcW w:w="2580" w:type="dxa"/>
            <w:tcBorders>
              <w:top w:val="nil"/>
              <w:bottom w:val="nil"/>
            </w:tcBorders>
            <w:shd w:val="clear" w:color="auto" w:fill="D9D9D9" w:themeFill="background1" w:themeFillShade="D9"/>
          </w:tcPr>
          <w:p w14:paraId="246597E1" w14:textId="77777777" w:rsidR="00507742" w:rsidRPr="00103052" w:rsidRDefault="00507742" w:rsidP="00B85260">
            <w:pPr>
              <w:pStyle w:val="TableText"/>
              <w:rPr>
                <w:b/>
              </w:rPr>
            </w:pPr>
            <w:r>
              <w:rPr>
                <w:b/>
              </w:rPr>
              <w:t>Ethnic group</w:t>
            </w:r>
          </w:p>
        </w:tc>
        <w:tc>
          <w:tcPr>
            <w:tcW w:w="2580" w:type="dxa"/>
            <w:tcBorders>
              <w:top w:val="nil"/>
              <w:bottom w:val="nil"/>
            </w:tcBorders>
            <w:shd w:val="clear" w:color="auto" w:fill="D9D9D9" w:themeFill="background1" w:themeFillShade="D9"/>
          </w:tcPr>
          <w:p w14:paraId="68805CFD" w14:textId="77777777" w:rsidR="00507742" w:rsidRPr="00103052" w:rsidRDefault="00507742" w:rsidP="00B85260">
            <w:pPr>
              <w:pStyle w:val="TableText"/>
              <w:jc w:val="center"/>
              <w:rPr>
                <w:b/>
              </w:rPr>
            </w:pPr>
            <w:r w:rsidRPr="00103052">
              <w:rPr>
                <w:b/>
              </w:rPr>
              <w:t>Male</w:t>
            </w:r>
          </w:p>
        </w:tc>
        <w:tc>
          <w:tcPr>
            <w:tcW w:w="2580" w:type="dxa"/>
            <w:tcBorders>
              <w:top w:val="nil"/>
              <w:bottom w:val="nil"/>
            </w:tcBorders>
            <w:shd w:val="clear" w:color="auto" w:fill="D9D9D9" w:themeFill="background1" w:themeFillShade="D9"/>
          </w:tcPr>
          <w:p w14:paraId="1F7C5657" w14:textId="77777777" w:rsidR="00507742" w:rsidRPr="00103052" w:rsidRDefault="00507742" w:rsidP="00B85260">
            <w:pPr>
              <w:pStyle w:val="TableText"/>
              <w:jc w:val="center"/>
              <w:rPr>
                <w:b/>
              </w:rPr>
            </w:pPr>
            <w:r w:rsidRPr="00103052">
              <w:rPr>
                <w:b/>
              </w:rPr>
              <w:t>Female</w:t>
            </w:r>
          </w:p>
        </w:tc>
      </w:tr>
      <w:tr w:rsidR="00507742" w:rsidRPr="00103052" w14:paraId="12ABCAFC" w14:textId="77777777" w:rsidTr="00B85260">
        <w:trPr>
          <w:cantSplit/>
        </w:trPr>
        <w:tc>
          <w:tcPr>
            <w:tcW w:w="2580" w:type="dxa"/>
            <w:tcBorders>
              <w:top w:val="nil"/>
            </w:tcBorders>
          </w:tcPr>
          <w:p w14:paraId="757DD050" w14:textId="77777777" w:rsidR="00507742" w:rsidRPr="00103052" w:rsidRDefault="00507742" w:rsidP="00B85260">
            <w:pPr>
              <w:pStyle w:val="TableText"/>
            </w:pPr>
            <w:r w:rsidRPr="00103052">
              <w:t>Māori</w:t>
            </w:r>
          </w:p>
        </w:tc>
        <w:tc>
          <w:tcPr>
            <w:tcW w:w="2580" w:type="dxa"/>
            <w:tcBorders>
              <w:top w:val="nil"/>
            </w:tcBorders>
          </w:tcPr>
          <w:p w14:paraId="76AD82C6" w14:textId="77777777" w:rsidR="00507742" w:rsidRPr="00103052" w:rsidRDefault="00507742" w:rsidP="00B85260">
            <w:pPr>
              <w:pStyle w:val="TableText"/>
              <w:jc w:val="center"/>
            </w:pPr>
            <w:r w:rsidRPr="00103052">
              <w:t>73.5</w:t>
            </w:r>
          </w:p>
        </w:tc>
        <w:tc>
          <w:tcPr>
            <w:tcW w:w="2580" w:type="dxa"/>
            <w:tcBorders>
              <w:top w:val="nil"/>
            </w:tcBorders>
          </w:tcPr>
          <w:p w14:paraId="797EDB30" w14:textId="77777777" w:rsidR="00507742" w:rsidRPr="00103052" w:rsidRDefault="00507742" w:rsidP="00B85260">
            <w:pPr>
              <w:pStyle w:val="TableText"/>
              <w:jc w:val="center"/>
            </w:pPr>
            <w:r w:rsidRPr="00103052">
              <w:t>77.3</w:t>
            </w:r>
          </w:p>
        </w:tc>
      </w:tr>
      <w:tr w:rsidR="00507742" w:rsidRPr="00103052" w14:paraId="558EF9B6" w14:textId="77777777" w:rsidTr="00572CF6">
        <w:trPr>
          <w:cantSplit/>
        </w:trPr>
        <w:tc>
          <w:tcPr>
            <w:tcW w:w="2580" w:type="dxa"/>
          </w:tcPr>
          <w:p w14:paraId="6396D37A" w14:textId="77777777" w:rsidR="00507742" w:rsidRPr="00103052" w:rsidRDefault="00507742" w:rsidP="00B85260">
            <w:pPr>
              <w:pStyle w:val="TableText"/>
            </w:pPr>
            <w:r w:rsidRPr="00103052">
              <w:t>Pacific</w:t>
            </w:r>
          </w:p>
        </w:tc>
        <w:tc>
          <w:tcPr>
            <w:tcW w:w="2580" w:type="dxa"/>
          </w:tcPr>
          <w:p w14:paraId="2C3BD66C" w14:textId="77777777" w:rsidR="00507742" w:rsidRPr="00103052" w:rsidRDefault="00507742" w:rsidP="00B85260">
            <w:pPr>
              <w:pStyle w:val="TableText"/>
              <w:jc w:val="center"/>
            </w:pPr>
            <w:r w:rsidRPr="00103052">
              <w:t>75.0</w:t>
            </w:r>
          </w:p>
        </w:tc>
        <w:tc>
          <w:tcPr>
            <w:tcW w:w="2580" w:type="dxa"/>
          </w:tcPr>
          <w:p w14:paraId="0E9DC4AE" w14:textId="77777777" w:rsidR="00507742" w:rsidRPr="00103052" w:rsidRDefault="00507742" w:rsidP="00B85260">
            <w:pPr>
              <w:pStyle w:val="TableText"/>
              <w:jc w:val="center"/>
            </w:pPr>
            <w:r w:rsidRPr="00103052">
              <w:t>78.3</w:t>
            </w:r>
          </w:p>
        </w:tc>
      </w:tr>
      <w:tr w:rsidR="00507742" w:rsidRPr="00103052" w14:paraId="58C0D8AA" w14:textId="77777777" w:rsidTr="00572CF6">
        <w:trPr>
          <w:cantSplit/>
        </w:trPr>
        <w:tc>
          <w:tcPr>
            <w:tcW w:w="2580" w:type="dxa"/>
          </w:tcPr>
          <w:p w14:paraId="690EA54A" w14:textId="77777777" w:rsidR="00507742" w:rsidRPr="00103052" w:rsidRDefault="00507742" w:rsidP="00B85260">
            <w:pPr>
              <w:pStyle w:val="TableText"/>
            </w:pPr>
            <w:r w:rsidRPr="00103052">
              <w:t>Non-Māori</w:t>
            </w:r>
            <w:r>
              <w:t>,</w:t>
            </w:r>
            <w:r w:rsidRPr="00103052">
              <w:t xml:space="preserve"> non-Pacific</w:t>
            </w:r>
          </w:p>
        </w:tc>
        <w:tc>
          <w:tcPr>
            <w:tcW w:w="2580" w:type="dxa"/>
          </w:tcPr>
          <w:p w14:paraId="71E7F07B" w14:textId="77777777" w:rsidR="00507742" w:rsidRPr="00103052" w:rsidRDefault="00507742" w:rsidP="00B85260">
            <w:pPr>
              <w:pStyle w:val="TableText"/>
              <w:jc w:val="center"/>
            </w:pPr>
            <w:r w:rsidRPr="00103052">
              <w:t>80.9</w:t>
            </w:r>
          </w:p>
        </w:tc>
        <w:tc>
          <w:tcPr>
            <w:tcW w:w="2580" w:type="dxa"/>
          </w:tcPr>
          <w:p w14:paraId="6A018E66" w14:textId="77777777" w:rsidR="00507742" w:rsidRPr="00103052" w:rsidRDefault="00507742" w:rsidP="00B85260">
            <w:pPr>
              <w:pStyle w:val="TableText"/>
              <w:jc w:val="center"/>
            </w:pPr>
            <w:r w:rsidRPr="00103052">
              <w:t>84.3</w:t>
            </w:r>
          </w:p>
        </w:tc>
      </w:tr>
    </w:tbl>
    <w:p w14:paraId="7944C407" w14:textId="77777777" w:rsidR="00507742" w:rsidRPr="00103052" w:rsidRDefault="00507742" w:rsidP="00B85260">
      <w:pPr>
        <w:pStyle w:val="Source"/>
      </w:pPr>
      <w:r w:rsidRPr="00103052">
        <w:t xml:space="preserve">Source: Walsh </w:t>
      </w:r>
      <w:r>
        <w:t>and Grey (</w:t>
      </w:r>
      <w:r w:rsidRPr="00103052">
        <w:t>2019</w:t>
      </w:r>
      <w:r>
        <w:t>)</w:t>
      </w:r>
    </w:p>
    <w:p w14:paraId="5E212B50" w14:textId="77777777" w:rsidR="00507742" w:rsidRDefault="00507742" w:rsidP="00FC5B48"/>
    <w:p w14:paraId="3987961F" w14:textId="30D99A5E" w:rsidR="00507742" w:rsidRDefault="00507742" w:rsidP="00FC5B48">
      <w:pPr>
        <w:rPr>
          <w:rFonts w:eastAsia="Arial Unicode MS"/>
        </w:rPr>
      </w:pPr>
      <w:r>
        <w:rPr>
          <w:rFonts w:eastAsia="Arial Unicode MS"/>
        </w:rPr>
        <w:t>For Māori, the leading avoidable causes of death contributing to lower life expectancy were cancers of the trachea, bronchus and lung, along with coronary heart disease and diabetes. For Pacific peoples, the leading avoidable causes of death contributing to lower life expectancy were coronary heart disease and cancers (</w:t>
      </w:r>
      <w:r w:rsidR="00CE7557">
        <w:rPr>
          <w:rFonts w:eastAsia="Arial Unicode MS"/>
        </w:rPr>
        <w:t xml:space="preserve">Walsh </w:t>
      </w:r>
      <w:r>
        <w:rPr>
          <w:rFonts w:eastAsia="Arial Unicode MS"/>
        </w:rPr>
        <w:t>and Grey 2019).</w:t>
      </w:r>
    </w:p>
    <w:p w14:paraId="2196F8FB" w14:textId="77777777" w:rsidR="00507742" w:rsidRDefault="00507742" w:rsidP="00FC5B48">
      <w:pPr>
        <w:rPr>
          <w:rFonts w:eastAsia="Arial Unicode MS"/>
        </w:rPr>
      </w:pPr>
    </w:p>
    <w:p w14:paraId="5582B84D" w14:textId="2703E62F" w:rsidR="00507742" w:rsidRDefault="00507742" w:rsidP="00FC5B48">
      <w:pPr>
        <w:rPr>
          <w:rFonts w:eastAsia="Arial Unicode MS"/>
        </w:rPr>
      </w:pPr>
      <w:r>
        <w:rPr>
          <w:rFonts w:eastAsia="Arial Unicode MS"/>
        </w:rPr>
        <w:t>The researchers also examined how much smoking contributes to differences in life expectancy. They found that higher</w:t>
      </w:r>
      <w:r w:rsidRPr="00CE6B36">
        <w:rPr>
          <w:rFonts w:eastAsia="Arial Unicode MS"/>
        </w:rPr>
        <w:t xml:space="preserve"> rates of smoking were responsible for</w:t>
      </w:r>
      <w:r>
        <w:rPr>
          <w:rFonts w:eastAsia="Arial Unicode MS"/>
        </w:rPr>
        <w:t xml:space="preserve"> reducing life expectancy by</w:t>
      </w:r>
      <w:r w:rsidRPr="00CE6B36">
        <w:rPr>
          <w:rFonts w:eastAsia="Arial Unicode MS"/>
        </w:rPr>
        <w:t xml:space="preserve"> 2.1 years in Māori men, 2.3 years in Māori women, 1.4 years in Pacific men and 0.3 years among Pacific women</w:t>
      </w:r>
      <w:r>
        <w:rPr>
          <w:rFonts w:eastAsia="Arial Unicode MS"/>
        </w:rPr>
        <w:t xml:space="preserve"> (Walsh and Wright 2020)</w:t>
      </w:r>
      <w:r w:rsidRPr="00CE6B36">
        <w:rPr>
          <w:rFonts w:eastAsia="Arial Unicode MS"/>
        </w:rPr>
        <w:t>.</w:t>
      </w:r>
      <w:r w:rsidR="00CE7557">
        <w:rPr>
          <w:rFonts w:eastAsia="Arial Unicode MS"/>
        </w:rPr>
        <w:t xml:space="preserve"> The conditions contributing to these smoking-related differences in life expectancy were c</w:t>
      </w:r>
      <w:r w:rsidR="00CE7557" w:rsidRPr="00156EED">
        <w:rPr>
          <w:rFonts w:eastAsia="Arial Unicode MS"/>
        </w:rPr>
        <w:t>ancers of the trachea, bronchus and lung, chronic obstructive pulmonary disease and ischaemic heart disease</w:t>
      </w:r>
      <w:r w:rsidR="00CE7557">
        <w:rPr>
          <w:rFonts w:eastAsia="Arial Unicode MS"/>
        </w:rPr>
        <w:t>.</w:t>
      </w:r>
    </w:p>
    <w:p w14:paraId="12E541F5" w14:textId="77777777" w:rsidR="00507742" w:rsidRPr="007E05CE" w:rsidRDefault="00507742" w:rsidP="00FC5B48">
      <w:pPr>
        <w:pStyle w:val="Heading2"/>
      </w:pPr>
      <w:bookmarkStart w:id="59" w:name="_Toc57295671"/>
      <w:bookmarkStart w:id="60" w:name="_Toc64536239"/>
      <w:r w:rsidRPr="007E05CE">
        <w:lastRenderedPageBreak/>
        <w:t>Health</w:t>
      </w:r>
      <w:r w:rsidRPr="007E05CE">
        <w:rPr>
          <w:color w:val="0072BC"/>
          <w:spacing w:val="0"/>
        </w:rPr>
        <w:t xml:space="preserve"> </w:t>
      </w:r>
      <w:r w:rsidRPr="007E05CE">
        <w:t>loss</w:t>
      </w:r>
      <w:bookmarkEnd w:id="59"/>
      <w:bookmarkEnd w:id="60"/>
    </w:p>
    <w:p w14:paraId="002021A2" w14:textId="4725726F" w:rsidR="00507742" w:rsidRDefault="00507742" w:rsidP="00885AE8">
      <w:pPr>
        <w:keepNext/>
      </w:pPr>
      <w:r w:rsidRPr="00B03635">
        <w:t xml:space="preserve">Health loss </w:t>
      </w:r>
      <w:r>
        <w:t>refers to the gap between the state of health of the current population and that of an ideal population in which everyone experiences a long life free from illness or disability.</w:t>
      </w:r>
      <w:r w:rsidRPr="00FC5B48">
        <w:rPr>
          <w:rStyle w:val="FootnoteReference"/>
        </w:rPr>
        <w:footnoteReference w:id="1"/>
      </w:r>
      <w:r>
        <w:t xml:space="preserve"> </w:t>
      </w:r>
      <w:r w:rsidRPr="00E36BBC">
        <w:t xml:space="preserve">Data on health loss comes from the </w:t>
      </w:r>
      <w:r>
        <w:t xml:space="preserve">2019 cycle of the </w:t>
      </w:r>
      <w:r w:rsidRPr="00E36BBC">
        <w:t>Global Burden of Disease (GBD) study, which produces global, regional and national estimates</w:t>
      </w:r>
      <w:r>
        <w:t xml:space="preserve"> (Global Burden of Disease Collaborative Network 2020)</w:t>
      </w:r>
      <w:r w:rsidRPr="00E36BBC">
        <w:t xml:space="preserve">. </w:t>
      </w:r>
      <w:r>
        <w:t>Future</w:t>
      </w:r>
      <w:r w:rsidRPr="00E36BBC">
        <w:t xml:space="preserve"> cycle</w:t>
      </w:r>
      <w:r>
        <w:t>s</w:t>
      </w:r>
      <w:r w:rsidRPr="00E36BBC">
        <w:t xml:space="preserve"> of the GBD study will produce estimates for the Māori and non-Māori population</w:t>
      </w:r>
      <w:r>
        <w:t>s</w:t>
      </w:r>
      <w:r w:rsidRPr="00E36BBC">
        <w:t>.</w:t>
      </w:r>
    </w:p>
    <w:p w14:paraId="6BB6FE38" w14:textId="77777777" w:rsidR="00507742" w:rsidRDefault="00507742" w:rsidP="00885AE8">
      <w:pPr>
        <w:keepNext/>
      </w:pPr>
    </w:p>
    <w:p w14:paraId="6643974A" w14:textId="77777777" w:rsidR="00507742" w:rsidRDefault="00507742" w:rsidP="00FC5B48">
      <w:pPr>
        <w:keepLines/>
      </w:pPr>
      <w:r>
        <w:t>Health loss is measured using a metric called the disability-adjusted life year</w:t>
      </w:r>
      <w:r w:rsidRPr="008F6409">
        <w:t xml:space="preserve"> </w:t>
      </w:r>
      <w:r>
        <w:t xml:space="preserve">(DALY). The DALY </w:t>
      </w:r>
      <w:r w:rsidRPr="006F407D">
        <w:t xml:space="preserve">combines information on both fatal outcomes (early death) and non-fatal outcomes (illness or disability) in a way that makes it possible to compare the </w:t>
      </w:r>
      <w:r>
        <w:t>burden</w:t>
      </w:r>
      <w:r w:rsidRPr="006F407D">
        <w:t xml:space="preserve"> of different diseases and injuries across population groups and over time</w:t>
      </w:r>
      <w:r>
        <w:t>.</w:t>
      </w:r>
      <w:r w:rsidRPr="00B03635">
        <w:t xml:space="preserve"> One DALY represents the loss of one year of life lived in good health.</w:t>
      </w: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843424" w14:paraId="7B8DDBDC" w14:textId="77777777" w:rsidTr="00C8242F">
        <w:trPr>
          <w:cantSplit/>
        </w:trPr>
        <w:tc>
          <w:tcPr>
            <w:tcW w:w="7973" w:type="dxa"/>
          </w:tcPr>
          <w:p w14:paraId="3FB0C54C" w14:textId="69D2B69A" w:rsidR="00843424" w:rsidRPr="00933A6B" w:rsidRDefault="001B1AAE" w:rsidP="00C8242F">
            <w:pPr>
              <w:pStyle w:val="TableText"/>
              <w:keepNext/>
              <w:rPr>
                <w:color w:val="0A6AB4"/>
                <w:sz w:val="24"/>
                <w:szCs w:val="24"/>
              </w:rPr>
            </w:pPr>
            <w:r>
              <w:rPr>
                <w:color w:val="0A6AB4"/>
                <w:sz w:val="24"/>
                <w:szCs w:val="24"/>
              </w:rPr>
              <w:t xml:space="preserve">Since 1990 the rate of </w:t>
            </w:r>
            <w:r w:rsidR="00806B69">
              <w:rPr>
                <w:color w:val="0A6AB4"/>
                <w:sz w:val="24"/>
                <w:szCs w:val="24"/>
              </w:rPr>
              <w:t xml:space="preserve">overall </w:t>
            </w:r>
            <w:r>
              <w:rPr>
                <w:color w:val="0A6AB4"/>
                <w:sz w:val="24"/>
                <w:szCs w:val="24"/>
              </w:rPr>
              <w:t>health loss has declined</w:t>
            </w:r>
            <w:r w:rsidR="00A7239E">
              <w:rPr>
                <w:color w:val="0A6AB4"/>
                <w:sz w:val="24"/>
                <w:szCs w:val="24"/>
              </w:rPr>
              <w:t xml:space="preserve">, </w:t>
            </w:r>
            <w:r>
              <w:rPr>
                <w:color w:val="0A6AB4"/>
                <w:sz w:val="24"/>
                <w:szCs w:val="24"/>
              </w:rPr>
              <w:t>after adjusting for population growth and ageing</w:t>
            </w:r>
          </w:p>
        </w:tc>
      </w:tr>
    </w:tbl>
    <w:p w14:paraId="6F120EE4" w14:textId="77777777" w:rsidR="00843424" w:rsidRDefault="00843424" w:rsidP="00FC5B48"/>
    <w:p w14:paraId="5DCA6A10" w14:textId="0723DB45" w:rsidR="00507742" w:rsidRDefault="00507742" w:rsidP="00FC5B48">
      <w:r>
        <w:t xml:space="preserve">As </w:t>
      </w:r>
      <w:r w:rsidR="00FC5B48">
        <w:fldChar w:fldCharType="begin"/>
      </w:r>
      <w:r w:rsidR="00FC5B48">
        <w:instrText xml:space="preserve"> REF _Ref57369603 \h </w:instrText>
      </w:r>
      <w:r w:rsidR="00FC5B48">
        <w:fldChar w:fldCharType="separate"/>
      </w:r>
      <w:r w:rsidR="003F39AB">
        <w:t>Figure </w:t>
      </w:r>
      <w:r w:rsidR="003F39AB">
        <w:rPr>
          <w:noProof/>
        </w:rPr>
        <w:t>3</w:t>
      </w:r>
      <w:r w:rsidR="00FC5B48">
        <w:fldChar w:fldCharType="end"/>
      </w:r>
      <w:r w:rsidRPr="008F6409">
        <w:t xml:space="preserve"> </w:t>
      </w:r>
      <w:r>
        <w:t xml:space="preserve">shows, the absolute DALY number has increased over time. However, the age-standardised DALY rate, which adjusts for population growth and ageing, has </w:t>
      </w:r>
      <w:r w:rsidR="006C7F66">
        <w:t xml:space="preserve">decreased </w:t>
      </w:r>
      <w:r>
        <w:t>over time</w:t>
      </w:r>
      <w:r w:rsidR="00CE7557">
        <w:t xml:space="preserve"> </w:t>
      </w:r>
      <w:r w:rsidR="00FB2530">
        <w:t>(</w:t>
      </w:r>
      <w:r w:rsidR="00CE7557">
        <w:t xml:space="preserve">from </w:t>
      </w:r>
      <w:r w:rsidR="003B60AE">
        <w:t>28</w:t>
      </w:r>
      <w:r w:rsidR="00CE7557">
        <w:t>,</w:t>
      </w:r>
      <w:r w:rsidR="003B60AE">
        <w:t xml:space="preserve">551 </w:t>
      </w:r>
      <w:r w:rsidR="00CE7557">
        <w:t xml:space="preserve">per 100,000 in 1990 to </w:t>
      </w:r>
      <w:r w:rsidR="003B60AE">
        <w:t>20</w:t>
      </w:r>
      <w:r w:rsidR="00CE7557">
        <w:t>,</w:t>
      </w:r>
      <w:r w:rsidR="003B60AE">
        <w:t xml:space="preserve">682 </w:t>
      </w:r>
      <w:r w:rsidR="00CE7557">
        <w:t>per 100,000 in 2019</w:t>
      </w:r>
      <w:r w:rsidR="00FB2530">
        <w:t>)</w:t>
      </w:r>
      <w:r>
        <w:t>.</w:t>
      </w:r>
    </w:p>
    <w:p w14:paraId="3953D73B" w14:textId="77777777" w:rsidR="00507742" w:rsidRDefault="00507742" w:rsidP="00507742"/>
    <w:p w14:paraId="6074D018" w14:textId="3E3EA8EF" w:rsidR="00507742" w:rsidRDefault="00FC5B48" w:rsidP="00FC5B48">
      <w:pPr>
        <w:pStyle w:val="Figure"/>
      </w:pPr>
      <w:bookmarkStart w:id="61" w:name="_Ref57369603"/>
      <w:bookmarkStart w:id="62" w:name="_Toc57295960"/>
      <w:bookmarkStart w:id="63" w:name="_Toc64536260"/>
      <w:r>
        <w:t>Figure </w:t>
      </w:r>
      <w:fldSimple w:instr=" SEQ Figure \* ARABIC ">
        <w:r w:rsidR="003F39AB">
          <w:rPr>
            <w:noProof/>
          </w:rPr>
          <w:t>3</w:t>
        </w:r>
      </w:fldSimple>
      <w:bookmarkEnd w:id="61"/>
      <w:r w:rsidR="00507742" w:rsidRPr="009A5E21">
        <w:t xml:space="preserve">: </w:t>
      </w:r>
      <w:r w:rsidR="00507742">
        <w:t>DALY count and age-standardised DALY rate, 1990 to 2019</w:t>
      </w:r>
      <w:bookmarkEnd w:id="62"/>
      <w:bookmarkEnd w:id="63"/>
    </w:p>
    <w:p w14:paraId="7C600481" w14:textId="37D1A754" w:rsidR="00DE3782" w:rsidRPr="00DE3782" w:rsidRDefault="00EC60FD" w:rsidP="00DE3782">
      <w:r w:rsidRPr="00A65244">
        <w:rPr>
          <w:noProof/>
          <w:lang w:eastAsia="en-NZ"/>
        </w:rPr>
        <w:drawing>
          <wp:inline distT="0" distB="0" distL="0" distR="0" wp14:anchorId="010D0ACD" wp14:editId="01CF9BFD">
            <wp:extent cx="5130165" cy="3126105"/>
            <wp:effectExtent l="0" t="0" r="0" b="0"/>
            <wp:docPr id="7" name="Picture 7" descr="This line graph shows that the number of DALYs has increased over time, while the age-standardised rate has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30165" cy="3126105"/>
                    </a:xfrm>
                    <a:prstGeom prst="rect">
                      <a:avLst/>
                    </a:prstGeom>
                  </pic:spPr>
                </pic:pic>
              </a:graphicData>
            </a:graphic>
          </wp:inline>
        </w:drawing>
      </w:r>
    </w:p>
    <w:p w14:paraId="0A99B643" w14:textId="00F82090" w:rsidR="002542AA" w:rsidRDefault="009E77CA" w:rsidP="00FC5B48">
      <w:pPr>
        <w:pStyle w:val="Source"/>
      </w:pPr>
      <w:r>
        <w:t>Source: Global Burden of Disease Collaborative Network (2020)</w:t>
      </w:r>
    </w:p>
    <w:p w14:paraId="45F1E34F" w14:textId="77777777" w:rsidR="00507742" w:rsidRDefault="00507742" w:rsidP="00FC5B48">
      <w:pPr>
        <w:spacing w:after="240"/>
      </w:pP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rsidRPr="008A0913" w14:paraId="7973CE09" w14:textId="77777777" w:rsidTr="00572CF6">
        <w:trPr>
          <w:cantSplit/>
        </w:trPr>
        <w:tc>
          <w:tcPr>
            <w:tcW w:w="7973" w:type="dxa"/>
          </w:tcPr>
          <w:p w14:paraId="6BAA25AA" w14:textId="77777777" w:rsidR="00507742" w:rsidRPr="007E05CE" w:rsidRDefault="00507742" w:rsidP="00885AE8">
            <w:pPr>
              <w:pStyle w:val="TableText"/>
              <w:keepNext/>
              <w:rPr>
                <w:color w:val="0A6AB4"/>
                <w:sz w:val="24"/>
                <w:szCs w:val="24"/>
              </w:rPr>
            </w:pPr>
            <w:r w:rsidRPr="007E05CE">
              <w:rPr>
                <w:color w:val="0A6AB4"/>
                <w:sz w:val="24"/>
                <w:szCs w:val="24"/>
              </w:rPr>
              <w:lastRenderedPageBreak/>
              <w:t>The majority of our health loss is due to non-communicable diseases</w:t>
            </w:r>
          </w:p>
        </w:tc>
      </w:tr>
    </w:tbl>
    <w:p w14:paraId="6AB42308" w14:textId="77777777" w:rsidR="00507742" w:rsidRPr="008A0913" w:rsidRDefault="00507742" w:rsidP="00885AE8">
      <w:pPr>
        <w:keepNext/>
        <w:rPr>
          <w:highlight w:val="yellow"/>
        </w:rPr>
      </w:pPr>
    </w:p>
    <w:p w14:paraId="1BB0DC2D" w14:textId="77777777" w:rsidR="00507742" w:rsidRPr="00B97E8E" w:rsidRDefault="00507742" w:rsidP="00885AE8">
      <w:pPr>
        <w:keepNext/>
        <w:keepLines/>
      </w:pPr>
      <w:r w:rsidRPr="00B97E8E">
        <w:t xml:space="preserve">Non-communicable diseases are responsible for 83.5 percent of </w:t>
      </w:r>
      <w:r>
        <w:t>all</w:t>
      </w:r>
      <w:r w:rsidRPr="00B97E8E">
        <w:t xml:space="preserve"> health loss</w:t>
      </w:r>
      <w:r>
        <w:t>.</w:t>
      </w:r>
      <w:r w:rsidRPr="00B97E8E">
        <w:t xml:space="preserve"> </w:t>
      </w:r>
      <w:r>
        <w:t xml:space="preserve">Four condition groups contribute to half of this health loss: </w:t>
      </w:r>
      <w:r w:rsidRPr="00B97E8E">
        <w:t>cancers</w:t>
      </w:r>
      <w:r>
        <w:t xml:space="preserve"> (18.5 percent)</w:t>
      </w:r>
      <w:r w:rsidRPr="00B97E8E">
        <w:t>, cardiovascular and cerebrovascular diseases</w:t>
      </w:r>
      <w:r>
        <w:t xml:space="preserve"> (15.1 percent)</w:t>
      </w:r>
      <w:r w:rsidRPr="00B97E8E">
        <w:t>, mental disorders</w:t>
      </w:r>
      <w:r>
        <w:t xml:space="preserve"> (8.7</w:t>
      </w:r>
      <w:r w:rsidR="00FC5B48">
        <w:t> </w:t>
      </w:r>
      <w:r>
        <w:t xml:space="preserve">percent) and </w:t>
      </w:r>
      <w:r w:rsidRPr="00B97E8E">
        <w:t xml:space="preserve">musculoskeletal disorders </w:t>
      </w:r>
      <w:r>
        <w:t>(8.6 percent)</w:t>
      </w:r>
      <w:r w:rsidRPr="00B97E8E">
        <w:t>.</w:t>
      </w:r>
    </w:p>
    <w:p w14:paraId="6AFB5DE5" w14:textId="77777777" w:rsidR="00507742" w:rsidRPr="00B97E8E" w:rsidRDefault="00507742" w:rsidP="00FC5B48"/>
    <w:p w14:paraId="484E1932" w14:textId="77777777" w:rsidR="00507742" w:rsidRDefault="00507742" w:rsidP="00FC5B48">
      <w:r w:rsidRPr="00B97E8E">
        <w:t xml:space="preserve">Injuries account for </w:t>
      </w:r>
      <w:r>
        <w:t>12.8</w:t>
      </w:r>
      <w:r w:rsidRPr="00B97E8E">
        <w:t xml:space="preserve"> percent of health loss, </w:t>
      </w:r>
      <w:r>
        <w:t>including</w:t>
      </w:r>
      <w:r w:rsidRPr="00B97E8E">
        <w:t xml:space="preserve"> unintentional injuries </w:t>
      </w:r>
      <w:r>
        <w:t>(</w:t>
      </w:r>
      <w:r w:rsidRPr="00B97E8E">
        <w:t>8.</w:t>
      </w:r>
      <w:r>
        <w:t>1</w:t>
      </w:r>
      <w:r w:rsidR="00FC5B48">
        <w:t> </w:t>
      </w:r>
      <w:r w:rsidRPr="00904EFA">
        <w:t>percent</w:t>
      </w:r>
      <w:r>
        <w:t>),</w:t>
      </w:r>
      <w:r w:rsidRPr="00904EFA">
        <w:t xml:space="preserve"> self-harm and interpersonal violence (</w:t>
      </w:r>
      <w:r>
        <w:t>2.6</w:t>
      </w:r>
      <w:r w:rsidRPr="00904EFA">
        <w:t xml:space="preserve"> percent) and transport injuries (2.1</w:t>
      </w:r>
      <w:r w:rsidR="00FC5B48">
        <w:t> </w:t>
      </w:r>
      <w:r w:rsidRPr="00904EFA">
        <w:t>percent). Communicable, maternal, neonatal and</w:t>
      </w:r>
      <w:r w:rsidRPr="00B62096">
        <w:t xml:space="preserve"> nutritional causes account for the remaining </w:t>
      </w:r>
      <w:r>
        <w:t>3.7</w:t>
      </w:r>
      <w:r w:rsidRPr="00B62096">
        <w:t xml:space="preserve"> percent of </w:t>
      </w:r>
      <w:r>
        <w:t>health loss</w:t>
      </w:r>
      <w:r w:rsidRPr="00B62096">
        <w:t>.</w:t>
      </w:r>
    </w:p>
    <w:p w14:paraId="77296881" w14:textId="77777777" w:rsidR="00507742" w:rsidRDefault="00507742" w:rsidP="00FC5B48"/>
    <w:p w14:paraId="0A9B18CC" w14:textId="2C81D120" w:rsidR="002542AA" w:rsidRDefault="00FC5B48" w:rsidP="00FC5B48">
      <w:r>
        <w:fldChar w:fldCharType="begin"/>
      </w:r>
      <w:r>
        <w:instrText xml:space="preserve"> REF _Ref57369673 \h </w:instrText>
      </w:r>
      <w:r>
        <w:fldChar w:fldCharType="separate"/>
      </w:r>
      <w:r w:rsidR="003F39AB">
        <w:t>Table </w:t>
      </w:r>
      <w:r w:rsidR="003F39AB">
        <w:rPr>
          <w:noProof/>
        </w:rPr>
        <w:t>6</w:t>
      </w:r>
      <w:r>
        <w:fldChar w:fldCharType="end"/>
      </w:r>
      <w:r w:rsidR="00507742">
        <w:t xml:space="preserve"> shows the </w:t>
      </w:r>
      <w:r w:rsidR="00507742" w:rsidRPr="00B64087">
        <w:t>top 10 specific causes</w:t>
      </w:r>
      <w:r w:rsidR="00507742">
        <w:t xml:space="preserve"> of health loss in 2019, which accounted for 37</w:t>
      </w:r>
      <w:r>
        <w:t> </w:t>
      </w:r>
      <w:r w:rsidR="00507742">
        <w:t>percent of total DALYs. Since 1990, the largest declines in the age-standardised DALY rate were for ischaemic heart disease (falling by 66 percent) and stroke (53</w:t>
      </w:r>
      <w:r>
        <w:t> </w:t>
      </w:r>
      <w:r w:rsidR="00507742">
        <w:t>percent).</w:t>
      </w:r>
    </w:p>
    <w:p w14:paraId="7B130E5E" w14:textId="77777777" w:rsidR="00507742" w:rsidRDefault="00507742" w:rsidP="00FC5B48"/>
    <w:p w14:paraId="251B1832" w14:textId="797B3DDD" w:rsidR="00507742" w:rsidRPr="009A5E21" w:rsidRDefault="00FC5B48" w:rsidP="00E70B97">
      <w:pPr>
        <w:pStyle w:val="Table"/>
      </w:pPr>
      <w:bookmarkStart w:id="64" w:name="_Ref57369673"/>
      <w:bookmarkStart w:id="65" w:name="_Toc57273370"/>
      <w:bookmarkStart w:id="66" w:name="_Toc64536288"/>
      <w:r>
        <w:t>Table </w:t>
      </w:r>
      <w:fldSimple w:instr=" SEQ Table \* ARABIC ">
        <w:r w:rsidR="003F39AB">
          <w:rPr>
            <w:noProof/>
          </w:rPr>
          <w:t>6</w:t>
        </w:r>
      </w:fldSimple>
      <w:bookmarkEnd w:id="64"/>
      <w:r w:rsidR="00507742" w:rsidRPr="009A5E21">
        <w:t xml:space="preserve">: Leading specific causes of </w:t>
      </w:r>
      <w:r w:rsidR="00507742">
        <w:t>health loss</w:t>
      </w:r>
      <w:r w:rsidR="00507742" w:rsidRPr="009A5E21">
        <w:t>, 2019</w:t>
      </w:r>
      <w:bookmarkEnd w:id="65"/>
      <w:bookmarkEnd w:id="66"/>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491"/>
        <w:gridCol w:w="5321"/>
        <w:gridCol w:w="2268"/>
      </w:tblGrid>
      <w:tr w:rsidR="00507742" w:rsidRPr="009A5E21" w14:paraId="12320C53" w14:textId="77777777" w:rsidTr="00885AE8">
        <w:trPr>
          <w:cantSplit/>
        </w:trPr>
        <w:tc>
          <w:tcPr>
            <w:tcW w:w="491" w:type="dxa"/>
            <w:tcBorders>
              <w:top w:val="nil"/>
              <w:bottom w:val="nil"/>
            </w:tcBorders>
            <w:shd w:val="clear" w:color="auto" w:fill="D9D9D9" w:themeFill="background1" w:themeFillShade="D9"/>
          </w:tcPr>
          <w:p w14:paraId="1B7C0D4F" w14:textId="77777777" w:rsidR="00507742" w:rsidRPr="009A5E21" w:rsidRDefault="00507742" w:rsidP="00E70B97">
            <w:pPr>
              <w:pStyle w:val="TableText"/>
              <w:keepNext/>
              <w:rPr>
                <w:b/>
              </w:rPr>
            </w:pPr>
          </w:p>
        </w:tc>
        <w:tc>
          <w:tcPr>
            <w:tcW w:w="5321" w:type="dxa"/>
            <w:tcBorders>
              <w:top w:val="nil"/>
              <w:bottom w:val="nil"/>
            </w:tcBorders>
            <w:shd w:val="clear" w:color="auto" w:fill="D9D9D9" w:themeFill="background1" w:themeFillShade="D9"/>
          </w:tcPr>
          <w:p w14:paraId="01174CB2" w14:textId="77777777" w:rsidR="00507742" w:rsidRPr="009A5E21" w:rsidRDefault="00507742" w:rsidP="00E70B97">
            <w:pPr>
              <w:pStyle w:val="TableText"/>
              <w:keepNext/>
              <w:rPr>
                <w:b/>
              </w:rPr>
            </w:pPr>
            <w:r w:rsidRPr="009A5E21">
              <w:rPr>
                <w:b/>
              </w:rPr>
              <w:t>Cause</w:t>
            </w:r>
          </w:p>
        </w:tc>
        <w:tc>
          <w:tcPr>
            <w:tcW w:w="2268" w:type="dxa"/>
            <w:tcBorders>
              <w:top w:val="nil"/>
              <w:bottom w:val="nil"/>
            </w:tcBorders>
            <w:shd w:val="clear" w:color="auto" w:fill="D9D9D9" w:themeFill="background1" w:themeFillShade="D9"/>
          </w:tcPr>
          <w:p w14:paraId="75E5F698" w14:textId="77777777" w:rsidR="00507742" w:rsidRPr="009A5E21" w:rsidRDefault="00507742" w:rsidP="00E70B97">
            <w:pPr>
              <w:pStyle w:val="TableText"/>
              <w:keepNext/>
              <w:jc w:val="center"/>
              <w:rPr>
                <w:b/>
              </w:rPr>
            </w:pPr>
            <w:r w:rsidRPr="009A5E21">
              <w:rPr>
                <w:b/>
              </w:rPr>
              <w:t>Percent</w:t>
            </w:r>
            <w:r>
              <w:rPr>
                <w:b/>
              </w:rPr>
              <w:t xml:space="preserve"> of total DALYs</w:t>
            </w:r>
          </w:p>
        </w:tc>
      </w:tr>
      <w:tr w:rsidR="00507742" w:rsidRPr="009A5E21" w14:paraId="7B41BA7B" w14:textId="77777777" w:rsidTr="00885AE8">
        <w:trPr>
          <w:cantSplit/>
        </w:trPr>
        <w:tc>
          <w:tcPr>
            <w:tcW w:w="491" w:type="dxa"/>
            <w:tcBorders>
              <w:top w:val="nil"/>
            </w:tcBorders>
            <w:shd w:val="clear" w:color="auto" w:fill="auto"/>
          </w:tcPr>
          <w:p w14:paraId="250F88C5" w14:textId="77777777" w:rsidR="00507742" w:rsidRPr="009A5E21" w:rsidRDefault="00507742" w:rsidP="00E70B97">
            <w:pPr>
              <w:pStyle w:val="TableText"/>
              <w:keepNext/>
            </w:pPr>
            <w:r w:rsidRPr="009A5E21">
              <w:t>1</w:t>
            </w:r>
          </w:p>
        </w:tc>
        <w:tc>
          <w:tcPr>
            <w:tcW w:w="5321" w:type="dxa"/>
            <w:tcBorders>
              <w:top w:val="nil"/>
            </w:tcBorders>
            <w:shd w:val="clear" w:color="auto" w:fill="auto"/>
          </w:tcPr>
          <w:p w14:paraId="5FFEC561" w14:textId="77777777" w:rsidR="00507742" w:rsidRPr="009A5E21" w:rsidRDefault="00507742" w:rsidP="00E70B97">
            <w:pPr>
              <w:pStyle w:val="TableText"/>
              <w:keepNext/>
            </w:pPr>
            <w:r w:rsidRPr="008A3BAF">
              <w:t>Ischaemic heart disease</w:t>
            </w:r>
          </w:p>
        </w:tc>
        <w:tc>
          <w:tcPr>
            <w:tcW w:w="2268" w:type="dxa"/>
            <w:tcBorders>
              <w:top w:val="nil"/>
            </w:tcBorders>
          </w:tcPr>
          <w:p w14:paraId="4BE715F2" w14:textId="77777777" w:rsidR="00507742" w:rsidRPr="009A5E21" w:rsidRDefault="00507742" w:rsidP="00E70B97">
            <w:pPr>
              <w:pStyle w:val="TableText"/>
              <w:keepNext/>
              <w:jc w:val="center"/>
            </w:pPr>
            <w:r w:rsidRPr="008A3BAF">
              <w:t>7.7</w:t>
            </w:r>
          </w:p>
        </w:tc>
      </w:tr>
      <w:tr w:rsidR="00507742" w:rsidRPr="009A5E21" w14:paraId="79D7271E" w14:textId="77777777" w:rsidTr="00885AE8">
        <w:trPr>
          <w:cantSplit/>
        </w:trPr>
        <w:tc>
          <w:tcPr>
            <w:tcW w:w="491" w:type="dxa"/>
            <w:shd w:val="clear" w:color="auto" w:fill="auto"/>
          </w:tcPr>
          <w:p w14:paraId="239BEB29" w14:textId="77777777" w:rsidR="00507742" w:rsidRPr="009A5E21" w:rsidRDefault="00507742" w:rsidP="00E70B97">
            <w:pPr>
              <w:pStyle w:val="TableText"/>
              <w:keepNext/>
            </w:pPr>
            <w:r w:rsidRPr="009A5E21">
              <w:t>2</w:t>
            </w:r>
          </w:p>
        </w:tc>
        <w:tc>
          <w:tcPr>
            <w:tcW w:w="5321" w:type="dxa"/>
            <w:shd w:val="clear" w:color="auto" w:fill="auto"/>
          </w:tcPr>
          <w:p w14:paraId="2F993BB8" w14:textId="77777777" w:rsidR="00507742" w:rsidRPr="009A5E21" w:rsidRDefault="00507742" w:rsidP="00E70B97">
            <w:pPr>
              <w:pStyle w:val="TableText"/>
              <w:keepNext/>
            </w:pPr>
            <w:r w:rsidRPr="008A3BAF">
              <w:t>Low back pain</w:t>
            </w:r>
          </w:p>
        </w:tc>
        <w:tc>
          <w:tcPr>
            <w:tcW w:w="2268" w:type="dxa"/>
          </w:tcPr>
          <w:p w14:paraId="2494C1AF" w14:textId="77777777" w:rsidR="00507742" w:rsidRPr="00CC3269" w:rsidRDefault="00507742" w:rsidP="00E70B97">
            <w:pPr>
              <w:pStyle w:val="TableText"/>
              <w:keepNext/>
              <w:jc w:val="center"/>
              <w:rPr>
                <w:b/>
              </w:rPr>
            </w:pPr>
            <w:r w:rsidRPr="008A3BAF">
              <w:t>4.5</w:t>
            </w:r>
          </w:p>
        </w:tc>
      </w:tr>
      <w:tr w:rsidR="00507742" w:rsidRPr="009A5E21" w14:paraId="0661FD44" w14:textId="77777777" w:rsidTr="00885AE8">
        <w:trPr>
          <w:cantSplit/>
        </w:trPr>
        <w:tc>
          <w:tcPr>
            <w:tcW w:w="491" w:type="dxa"/>
            <w:shd w:val="clear" w:color="auto" w:fill="auto"/>
          </w:tcPr>
          <w:p w14:paraId="4E04B437" w14:textId="77777777" w:rsidR="00507742" w:rsidRPr="009A5E21" w:rsidRDefault="00507742" w:rsidP="00E70B97">
            <w:pPr>
              <w:pStyle w:val="TableText"/>
              <w:keepNext/>
            </w:pPr>
            <w:r>
              <w:t>3</w:t>
            </w:r>
          </w:p>
        </w:tc>
        <w:tc>
          <w:tcPr>
            <w:tcW w:w="5321" w:type="dxa"/>
            <w:shd w:val="clear" w:color="auto" w:fill="auto"/>
          </w:tcPr>
          <w:p w14:paraId="258287CF" w14:textId="77777777" w:rsidR="00507742" w:rsidRPr="009A5E21" w:rsidRDefault="00507742" w:rsidP="00E70B97">
            <w:pPr>
              <w:pStyle w:val="TableText"/>
              <w:keepNext/>
            </w:pPr>
            <w:r w:rsidRPr="008A3BAF">
              <w:t>Chronic obstructive pulmonary disease</w:t>
            </w:r>
          </w:p>
        </w:tc>
        <w:tc>
          <w:tcPr>
            <w:tcW w:w="2268" w:type="dxa"/>
          </w:tcPr>
          <w:p w14:paraId="1BA0E445" w14:textId="77777777" w:rsidR="00507742" w:rsidRPr="00AC66F0" w:rsidRDefault="00507742" w:rsidP="00E70B97">
            <w:pPr>
              <w:pStyle w:val="TableText"/>
              <w:keepNext/>
              <w:jc w:val="center"/>
            </w:pPr>
            <w:r w:rsidRPr="008A3BAF">
              <w:t>3.9</w:t>
            </w:r>
          </w:p>
        </w:tc>
      </w:tr>
      <w:tr w:rsidR="00507742" w:rsidRPr="009A5E21" w14:paraId="7340B869" w14:textId="77777777" w:rsidTr="00885AE8">
        <w:trPr>
          <w:cantSplit/>
        </w:trPr>
        <w:tc>
          <w:tcPr>
            <w:tcW w:w="491" w:type="dxa"/>
            <w:shd w:val="clear" w:color="auto" w:fill="auto"/>
          </w:tcPr>
          <w:p w14:paraId="783DD724" w14:textId="77777777" w:rsidR="00507742" w:rsidRDefault="00507742" w:rsidP="00E70B97">
            <w:pPr>
              <w:pStyle w:val="TableText"/>
              <w:keepNext/>
            </w:pPr>
            <w:r>
              <w:t>4</w:t>
            </w:r>
          </w:p>
        </w:tc>
        <w:tc>
          <w:tcPr>
            <w:tcW w:w="5321" w:type="dxa"/>
            <w:shd w:val="clear" w:color="auto" w:fill="auto"/>
          </w:tcPr>
          <w:p w14:paraId="77737E2E" w14:textId="77777777" w:rsidR="00507742" w:rsidRDefault="00507742" w:rsidP="00E70B97">
            <w:pPr>
              <w:pStyle w:val="TableText"/>
              <w:keepNext/>
            </w:pPr>
            <w:r w:rsidRPr="008A3BAF">
              <w:t>Falls</w:t>
            </w:r>
          </w:p>
        </w:tc>
        <w:tc>
          <w:tcPr>
            <w:tcW w:w="2268" w:type="dxa"/>
          </w:tcPr>
          <w:p w14:paraId="24BC9F87" w14:textId="77777777" w:rsidR="00507742" w:rsidRPr="00AC66F0" w:rsidRDefault="00507742" w:rsidP="00E70B97">
            <w:pPr>
              <w:pStyle w:val="TableText"/>
              <w:keepNext/>
              <w:jc w:val="center"/>
            </w:pPr>
            <w:r w:rsidRPr="008A3BAF">
              <w:t>3.7</w:t>
            </w:r>
          </w:p>
        </w:tc>
      </w:tr>
      <w:tr w:rsidR="00507742" w:rsidRPr="009A5E21" w14:paraId="690BF902" w14:textId="77777777" w:rsidTr="00885AE8">
        <w:trPr>
          <w:cantSplit/>
        </w:trPr>
        <w:tc>
          <w:tcPr>
            <w:tcW w:w="491" w:type="dxa"/>
            <w:shd w:val="clear" w:color="auto" w:fill="auto"/>
          </w:tcPr>
          <w:p w14:paraId="14EF8118" w14:textId="77777777" w:rsidR="00507742" w:rsidRDefault="00507742" w:rsidP="00E70B97">
            <w:pPr>
              <w:pStyle w:val="TableText"/>
              <w:keepNext/>
            </w:pPr>
            <w:r>
              <w:t>5</w:t>
            </w:r>
          </w:p>
        </w:tc>
        <w:tc>
          <w:tcPr>
            <w:tcW w:w="5321" w:type="dxa"/>
            <w:shd w:val="clear" w:color="auto" w:fill="auto"/>
          </w:tcPr>
          <w:p w14:paraId="43382D64" w14:textId="77777777" w:rsidR="00507742" w:rsidRDefault="00507742" w:rsidP="00E70B97">
            <w:pPr>
              <w:pStyle w:val="TableText"/>
              <w:keepNext/>
            </w:pPr>
            <w:r w:rsidRPr="008A3BAF">
              <w:t>Stroke</w:t>
            </w:r>
          </w:p>
        </w:tc>
        <w:tc>
          <w:tcPr>
            <w:tcW w:w="2268" w:type="dxa"/>
          </w:tcPr>
          <w:p w14:paraId="5D322D98" w14:textId="77777777" w:rsidR="00507742" w:rsidRPr="00AC66F0" w:rsidRDefault="00507742" w:rsidP="00E70B97">
            <w:pPr>
              <w:pStyle w:val="TableText"/>
              <w:keepNext/>
              <w:jc w:val="center"/>
            </w:pPr>
            <w:r w:rsidRPr="008A3BAF">
              <w:t>3.5</w:t>
            </w:r>
          </w:p>
        </w:tc>
      </w:tr>
      <w:tr w:rsidR="00507742" w:rsidRPr="009A5E21" w14:paraId="094BB6EE" w14:textId="77777777" w:rsidTr="00885AE8">
        <w:trPr>
          <w:cantSplit/>
        </w:trPr>
        <w:tc>
          <w:tcPr>
            <w:tcW w:w="491" w:type="dxa"/>
            <w:shd w:val="clear" w:color="auto" w:fill="auto"/>
          </w:tcPr>
          <w:p w14:paraId="0B5CA4EF" w14:textId="77777777" w:rsidR="00507742" w:rsidRDefault="00507742" w:rsidP="00E70B97">
            <w:pPr>
              <w:pStyle w:val="TableText"/>
              <w:keepNext/>
            </w:pPr>
            <w:r>
              <w:t>6</w:t>
            </w:r>
          </w:p>
        </w:tc>
        <w:tc>
          <w:tcPr>
            <w:tcW w:w="5321" w:type="dxa"/>
            <w:shd w:val="clear" w:color="auto" w:fill="auto"/>
          </w:tcPr>
          <w:p w14:paraId="7C302B2E" w14:textId="77777777" w:rsidR="00507742" w:rsidRDefault="00507742" w:rsidP="00E70B97">
            <w:pPr>
              <w:pStyle w:val="TableText"/>
              <w:keepNext/>
            </w:pPr>
            <w:r w:rsidRPr="008A3BAF">
              <w:t>Lung cancer</w:t>
            </w:r>
          </w:p>
        </w:tc>
        <w:tc>
          <w:tcPr>
            <w:tcW w:w="2268" w:type="dxa"/>
          </w:tcPr>
          <w:p w14:paraId="5EF5730E" w14:textId="77777777" w:rsidR="00507742" w:rsidRPr="00AC66F0" w:rsidRDefault="00507742" w:rsidP="00E70B97">
            <w:pPr>
              <w:pStyle w:val="TableText"/>
              <w:keepNext/>
              <w:jc w:val="center"/>
            </w:pPr>
            <w:r w:rsidRPr="008A3BAF">
              <w:t>3.4</w:t>
            </w:r>
          </w:p>
        </w:tc>
      </w:tr>
      <w:tr w:rsidR="00507742" w:rsidRPr="009A5E21" w14:paraId="11F3CD6E" w14:textId="77777777" w:rsidTr="00885AE8">
        <w:trPr>
          <w:cantSplit/>
        </w:trPr>
        <w:tc>
          <w:tcPr>
            <w:tcW w:w="491" w:type="dxa"/>
            <w:shd w:val="clear" w:color="auto" w:fill="auto"/>
          </w:tcPr>
          <w:p w14:paraId="38B58FF1" w14:textId="77777777" w:rsidR="00507742" w:rsidRDefault="00507742" w:rsidP="00E70B97">
            <w:pPr>
              <w:pStyle w:val="TableText"/>
              <w:keepNext/>
            </w:pPr>
            <w:r>
              <w:t>7</w:t>
            </w:r>
          </w:p>
        </w:tc>
        <w:tc>
          <w:tcPr>
            <w:tcW w:w="5321" w:type="dxa"/>
            <w:shd w:val="clear" w:color="auto" w:fill="auto"/>
          </w:tcPr>
          <w:p w14:paraId="285FF555" w14:textId="77777777" w:rsidR="00507742" w:rsidRDefault="00507742" w:rsidP="00E70B97">
            <w:pPr>
              <w:pStyle w:val="TableText"/>
              <w:keepNext/>
            </w:pPr>
            <w:r w:rsidRPr="008A3BAF">
              <w:t>Colorectal cancer</w:t>
            </w:r>
          </w:p>
        </w:tc>
        <w:tc>
          <w:tcPr>
            <w:tcW w:w="2268" w:type="dxa"/>
          </w:tcPr>
          <w:p w14:paraId="04537D1F" w14:textId="77777777" w:rsidR="00507742" w:rsidRPr="00AC66F0" w:rsidRDefault="00507742" w:rsidP="00E70B97">
            <w:pPr>
              <w:pStyle w:val="TableText"/>
              <w:keepNext/>
              <w:jc w:val="center"/>
            </w:pPr>
            <w:r w:rsidRPr="008A3BAF">
              <w:t>2.6</w:t>
            </w:r>
          </w:p>
        </w:tc>
      </w:tr>
      <w:tr w:rsidR="00507742" w:rsidRPr="009A5E21" w14:paraId="336BC290" w14:textId="77777777" w:rsidTr="00885AE8">
        <w:trPr>
          <w:cantSplit/>
        </w:trPr>
        <w:tc>
          <w:tcPr>
            <w:tcW w:w="491" w:type="dxa"/>
            <w:shd w:val="clear" w:color="auto" w:fill="auto"/>
          </w:tcPr>
          <w:p w14:paraId="511CAD28" w14:textId="77777777" w:rsidR="00507742" w:rsidRDefault="00507742" w:rsidP="00E70B97">
            <w:pPr>
              <w:pStyle w:val="TableText"/>
              <w:keepNext/>
            </w:pPr>
            <w:r>
              <w:t>8</w:t>
            </w:r>
          </w:p>
        </w:tc>
        <w:tc>
          <w:tcPr>
            <w:tcW w:w="5321" w:type="dxa"/>
            <w:shd w:val="clear" w:color="auto" w:fill="auto"/>
          </w:tcPr>
          <w:p w14:paraId="542BBA36" w14:textId="77777777" w:rsidR="00507742" w:rsidRDefault="00507742" w:rsidP="00E70B97">
            <w:pPr>
              <w:pStyle w:val="TableText"/>
              <w:keepNext/>
            </w:pPr>
            <w:r w:rsidRPr="008A3BAF">
              <w:t>Diabetes</w:t>
            </w:r>
          </w:p>
        </w:tc>
        <w:tc>
          <w:tcPr>
            <w:tcW w:w="2268" w:type="dxa"/>
          </w:tcPr>
          <w:p w14:paraId="2C938BED" w14:textId="77777777" w:rsidR="00507742" w:rsidRPr="00AC66F0" w:rsidRDefault="00507742" w:rsidP="00E70B97">
            <w:pPr>
              <w:pStyle w:val="TableText"/>
              <w:keepNext/>
              <w:jc w:val="center"/>
            </w:pPr>
            <w:r w:rsidRPr="008A3BAF">
              <w:t>2.6</w:t>
            </w:r>
          </w:p>
        </w:tc>
      </w:tr>
      <w:tr w:rsidR="00507742" w:rsidRPr="009A5E21" w14:paraId="7A201CBF" w14:textId="77777777" w:rsidTr="00885AE8">
        <w:trPr>
          <w:cantSplit/>
        </w:trPr>
        <w:tc>
          <w:tcPr>
            <w:tcW w:w="491" w:type="dxa"/>
            <w:shd w:val="clear" w:color="auto" w:fill="auto"/>
          </w:tcPr>
          <w:p w14:paraId="4813E262" w14:textId="77777777" w:rsidR="00507742" w:rsidRDefault="00FC5B48" w:rsidP="00E70B97">
            <w:pPr>
              <w:pStyle w:val="TableText"/>
              <w:keepNext/>
            </w:pPr>
            <w:r>
              <w:t>9</w:t>
            </w:r>
          </w:p>
        </w:tc>
        <w:tc>
          <w:tcPr>
            <w:tcW w:w="5321" w:type="dxa"/>
            <w:shd w:val="clear" w:color="auto" w:fill="auto"/>
          </w:tcPr>
          <w:p w14:paraId="3DE09BCC" w14:textId="77777777" w:rsidR="00507742" w:rsidRDefault="00507742" w:rsidP="00E70B97">
            <w:pPr>
              <w:pStyle w:val="TableText"/>
              <w:keepNext/>
            </w:pPr>
            <w:r w:rsidRPr="008A3BAF">
              <w:t>Anxiety disorders</w:t>
            </w:r>
          </w:p>
        </w:tc>
        <w:tc>
          <w:tcPr>
            <w:tcW w:w="2268" w:type="dxa"/>
          </w:tcPr>
          <w:p w14:paraId="6CC5C4E9" w14:textId="77777777" w:rsidR="00507742" w:rsidRPr="00AC66F0" w:rsidRDefault="00507742" w:rsidP="00E70B97">
            <w:pPr>
              <w:pStyle w:val="TableText"/>
              <w:keepNext/>
              <w:jc w:val="center"/>
            </w:pPr>
            <w:r w:rsidRPr="008A3BAF">
              <w:t>2.6</w:t>
            </w:r>
          </w:p>
        </w:tc>
      </w:tr>
      <w:tr w:rsidR="00507742" w:rsidRPr="009A5E21" w14:paraId="1891F89F" w14:textId="77777777" w:rsidTr="00885AE8">
        <w:trPr>
          <w:cantSplit/>
        </w:trPr>
        <w:tc>
          <w:tcPr>
            <w:tcW w:w="491" w:type="dxa"/>
            <w:shd w:val="clear" w:color="auto" w:fill="auto"/>
          </w:tcPr>
          <w:p w14:paraId="3CFBC033" w14:textId="77777777" w:rsidR="00507742" w:rsidRDefault="00507742" w:rsidP="00E70B97">
            <w:pPr>
              <w:pStyle w:val="TableText"/>
              <w:keepNext/>
            </w:pPr>
            <w:r>
              <w:t>10</w:t>
            </w:r>
          </w:p>
        </w:tc>
        <w:tc>
          <w:tcPr>
            <w:tcW w:w="5321" w:type="dxa"/>
            <w:shd w:val="clear" w:color="auto" w:fill="auto"/>
          </w:tcPr>
          <w:p w14:paraId="21094543" w14:textId="77777777" w:rsidR="00507742" w:rsidRDefault="00507742" w:rsidP="00E70B97">
            <w:pPr>
              <w:pStyle w:val="TableText"/>
              <w:keepNext/>
            </w:pPr>
            <w:r w:rsidRPr="008A3BAF">
              <w:t>Depressive disorders</w:t>
            </w:r>
          </w:p>
        </w:tc>
        <w:tc>
          <w:tcPr>
            <w:tcW w:w="2268" w:type="dxa"/>
          </w:tcPr>
          <w:p w14:paraId="7BB2E1EB" w14:textId="77777777" w:rsidR="00507742" w:rsidRPr="00AC66F0" w:rsidRDefault="00507742" w:rsidP="00E70B97">
            <w:pPr>
              <w:pStyle w:val="TableText"/>
              <w:keepNext/>
              <w:jc w:val="center"/>
            </w:pPr>
            <w:r w:rsidRPr="008A3BAF">
              <w:t>2.4</w:t>
            </w:r>
          </w:p>
        </w:tc>
      </w:tr>
    </w:tbl>
    <w:p w14:paraId="32FBB62B" w14:textId="3AA3F6D6" w:rsidR="00507742" w:rsidRDefault="009E77CA" w:rsidP="00E70B97">
      <w:pPr>
        <w:pStyle w:val="Source"/>
        <w:keepNext/>
      </w:pPr>
      <w:r>
        <w:t>Source: Global Burden of Disease Collaborative Network (2020)</w:t>
      </w:r>
    </w:p>
    <w:p w14:paraId="7D885141" w14:textId="77777777" w:rsidR="00507742" w:rsidRDefault="00507742" w:rsidP="00FC5B48"/>
    <w:p w14:paraId="71A22F4F" w14:textId="77777777" w:rsidR="00507742" w:rsidRDefault="00507742" w:rsidP="00FC5B48">
      <w:pPr>
        <w:pStyle w:val="Heading2"/>
      </w:pPr>
      <w:bookmarkStart w:id="67" w:name="_TOC_250019"/>
      <w:bookmarkStart w:id="68" w:name="_Toc57295672"/>
      <w:bookmarkStart w:id="69" w:name="_Toc64536240"/>
      <w:bookmarkEnd w:id="67"/>
      <w:r w:rsidRPr="008D03C5">
        <w:lastRenderedPageBreak/>
        <w:t>Morbidity</w:t>
      </w:r>
      <w:bookmarkEnd w:id="68"/>
      <w:bookmarkEnd w:id="69"/>
    </w:p>
    <w:p w14:paraId="75FDDDE9" w14:textId="77777777" w:rsidR="002542AA" w:rsidRDefault="00507742" w:rsidP="00885AE8">
      <w:pPr>
        <w:keepNext/>
      </w:pPr>
      <w:r w:rsidRPr="00B64087">
        <w:t xml:space="preserve">Morbidity is non-fatal </w:t>
      </w:r>
      <w:r>
        <w:t>health loss (illness and disability)</w:t>
      </w:r>
      <w:r w:rsidRPr="00B64087">
        <w:t>, measured in years lived with disability (YLD).</w:t>
      </w:r>
      <w:r>
        <w:t xml:space="preserve"> YLDs take into account both the prevalence and severity of a health state.</w:t>
      </w:r>
    </w:p>
    <w:p w14:paraId="2737295C" w14:textId="77777777" w:rsidR="00507742" w:rsidRDefault="00507742" w:rsidP="00885AE8">
      <w:pPr>
        <w:keepNext/>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7EDB6E6D" w14:textId="77777777" w:rsidTr="00572CF6">
        <w:trPr>
          <w:cantSplit/>
        </w:trPr>
        <w:tc>
          <w:tcPr>
            <w:tcW w:w="7973" w:type="dxa"/>
          </w:tcPr>
          <w:p w14:paraId="0A3A6FB0" w14:textId="77777777" w:rsidR="00507742" w:rsidRPr="00933A6B" w:rsidRDefault="00507742" w:rsidP="00885AE8">
            <w:pPr>
              <w:pStyle w:val="TableText"/>
              <w:keepNext/>
              <w:rPr>
                <w:color w:val="0A6AB4"/>
                <w:sz w:val="24"/>
                <w:szCs w:val="24"/>
              </w:rPr>
            </w:pPr>
            <w:r>
              <w:rPr>
                <w:color w:val="0A6AB4"/>
                <w:sz w:val="24"/>
                <w:szCs w:val="24"/>
              </w:rPr>
              <w:t>Morbidity now accounts for just over half of all health loss</w:t>
            </w:r>
          </w:p>
        </w:tc>
      </w:tr>
    </w:tbl>
    <w:p w14:paraId="43285458" w14:textId="77777777" w:rsidR="00507742" w:rsidRPr="00541F4F" w:rsidRDefault="00507742" w:rsidP="00885AE8">
      <w:pPr>
        <w:keepNext/>
      </w:pPr>
    </w:p>
    <w:p w14:paraId="7D387A79" w14:textId="738F3F57" w:rsidR="00507742" w:rsidRDefault="00507742" w:rsidP="00885AE8">
      <w:pPr>
        <w:keepNext/>
        <w:keepLines/>
      </w:pPr>
      <w:r w:rsidRPr="002B3ABD">
        <w:t xml:space="preserve">In 2019, New Zealand had an age-standardised rate of </w:t>
      </w:r>
      <w:r>
        <w:t xml:space="preserve">non-fatal </w:t>
      </w:r>
      <w:r w:rsidRPr="002B3ABD">
        <w:t xml:space="preserve">health loss of </w:t>
      </w:r>
      <w:r>
        <w:t>11,560</w:t>
      </w:r>
      <w:r w:rsidRPr="002B3ABD">
        <w:t xml:space="preserve"> </w:t>
      </w:r>
      <w:r>
        <w:t>YLDs</w:t>
      </w:r>
      <w:r w:rsidRPr="002B3ABD">
        <w:t xml:space="preserve"> per 100,000 population (</w:t>
      </w:r>
      <w:r>
        <w:t>Global Burden of Disease Collaborative Network 2020</w:t>
      </w:r>
      <w:r w:rsidRPr="002B3ABD">
        <w:t xml:space="preserve">). </w:t>
      </w:r>
      <w:r w:rsidRPr="00210E7C">
        <w:t xml:space="preserve">This rate </w:t>
      </w:r>
      <w:r>
        <w:t>has not changed significantly since</w:t>
      </w:r>
      <w:r w:rsidRPr="00210E7C">
        <w:t xml:space="preserve"> 1990</w:t>
      </w:r>
      <w:r>
        <w:t>, when it was 11,884 per 100,000</w:t>
      </w:r>
      <w:r w:rsidRPr="00210E7C">
        <w:t>.</w:t>
      </w:r>
      <w:r>
        <w:t xml:space="preserve"> </w:t>
      </w:r>
      <w:r w:rsidRPr="00952261">
        <w:t>Over the same period</w:t>
      </w:r>
      <w:r>
        <w:t>,</w:t>
      </w:r>
      <w:r w:rsidRPr="00952261">
        <w:t xml:space="preserve"> the rate of fatal health loss declined more quickly (see </w:t>
      </w:r>
      <w:r>
        <w:t xml:space="preserve">the </w:t>
      </w:r>
      <w:r w:rsidR="002542AA">
        <w:t>‘</w:t>
      </w:r>
      <w:r w:rsidR="00FC5B48">
        <w:fldChar w:fldCharType="begin"/>
      </w:r>
      <w:r w:rsidR="00FC5B48">
        <w:instrText xml:space="preserve"> REF _Ref57369804 \h </w:instrText>
      </w:r>
      <w:r w:rsidR="00FC5B48">
        <w:fldChar w:fldCharType="separate"/>
      </w:r>
      <w:r w:rsidR="003F39AB" w:rsidRPr="007D038A">
        <w:t>Mortality</w:t>
      </w:r>
      <w:r w:rsidR="00FC5B48">
        <w:fldChar w:fldCharType="end"/>
      </w:r>
      <w:r w:rsidR="002542AA">
        <w:t>’</w:t>
      </w:r>
      <w:r>
        <w:t xml:space="preserve"> section</w:t>
      </w:r>
      <w:r w:rsidRPr="00952261">
        <w:t xml:space="preserve">). As a result, morbidity now accounts for over half of all health loss (up from </w:t>
      </w:r>
      <w:r>
        <w:t>around 40</w:t>
      </w:r>
      <w:r w:rsidRPr="00952261">
        <w:t xml:space="preserve"> percent in 1990).</w:t>
      </w:r>
    </w:p>
    <w:p w14:paraId="7ABF713C" w14:textId="77777777" w:rsidR="00507742" w:rsidRDefault="00507742" w:rsidP="00FC5B48"/>
    <w:p w14:paraId="1D67FF9D" w14:textId="77777777" w:rsidR="002542AA" w:rsidRDefault="00507742" w:rsidP="00FC5B48">
      <w:r>
        <w:t>The leading condition group responsible for non-fatal health loss is mental disorders (17.2</w:t>
      </w:r>
      <w:r w:rsidR="00FC5B48">
        <w:t> </w:t>
      </w:r>
      <w:r>
        <w:t xml:space="preserve">percent). It is </w:t>
      </w:r>
      <w:r w:rsidRPr="00334343">
        <w:t xml:space="preserve">followed by </w:t>
      </w:r>
      <w:r>
        <w:t>musculoskeletal disorders</w:t>
      </w:r>
      <w:r w:rsidRPr="00334343">
        <w:t xml:space="preserve"> (</w:t>
      </w:r>
      <w:r>
        <w:t>16.4</w:t>
      </w:r>
      <w:r w:rsidRPr="00334343">
        <w:t xml:space="preserve"> percent) </w:t>
      </w:r>
      <w:r>
        <w:t xml:space="preserve">and </w:t>
      </w:r>
      <w:r w:rsidRPr="00334343">
        <w:t>unintentional injuries (13.</w:t>
      </w:r>
      <w:r>
        <w:t>3</w:t>
      </w:r>
      <w:r w:rsidRPr="00334343">
        <w:t xml:space="preserve"> percent)</w:t>
      </w:r>
      <w:r>
        <w:t>.</w:t>
      </w:r>
    </w:p>
    <w:p w14:paraId="39C5E468" w14:textId="77777777" w:rsidR="00507742" w:rsidRDefault="00507742" w:rsidP="00FC5B48"/>
    <w:p w14:paraId="77D8305C" w14:textId="72EBD5D0" w:rsidR="002542AA" w:rsidRDefault="00FC5B48" w:rsidP="00FC5B48">
      <w:r>
        <w:fldChar w:fldCharType="begin"/>
      </w:r>
      <w:r>
        <w:instrText xml:space="preserve"> REF _Ref57369840 \h </w:instrText>
      </w:r>
      <w:r>
        <w:fldChar w:fldCharType="separate"/>
      </w:r>
      <w:r w:rsidR="003F39AB">
        <w:t>Table </w:t>
      </w:r>
      <w:r w:rsidR="003F39AB">
        <w:rPr>
          <w:noProof/>
        </w:rPr>
        <w:t>7</w:t>
      </w:r>
      <w:r>
        <w:fldChar w:fldCharType="end"/>
      </w:r>
      <w:r w:rsidR="00507742">
        <w:t xml:space="preserve"> shows the </w:t>
      </w:r>
      <w:r w:rsidR="00507742" w:rsidRPr="00B64087">
        <w:t>top 10 specific causes</w:t>
      </w:r>
      <w:r w:rsidR="00507742">
        <w:t xml:space="preserve"> of non-fatal health loss in 2019, which accounted for 48 percent of total YLDs. Since 1990, the largest declines in the age</w:t>
      </w:r>
      <w:r>
        <w:noBreakHyphen/>
      </w:r>
      <w:r w:rsidR="00507742">
        <w:t>standardised YLD rate were for oral disorders (falling by 15 percent) and mechanical forces (12 percent). Over this period, the age-standardised YLD rate increased for diabetes (by 58 percent) and falls (28 percent).</w:t>
      </w:r>
    </w:p>
    <w:p w14:paraId="3BC43DAC" w14:textId="77777777" w:rsidR="00507742" w:rsidRPr="008A0913" w:rsidRDefault="00507742" w:rsidP="00FC5B48">
      <w:pPr>
        <w:rPr>
          <w:highlight w:val="yellow"/>
        </w:rPr>
      </w:pPr>
    </w:p>
    <w:p w14:paraId="727EB9E3" w14:textId="523CC96F" w:rsidR="00507742" w:rsidRPr="009A5E21" w:rsidRDefault="00FC5B48" w:rsidP="00FC5B48">
      <w:pPr>
        <w:pStyle w:val="Table"/>
      </w:pPr>
      <w:bookmarkStart w:id="70" w:name="_Ref57369840"/>
      <w:bookmarkStart w:id="71" w:name="_Toc57273371"/>
      <w:bookmarkStart w:id="72" w:name="_Toc64536289"/>
      <w:r>
        <w:t>Table </w:t>
      </w:r>
      <w:fldSimple w:instr=" SEQ Table \* ARABIC ">
        <w:r w:rsidR="003F39AB">
          <w:rPr>
            <w:noProof/>
          </w:rPr>
          <w:t>7</w:t>
        </w:r>
      </w:fldSimple>
      <w:bookmarkEnd w:id="70"/>
      <w:r w:rsidR="00507742" w:rsidRPr="009A5E21">
        <w:t xml:space="preserve">: Leading specific causes of </w:t>
      </w:r>
      <w:r w:rsidR="00507742">
        <w:t>morbidity</w:t>
      </w:r>
      <w:r w:rsidR="00507742" w:rsidRPr="009A5E21">
        <w:t>, 2019</w:t>
      </w:r>
      <w:bookmarkEnd w:id="71"/>
      <w:bookmarkEnd w:id="72"/>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574"/>
        <w:gridCol w:w="5380"/>
        <w:gridCol w:w="2126"/>
      </w:tblGrid>
      <w:tr w:rsidR="00507742" w:rsidRPr="009A5E21" w14:paraId="6349D986" w14:textId="77777777" w:rsidTr="00FC5B48">
        <w:trPr>
          <w:cantSplit/>
        </w:trPr>
        <w:tc>
          <w:tcPr>
            <w:tcW w:w="574" w:type="dxa"/>
            <w:tcBorders>
              <w:top w:val="nil"/>
              <w:bottom w:val="nil"/>
            </w:tcBorders>
            <w:shd w:val="clear" w:color="auto" w:fill="D9D9D9" w:themeFill="background1" w:themeFillShade="D9"/>
          </w:tcPr>
          <w:p w14:paraId="02AE2178" w14:textId="77777777" w:rsidR="00507742" w:rsidRPr="009A5E21" w:rsidRDefault="00507742" w:rsidP="00FC5B48">
            <w:pPr>
              <w:pStyle w:val="TableText"/>
              <w:keepNext/>
              <w:rPr>
                <w:b/>
              </w:rPr>
            </w:pPr>
          </w:p>
        </w:tc>
        <w:tc>
          <w:tcPr>
            <w:tcW w:w="5380" w:type="dxa"/>
            <w:tcBorders>
              <w:top w:val="nil"/>
              <w:bottom w:val="nil"/>
            </w:tcBorders>
            <w:shd w:val="clear" w:color="auto" w:fill="D9D9D9" w:themeFill="background1" w:themeFillShade="D9"/>
          </w:tcPr>
          <w:p w14:paraId="6D46B090" w14:textId="77777777" w:rsidR="00507742" w:rsidRPr="009A5E21" w:rsidRDefault="00507742" w:rsidP="00FC5B48">
            <w:pPr>
              <w:pStyle w:val="TableText"/>
              <w:keepNext/>
              <w:rPr>
                <w:b/>
              </w:rPr>
            </w:pPr>
            <w:r w:rsidRPr="009A5E21">
              <w:rPr>
                <w:b/>
              </w:rPr>
              <w:t>Cause</w:t>
            </w:r>
          </w:p>
        </w:tc>
        <w:tc>
          <w:tcPr>
            <w:tcW w:w="2126" w:type="dxa"/>
            <w:tcBorders>
              <w:top w:val="nil"/>
              <w:bottom w:val="nil"/>
            </w:tcBorders>
            <w:shd w:val="clear" w:color="auto" w:fill="D9D9D9" w:themeFill="background1" w:themeFillShade="D9"/>
          </w:tcPr>
          <w:p w14:paraId="4BF07874" w14:textId="77777777" w:rsidR="00507742" w:rsidRPr="009A5E21" w:rsidRDefault="00507742" w:rsidP="00FC5B48">
            <w:pPr>
              <w:pStyle w:val="TableText"/>
              <w:keepNext/>
              <w:jc w:val="center"/>
              <w:rPr>
                <w:b/>
              </w:rPr>
            </w:pPr>
            <w:r w:rsidRPr="009A5E21">
              <w:rPr>
                <w:b/>
              </w:rPr>
              <w:t>Percent</w:t>
            </w:r>
            <w:r>
              <w:rPr>
                <w:b/>
              </w:rPr>
              <w:t xml:space="preserve"> of total YLDs</w:t>
            </w:r>
          </w:p>
        </w:tc>
      </w:tr>
      <w:tr w:rsidR="00507742" w:rsidRPr="009A5E21" w14:paraId="53429CEC" w14:textId="77777777" w:rsidTr="00FC5B48">
        <w:trPr>
          <w:cantSplit/>
        </w:trPr>
        <w:tc>
          <w:tcPr>
            <w:tcW w:w="574" w:type="dxa"/>
            <w:tcBorders>
              <w:top w:val="nil"/>
            </w:tcBorders>
            <w:shd w:val="clear" w:color="auto" w:fill="auto"/>
          </w:tcPr>
          <w:p w14:paraId="232ACC4A" w14:textId="77777777" w:rsidR="00507742" w:rsidRPr="009A5E21" w:rsidRDefault="00507742" w:rsidP="00FC5B48">
            <w:pPr>
              <w:pStyle w:val="TableText"/>
            </w:pPr>
            <w:r w:rsidRPr="009A5E21">
              <w:t>1</w:t>
            </w:r>
          </w:p>
        </w:tc>
        <w:tc>
          <w:tcPr>
            <w:tcW w:w="5380" w:type="dxa"/>
            <w:tcBorders>
              <w:top w:val="nil"/>
            </w:tcBorders>
            <w:shd w:val="clear" w:color="auto" w:fill="auto"/>
          </w:tcPr>
          <w:p w14:paraId="3BEBE7DC" w14:textId="77777777" w:rsidR="00507742" w:rsidRPr="009A5E21" w:rsidRDefault="00507742" w:rsidP="00FC5B48">
            <w:pPr>
              <w:pStyle w:val="TableText"/>
            </w:pPr>
            <w:r w:rsidRPr="0020310E">
              <w:t>Low back pain</w:t>
            </w:r>
          </w:p>
        </w:tc>
        <w:tc>
          <w:tcPr>
            <w:tcW w:w="2126" w:type="dxa"/>
            <w:tcBorders>
              <w:top w:val="nil"/>
            </w:tcBorders>
          </w:tcPr>
          <w:p w14:paraId="642AA681" w14:textId="77777777" w:rsidR="00507742" w:rsidRDefault="00507742" w:rsidP="00FC5B48">
            <w:pPr>
              <w:pStyle w:val="TableText"/>
              <w:jc w:val="center"/>
            </w:pPr>
            <w:r w:rsidRPr="0020310E">
              <w:t>8.9</w:t>
            </w:r>
          </w:p>
        </w:tc>
      </w:tr>
      <w:tr w:rsidR="00507742" w:rsidRPr="009A5E21" w14:paraId="4C724A52" w14:textId="77777777" w:rsidTr="00FC5B48">
        <w:trPr>
          <w:cantSplit/>
        </w:trPr>
        <w:tc>
          <w:tcPr>
            <w:tcW w:w="574" w:type="dxa"/>
            <w:shd w:val="clear" w:color="auto" w:fill="auto"/>
          </w:tcPr>
          <w:p w14:paraId="3D8ADF74" w14:textId="77777777" w:rsidR="00507742" w:rsidRPr="009A5E21" w:rsidRDefault="00507742" w:rsidP="00FC5B48">
            <w:pPr>
              <w:pStyle w:val="TableText"/>
            </w:pPr>
            <w:r w:rsidRPr="009A5E21">
              <w:t>2</w:t>
            </w:r>
          </w:p>
        </w:tc>
        <w:tc>
          <w:tcPr>
            <w:tcW w:w="5380" w:type="dxa"/>
            <w:shd w:val="clear" w:color="auto" w:fill="auto"/>
          </w:tcPr>
          <w:p w14:paraId="13AB3731" w14:textId="77777777" w:rsidR="00507742" w:rsidRPr="009A5E21" w:rsidRDefault="00507742" w:rsidP="00FC5B48">
            <w:pPr>
              <w:pStyle w:val="TableText"/>
            </w:pPr>
            <w:r w:rsidRPr="0020310E">
              <w:t>Falls</w:t>
            </w:r>
          </w:p>
        </w:tc>
        <w:tc>
          <w:tcPr>
            <w:tcW w:w="2126" w:type="dxa"/>
          </w:tcPr>
          <w:p w14:paraId="2A71024F" w14:textId="77777777" w:rsidR="00507742" w:rsidRDefault="00507742" w:rsidP="00FC5B48">
            <w:pPr>
              <w:pStyle w:val="TableText"/>
              <w:jc w:val="center"/>
            </w:pPr>
            <w:r w:rsidRPr="0020310E">
              <w:t>6.0</w:t>
            </w:r>
          </w:p>
        </w:tc>
      </w:tr>
      <w:tr w:rsidR="00507742" w:rsidRPr="009A5E21" w14:paraId="76B10EB1" w14:textId="77777777" w:rsidTr="00FC5B48">
        <w:trPr>
          <w:cantSplit/>
        </w:trPr>
        <w:tc>
          <w:tcPr>
            <w:tcW w:w="574" w:type="dxa"/>
            <w:shd w:val="clear" w:color="auto" w:fill="auto"/>
          </w:tcPr>
          <w:p w14:paraId="5799F96A" w14:textId="77777777" w:rsidR="00507742" w:rsidRPr="009A5E21" w:rsidRDefault="00507742" w:rsidP="00FC5B48">
            <w:pPr>
              <w:pStyle w:val="TableText"/>
            </w:pPr>
            <w:r>
              <w:t>3</w:t>
            </w:r>
          </w:p>
        </w:tc>
        <w:tc>
          <w:tcPr>
            <w:tcW w:w="5380" w:type="dxa"/>
            <w:shd w:val="clear" w:color="auto" w:fill="auto"/>
          </w:tcPr>
          <w:p w14:paraId="4902383D" w14:textId="77777777" w:rsidR="00507742" w:rsidRPr="009A5E21" w:rsidRDefault="00507742" w:rsidP="00FC5B48">
            <w:pPr>
              <w:pStyle w:val="TableText"/>
            </w:pPr>
            <w:r w:rsidRPr="0020310E">
              <w:t>Anxiety disorders</w:t>
            </w:r>
          </w:p>
        </w:tc>
        <w:tc>
          <w:tcPr>
            <w:tcW w:w="2126" w:type="dxa"/>
          </w:tcPr>
          <w:p w14:paraId="7534691A" w14:textId="77777777" w:rsidR="00507742" w:rsidRDefault="00507742" w:rsidP="00FC5B48">
            <w:pPr>
              <w:pStyle w:val="TableText"/>
              <w:jc w:val="center"/>
            </w:pPr>
            <w:r w:rsidRPr="0020310E">
              <w:t>5.1</w:t>
            </w:r>
          </w:p>
        </w:tc>
      </w:tr>
      <w:tr w:rsidR="00507742" w:rsidRPr="009A5E21" w14:paraId="5166FDBE" w14:textId="77777777" w:rsidTr="00FC5B48">
        <w:trPr>
          <w:cantSplit/>
        </w:trPr>
        <w:tc>
          <w:tcPr>
            <w:tcW w:w="574" w:type="dxa"/>
            <w:shd w:val="clear" w:color="auto" w:fill="auto"/>
          </w:tcPr>
          <w:p w14:paraId="018D8D12" w14:textId="77777777" w:rsidR="00507742" w:rsidRDefault="00507742" w:rsidP="00FC5B48">
            <w:pPr>
              <w:pStyle w:val="TableText"/>
            </w:pPr>
            <w:r>
              <w:t>4</w:t>
            </w:r>
          </w:p>
        </w:tc>
        <w:tc>
          <w:tcPr>
            <w:tcW w:w="5380" w:type="dxa"/>
            <w:shd w:val="clear" w:color="auto" w:fill="auto"/>
          </w:tcPr>
          <w:p w14:paraId="2E69AD41" w14:textId="77777777" w:rsidR="00507742" w:rsidRDefault="00507742" w:rsidP="00FC5B48">
            <w:pPr>
              <w:pStyle w:val="TableText"/>
            </w:pPr>
            <w:r w:rsidRPr="0020310E">
              <w:t>Depressive disorder</w:t>
            </w:r>
          </w:p>
        </w:tc>
        <w:tc>
          <w:tcPr>
            <w:tcW w:w="2126" w:type="dxa"/>
          </w:tcPr>
          <w:p w14:paraId="2728558E" w14:textId="77777777" w:rsidR="00507742" w:rsidRDefault="00507742" w:rsidP="00FC5B48">
            <w:pPr>
              <w:pStyle w:val="TableText"/>
              <w:jc w:val="center"/>
            </w:pPr>
            <w:r w:rsidRPr="0020310E">
              <w:t>4.8</w:t>
            </w:r>
          </w:p>
        </w:tc>
      </w:tr>
      <w:tr w:rsidR="00507742" w:rsidRPr="009A5E21" w14:paraId="6E251AEB" w14:textId="77777777" w:rsidTr="00FC5B48">
        <w:trPr>
          <w:cantSplit/>
        </w:trPr>
        <w:tc>
          <w:tcPr>
            <w:tcW w:w="574" w:type="dxa"/>
            <w:shd w:val="clear" w:color="auto" w:fill="auto"/>
          </w:tcPr>
          <w:p w14:paraId="77213959" w14:textId="77777777" w:rsidR="00507742" w:rsidRDefault="00507742" w:rsidP="00FC5B48">
            <w:pPr>
              <w:pStyle w:val="TableText"/>
            </w:pPr>
            <w:r>
              <w:t>5</w:t>
            </w:r>
          </w:p>
        </w:tc>
        <w:tc>
          <w:tcPr>
            <w:tcW w:w="5380" w:type="dxa"/>
            <w:shd w:val="clear" w:color="auto" w:fill="auto"/>
          </w:tcPr>
          <w:p w14:paraId="50A21340" w14:textId="77777777" w:rsidR="00507742" w:rsidRDefault="00507742" w:rsidP="00FC5B48">
            <w:pPr>
              <w:pStyle w:val="TableText"/>
            </w:pPr>
            <w:r w:rsidRPr="0020310E">
              <w:t>Headache disorder</w:t>
            </w:r>
          </w:p>
        </w:tc>
        <w:tc>
          <w:tcPr>
            <w:tcW w:w="2126" w:type="dxa"/>
          </w:tcPr>
          <w:p w14:paraId="74C96B45" w14:textId="77777777" w:rsidR="00507742" w:rsidRDefault="00507742" w:rsidP="00FC5B48">
            <w:pPr>
              <w:pStyle w:val="TableText"/>
              <w:jc w:val="center"/>
            </w:pPr>
            <w:r w:rsidRPr="0020310E">
              <w:t>4.4</w:t>
            </w:r>
          </w:p>
        </w:tc>
      </w:tr>
      <w:tr w:rsidR="00507742" w:rsidRPr="009A5E21" w14:paraId="6A3758A4" w14:textId="77777777" w:rsidTr="00FC5B48">
        <w:trPr>
          <w:cantSplit/>
        </w:trPr>
        <w:tc>
          <w:tcPr>
            <w:tcW w:w="574" w:type="dxa"/>
            <w:shd w:val="clear" w:color="auto" w:fill="auto"/>
          </w:tcPr>
          <w:p w14:paraId="20869618" w14:textId="77777777" w:rsidR="00507742" w:rsidRDefault="00507742" w:rsidP="00FC5B48">
            <w:pPr>
              <w:pStyle w:val="TableText"/>
            </w:pPr>
            <w:r>
              <w:t>6</w:t>
            </w:r>
          </w:p>
        </w:tc>
        <w:tc>
          <w:tcPr>
            <w:tcW w:w="5380" w:type="dxa"/>
            <w:shd w:val="clear" w:color="auto" w:fill="auto"/>
          </w:tcPr>
          <w:p w14:paraId="6638DFC6" w14:textId="77777777" w:rsidR="00507742" w:rsidRDefault="00507742" w:rsidP="00FC5B48">
            <w:pPr>
              <w:pStyle w:val="TableText"/>
            </w:pPr>
            <w:r w:rsidRPr="0020310E">
              <w:t>Age-related hearing loss</w:t>
            </w:r>
          </w:p>
        </w:tc>
        <w:tc>
          <w:tcPr>
            <w:tcW w:w="2126" w:type="dxa"/>
          </w:tcPr>
          <w:p w14:paraId="2EED8C97" w14:textId="77777777" w:rsidR="00507742" w:rsidRDefault="00507742" w:rsidP="00FC5B48">
            <w:pPr>
              <w:pStyle w:val="TableText"/>
              <w:jc w:val="center"/>
            </w:pPr>
            <w:r w:rsidRPr="0020310E">
              <w:t>4.2</w:t>
            </w:r>
          </w:p>
        </w:tc>
      </w:tr>
      <w:tr w:rsidR="00507742" w:rsidRPr="009A5E21" w14:paraId="26F993C4" w14:textId="77777777" w:rsidTr="00FC5B48">
        <w:trPr>
          <w:cantSplit/>
        </w:trPr>
        <w:tc>
          <w:tcPr>
            <w:tcW w:w="574" w:type="dxa"/>
            <w:shd w:val="clear" w:color="auto" w:fill="auto"/>
          </w:tcPr>
          <w:p w14:paraId="685078F9" w14:textId="77777777" w:rsidR="00507742" w:rsidRDefault="00507742" w:rsidP="00FC5B48">
            <w:pPr>
              <w:pStyle w:val="TableText"/>
            </w:pPr>
            <w:r>
              <w:t>7</w:t>
            </w:r>
          </w:p>
        </w:tc>
        <w:tc>
          <w:tcPr>
            <w:tcW w:w="5380" w:type="dxa"/>
            <w:shd w:val="clear" w:color="auto" w:fill="auto"/>
          </w:tcPr>
          <w:p w14:paraId="723DC9C9" w14:textId="77777777" w:rsidR="00507742" w:rsidRDefault="00507742" w:rsidP="00FC5B48">
            <w:pPr>
              <w:pStyle w:val="TableText"/>
            </w:pPr>
            <w:r w:rsidRPr="0020310E">
              <w:t>Mechanical forces</w:t>
            </w:r>
          </w:p>
        </w:tc>
        <w:tc>
          <w:tcPr>
            <w:tcW w:w="2126" w:type="dxa"/>
          </w:tcPr>
          <w:p w14:paraId="47732259" w14:textId="77777777" w:rsidR="00507742" w:rsidRDefault="00507742" w:rsidP="00FC5B48">
            <w:pPr>
              <w:pStyle w:val="TableText"/>
              <w:jc w:val="center"/>
            </w:pPr>
            <w:r w:rsidRPr="0020310E">
              <w:t>4.0</w:t>
            </w:r>
          </w:p>
        </w:tc>
      </w:tr>
      <w:tr w:rsidR="00507742" w:rsidRPr="009A5E21" w14:paraId="24917FDA" w14:textId="77777777" w:rsidTr="00FC5B48">
        <w:trPr>
          <w:cantSplit/>
        </w:trPr>
        <w:tc>
          <w:tcPr>
            <w:tcW w:w="574" w:type="dxa"/>
            <w:shd w:val="clear" w:color="auto" w:fill="auto"/>
          </w:tcPr>
          <w:p w14:paraId="4FA67B1A" w14:textId="77777777" w:rsidR="00507742" w:rsidRDefault="00507742" w:rsidP="00FC5B48">
            <w:pPr>
              <w:pStyle w:val="TableText"/>
            </w:pPr>
            <w:r>
              <w:t>8</w:t>
            </w:r>
          </w:p>
        </w:tc>
        <w:tc>
          <w:tcPr>
            <w:tcW w:w="5380" w:type="dxa"/>
            <w:shd w:val="clear" w:color="auto" w:fill="auto"/>
          </w:tcPr>
          <w:p w14:paraId="40CD776D" w14:textId="77777777" w:rsidR="00507742" w:rsidRDefault="00507742" w:rsidP="00FC5B48">
            <w:pPr>
              <w:pStyle w:val="TableText"/>
            </w:pPr>
            <w:r w:rsidRPr="0020310E">
              <w:t>Oral disorders</w:t>
            </w:r>
          </w:p>
        </w:tc>
        <w:tc>
          <w:tcPr>
            <w:tcW w:w="2126" w:type="dxa"/>
          </w:tcPr>
          <w:p w14:paraId="256B686A" w14:textId="77777777" w:rsidR="00507742" w:rsidRDefault="00507742" w:rsidP="00FC5B48">
            <w:pPr>
              <w:pStyle w:val="TableText"/>
              <w:jc w:val="center"/>
            </w:pPr>
            <w:r w:rsidRPr="0020310E">
              <w:t>3.7</w:t>
            </w:r>
          </w:p>
        </w:tc>
      </w:tr>
      <w:tr w:rsidR="00507742" w:rsidRPr="009A5E21" w14:paraId="09519018" w14:textId="77777777" w:rsidTr="00FC5B48">
        <w:trPr>
          <w:cantSplit/>
        </w:trPr>
        <w:tc>
          <w:tcPr>
            <w:tcW w:w="574" w:type="dxa"/>
            <w:shd w:val="clear" w:color="auto" w:fill="auto"/>
          </w:tcPr>
          <w:p w14:paraId="7CE2A3C3" w14:textId="77777777" w:rsidR="00507742" w:rsidRDefault="00E43DC0" w:rsidP="00FC5B48">
            <w:pPr>
              <w:pStyle w:val="TableText"/>
            </w:pPr>
            <w:r>
              <w:t>9</w:t>
            </w:r>
          </w:p>
        </w:tc>
        <w:tc>
          <w:tcPr>
            <w:tcW w:w="5380" w:type="dxa"/>
            <w:shd w:val="clear" w:color="auto" w:fill="auto"/>
          </w:tcPr>
          <w:p w14:paraId="1DB15A51" w14:textId="77777777" w:rsidR="00507742" w:rsidRDefault="00507742" w:rsidP="00FC5B48">
            <w:pPr>
              <w:pStyle w:val="TableText"/>
            </w:pPr>
            <w:r w:rsidRPr="0020310E">
              <w:t>Osteoarthritis</w:t>
            </w:r>
          </w:p>
        </w:tc>
        <w:tc>
          <w:tcPr>
            <w:tcW w:w="2126" w:type="dxa"/>
          </w:tcPr>
          <w:p w14:paraId="37E28D40" w14:textId="77777777" w:rsidR="00507742" w:rsidRDefault="00507742" w:rsidP="00FC5B48">
            <w:pPr>
              <w:pStyle w:val="TableText"/>
              <w:jc w:val="center"/>
            </w:pPr>
            <w:r w:rsidRPr="0020310E">
              <w:t>3.7</w:t>
            </w:r>
          </w:p>
        </w:tc>
      </w:tr>
      <w:tr w:rsidR="00507742" w:rsidRPr="009A5E21" w14:paraId="11CB7F70" w14:textId="77777777" w:rsidTr="00FC5B48">
        <w:trPr>
          <w:cantSplit/>
        </w:trPr>
        <w:tc>
          <w:tcPr>
            <w:tcW w:w="574" w:type="dxa"/>
            <w:shd w:val="clear" w:color="auto" w:fill="auto"/>
          </w:tcPr>
          <w:p w14:paraId="191192E8" w14:textId="77777777" w:rsidR="00507742" w:rsidRDefault="00507742" w:rsidP="00FC5B48">
            <w:pPr>
              <w:pStyle w:val="TableText"/>
            </w:pPr>
            <w:r>
              <w:t>10</w:t>
            </w:r>
          </w:p>
        </w:tc>
        <w:tc>
          <w:tcPr>
            <w:tcW w:w="5380" w:type="dxa"/>
            <w:shd w:val="clear" w:color="auto" w:fill="auto"/>
          </w:tcPr>
          <w:p w14:paraId="523D8BDF" w14:textId="77777777" w:rsidR="00507742" w:rsidRDefault="00507742" w:rsidP="00FC5B48">
            <w:pPr>
              <w:pStyle w:val="TableText"/>
            </w:pPr>
            <w:r w:rsidRPr="0020310E">
              <w:t>Diabetes</w:t>
            </w:r>
          </w:p>
        </w:tc>
        <w:tc>
          <w:tcPr>
            <w:tcW w:w="2126" w:type="dxa"/>
          </w:tcPr>
          <w:p w14:paraId="1E2BCFB1" w14:textId="77777777" w:rsidR="00507742" w:rsidRDefault="00507742" w:rsidP="00FC5B48">
            <w:pPr>
              <w:pStyle w:val="TableText"/>
              <w:jc w:val="center"/>
            </w:pPr>
            <w:r w:rsidRPr="0020310E">
              <w:t>3.3</w:t>
            </w:r>
          </w:p>
        </w:tc>
      </w:tr>
    </w:tbl>
    <w:p w14:paraId="46E49FC3" w14:textId="76AF870C" w:rsidR="00507742" w:rsidRDefault="009E77CA" w:rsidP="00396623">
      <w:pPr>
        <w:pStyle w:val="Source"/>
      </w:pPr>
      <w:r>
        <w:t>Source: Global Burden of Disease Collaborative Network (2020)</w:t>
      </w:r>
    </w:p>
    <w:p w14:paraId="4BD1DEE5" w14:textId="77777777" w:rsidR="00FC5B48" w:rsidRPr="00FC5B48" w:rsidRDefault="00FC5B48" w:rsidP="00396623"/>
    <w:p w14:paraId="4D60D5FA" w14:textId="77777777" w:rsidR="00507742" w:rsidRDefault="00507742" w:rsidP="00396623">
      <w:pPr>
        <w:pStyle w:val="Heading2"/>
      </w:pPr>
      <w:bookmarkStart w:id="73" w:name="_Toc57295673"/>
      <w:bookmarkStart w:id="74" w:name="_Ref57369804"/>
      <w:bookmarkStart w:id="75" w:name="_Toc64536241"/>
      <w:r w:rsidRPr="007D038A">
        <w:lastRenderedPageBreak/>
        <w:t>Mortality</w:t>
      </w:r>
      <w:bookmarkEnd w:id="73"/>
      <w:bookmarkEnd w:id="74"/>
      <w:bookmarkEnd w:id="75"/>
    </w:p>
    <w:p w14:paraId="16FDA90C" w14:textId="77777777" w:rsidR="002542AA" w:rsidRDefault="00507742" w:rsidP="00E43DC0">
      <w:r w:rsidRPr="00436002">
        <w:t xml:space="preserve">Mortality is the loss of life from all causes. </w:t>
      </w:r>
      <w:r>
        <w:t>T</w:t>
      </w:r>
      <w:r w:rsidRPr="00436002">
        <w:t>he Global Burden of Disease Study</w:t>
      </w:r>
      <w:r>
        <w:t xml:space="preserve"> measures</w:t>
      </w:r>
      <w:r w:rsidRPr="00436002">
        <w:t xml:space="preserve"> premature mortality in years of life lost (YLL). </w:t>
      </w:r>
      <w:r>
        <w:t>A death that occurs at a young age has a higher weighting than a death that occurs in old age.</w:t>
      </w:r>
    </w:p>
    <w:p w14:paraId="1C4AE0F1" w14:textId="77777777" w:rsidR="00507742" w:rsidRDefault="00507742" w:rsidP="00E43DC0"/>
    <w:p w14:paraId="7FA43E23" w14:textId="77777777" w:rsidR="002542AA" w:rsidRDefault="00507742" w:rsidP="00E43DC0">
      <w:r w:rsidRPr="00436002">
        <w:t>In 2019, New Zealand had an age-</w:t>
      </w:r>
      <w:r w:rsidRPr="002B3ABD">
        <w:t xml:space="preserve">standardised </w:t>
      </w:r>
      <w:r>
        <w:t>premature mortality rate of</w:t>
      </w:r>
      <w:r w:rsidRPr="002B3ABD">
        <w:t xml:space="preserve"> </w:t>
      </w:r>
      <w:r>
        <w:t>9,122</w:t>
      </w:r>
      <w:r w:rsidRPr="002B3ABD">
        <w:t xml:space="preserve"> </w:t>
      </w:r>
      <w:r>
        <w:t>YLLs</w:t>
      </w:r>
      <w:r w:rsidRPr="002B3ABD">
        <w:t xml:space="preserve"> per 100,000 population (</w:t>
      </w:r>
      <w:r>
        <w:t>Global Burden of Disease Collaborative Network 2020</w:t>
      </w:r>
      <w:r w:rsidRPr="002B3ABD">
        <w:t xml:space="preserve">). </w:t>
      </w:r>
      <w:r w:rsidRPr="00210E7C">
        <w:t xml:space="preserve">This rate has </w:t>
      </w:r>
      <w:r>
        <w:t>declined substantially</w:t>
      </w:r>
      <w:r w:rsidRPr="00210E7C">
        <w:t xml:space="preserve"> from 1990</w:t>
      </w:r>
      <w:r>
        <w:t>, when it was 16,667 per 100,000</w:t>
      </w:r>
      <w:r w:rsidRPr="00210E7C">
        <w:t>.</w:t>
      </w:r>
    </w:p>
    <w:p w14:paraId="5AF0B495" w14:textId="77777777" w:rsidR="00507742" w:rsidRDefault="00507742" w:rsidP="00E43DC0"/>
    <w:p w14:paraId="5F4C994F" w14:textId="5D204EDE" w:rsidR="002542AA" w:rsidRDefault="00E43DC0" w:rsidP="00E43DC0">
      <w:r>
        <w:fldChar w:fldCharType="begin"/>
      </w:r>
      <w:r>
        <w:instrText xml:space="preserve"> REF _Ref57369948 \h </w:instrText>
      </w:r>
      <w:r>
        <w:fldChar w:fldCharType="separate"/>
      </w:r>
      <w:r w:rsidR="003F39AB">
        <w:t>Table </w:t>
      </w:r>
      <w:r w:rsidR="003F39AB">
        <w:rPr>
          <w:noProof/>
        </w:rPr>
        <w:t>8</w:t>
      </w:r>
      <w:r>
        <w:fldChar w:fldCharType="end"/>
      </w:r>
      <w:r w:rsidR="00507742">
        <w:t xml:space="preserve"> shows the </w:t>
      </w:r>
      <w:r w:rsidR="00507742" w:rsidRPr="00B64087">
        <w:t>top 10 specific causes</w:t>
      </w:r>
      <w:r w:rsidR="00507742">
        <w:t xml:space="preserve"> of premature mortality in 2019, which accounted for </w:t>
      </w:r>
      <w:r w:rsidR="006C7F66">
        <w:t xml:space="preserve">53 </w:t>
      </w:r>
      <w:r w:rsidR="00507742">
        <w:t>percent of total YLLs. Since 1990, the age-standardised YLL rate declined by 30 percent or more for eight of these conditions. The largest declines were for ischaemic heart disease (falling by 66 percent) and stroke (57 percent). Over this period the age-standardised YLL rate increased for chronic kidney disease (by 23</w:t>
      </w:r>
      <w:r>
        <w:t> </w:t>
      </w:r>
      <w:r w:rsidR="00507742">
        <w:t>percent).</w:t>
      </w:r>
    </w:p>
    <w:p w14:paraId="18A25C18" w14:textId="77777777" w:rsidR="00507742" w:rsidRDefault="00507742" w:rsidP="00E43DC0">
      <w:pPr>
        <w:rPr>
          <w:highlight w:val="yellow"/>
        </w:rPr>
      </w:pPr>
    </w:p>
    <w:p w14:paraId="27B3C9E1" w14:textId="020AF816" w:rsidR="00507742" w:rsidRPr="009A5E21" w:rsidRDefault="00E43DC0" w:rsidP="00E43DC0">
      <w:pPr>
        <w:pStyle w:val="Table"/>
      </w:pPr>
      <w:bookmarkStart w:id="76" w:name="_Ref57369948"/>
      <w:bookmarkStart w:id="77" w:name="_Toc57273372"/>
      <w:bookmarkStart w:id="78" w:name="_Toc64536290"/>
      <w:r>
        <w:t>Table </w:t>
      </w:r>
      <w:fldSimple w:instr=" SEQ Table \* ARABIC ">
        <w:r w:rsidR="003F39AB">
          <w:rPr>
            <w:noProof/>
          </w:rPr>
          <w:t>8</w:t>
        </w:r>
      </w:fldSimple>
      <w:bookmarkEnd w:id="76"/>
      <w:r w:rsidR="00507742" w:rsidRPr="009A5E21">
        <w:t xml:space="preserve">: Leading specific causes of </w:t>
      </w:r>
      <w:r w:rsidR="00507742">
        <w:t>premature mortality</w:t>
      </w:r>
      <w:r w:rsidR="00507742" w:rsidRPr="009A5E21">
        <w:t xml:space="preserve">, </w:t>
      </w:r>
      <w:r w:rsidR="00507742">
        <w:t>2019</w:t>
      </w:r>
      <w:bookmarkEnd w:id="77"/>
      <w:bookmarkEnd w:id="78"/>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491"/>
        <w:gridCol w:w="4981"/>
        <w:gridCol w:w="2608"/>
      </w:tblGrid>
      <w:tr w:rsidR="00507742" w:rsidRPr="009A5E21" w14:paraId="44B0589A" w14:textId="77777777" w:rsidTr="00E43DC0">
        <w:trPr>
          <w:cantSplit/>
        </w:trPr>
        <w:tc>
          <w:tcPr>
            <w:tcW w:w="491" w:type="dxa"/>
            <w:tcBorders>
              <w:top w:val="nil"/>
              <w:bottom w:val="nil"/>
            </w:tcBorders>
            <w:shd w:val="clear" w:color="auto" w:fill="D9D9D9" w:themeFill="background1" w:themeFillShade="D9"/>
          </w:tcPr>
          <w:p w14:paraId="37548951" w14:textId="77777777" w:rsidR="00507742" w:rsidRPr="009A5E21" w:rsidRDefault="00507742" w:rsidP="00E0784F">
            <w:pPr>
              <w:pStyle w:val="TableText"/>
              <w:keepNext/>
              <w:spacing w:before="50" w:after="50"/>
              <w:rPr>
                <w:b/>
              </w:rPr>
            </w:pPr>
          </w:p>
        </w:tc>
        <w:tc>
          <w:tcPr>
            <w:tcW w:w="4981" w:type="dxa"/>
            <w:tcBorders>
              <w:top w:val="nil"/>
              <w:bottom w:val="nil"/>
            </w:tcBorders>
            <w:shd w:val="clear" w:color="auto" w:fill="D9D9D9" w:themeFill="background1" w:themeFillShade="D9"/>
          </w:tcPr>
          <w:p w14:paraId="4124B454" w14:textId="77777777" w:rsidR="00507742" w:rsidRPr="009A5E21" w:rsidRDefault="00507742" w:rsidP="00E0784F">
            <w:pPr>
              <w:pStyle w:val="TableText"/>
              <w:keepNext/>
              <w:spacing w:before="50" w:after="50"/>
              <w:rPr>
                <w:b/>
              </w:rPr>
            </w:pPr>
            <w:r w:rsidRPr="009A5E21">
              <w:rPr>
                <w:b/>
              </w:rPr>
              <w:t>Cause</w:t>
            </w:r>
          </w:p>
        </w:tc>
        <w:tc>
          <w:tcPr>
            <w:tcW w:w="2608" w:type="dxa"/>
            <w:tcBorders>
              <w:top w:val="nil"/>
              <w:bottom w:val="nil"/>
            </w:tcBorders>
            <w:shd w:val="clear" w:color="auto" w:fill="D9D9D9" w:themeFill="background1" w:themeFillShade="D9"/>
          </w:tcPr>
          <w:p w14:paraId="3826D46E" w14:textId="77777777" w:rsidR="00507742" w:rsidRPr="009A5E21" w:rsidRDefault="00507742" w:rsidP="00E0784F">
            <w:pPr>
              <w:pStyle w:val="TableText"/>
              <w:keepNext/>
              <w:spacing w:before="50" w:after="50"/>
              <w:jc w:val="center"/>
              <w:rPr>
                <w:b/>
              </w:rPr>
            </w:pPr>
            <w:r w:rsidRPr="009A5E21">
              <w:rPr>
                <w:b/>
              </w:rPr>
              <w:t>Percent</w:t>
            </w:r>
            <w:r>
              <w:rPr>
                <w:b/>
              </w:rPr>
              <w:t xml:space="preserve"> of total YLLs</w:t>
            </w:r>
          </w:p>
        </w:tc>
      </w:tr>
      <w:tr w:rsidR="00507742" w:rsidRPr="009A5E21" w14:paraId="1681A429" w14:textId="77777777" w:rsidTr="00E43DC0">
        <w:trPr>
          <w:cantSplit/>
        </w:trPr>
        <w:tc>
          <w:tcPr>
            <w:tcW w:w="491" w:type="dxa"/>
            <w:tcBorders>
              <w:top w:val="nil"/>
            </w:tcBorders>
            <w:shd w:val="clear" w:color="auto" w:fill="auto"/>
          </w:tcPr>
          <w:p w14:paraId="3C43E137" w14:textId="77777777" w:rsidR="00507742" w:rsidRPr="009A5E21" w:rsidRDefault="00507742" w:rsidP="00E0784F">
            <w:pPr>
              <w:pStyle w:val="TableText"/>
              <w:keepNext/>
              <w:spacing w:before="50" w:after="50"/>
            </w:pPr>
            <w:r w:rsidRPr="009A5E21">
              <w:t>1</w:t>
            </w:r>
          </w:p>
        </w:tc>
        <w:tc>
          <w:tcPr>
            <w:tcW w:w="4981" w:type="dxa"/>
            <w:tcBorders>
              <w:top w:val="nil"/>
            </w:tcBorders>
            <w:shd w:val="clear" w:color="auto" w:fill="auto"/>
          </w:tcPr>
          <w:p w14:paraId="1323C995" w14:textId="77777777" w:rsidR="00507742" w:rsidRPr="009A5E21" w:rsidRDefault="00507742" w:rsidP="00E0784F">
            <w:pPr>
              <w:pStyle w:val="TableText"/>
              <w:keepNext/>
              <w:spacing w:before="50" w:after="50"/>
            </w:pPr>
            <w:r w:rsidRPr="0097335E">
              <w:t>Ischaemic heart disease</w:t>
            </w:r>
          </w:p>
        </w:tc>
        <w:tc>
          <w:tcPr>
            <w:tcW w:w="2608" w:type="dxa"/>
            <w:tcBorders>
              <w:top w:val="nil"/>
            </w:tcBorders>
          </w:tcPr>
          <w:p w14:paraId="5EF9215C" w14:textId="77777777" w:rsidR="00507742" w:rsidRDefault="00507742" w:rsidP="00E0784F">
            <w:pPr>
              <w:pStyle w:val="TableText"/>
              <w:keepNext/>
              <w:tabs>
                <w:tab w:val="decimal" w:pos="398"/>
              </w:tabs>
              <w:spacing w:before="50" w:after="50"/>
              <w:jc w:val="center"/>
            </w:pPr>
            <w:r w:rsidRPr="0097335E">
              <w:t>15.0</w:t>
            </w:r>
          </w:p>
        </w:tc>
      </w:tr>
      <w:tr w:rsidR="00507742" w:rsidRPr="009A5E21" w14:paraId="722ED995" w14:textId="77777777" w:rsidTr="00E43DC0">
        <w:trPr>
          <w:cantSplit/>
        </w:trPr>
        <w:tc>
          <w:tcPr>
            <w:tcW w:w="491" w:type="dxa"/>
            <w:shd w:val="clear" w:color="auto" w:fill="auto"/>
          </w:tcPr>
          <w:p w14:paraId="0683754A" w14:textId="77777777" w:rsidR="00507742" w:rsidRPr="009A5E21" w:rsidRDefault="00507742" w:rsidP="00E0784F">
            <w:pPr>
              <w:pStyle w:val="TableText"/>
              <w:keepNext/>
              <w:spacing w:before="50" w:after="50"/>
            </w:pPr>
            <w:r w:rsidRPr="009A5E21">
              <w:t>2</w:t>
            </w:r>
          </w:p>
        </w:tc>
        <w:tc>
          <w:tcPr>
            <w:tcW w:w="4981" w:type="dxa"/>
            <w:shd w:val="clear" w:color="auto" w:fill="auto"/>
          </w:tcPr>
          <w:p w14:paraId="7C375ACA" w14:textId="77777777" w:rsidR="00507742" w:rsidRPr="009A5E21" w:rsidRDefault="00507742" w:rsidP="00E0784F">
            <w:pPr>
              <w:pStyle w:val="TableText"/>
              <w:keepNext/>
              <w:spacing w:before="50" w:after="50"/>
            </w:pPr>
            <w:r w:rsidRPr="0097335E">
              <w:t>Lung cancer</w:t>
            </w:r>
          </w:p>
        </w:tc>
        <w:tc>
          <w:tcPr>
            <w:tcW w:w="2608" w:type="dxa"/>
          </w:tcPr>
          <w:p w14:paraId="72A2FF73" w14:textId="77777777" w:rsidR="00507742" w:rsidRDefault="00507742" w:rsidP="00E0784F">
            <w:pPr>
              <w:pStyle w:val="TableText"/>
              <w:keepNext/>
              <w:tabs>
                <w:tab w:val="decimal" w:pos="398"/>
              </w:tabs>
              <w:spacing w:before="50" w:after="50"/>
              <w:jc w:val="center"/>
            </w:pPr>
            <w:r w:rsidRPr="0097335E">
              <w:t>6.8</w:t>
            </w:r>
          </w:p>
        </w:tc>
      </w:tr>
      <w:tr w:rsidR="00507742" w:rsidRPr="009A5E21" w14:paraId="2D857E25" w14:textId="77777777" w:rsidTr="00E43DC0">
        <w:trPr>
          <w:cantSplit/>
        </w:trPr>
        <w:tc>
          <w:tcPr>
            <w:tcW w:w="491" w:type="dxa"/>
            <w:shd w:val="clear" w:color="auto" w:fill="auto"/>
          </w:tcPr>
          <w:p w14:paraId="0A5E1E3F" w14:textId="77777777" w:rsidR="00507742" w:rsidRPr="009A5E21" w:rsidRDefault="00507742" w:rsidP="00E0784F">
            <w:pPr>
              <w:pStyle w:val="TableText"/>
              <w:keepNext/>
              <w:spacing w:before="50" w:after="50"/>
            </w:pPr>
            <w:r>
              <w:t>3</w:t>
            </w:r>
          </w:p>
        </w:tc>
        <w:tc>
          <w:tcPr>
            <w:tcW w:w="4981" w:type="dxa"/>
            <w:shd w:val="clear" w:color="auto" w:fill="auto"/>
          </w:tcPr>
          <w:p w14:paraId="57BB06C4" w14:textId="77777777" w:rsidR="00507742" w:rsidRPr="009A5E21" w:rsidRDefault="00507742" w:rsidP="00E0784F">
            <w:pPr>
              <w:pStyle w:val="TableText"/>
              <w:keepNext/>
              <w:spacing w:before="50" w:after="50"/>
            </w:pPr>
            <w:r w:rsidRPr="0097335E">
              <w:t>Stroke</w:t>
            </w:r>
          </w:p>
        </w:tc>
        <w:tc>
          <w:tcPr>
            <w:tcW w:w="2608" w:type="dxa"/>
          </w:tcPr>
          <w:p w14:paraId="3CFF69AA" w14:textId="77777777" w:rsidR="00507742" w:rsidRDefault="00507742" w:rsidP="00E0784F">
            <w:pPr>
              <w:pStyle w:val="TableText"/>
              <w:keepNext/>
              <w:tabs>
                <w:tab w:val="decimal" w:pos="398"/>
              </w:tabs>
              <w:spacing w:before="50" w:after="50"/>
              <w:jc w:val="center"/>
            </w:pPr>
            <w:r w:rsidRPr="0097335E">
              <w:t>5.9</w:t>
            </w:r>
          </w:p>
        </w:tc>
      </w:tr>
      <w:tr w:rsidR="00507742" w:rsidRPr="009A5E21" w14:paraId="1FF273DD" w14:textId="77777777" w:rsidTr="00E43DC0">
        <w:trPr>
          <w:cantSplit/>
        </w:trPr>
        <w:tc>
          <w:tcPr>
            <w:tcW w:w="491" w:type="dxa"/>
            <w:shd w:val="clear" w:color="auto" w:fill="auto"/>
          </w:tcPr>
          <w:p w14:paraId="75450DAE" w14:textId="77777777" w:rsidR="00507742" w:rsidRDefault="00507742" w:rsidP="00E0784F">
            <w:pPr>
              <w:pStyle w:val="TableText"/>
              <w:keepNext/>
              <w:spacing w:before="50" w:after="50"/>
            </w:pPr>
            <w:r>
              <w:t>4</w:t>
            </w:r>
          </w:p>
        </w:tc>
        <w:tc>
          <w:tcPr>
            <w:tcW w:w="4981" w:type="dxa"/>
            <w:shd w:val="clear" w:color="auto" w:fill="auto"/>
          </w:tcPr>
          <w:p w14:paraId="752ACDE9" w14:textId="77777777" w:rsidR="00507742" w:rsidRDefault="00507742" w:rsidP="00E0784F">
            <w:pPr>
              <w:pStyle w:val="TableText"/>
              <w:keepNext/>
              <w:spacing w:before="50" w:after="50"/>
            </w:pPr>
            <w:r w:rsidRPr="008A3BAF">
              <w:t>Chronic obstructive pulmonary disease</w:t>
            </w:r>
          </w:p>
        </w:tc>
        <w:tc>
          <w:tcPr>
            <w:tcW w:w="2608" w:type="dxa"/>
          </w:tcPr>
          <w:p w14:paraId="062A4DAC" w14:textId="77777777" w:rsidR="00507742" w:rsidRDefault="00507742" w:rsidP="00E0784F">
            <w:pPr>
              <w:pStyle w:val="TableText"/>
              <w:keepNext/>
              <w:tabs>
                <w:tab w:val="decimal" w:pos="398"/>
              </w:tabs>
              <w:spacing w:before="50" w:after="50"/>
              <w:jc w:val="center"/>
            </w:pPr>
            <w:r w:rsidRPr="0097335E">
              <w:t>5.1</w:t>
            </w:r>
          </w:p>
        </w:tc>
      </w:tr>
      <w:tr w:rsidR="00507742" w:rsidRPr="009A5E21" w14:paraId="7ACF3BF5" w14:textId="77777777" w:rsidTr="00E43DC0">
        <w:trPr>
          <w:cantSplit/>
        </w:trPr>
        <w:tc>
          <w:tcPr>
            <w:tcW w:w="491" w:type="dxa"/>
            <w:shd w:val="clear" w:color="auto" w:fill="auto"/>
          </w:tcPr>
          <w:p w14:paraId="3353977D" w14:textId="77777777" w:rsidR="00507742" w:rsidRDefault="00507742" w:rsidP="00E0784F">
            <w:pPr>
              <w:pStyle w:val="TableText"/>
              <w:keepNext/>
              <w:spacing w:before="50" w:after="50"/>
            </w:pPr>
            <w:r>
              <w:t>5</w:t>
            </w:r>
          </w:p>
        </w:tc>
        <w:tc>
          <w:tcPr>
            <w:tcW w:w="4981" w:type="dxa"/>
            <w:shd w:val="clear" w:color="auto" w:fill="auto"/>
          </w:tcPr>
          <w:p w14:paraId="28E764B6" w14:textId="77777777" w:rsidR="00507742" w:rsidRDefault="00507742" w:rsidP="00E0784F">
            <w:pPr>
              <w:pStyle w:val="TableText"/>
              <w:keepNext/>
              <w:spacing w:before="50" w:after="50"/>
            </w:pPr>
            <w:r w:rsidRPr="0097335E">
              <w:t>Colorectal cancer</w:t>
            </w:r>
          </w:p>
        </w:tc>
        <w:tc>
          <w:tcPr>
            <w:tcW w:w="2608" w:type="dxa"/>
          </w:tcPr>
          <w:p w14:paraId="500F6CD6" w14:textId="77777777" w:rsidR="00507742" w:rsidRDefault="00507742" w:rsidP="00E0784F">
            <w:pPr>
              <w:pStyle w:val="TableText"/>
              <w:keepNext/>
              <w:tabs>
                <w:tab w:val="decimal" w:pos="398"/>
              </w:tabs>
              <w:spacing w:before="50" w:after="50"/>
              <w:jc w:val="center"/>
            </w:pPr>
            <w:r w:rsidRPr="0097335E">
              <w:t>4.9</w:t>
            </w:r>
          </w:p>
        </w:tc>
      </w:tr>
      <w:tr w:rsidR="00507742" w:rsidRPr="009A5E21" w14:paraId="58F51A5C" w14:textId="77777777" w:rsidTr="00E43DC0">
        <w:trPr>
          <w:cantSplit/>
        </w:trPr>
        <w:tc>
          <w:tcPr>
            <w:tcW w:w="491" w:type="dxa"/>
            <w:shd w:val="clear" w:color="auto" w:fill="auto"/>
          </w:tcPr>
          <w:p w14:paraId="7B3C2D9F" w14:textId="77777777" w:rsidR="00507742" w:rsidRDefault="00507742" w:rsidP="00E0784F">
            <w:pPr>
              <w:pStyle w:val="TableText"/>
              <w:keepNext/>
              <w:spacing w:before="50" w:after="50"/>
            </w:pPr>
            <w:r>
              <w:t>6</w:t>
            </w:r>
          </w:p>
        </w:tc>
        <w:tc>
          <w:tcPr>
            <w:tcW w:w="4981" w:type="dxa"/>
            <w:shd w:val="clear" w:color="auto" w:fill="auto"/>
          </w:tcPr>
          <w:p w14:paraId="4EAF2446" w14:textId="77777777" w:rsidR="00507742" w:rsidRDefault="00507742" w:rsidP="00E0784F">
            <w:pPr>
              <w:pStyle w:val="TableText"/>
              <w:keepNext/>
              <w:spacing w:before="50" w:after="50"/>
            </w:pPr>
            <w:r w:rsidRPr="0097335E">
              <w:t>Self-harm</w:t>
            </w:r>
          </w:p>
        </w:tc>
        <w:tc>
          <w:tcPr>
            <w:tcW w:w="2608" w:type="dxa"/>
          </w:tcPr>
          <w:p w14:paraId="300F607B" w14:textId="77777777" w:rsidR="00507742" w:rsidRDefault="00507742" w:rsidP="00E0784F">
            <w:pPr>
              <w:pStyle w:val="TableText"/>
              <w:keepNext/>
              <w:tabs>
                <w:tab w:val="decimal" w:pos="398"/>
              </w:tabs>
              <w:spacing w:before="50" w:after="50"/>
              <w:jc w:val="center"/>
            </w:pPr>
            <w:r w:rsidRPr="0097335E">
              <w:t>3.9</w:t>
            </w:r>
          </w:p>
        </w:tc>
      </w:tr>
      <w:tr w:rsidR="00507742" w:rsidRPr="009A5E21" w14:paraId="62C94D5B" w14:textId="77777777" w:rsidTr="00E43DC0">
        <w:trPr>
          <w:cantSplit/>
        </w:trPr>
        <w:tc>
          <w:tcPr>
            <w:tcW w:w="491" w:type="dxa"/>
            <w:shd w:val="clear" w:color="auto" w:fill="auto"/>
          </w:tcPr>
          <w:p w14:paraId="4E0126CB" w14:textId="77777777" w:rsidR="00507742" w:rsidRDefault="00507742" w:rsidP="00E0784F">
            <w:pPr>
              <w:pStyle w:val="TableText"/>
              <w:keepNext/>
              <w:spacing w:before="50" w:after="50"/>
            </w:pPr>
            <w:r>
              <w:t>7</w:t>
            </w:r>
          </w:p>
        </w:tc>
        <w:tc>
          <w:tcPr>
            <w:tcW w:w="4981" w:type="dxa"/>
            <w:shd w:val="clear" w:color="auto" w:fill="auto"/>
          </w:tcPr>
          <w:p w14:paraId="1D3A1EC0" w14:textId="77777777" w:rsidR="00507742" w:rsidRDefault="00507742" w:rsidP="00E0784F">
            <w:pPr>
              <w:pStyle w:val="TableText"/>
              <w:keepNext/>
              <w:spacing w:before="50" w:after="50"/>
            </w:pPr>
            <w:r w:rsidRPr="0097335E">
              <w:t>Alzheimer</w:t>
            </w:r>
            <w:r w:rsidR="002542AA">
              <w:t>’</w:t>
            </w:r>
            <w:r w:rsidRPr="0097335E">
              <w:t>s disease</w:t>
            </w:r>
          </w:p>
        </w:tc>
        <w:tc>
          <w:tcPr>
            <w:tcW w:w="2608" w:type="dxa"/>
          </w:tcPr>
          <w:p w14:paraId="59BA7FE5" w14:textId="77777777" w:rsidR="00507742" w:rsidRDefault="00507742" w:rsidP="00E0784F">
            <w:pPr>
              <w:pStyle w:val="TableText"/>
              <w:keepNext/>
              <w:tabs>
                <w:tab w:val="decimal" w:pos="398"/>
              </w:tabs>
              <w:spacing w:before="50" w:after="50"/>
              <w:jc w:val="center"/>
            </w:pPr>
            <w:r w:rsidRPr="0097335E">
              <w:t>3.4</w:t>
            </w:r>
          </w:p>
        </w:tc>
      </w:tr>
      <w:tr w:rsidR="00507742" w:rsidRPr="009A5E21" w14:paraId="0E6AA8E9" w14:textId="77777777" w:rsidTr="00E43DC0">
        <w:trPr>
          <w:cantSplit/>
        </w:trPr>
        <w:tc>
          <w:tcPr>
            <w:tcW w:w="491" w:type="dxa"/>
            <w:shd w:val="clear" w:color="auto" w:fill="auto"/>
          </w:tcPr>
          <w:p w14:paraId="5FA97BBE" w14:textId="77777777" w:rsidR="00507742" w:rsidRDefault="00507742" w:rsidP="00E0784F">
            <w:pPr>
              <w:pStyle w:val="TableText"/>
              <w:keepNext/>
              <w:spacing w:before="50" w:after="50"/>
            </w:pPr>
            <w:r>
              <w:t>8</w:t>
            </w:r>
          </w:p>
        </w:tc>
        <w:tc>
          <w:tcPr>
            <w:tcW w:w="4981" w:type="dxa"/>
            <w:shd w:val="clear" w:color="auto" w:fill="auto"/>
          </w:tcPr>
          <w:p w14:paraId="03FD0025" w14:textId="77777777" w:rsidR="00507742" w:rsidRDefault="00507742" w:rsidP="00E0784F">
            <w:pPr>
              <w:pStyle w:val="TableText"/>
              <w:keepNext/>
              <w:spacing w:before="50" w:after="50"/>
            </w:pPr>
            <w:r w:rsidRPr="0097335E">
              <w:t>Breast cancer</w:t>
            </w:r>
          </w:p>
        </w:tc>
        <w:tc>
          <w:tcPr>
            <w:tcW w:w="2608" w:type="dxa"/>
          </w:tcPr>
          <w:p w14:paraId="1BFB2FEF" w14:textId="77777777" w:rsidR="00507742" w:rsidRDefault="00507742" w:rsidP="00E0784F">
            <w:pPr>
              <w:pStyle w:val="TableText"/>
              <w:keepNext/>
              <w:tabs>
                <w:tab w:val="decimal" w:pos="398"/>
              </w:tabs>
              <w:spacing w:before="50" w:after="50"/>
              <w:jc w:val="center"/>
            </w:pPr>
            <w:r w:rsidRPr="0097335E">
              <w:t>3.0</w:t>
            </w:r>
          </w:p>
        </w:tc>
      </w:tr>
      <w:tr w:rsidR="00507742" w:rsidRPr="009A5E21" w14:paraId="25FF835A" w14:textId="77777777" w:rsidTr="00E43DC0">
        <w:trPr>
          <w:cantSplit/>
        </w:trPr>
        <w:tc>
          <w:tcPr>
            <w:tcW w:w="491" w:type="dxa"/>
            <w:shd w:val="clear" w:color="auto" w:fill="auto"/>
          </w:tcPr>
          <w:p w14:paraId="2CDEB841" w14:textId="77777777" w:rsidR="00507742" w:rsidRDefault="00E43DC0" w:rsidP="00E0784F">
            <w:pPr>
              <w:pStyle w:val="TableText"/>
              <w:spacing w:before="50" w:after="50"/>
            </w:pPr>
            <w:r>
              <w:t>9</w:t>
            </w:r>
          </w:p>
        </w:tc>
        <w:tc>
          <w:tcPr>
            <w:tcW w:w="4981" w:type="dxa"/>
            <w:shd w:val="clear" w:color="auto" w:fill="auto"/>
          </w:tcPr>
          <w:p w14:paraId="774F65A2" w14:textId="77777777" w:rsidR="00507742" w:rsidRDefault="00507742" w:rsidP="00E0784F">
            <w:pPr>
              <w:pStyle w:val="TableText"/>
              <w:spacing w:before="50" w:after="50"/>
            </w:pPr>
            <w:r w:rsidRPr="0097335E">
              <w:t>Road injuries</w:t>
            </w:r>
          </w:p>
        </w:tc>
        <w:tc>
          <w:tcPr>
            <w:tcW w:w="2608" w:type="dxa"/>
          </w:tcPr>
          <w:p w14:paraId="3BFAF7C1" w14:textId="77777777" w:rsidR="00507742" w:rsidRDefault="00507742" w:rsidP="00E0784F">
            <w:pPr>
              <w:pStyle w:val="TableText"/>
              <w:tabs>
                <w:tab w:val="decimal" w:pos="398"/>
              </w:tabs>
              <w:spacing w:before="50" w:after="50"/>
              <w:jc w:val="center"/>
            </w:pPr>
            <w:r w:rsidRPr="0097335E">
              <w:t>2.7</w:t>
            </w:r>
          </w:p>
        </w:tc>
      </w:tr>
      <w:tr w:rsidR="00507742" w:rsidRPr="009A5E21" w14:paraId="3F69ADB6" w14:textId="77777777" w:rsidTr="00E43DC0">
        <w:trPr>
          <w:cantSplit/>
        </w:trPr>
        <w:tc>
          <w:tcPr>
            <w:tcW w:w="491" w:type="dxa"/>
            <w:shd w:val="clear" w:color="auto" w:fill="auto"/>
          </w:tcPr>
          <w:p w14:paraId="565EDE2C" w14:textId="77777777" w:rsidR="00507742" w:rsidRDefault="00507742" w:rsidP="00E0784F">
            <w:pPr>
              <w:pStyle w:val="TableText"/>
              <w:spacing w:before="50" w:after="50"/>
            </w:pPr>
            <w:r>
              <w:t>10</w:t>
            </w:r>
          </w:p>
        </w:tc>
        <w:tc>
          <w:tcPr>
            <w:tcW w:w="4981" w:type="dxa"/>
            <w:shd w:val="clear" w:color="auto" w:fill="auto"/>
          </w:tcPr>
          <w:p w14:paraId="107E2CF5" w14:textId="77777777" w:rsidR="00507742" w:rsidRDefault="00507742" w:rsidP="00E0784F">
            <w:pPr>
              <w:pStyle w:val="TableText"/>
              <w:spacing w:before="50" w:after="50"/>
            </w:pPr>
            <w:r w:rsidRPr="0097335E">
              <w:t>Chronic kidney disease</w:t>
            </w:r>
          </w:p>
        </w:tc>
        <w:tc>
          <w:tcPr>
            <w:tcW w:w="2608" w:type="dxa"/>
          </w:tcPr>
          <w:p w14:paraId="538F66DA" w14:textId="77777777" w:rsidR="00507742" w:rsidRDefault="00507742" w:rsidP="00E0784F">
            <w:pPr>
              <w:pStyle w:val="TableText"/>
              <w:tabs>
                <w:tab w:val="decimal" w:pos="398"/>
              </w:tabs>
              <w:spacing w:before="50" w:after="50"/>
              <w:jc w:val="center"/>
            </w:pPr>
            <w:r w:rsidRPr="0097335E">
              <w:t>2.3</w:t>
            </w:r>
          </w:p>
        </w:tc>
      </w:tr>
    </w:tbl>
    <w:p w14:paraId="5439E3E7" w14:textId="02F64E99" w:rsidR="00507742" w:rsidRDefault="009E77CA" w:rsidP="00A31BA5">
      <w:pPr>
        <w:pStyle w:val="Source"/>
        <w:spacing w:before="60"/>
      </w:pPr>
      <w:r>
        <w:t>Source: Global Burden of Disease Collaborative Network (2020)</w:t>
      </w:r>
    </w:p>
    <w:p w14:paraId="4BE8E504" w14:textId="77777777" w:rsidR="00507742" w:rsidRDefault="00507742" w:rsidP="00E43DC0">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54F97768" w14:textId="77777777" w:rsidTr="00572CF6">
        <w:trPr>
          <w:cantSplit/>
        </w:trPr>
        <w:tc>
          <w:tcPr>
            <w:tcW w:w="7973" w:type="dxa"/>
          </w:tcPr>
          <w:p w14:paraId="40A6AAF6" w14:textId="77777777" w:rsidR="00507742" w:rsidRPr="00933A6B" w:rsidRDefault="00507742" w:rsidP="00885AE8">
            <w:pPr>
              <w:pStyle w:val="TableText"/>
              <w:keepNext/>
              <w:rPr>
                <w:color w:val="0A6AB4"/>
                <w:sz w:val="24"/>
                <w:szCs w:val="24"/>
              </w:rPr>
            </w:pPr>
            <w:r w:rsidRPr="008023F6">
              <w:rPr>
                <w:color w:val="0A6AB4"/>
                <w:sz w:val="24"/>
                <w:szCs w:val="24"/>
              </w:rPr>
              <w:lastRenderedPageBreak/>
              <w:t xml:space="preserve">Our </w:t>
            </w:r>
            <w:r>
              <w:rPr>
                <w:color w:val="0A6AB4"/>
                <w:sz w:val="24"/>
                <w:szCs w:val="24"/>
              </w:rPr>
              <w:t xml:space="preserve">total </w:t>
            </w:r>
            <w:r w:rsidRPr="008023F6">
              <w:rPr>
                <w:color w:val="0A6AB4"/>
                <w:sz w:val="24"/>
                <w:szCs w:val="24"/>
              </w:rPr>
              <w:t xml:space="preserve">mortality rate has declined </w:t>
            </w:r>
            <w:r>
              <w:rPr>
                <w:color w:val="0A6AB4"/>
                <w:sz w:val="24"/>
                <w:szCs w:val="24"/>
              </w:rPr>
              <w:t>over time but the rate of decline has slowed in recent years for both Māori and non-Māori</w:t>
            </w:r>
          </w:p>
        </w:tc>
      </w:tr>
    </w:tbl>
    <w:p w14:paraId="0166BB09" w14:textId="77777777" w:rsidR="00507742" w:rsidRDefault="00507742" w:rsidP="00885AE8">
      <w:pPr>
        <w:keepNext/>
      </w:pPr>
    </w:p>
    <w:p w14:paraId="5D21EB1C" w14:textId="3541F158" w:rsidR="002542AA" w:rsidRDefault="00507742" w:rsidP="00885AE8">
      <w:pPr>
        <w:keepNext/>
      </w:pPr>
      <w:r w:rsidRPr="007D038A">
        <w:t xml:space="preserve">In </w:t>
      </w:r>
      <w:r>
        <w:t>2017</w:t>
      </w:r>
      <w:r w:rsidRPr="007D038A">
        <w:t xml:space="preserve"> there were 3</w:t>
      </w:r>
      <w:r>
        <w:t>3</w:t>
      </w:r>
      <w:r w:rsidRPr="007D038A">
        <w:t>,</w:t>
      </w:r>
      <w:r>
        <w:t>599</w:t>
      </w:r>
      <w:r w:rsidRPr="007D038A">
        <w:t xml:space="preserve"> registered deaths</w:t>
      </w:r>
      <w:r>
        <w:t xml:space="preserve"> in New Zealand</w:t>
      </w:r>
      <w:r w:rsidRPr="007D038A">
        <w:t>, equating to an age</w:t>
      </w:r>
      <w:r w:rsidR="00E0784F">
        <w:noBreakHyphen/>
      </w:r>
      <w:r w:rsidRPr="007D038A">
        <w:t xml:space="preserve">standardised </w:t>
      </w:r>
      <w:r>
        <w:t xml:space="preserve">mortality </w:t>
      </w:r>
      <w:r w:rsidRPr="007D038A">
        <w:t xml:space="preserve">rate of </w:t>
      </w:r>
      <w:r>
        <w:t>378.6 </w:t>
      </w:r>
      <w:r w:rsidRPr="007D038A">
        <w:t>deaths per 100,000 population</w:t>
      </w:r>
      <w:r w:rsidR="006D41BC">
        <w:t xml:space="preserve"> (Ministry of Health 2019b)</w:t>
      </w:r>
      <w:r w:rsidRPr="007D038A">
        <w:t xml:space="preserve">. The </w:t>
      </w:r>
      <w:r>
        <w:t>age</w:t>
      </w:r>
      <w:r w:rsidR="00E0784F">
        <w:noBreakHyphen/>
      </w:r>
      <w:r>
        <w:t xml:space="preserve">standardised mortality </w:t>
      </w:r>
      <w:r w:rsidRPr="007D038A">
        <w:t xml:space="preserve">rate </w:t>
      </w:r>
      <w:r>
        <w:t xml:space="preserve">was higher </w:t>
      </w:r>
      <w:r w:rsidRPr="007D038A">
        <w:t xml:space="preserve">for </w:t>
      </w:r>
      <w:r>
        <w:t>males</w:t>
      </w:r>
      <w:r w:rsidRPr="007D038A">
        <w:t xml:space="preserve"> (</w:t>
      </w:r>
      <w:r>
        <w:t>440.6 </w:t>
      </w:r>
      <w:r w:rsidRPr="007D038A">
        <w:t xml:space="preserve">per 100,000) than for </w:t>
      </w:r>
      <w:r>
        <w:t>females</w:t>
      </w:r>
      <w:r w:rsidRPr="007D038A">
        <w:t xml:space="preserve"> (</w:t>
      </w:r>
      <w:r>
        <w:t>323.4</w:t>
      </w:r>
      <w:r w:rsidRPr="007D038A">
        <w:t xml:space="preserve"> per 100,000). Mortality rates have declined over time</w:t>
      </w:r>
      <w:r>
        <w:t xml:space="preserve"> (</w:t>
      </w:r>
      <w:r w:rsidR="00E43DC0">
        <w:fldChar w:fldCharType="begin"/>
      </w:r>
      <w:r w:rsidR="00E43DC0">
        <w:instrText xml:space="preserve"> REF _Ref57370038 \h </w:instrText>
      </w:r>
      <w:r w:rsidR="00E43DC0">
        <w:fldChar w:fldCharType="separate"/>
      </w:r>
      <w:r w:rsidR="003F39AB">
        <w:t>Figure </w:t>
      </w:r>
      <w:r w:rsidR="003F39AB">
        <w:rPr>
          <w:noProof/>
        </w:rPr>
        <w:t>4</w:t>
      </w:r>
      <w:r w:rsidR="00E43DC0">
        <w:fldChar w:fldCharType="end"/>
      </w:r>
      <w:r>
        <w:t>), with the relative decline similar for males (60 percent) and females (62</w:t>
      </w:r>
      <w:r w:rsidR="00716F6C">
        <w:t> </w:t>
      </w:r>
      <w:r>
        <w:t>percent).</w:t>
      </w:r>
    </w:p>
    <w:p w14:paraId="79457CC4" w14:textId="77777777" w:rsidR="00507742" w:rsidRDefault="00507742" w:rsidP="00885AE8">
      <w:pPr>
        <w:keepNext/>
      </w:pPr>
    </w:p>
    <w:p w14:paraId="79D07093" w14:textId="3351F532" w:rsidR="00507742" w:rsidRPr="00684838" w:rsidRDefault="00E43DC0" w:rsidP="00E43DC0">
      <w:pPr>
        <w:pStyle w:val="Figure"/>
      </w:pPr>
      <w:bookmarkStart w:id="79" w:name="_Ref57370038"/>
      <w:bookmarkStart w:id="80" w:name="_Toc57295961"/>
      <w:bookmarkStart w:id="81" w:name="_Toc64536261"/>
      <w:r>
        <w:t>Figure </w:t>
      </w:r>
      <w:fldSimple w:instr=" SEQ Figure \* ARABIC ">
        <w:r w:rsidR="003F39AB">
          <w:rPr>
            <w:noProof/>
          </w:rPr>
          <w:t>4</w:t>
        </w:r>
      </w:fldSimple>
      <w:bookmarkEnd w:id="79"/>
      <w:r w:rsidR="00507742" w:rsidRPr="00684838">
        <w:t>: Mortality rates</w:t>
      </w:r>
      <w:r w:rsidR="00507742">
        <w:t>,</w:t>
      </w:r>
      <w:r w:rsidR="00507742" w:rsidRPr="00684838">
        <w:t xml:space="preserve"> by sex, 1948</w:t>
      </w:r>
      <w:r w:rsidR="00507742">
        <w:t xml:space="preserve"> to </w:t>
      </w:r>
      <w:r w:rsidR="00507742" w:rsidRPr="00684838">
        <w:t>2017</w:t>
      </w:r>
      <w:r w:rsidR="00507742">
        <w:t>*</w:t>
      </w:r>
      <w:bookmarkEnd w:id="80"/>
      <w:bookmarkEnd w:id="81"/>
    </w:p>
    <w:p w14:paraId="4C7B9D87" w14:textId="7F298828" w:rsidR="00507742" w:rsidRDefault="00EC60FD" w:rsidP="00E0784F">
      <w:r w:rsidRPr="00A65244">
        <w:rPr>
          <w:noProof/>
          <w:lang w:eastAsia="en-NZ"/>
        </w:rPr>
        <w:drawing>
          <wp:inline distT="0" distB="0" distL="0" distR="0" wp14:anchorId="77596AA0" wp14:editId="7AD396FC">
            <wp:extent cx="5130165" cy="3129280"/>
            <wp:effectExtent l="0" t="0" r="0" b="0"/>
            <wp:docPr id="8" name="Picture 8" descr="This graph shows that mortality rates have decreased for both men and women over time. Men have a higher mortality rate than women, but the gap is nar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30165" cy="3129280"/>
                    </a:xfrm>
                    <a:prstGeom prst="rect">
                      <a:avLst/>
                    </a:prstGeom>
                  </pic:spPr>
                </pic:pic>
              </a:graphicData>
            </a:graphic>
          </wp:inline>
        </w:drawing>
      </w:r>
    </w:p>
    <w:p w14:paraId="3D573410" w14:textId="77777777" w:rsidR="00507742" w:rsidRDefault="00507742" w:rsidP="00A31BA5">
      <w:pPr>
        <w:pStyle w:val="Note"/>
        <w:spacing w:before="60"/>
      </w:pPr>
      <w:r w:rsidRPr="00CE6E41">
        <w:t>Note</w:t>
      </w:r>
      <w:r>
        <w:t>s</w:t>
      </w:r>
      <w:r w:rsidRPr="00CE6E41">
        <w:t>: Rates are per 100,000 population and age</w:t>
      </w:r>
      <w:r>
        <w:t>-</w:t>
      </w:r>
      <w:r w:rsidRPr="00CE6E41">
        <w:t xml:space="preserve">standardised to the </w:t>
      </w:r>
      <w:r>
        <w:t>World Health Organization</w:t>
      </w:r>
      <w:r w:rsidR="002542AA">
        <w:t>’</w:t>
      </w:r>
      <w:r>
        <w:t>s</w:t>
      </w:r>
      <w:r w:rsidRPr="00CE6E41">
        <w:t xml:space="preserve"> world standard population.</w:t>
      </w:r>
      <w:r>
        <w:t xml:space="preserve"> * 2017 mortality data is provisional.</w:t>
      </w:r>
    </w:p>
    <w:p w14:paraId="5575127E" w14:textId="1BF4423E" w:rsidR="00507742" w:rsidRDefault="00507742" w:rsidP="00E43DC0">
      <w:pPr>
        <w:pStyle w:val="Source"/>
        <w:spacing w:before="0"/>
      </w:pPr>
      <w:r w:rsidRPr="00CE6E41">
        <w:t>Source: Ministry of Health</w:t>
      </w:r>
      <w:r>
        <w:t xml:space="preserve"> </w:t>
      </w:r>
      <w:r w:rsidR="002D5CC3">
        <w:t>(</w:t>
      </w:r>
      <w:r w:rsidR="006D41BC">
        <w:t xml:space="preserve">2019b, </w:t>
      </w:r>
      <w:r>
        <w:t>2020b</w:t>
      </w:r>
      <w:r w:rsidRPr="00CE6E41">
        <w:t>)</w:t>
      </w:r>
    </w:p>
    <w:p w14:paraId="07534CF6" w14:textId="521ACEB1" w:rsidR="00507742" w:rsidRPr="00F40E52" w:rsidRDefault="006D41BC" w:rsidP="00E0784F">
      <w:pPr>
        <w:spacing w:before="240"/>
      </w:pPr>
      <w:r>
        <w:t>In 2017 t</w:t>
      </w:r>
      <w:r w:rsidR="00507742" w:rsidRPr="007D038A">
        <w:t xml:space="preserve">he </w:t>
      </w:r>
      <w:r w:rsidR="00507742">
        <w:t xml:space="preserve">age-standardised mortality </w:t>
      </w:r>
      <w:r w:rsidR="00507742" w:rsidRPr="007D038A">
        <w:t>rate</w:t>
      </w:r>
      <w:r w:rsidR="00507742" w:rsidRPr="00F029B6">
        <w:t xml:space="preserve"> </w:t>
      </w:r>
      <w:r>
        <w:t xml:space="preserve">was </w:t>
      </w:r>
      <w:r w:rsidR="00507742">
        <w:t>nearly twice as</w:t>
      </w:r>
      <w:r w:rsidR="00507742" w:rsidRPr="00F029B6">
        <w:t xml:space="preserve"> </w:t>
      </w:r>
      <w:r w:rsidR="00507742">
        <w:t>high</w:t>
      </w:r>
      <w:r w:rsidR="00507742" w:rsidRPr="007D038A">
        <w:t xml:space="preserve"> for Māori (</w:t>
      </w:r>
      <w:r w:rsidR="00507742">
        <w:t>641.2</w:t>
      </w:r>
      <w:r w:rsidR="00507742" w:rsidRPr="007D038A">
        <w:t xml:space="preserve"> per 100,000)</w:t>
      </w:r>
      <w:r w:rsidR="00507742">
        <w:t xml:space="preserve"> as for </w:t>
      </w:r>
      <w:r w:rsidR="00507742" w:rsidRPr="007D038A">
        <w:t>non-Māori (</w:t>
      </w:r>
      <w:r w:rsidR="00507742">
        <w:t>350.1 </w:t>
      </w:r>
      <w:r w:rsidR="00507742" w:rsidRPr="007D038A">
        <w:t xml:space="preserve">per 100,000). </w:t>
      </w:r>
      <w:r w:rsidR="00507742">
        <w:t xml:space="preserve">As </w:t>
      </w:r>
      <w:r w:rsidR="00E00264">
        <w:fldChar w:fldCharType="begin"/>
      </w:r>
      <w:r w:rsidR="00E00264">
        <w:instrText xml:space="preserve"> REF _Ref57370082 \h </w:instrText>
      </w:r>
      <w:r w:rsidR="00E00264">
        <w:fldChar w:fldCharType="separate"/>
      </w:r>
      <w:r w:rsidR="003F39AB">
        <w:t>Figure </w:t>
      </w:r>
      <w:r w:rsidR="003F39AB">
        <w:rPr>
          <w:noProof/>
        </w:rPr>
        <w:t>5</w:t>
      </w:r>
      <w:r w:rsidR="00E00264">
        <w:fldChar w:fldCharType="end"/>
      </w:r>
      <w:r w:rsidR="00507742" w:rsidRPr="00F029B6">
        <w:t xml:space="preserve"> </w:t>
      </w:r>
      <w:r w:rsidR="00507742">
        <w:t>shows, m</w:t>
      </w:r>
      <w:r w:rsidR="00507742" w:rsidRPr="007D038A">
        <w:t xml:space="preserve">ortality rates </w:t>
      </w:r>
      <w:r w:rsidR="00507742">
        <w:t>have declined since 1996 for both Māori (by 40 percent) and non-Māori (34</w:t>
      </w:r>
      <w:r w:rsidR="00E00264">
        <w:t> </w:t>
      </w:r>
      <w:r w:rsidR="00507742">
        <w:t>percent). However, the decline in mortality rates has slowed over the last decade, especially for Māori</w:t>
      </w:r>
      <w:r w:rsidR="009B582A">
        <w:t xml:space="preserve"> (Ministry of Health 2020b)</w:t>
      </w:r>
      <w:r w:rsidR="00507742">
        <w:t>.</w:t>
      </w:r>
    </w:p>
    <w:p w14:paraId="21BC1D09" w14:textId="77777777" w:rsidR="00507742" w:rsidRPr="00250644" w:rsidRDefault="00507742" w:rsidP="00507742"/>
    <w:p w14:paraId="48B2A76E" w14:textId="54D1DD12" w:rsidR="00507742" w:rsidRPr="003B7F23" w:rsidRDefault="00E00264" w:rsidP="00E00264">
      <w:pPr>
        <w:pStyle w:val="Figure"/>
      </w:pPr>
      <w:bookmarkStart w:id="82" w:name="_Ref57370082"/>
      <w:bookmarkStart w:id="83" w:name="_Toc57295962"/>
      <w:bookmarkStart w:id="84" w:name="_Toc64536262"/>
      <w:r>
        <w:lastRenderedPageBreak/>
        <w:t>Figure </w:t>
      </w:r>
      <w:fldSimple w:instr=" SEQ Figure \* ARABIC ">
        <w:r w:rsidR="003F39AB">
          <w:rPr>
            <w:noProof/>
          </w:rPr>
          <w:t>5</w:t>
        </w:r>
      </w:fldSimple>
      <w:bookmarkEnd w:id="82"/>
      <w:r w:rsidR="00507742" w:rsidRPr="003B7F23">
        <w:t>: Mortality rates</w:t>
      </w:r>
      <w:r w:rsidR="00507742">
        <w:t>,</w:t>
      </w:r>
      <w:r w:rsidR="00507742" w:rsidRPr="003B7F23">
        <w:t xml:space="preserve"> Māori and non-Māori, 1996</w:t>
      </w:r>
      <w:r w:rsidR="00507742">
        <w:t xml:space="preserve"> to </w:t>
      </w:r>
      <w:r w:rsidR="00507742" w:rsidRPr="003B7F23">
        <w:t>2017</w:t>
      </w:r>
      <w:r w:rsidR="00507742">
        <w:t>*</w:t>
      </w:r>
      <w:bookmarkEnd w:id="83"/>
      <w:bookmarkEnd w:id="84"/>
    </w:p>
    <w:p w14:paraId="08CDF38B" w14:textId="7506ED4E" w:rsidR="00507742" w:rsidRPr="00E00264" w:rsidRDefault="00EC60FD" w:rsidP="00C17752">
      <w:r w:rsidRPr="00A65244">
        <w:rPr>
          <w:noProof/>
          <w:lang w:eastAsia="en-NZ"/>
        </w:rPr>
        <w:drawing>
          <wp:inline distT="0" distB="0" distL="0" distR="0" wp14:anchorId="25CAC02D" wp14:editId="2FABFF13">
            <wp:extent cx="5130165" cy="3129280"/>
            <wp:effectExtent l="0" t="0" r="0" b="0"/>
            <wp:docPr id="9" name="Picture 9" descr="This line graph shows that the mortality rate for Māori is higher than the rate for non-Māori. The rate for both is declining, and the gap between the two is shr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30165" cy="3129280"/>
                    </a:xfrm>
                    <a:prstGeom prst="rect">
                      <a:avLst/>
                    </a:prstGeom>
                  </pic:spPr>
                </pic:pic>
              </a:graphicData>
            </a:graphic>
          </wp:inline>
        </w:drawing>
      </w:r>
    </w:p>
    <w:p w14:paraId="6004C109" w14:textId="77777777" w:rsidR="00507742" w:rsidRDefault="00507742" w:rsidP="00E00264">
      <w:pPr>
        <w:pStyle w:val="Note"/>
      </w:pPr>
      <w:r w:rsidRPr="003B7F23">
        <w:t>Notes: Rates are per 100,000 population and age</w:t>
      </w:r>
      <w:r>
        <w:t>-</w:t>
      </w:r>
      <w:r w:rsidRPr="003B7F23">
        <w:t xml:space="preserve">standardised to the </w:t>
      </w:r>
      <w:r>
        <w:t>World Health Organization</w:t>
      </w:r>
      <w:r w:rsidR="002542AA">
        <w:t>’</w:t>
      </w:r>
      <w:r>
        <w:t>s</w:t>
      </w:r>
      <w:r w:rsidRPr="003B7F23">
        <w:t xml:space="preserve"> world standard population.</w:t>
      </w:r>
      <w:r>
        <w:t xml:space="preserve"> * 2017 mortality data is provisional.</w:t>
      </w:r>
    </w:p>
    <w:p w14:paraId="316E502F" w14:textId="76742F23" w:rsidR="00507742" w:rsidRDefault="00507742" w:rsidP="00C17752">
      <w:pPr>
        <w:pStyle w:val="Source"/>
        <w:spacing w:before="0"/>
      </w:pPr>
      <w:r w:rsidRPr="00CE6E41">
        <w:t>Source: Ministry of Health</w:t>
      </w:r>
      <w:r>
        <w:t xml:space="preserve"> </w:t>
      </w:r>
      <w:r w:rsidR="002D5CC3">
        <w:t>(</w:t>
      </w:r>
      <w:r w:rsidR="006D41BC">
        <w:t xml:space="preserve">2019b, </w:t>
      </w:r>
      <w:r>
        <w:t>2020b</w:t>
      </w:r>
      <w:r w:rsidRPr="00CE6E41">
        <w:t>)</w:t>
      </w:r>
    </w:p>
    <w:p w14:paraId="7006F3B6" w14:textId="77777777" w:rsidR="00507742" w:rsidRDefault="00507742" w:rsidP="00E00264">
      <w:pPr>
        <w:spacing w:after="240"/>
        <w:rPr>
          <w:highlight w:val="yellow"/>
        </w:rPr>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564AFC80" w14:textId="77777777" w:rsidTr="00572CF6">
        <w:trPr>
          <w:cantSplit/>
        </w:trPr>
        <w:tc>
          <w:tcPr>
            <w:tcW w:w="7973" w:type="dxa"/>
            <w:tcBorders>
              <w:top w:val="nil"/>
              <w:left w:val="single" w:sz="48" w:space="0" w:color="0A6AB4"/>
              <w:bottom w:val="nil"/>
              <w:right w:val="nil"/>
            </w:tcBorders>
            <w:hideMark/>
          </w:tcPr>
          <w:p w14:paraId="55C088BF" w14:textId="77777777" w:rsidR="00507742" w:rsidRDefault="00507742" w:rsidP="00E00264">
            <w:pPr>
              <w:pStyle w:val="TableText"/>
              <w:rPr>
                <w:color w:val="0A6AB4"/>
                <w:sz w:val="24"/>
                <w:szCs w:val="24"/>
              </w:rPr>
            </w:pPr>
            <w:bookmarkStart w:id="85" w:name="_Hlk57197076"/>
            <w:r>
              <w:rPr>
                <w:color w:val="0A6AB4"/>
                <w:sz w:val="24"/>
                <w:szCs w:val="24"/>
              </w:rPr>
              <w:t>The infant mortality rate is declining, but rates continue to be higher among Māori and Pacific children aged under one year</w:t>
            </w:r>
          </w:p>
        </w:tc>
      </w:tr>
    </w:tbl>
    <w:p w14:paraId="15C590AC" w14:textId="77777777" w:rsidR="00507742" w:rsidRDefault="00507742" w:rsidP="00E00264"/>
    <w:p w14:paraId="574BC59D" w14:textId="7CF0CD22" w:rsidR="002542AA" w:rsidRDefault="00507742" w:rsidP="00E00264">
      <w:r w:rsidRPr="00775F3A">
        <w:t xml:space="preserve">In 2016, there were 241 deaths </w:t>
      </w:r>
      <w:r>
        <w:t xml:space="preserve">in children aged under one year </w:t>
      </w:r>
      <w:r w:rsidRPr="00775F3A">
        <w:t xml:space="preserve">(Ministry of Health </w:t>
      </w:r>
      <w:r w:rsidR="006D41BC" w:rsidRPr="00775F3A">
        <w:t>2019</w:t>
      </w:r>
      <w:r w:rsidR="006D41BC">
        <w:t>c</w:t>
      </w:r>
      <w:r w:rsidRPr="00775F3A">
        <w:t>). This equates to an infant mortality rate of 4.0 per 1</w:t>
      </w:r>
      <w:r>
        <w:t>,</w:t>
      </w:r>
      <w:r w:rsidRPr="00775F3A">
        <w:t>000 live births</w:t>
      </w:r>
      <w:r>
        <w:t>, which is down from 7.3 per 1,000 live births in 1996.</w:t>
      </w:r>
    </w:p>
    <w:p w14:paraId="10E8FB8B" w14:textId="77777777" w:rsidR="00507742" w:rsidRDefault="00507742" w:rsidP="00E00264"/>
    <w:p w14:paraId="5506BF5D" w14:textId="77777777" w:rsidR="002542AA" w:rsidRDefault="00507742" w:rsidP="00E00264">
      <w:r>
        <w:t>In 2016, infant mortality rates were significantly higher Pacific peoples and Māori ethnic groups (6.2 and 5.9 per 1,000 live births, respectively) than in European/Other and Asian ethnic groups (2.8 and 2.5 per 1,000 live births, respectively).</w:t>
      </w:r>
    </w:p>
    <w:p w14:paraId="7EE831A4" w14:textId="77777777" w:rsidR="00507742" w:rsidRDefault="00507742" w:rsidP="00E00264"/>
    <w:p w14:paraId="2CC55F22" w14:textId="77777777" w:rsidR="002542AA" w:rsidRDefault="00507742" w:rsidP="00E00264">
      <w:r w:rsidRPr="00E00264">
        <w:t>There were 42 sudden unexpected death in infancy (SUDI) deaths in 2016, including 23</w:t>
      </w:r>
      <w:r w:rsidR="00E00264">
        <w:t> </w:t>
      </w:r>
      <w:r w:rsidRPr="00E00264">
        <w:t>sud</w:t>
      </w:r>
      <w:r>
        <w:t>den infant death syndrome (SIDS) deaths. The SUDI rate has halved since 2000 (from 1.4 to 0.7 per 1,000 live births).</w:t>
      </w:r>
      <w:r w:rsidR="002542AA">
        <w:t xml:space="preserve"> </w:t>
      </w:r>
      <w:r>
        <w:t>In the five year period from 2012 to 2016, SUDI rates for</w:t>
      </w:r>
      <w:r w:rsidRPr="003717A4">
        <w:t xml:space="preserve"> </w:t>
      </w:r>
      <w:r>
        <w:t>babies in the Māori and Pacific peoples ethnic groups were significantly higher than for babies in other ethnic groups.</w:t>
      </w:r>
    </w:p>
    <w:bookmarkEnd w:id="85"/>
    <w:p w14:paraId="2ADF6D40" w14:textId="77777777" w:rsidR="00507742" w:rsidRDefault="00507742" w:rsidP="00E00264">
      <w:pPr>
        <w:rPr>
          <w:highlight w:val="yellow"/>
        </w:rPr>
      </w:pPr>
    </w:p>
    <w:p w14:paraId="586EF82E" w14:textId="77777777" w:rsidR="00507742" w:rsidRPr="007D038A" w:rsidRDefault="00507742" w:rsidP="00F3075B">
      <w:pPr>
        <w:pStyle w:val="Heading1"/>
      </w:pPr>
      <w:bookmarkStart w:id="86" w:name="_TOC_250018"/>
      <w:bookmarkStart w:id="87" w:name="_TOC_250017"/>
      <w:bookmarkStart w:id="88" w:name="_Toc57295674"/>
      <w:bookmarkStart w:id="89" w:name="_Toc64536242"/>
      <w:bookmarkEnd w:id="86"/>
      <w:r w:rsidRPr="007D038A">
        <w:lastRenderedPageBreak/>
        <w:t>Causes of health loss</w:t>
      </w:r>
      <w:r>
        <w:t xml:space="preserve"> </w:t>
      </w:r>
      <w:r w:rsidRPr="007D038A">
        <w:t xml:space="preserve">| Ngā take mo te mate </w:t>
      </w:r>
      <w:bookmarkEnd w:id="87"/>
      <w:r w:rsidRPr="007D038A">
        <w:t>hauora</w:t>
      </w:r>
      <w:bookmarkEnd w:id="88"/>
      <w:bookmarkEnd w:id="89"/>
    </w:p>
    <w:p w14:paraId="3433E4F0" w14:textId="77777777" w:rsidR="00507742" w:rsidRDefault="00507742" w:rsidP="00F3075B">
      <w:pPr>
        <w:pStyle w:val="Introductoryparagraph"/>
        <w:ind w:right="567"/>
      </w:pPr>
      <w:r w:rsidRPr="00A647A6">
        <w:t>Major causes of health loss include cancers, cardiovascular and cerebrovascular diseases, mental disorders and musculoskeletal disorders</w:t>
      </w:r>
      <w:r>
        <w:t>.</w:t>
      </w:r>
    </w:p>
    <w:p w14:paraId="45E29810" w14:textId="77777777" w:rsidR="00F3075B" w:rsidRPr="00F3075B" w:rsidRDefault="00F3075B" w:rsidP="00F3075B"/>
    <w:p w14:paraId="20F08597" w14:textId="77777777" w:rsidR="00507742" w:rsidRDefault="00507742" w:rsidP="00D02EF4">
      <w:pPr>
        <w:pStyle w:val="Heading2"/>
      </w:pPr>
      <w:bookmarkStart w:id="90" w:name="_TOC_250016"/>
      <w:bookmarkStart w:id="91" w:name="_Toc57295675"/>
      <w:bookmarkStart w:id="92" w:name="_Toc64536243"/>
      <w:bookmarkEnd w:id="90"/>
      <w:r w:rsidRPr="004C7DFC">
        <w:t>Cancers</w:t>
      </w:r>
      <w:bookmarkEnd w:id="91"/>
      <w:bookmarkEnd w:id="92"/>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62BAB9A8" w14:textId="77777777" w:rsidTr="00963A88">
        <w:trPr>
          <w:cantSplit/>
        </w:trPr>
        <w:tc>
          <w:tcPr>
            <w:tcW w:w="7973" w:type="dxa"/>
          </w:tcPr>
          <w:p w14:paraId="4641BB49" w14:textId="77777777" w:rsidR="00507742" w:rsidRPr="001551CF" w:rsidRDefault="00507742" w:rsidP="005533E2">
            <w:pPr>
              <w:pStyle w:val="TableText"/>
              <w:ind w:right="-57"/>
              <w:rPr>
                <w:color w:val="0A6AB4"/>
                <w:spacing w:val="-4"/>
                <w:sz w:val="24"/>
                <w:szCs w:val="24"/>
              </w:rPr>
            </w:pPr>
            <w:r w:rsidRPr="00710B34">
              <w:rPr>
                <w:color w:val="0A6AB4"/>
                <w:spacing w:val="-4"/>
                <w:sz w:val="24"/>
                <w:szCs w:val="24"/>
              </w:rPr>
              <w:t>C</w:t>
            </w:r>
            <w:r>
              <w:rPr>
                <w:color w:val="0A6AB4"/>
                <w:spacing w:val="-4"/>
                <w:sz w:val="24"/>
                <w:szCs w:val="24"/>
              </w:rPr>
              <w:t>ollectively, c</w:t>
            </w:r>
            <w:r w:rsidRPr="00710B34">
              <w:rPr>
                <w:color w:val="0A6AB4"/>
                <w:spacing w:val="-4"/>
                <w:sz w:val="24"/>
                <w:szCs w:val="24"/>
              </w:rPr>
              <w:t>ancers are the leading cause of health loss in New Zealand</w:t>
            </w:r>
          </w:p>
        </w:tc>
      </w:tr>
    </w:tbl>
    <w:p w14:paraId="30714F94" w14:textId="77777777" w:rsidR="00507742" w:rsidRPr="00710B34" w:rsidRDefault="00507742" w:rsidP="00963A88"/>
    <w:p w14:paraId="0606A9AD" w14:textId="77777777" w:rsidR="002542AA" w:rsidRDefault="00507742" w:rsidP="00963A88">
      <w:r w:rsidRPr="007D038A">
        <w:t xml:space="preserve">Collectively, cancers account for </w:t>
      </w:r>
      <w:r>
        <w:t>18.5</w:t>
      </w:r>
      <w:r w:rsidRPr="007D038A">
        <w:t xml:space="preserve"> percent of </w:t>
      </w:r>
      <w:r>
        <w:t>all health loss in New Zealand</w:t>
      </w:r>
      <w:r w:rsidRPr="007D038A">
        <w:t xml:space="preserve"> (</w:t>
      </w:r>
      <w:r>
        <w:t>Global Burden of Disease Collaborative Network 2020</w:t>
      </w:r>
      <w:r w:rsidRPr="007D038A">
        <w:t>).</w:t>
      </w:r>
      <w:r>
        <w:t xml:space="preserve"> R</w:t>
      </w:r>
      <w:r w:rsidRPr="00DD594D">
        <w:t xml:space="preserve">isk factors for cancer </w:t>
      </w:r>
      <w:r>
        <w:t xml:space="preserve">that can be modified </w:t>
      </w:r>
      <w:r w:rsidRPr="00DD594D">
        <w:t>include smoking, poor diet, physical inactivity, obesity and harmful use of alcohol.</w:t>
      </w:r>
      <w:r>
        <w:t xml:space="preserve"> </w:t>
      </w:r>
      <w:r w:rsidRPr="00DD594D">
        <w:t>A person</w:t>
      </w:r>
      <w:r w:rsidR="002542AA">
        <w:t>’</w:t>
      </w:r>
      <w:r w:rsidRPr="00DD594D">
        <w:t>s chance of surviving cancer depends on a number of factors, including age at diagnosis, type of cancer, cancer stage at diagnosis and</w:t>
      </w:r>
      <w:r>
        <w:t xml:space="preserve"> the</w:t>
      </w:r>
      <w:r w:rsidRPr="00DD594D">
        <w:t xml:space="preserve"> availability of specialist cancer treatment and follow-up care.</w:t>
      </w:r>
    </w:p>
    <w:p w14:paraId="48A7FB35" w14:textId="77777777" w:rsidR="00507742" w:rsidRDefault="00507742" w:rsidP="00963A88">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5E7A2ACD" w14:textId="77777777" w:rsidTr="00963A88">
        <w:trPr>
          <w:cantSplit/>
        </w:trPr>
        <w:tc>
          <w:tcPr>
            <w:tcW w:w="7973" w:type="dxa"/>
          </w:tcPr>
          <w:p w14:paraId="6F5D0448" w14:textId="77777777" w:rsidR="00507742" w:rsidRPr="001551CF" w:rsidRDefault="00507742" w:rsidP="005533E2">
            <w:pPr>
              <w:pStyle w:val="TableText"/>
              <w:ind w:right="-57"/>
              <w:rPr>
                <w:color w:val="0A6AB4"/>
                <w:spacing w:val="-4"/>
                <w:sz w:val="24"/>
                <w:szCs w:val="24"/>
              </w:rPr>
            </w:pPr>
            <w:r>
              <w:rPr>
                <w:color w:val="0A6AB4"/>
                <w:spacing w:val="-4"/>
                <w:sz w:val="24"/>
                <w:szCs w:val="24"/>
              </w:rPr>
              <w:t>The incidence rate for all cancers combined is declining slowly</w:t>
            </w:r>
          </w:p>
        </w:tc>
      </w:tr>
    </w:tbl>
    <w:p w14:paraId="0FC8E300" w14:textId="77777777" w:rsidR="00507742" w:rsidRPr="00710B34" w:rsidRDefault="00507742" w:rsidP="00963A88"/>
    <w:p w14:paraId="28B93963" w14:textId="294ADD6E" w:rsidR="00507742" w:rsidRDefault="00507742" w:rsidP="00963A88">
      <w:r>
        <w:t>In 2017 t</w:t>
      </w:r>
      <w:r w:rsidRPr="007D038A">
        <w:t>here were 2</w:t>
      </w:r>
      <w:r>
        <w:t>4</w:t>
      </w:r>
      <w:r w:rsidRPr="007D038A">
        <w:t>,</w:t>
      </w:r>
      <w:r>
        <w:t>582</w:t>
      </w:r>
      <w:r w:rsidRPr="007D038A">
        <w:t xml:space="preserve"> new cancer registrations. This is the equivalent of </w:t>
      </w:r>
      <w:r>
        <w:t>67</w:t>
      </w:r>
      <w:r w:rsidRPr="007D038A">
        <w:t xml:space="preserve"> people </w:t>
      </w:r>
      <w:r>
        <w:t>being diagnosed with cancer every day</w:t>
      </w:r>
      <w:r w:rsidRPr="00475ABD">
        <w:t xml:space="preserve">. </w:t>
      </w:r>
      <w:r>
        <w:t xml:space="preserve">The </w:t>
      </w:r>
      <w:r w:rsidR="00716F6C">
        <w:t xml:space="preserve">age-standardised </w:t>
      </w:r>
      <w:r>
        <w:t>cancer incidence rate was 332.6</w:t>
      </w:r>
      <w:r w:rsidRPr="007D038A">
        <w:t xml:space="preserve"> per 100,000 population</w:t>
      </w:r>
      <w:r>
        <w:t xml:space="preserve"> in 2017, down slightly from 347.1 per 100,000 in 2008</w:t>
      </w:r>
      <w:r w:rsidRPr="007D038A">
        <w:t xml:space="preserve"> (Ministry of Health </w:t>
      </w:r>
      <w:r w:rsidR="00CE7557">
        <w:t>2020c</w:t>
      </w:r>
      <w:r>
        <w:t>).</w:t>
      </w:r>
    </w:p>
    <w:p w14:paraId="64DB6241" w14:textId="77777777" w:rsidR="00507742" w:rsidRDefault="00507742" w:rsidP="00963A88"/>
    <w:p w14:paraId="4F5548E7" w14:textId="77777777" w:rsidR="00507742" w:rsidRDefault="00507742" w:rsidP="00963A88">
      <w:r w:rsidRPr="00DA6555">
        <w:t xml:space="preserve">The most commonly registered cancers in </w:t>
      </w:r>
      <w:r>
        <w:t>2017</w:t>
      </w:r>
      <w:r w:rsidRPr="00DA6555">
        <w:t xml:space="preserve"> were prostate cancer (</w:t>
      </w:r>
      <w:r>
        <w:t>3,857</w:t>
      </w:r>
      <w:r w:rsidRPr="00DA6555">
        <w:t xml:space="preserve">), </w:t>
      </w:r>
      <w:r>
        <w:t xml:space="preserve">female </w:t>
      </w:r>
      <w:r w:rsidRPr="00DA6555">
        <w:t>breast cancer (</w:t>
      </w:r>
      <w:r>
        <w:t>3,290</w:t>
      </w:r>
      <w:r w:rsidRPr="00DA6555">
        <w:t>), colorectal</w:t>
      </w:r>
      <w:r>
        <w:t xml:space="preserve"> cancer</w:t>
      </w:r>
      <w:r w:rsidRPr="00DA6555">
        <w:t xml:space="preserve"> (</w:t>
      </w:r>
      <w:r>
        <w:t>3,085</w:t>
      </w:r>
      <w:r w:rsidRPr="00DA6555">
        <w:t>),</w:t>
      </w:r>
      <w:r>
        <w:t xml:space="preserve"> </w:t>
      </w:r>
      <w:r w:rsidRPr="00DA6555">
        <w:t>melanoma (</w:t>
      </w:r>
      <w:r>
        <w:t>2,555</w:t>
      </w:r>
      <w:r w:rsidRPr="00DA6555">
        <w:t>) and lung cancer (</w:t>
      </w:r>
      <w:r>
        <w:t>2,255</w:t>
      </w:r>
      <w:r w:rsidRPr="00DA6555">
        <w:t>). T</w:t>
      </w:r>
      <w:r>
        <w:t>ogether t</w:t>
      </w:r>
      <w:r w:rsidRPr="00DA6555">
        <w:t xml:space="preserve">hese five cancers accounted for </w:t>
      </w:r>
      <w:r>
        <w:t>61</w:t>
      </w:r>
      <w:r w:rsidRPr="00DA6555">
        <w:t xml:space="preserve"> percent of all cancer registrations.</w:t>
      </w:r>
    </w:p>
    <w:p w14:paraId="15DAB856" w14:textId="77777777" w:rsidR="00507742" w:rsidRDefault="00507742" w:rsidP="00963A88"/>
    <w:p w14:paraId="02DE7CBC" w14:textId="47E36A29" w:rsidR="00507742" w:rsidRDefault="00963A88" w:rsidP="00963A88">
      <w:pPr>
        <w:keepNext/>
        <w:keepLines/>
      </w:pPr>
      <w:r>
        <w:lastRenderedPageBreak/>
        <w:fldChar w:fldCharType="begin"/>
      </w:r>
      <w:r>
        <w:instrText xml:space="preserve"> REF _Ref357593896 \h </w:instrText>
      </w:r>
      <w:r>
        <w:fldChar w:fldCharType="separate"/>
      </w:r>
      <w:r w:rsidR="003F39AB">
        <w:t>Figure </w:t>
      </w:r>
      <w:r w:rsidR="003F39AB">
        <w:rPr>
          <w:noProof/>
        </w:rPr>
        <w:t>6</w:t>
      </w:r>
      <w:r>
        <w:fldChar w:fldCharType="end"/>
      </w:r>
      <w:r w:rsidR="00507742">
        <w:t xml:space="preserve"> shows trends in the four leading causes of cancer registrations for males and females over the last decade. </w:t>
      </w:r>
      <w:r w:rsidR="00507742" w:rsidRPr="001C4687">
        <w:t xml:space="preserve">For males, age-standardised incidence rates for lung </w:t>
      </w:r>
      <w:r w:rsidR="00507742">
        <w:t>cancer,</w:t>
      </w:r>
      <w:r w:rsidR="00507742" w:rsidRPr="001C4687">
        <w:t xml:space="preserve"> colorectal cancer</w:t>
      </w:r>
      <w:r w:rsidR="00507742">
        <w:t xml:space="preserve"> and melanoma have declined</w:t>
      </w:r>
      <w:r w:rsidR="00507742" w:rsidRPr="001C4687">
        <w:t>. For females, incidence rates for colorectal cancer and melanoma</w:t>
      </w:r>
      <w:r w:rsidR="00507742">
        <w:t xml:space="preserve"> have declined.</w:t>
      </w:r>
    </w:p>
    <w:p w14:paraId="2C63E255" w14:textId="77777777" w:rsidR="00507742" w:rsidRDefault="00507742" w:rsidP="00507742"/>
    <w:p w14:paraId="0EEEACE7" w14:textId="7DF9730D" w:rsidR="00507742" w:rsidRDefault="00963A88" w:rsidP="00963A88">
      <w:pPr>
        <w:pStyle w:val="Figure"/>
      </w:pPr>
      <w:bookmarkStart w:id="93" w:name="_Ref357593896"/>
      <w:bookmarkStart w:id="94" w:name="_Toc386789660"/>
      <w:bookmarkStart w:id="95" w:name="_Toc399506737"/>
      <w:bookmarkStart w:id="96" w:name="_Toc400646790"/>
      <w:bookmarkStart w:id="97" w:name="_Toc57295963"/>
      <w:bookmarkStart w:id="98" w:name="_Toc64536263"/>
      <w:r>
        <w:t>Figure </w:t>
      </w:r>
      <w:fldSimple w:instr=" SEQ Figure \* ARABIC ">
        <w:r w:rsidR="003F39AB">
          <w:rPr>
            <w:noProof/>
          </w:rPr>
          <w:t>6</w:t>
        </w:r>
      </w:fldSimple>
      <w:bookmarkEnd w:id="93"/>
      <w:r w:rsidR="00507742">
        <w:t xml:space="preserve">: </w:t>
      </w:r>
      <w:r w:rsidR="00507742" w:rsidRPr="00B41EB9">
        <w:t xml:space="preserve">Cancer </w:t>
      </w:r>
      <w:r w:rsidR="00507742">
        <w:t>incidence</w:t>
      </w:r>
      <w:r w:rsidR="00507742" w:rsidRPr="00B41EB9">
        <w:t xml:space="preserve"> rate</w:t>
      </w:r>
      <w:r w:rsidR="00507742">
        <w:t>,</w:t>
      </w:r>
      <w:r w:rsidR="00507742" w:rsidRPr="00B41EB9">
        <w:t xml:space="preserve"> by cancer type and sex, </w:t>
      </w:r>
      <w:r w:rsidR="00507742">
        <w:t>2008 to 2017</w:t>
      </w:r>
      <w:bookmarkEnd w:id="94"/>
      <w:bookmarkEnd w:id="95"/>
      <w:bookmarkEnd w:id="96"/>
      <w:bookmarkEnd w:id="97"/>
      <w:bookmarkEnd w:id="98"/>
    </w:p>
    <w:tbl>
      <w:tblPr>
        <w:tblStyle w:val="TableGrid"/>
        <w:tblW w:w="8295" w:type="dxa"/>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7"/>
        <w:gridCol w:w="4148"/>
      </w:tblGrid>
      <w:tr w:rsidR="00EC0C84" w14:paraId="78CB715C" w14:textId="77777777" w:rsidTr="00EC0C84">
        <w:trPr>
          <w:cantSplit/>
        </w:trPr>
        <w:tc>
          <w:tcPr>
            <w:tcW w:w="4147" w:type="dxa"/>
          </w:tcPr>
          <w:p w14:paraId="756BD21C" w14:textId="2C7E0405" w:rsidR="00EC0C84" w:rsidRDefault="00EC60FD" w:rsidP="00EC0C84">
            <w:r w:rsidRPr="00A65244">
              <w:rPr>
                <w:noProof/>
                <w:lang w:eastAsia="en-NZ"/>
              </w:rPr>
              <w:drawing>
                <wp:inline distT="0" distB="0" distL="0" distR="0" wp14:anchorId="796D0AF4" wp14:editId="0A684028">
                  <wp:extent cx="2626822" cy="1602473"/>
                  <wp:effectExtent l="0" t="0" r="2540" b="0"/>
                  <wp:docPr id="11" name="Picture 11" descr="This line graph shows that the highest cancer incidence in men is prostate cancer, followed by colorectal, melanoma and lung cancers.  The rates for all four have remained relatively steady over time, but prostate cancer rates have fluctuated more than the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29574" cy="1604152"/>
                          </a:xfrm>
                          <a:prstGeom prst="rect">
                            <a:avLst/>
                          </a:prstGeom>
                        </pic:spPr>
                      </pic:pic>
                    </a:graphicData>
                  </a:graphic>
                </wp:inline>
              </w:drawing>
            </w:r>
          </w:p>
        </w:tc>
        <w:tc>
          <w:tcPr>
            <w:tcW w:w="4148" w:type="dxa"/>
          </w:tcPr>
          <w:p w14:paraId="44688537" w14:textId="7FE8586F" w:rsidR="00EC0C84" w:rsidRDefault="00EC60FD" w:rsidP="00EC0C84">
            <w:r w:rsidRPr="00A65244">
              <w:rPr>
                <w:noProof/>
                <w:lang w:eastAsia="en-NZ"/>
              </w:rPr>
              <w:drawing>
                <wp:inline distT="0" distB="0" distL="0" distR="0" wp14:anchorId="0F95A41F" wp14:editId="70ED1041">
                  <wp:extent cx="2651760" cy="1617687"/>
                  <wp:effectExtent l="0" t="0" r="0" b="1905"/>
                  <wp:docPr id="12" name="Picture 12" descr="This line graph shows that the highest cancer incidence in women is breast cancer, followed by colorectal, melanoma and lung cancers.  The rates for all four have remained relatively stead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57128" cy="1620962"/>
                          </a:xfrm>
                          <a:prstGeom prst="rect">
                            <a:avLst/>
                          </a:prstGeom>
                        </pic:spPr>
                      </pic:pic>
                    </a:graphicData>
                  </a:graphic>
                </wp:inline>
              </w:drawing>
            </w:r>
          </w:p>
        </w:tc>
      </w:tr>
    </w:tbl>
    <w:p w14:paraId="2FC8C338" w14:textId="77777777" w:rsidR="002542AA" w:rsidRDefault="00507742" w:rsidP="004D3F6D">
      <w:pPr>
        <w:pStyle w:val="Note"/>
      </w:pPr>
      <w:r w:rsidRPr="003B7F23">
        <w:t>Notes: Rates are per 100,000 population and age</w:t>
      </w:r>
      <w:r>
        <w:t>-</w:t>
      </w:r>
      <w:r w:rsidRPr="003B7F23">
        <w:t xml:space="preserve">standardised to the </w:t>
      </w:r>
      <w:r>
        <w:t>World Health Organization</w:t>
      </w:r>
      <w:r w:rsidR="002542AA">
        <w:t>’</w:t>
      </w:r>
      <w:r>
        <w:t>s</w:t>
      </w:r>
      <w:r w:rsidRPr="000226DC">
        <w:t xml:space="preserve"> </w:t>
      </w:r>
      <w:r w:rsidRPr="003B7F23">
        <w:t>world standard population.</w:t>
      </w:r>
    </w:p>
    <w:p w14:paraId="43F60B4B" w14:textId="77777777" w:rsidR="00507742" w:rsidRDefault="00507742" w:rsidP="004D3F6D">
      <w:pPr>
        <w:pStyle w:val="Source"/>
        <w:spacing w:before="0"/>
      </w:pPr>
      <w:r w:rsidRPr="00FD7B84">
        <w:t xml:space="preserve">Source: </w:t>
      </w:r>
      <w:r>
        <w:t>Ministry of Health (2020c)</w:t>
      </w:r>
    </w:p>
    <w:p w14:paraId="511C0ED1" w14:textId="77777777" w:rsidR="00507742" w:rsidRDefault="00507742" w:rsidP="004D3F6D">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60EC02C0" w14:textId="77777777" w:rsidTr="004D3F6D">
        <w:trPr>
          <w:cantSplit/>
        </w:trPr>
        <w:tc>
          <w:tcPr>
            <w:tcW w:w="7973" w:type="dxa"/>
          </w:tcPr>
          <w:p w14:paraId="3C714836" w14:textId="77777777" w:rsidR="00507742" w:rsidRPr="001551CF" w:rsidRDefault="00507742" w:rsidP="005533E2">
            <w:pPr>
              <w:pStyle w:val="TableText"/>
              <w:ind w:right="-57"/>
              <w:rPr>
                <w:color w:val="0A6AB4"/>
                <w:spacing w:val="-4"/>
                <w:sz w:val="24"/>
                <w:szCs w:val="24"/>
              </w:rPr>
            </w:pPr>
            <w:r>
              <w:rPr>
                <w:color w:val="0A6AB4"/>
                <w:spacing w:val="-4"/>
                <w:sz w:val="24"/>
                <w:szCs w:val="24"/>
              </w:rPr>
              <w:t>The mortality rate for all cancers combined is declining, but trends differ by cancer type and sex</w:t>
            </w:r>
          </w:p>
        </w:tc>
      </w:tr>
    </w:tbl>
    <w:p w14:paraId="5932765C" w14:textId="77777777" w:rsidR="00507742" w:rsidRPr="00710B34" w:rsidRDefault="00507742" w:rsidP="004D3F6D"/>
    <w:p w14:paraId="7FF395DD" w14:textId="77777777" w:rsidR="002542AA" w:rsidRDefault="00507742" w:rsidP="004D3F6D">
      <w:r w:rsidRPr="007D038A">
        <w:t xml:space="preserve">In </w:t>
      </w:r>
      <w:r>
        <w:t>2017</w:t>
      </w:r>
      <w:r w:rsidRPr="007D038A">
        <w:t xml:space="preserve"> </w:t>
      </w:r>
      <w:r>
        <w:t xml:space="preserve">a total of </w:t>
      </w:r>
      <w:r w:rsidRPr="007D038A">
        <w:t>9,</w:t>
      </w:r>
      <w:r>
        <w:t>638</w:t>
      </w:r>
      <w:r w:rsidRPr="007D038A">
        <w:t xml:space="preserve"> people died of cancer</w:t>
      </w:r>
      <w:r>
        <w:t>. This is equivalent to 26 people dying of cancer every day. The age-standardised cancer mortality rate was 114.9</w:t>
      </w:r>
      <w:r w:rsidRPr="007D038A">
        <w:t xml:space="preserve"> per 100,000 population</w:t>
      </w:r>
      <w:r>
        <w:t xml:space="preserve"> in 2017, down from 132.7 per 100,000 in 2008</w:t>
      </w:r>
      <w:r w:rsidRPr="007D038A">
        <w:t xml:space="preserve"> (</w:t>
      </w:r>
      <w:r w:rsidRPr="0029317A">
        <w:t>Ministry of Health 20</w:t>
      </w:r>
      <w:r>
        <w:t>20c</w:t>
      </w:r>
      <w:r w:rsidRPr="007D038A">
        <w:t>).</w:t>
      </w:r>
    </w:p>
    <w:p w14:paraId="3EC93573" w14:textId="77777777" w:rsidR="004D3F6D" w:rsidRDefault="004D3F6D" w:rsidP="004D3F6D"/>
    <w:p w14:paraId="4814417D" w14:textId="77777777" w:rsidR="00507742" w:rsidRDefault="00507742" w:rsidP="004D3F6D">
      <w:r w:rsidRPr="0044465B">
        <w:t xml:space="preserve">The most common causes of cancer mortality in </w:t>
      </w:r>
      <w:r>
        <w:t>2017</w:t>
      </w:r>
      <w:r w:rsidRPr="0044465B">
        <w:t xml:space="preserve"> were lung cancer (</w:t>
      </w:r>
      <w:r>
        <w:t>1,781</w:t>
      </w:r>
      <w:r w:rsidRPr="0044465B">
        <w:t xml:space="preserve"> deaths), colorectal cancer (</w:t>
      </w:r>
      <w:r>
        <w:t>1,229</w:t>
      </w:r>
      <w:r w:rsidRPr="0044465B">
        <w:t>), prostate cancer (</w:t>
      </w:r>
      <w:r>
        <w:t>695</w:t>
      </w:r>
      <w:r w:rsidRPr="0044465B">
        <w:t>)</w:t>
      </w:r>
      <w:r>
        <w:t>,</w:t>
      </w:r>
      <w:r w:rsidRPr="0044465B">
        <w:t xml:space="preserve"> female breast cancer (</w:t>
      </w:r>
      <w:r>
        <w:t>672</w:t>
      </w:r>
      <w:r w:rsidRPr="0044465B">
        <w:t>)</w:t>
      </w:r>
      <w:r>
        <w:t xml:space="preserve"> </w:t>
      </w:r>
      <w:r w:rsidRPr="0044465B">
        <w:t xml:space="preserve">and </w:t>
      </w:r>
      <w:r>
        <w:t>pancreatic cancer (542).</w:t>
      </w:r>
      <w:r w:rsidRPr="0044465B">
        <w:t xml:space="preserve"> T</w:t>
      </w:r>
      <w:r>
        <w:t>ogether t</w:t>
      </w:r>
      <w:r w:rsidRPr="0044465B">
        <w:t>hese five cancers accounted for 5</w:t>
      </w:r>
      <w:r>
        <w:t>1</w:t>
      </w:r>
      <w:r w:rsidRPr="0044465B">
        <w:t xml:space="preserve"> percent of all cancer deaths.</w:t>
      </w:r>
    </w:p>
    <w:p w14:paraId="4C21218A" w14:textId="77777777" w:rsidR="004D3F6D" w:rsidRDefault="004D3F6D" w:rsidP="004D3F6D"/>
    <w:p w14:paraId="2E108FC3" w14:textId="237CC9A8" w:rsidR="00507742" w:rsidRDefault="004D3F6D" w:rsidP="004D3F6D">
      <w:r>
        <w:fldChar w:fldCharType="begin"/>
      </w:r>
      <w:r>
        <w:instrText xml:space="preserve"> REF _Ref57375082 \h </w:instrText>
      </w:r>
      <w:r>
        <w:fldChar w:fldCharType="separate"/>
      </w:r>
      <w:r w:rsidR="003F39AB">
        <w:t>Figure </w:t>
      </w:r>
      <w:r w:rsidR="003F39AB">
        <w:rPr>
          <w:noProof/>
        </w:rPr>
        <w:t>7</w:t>
      </w:r>
      <w:r>
        <w:fldChar w:fldCharType="end"/>
      </w:r>
      <w:r w:rsidR="00507742">
        <w:t xml:space="preserve"> shows trends in the four leading causes of cancer mortality for males and females over the last decade. </w:t>
      </w:r>
      <w:r w:rsidR="00507742" w:rsidRPr="001C4687">
        <w:t xml:space="preserve">For males, age-standardised </w:t>
      </w:r>
      <w:r w:rsidR="00507742">
        <w:t>mortality</w:t>
      </w:r>
      <w:r w:rsidR="00507742" w:rsidRPr="001C4687">
        <w:t xml:space="preserve"> rates for lung</w:t>
      </w:r>
      <w:r w:rsidR="00507742">
        <w:t xml:space="preserve"> cancer, colorectal cancer </w:t>
      </w:r>
      <w:r w:rsidR="00507742" w:rsidRPr="001C4687">
        <w:t xml:space="preserve">and </w:t>
      </w:r>
      <w:r w:rsidR="00507742">
        <w:t>prostate</w:t>
      </w:r>
      <w:r w:rsidR="00507742" w:rsidRPr="001C4687">
        <w:t xml:space="preserve"> cancer</w:t>
      </w:r>
      <w:r w:rsidR="00507742">
        <w:t xml:space="preserve"> have declined</w:t>
      </w:r>
      <w:r w:rsidR="00507742" w:rsidRPr="001C4687">
        <w:t xml:space="preserve">. For females, </w:t>
      </w:r>
      <w:r w:rsidR="00507742">
        <w:t>mortality</w:t>
      </w:r>
      <w:r w:rsidR="00507742" w:rsidRPr="001C4687">
        <w:t xml:space="preserve"> rates for </w:t>
      </w:r>
      <w:r w:rsidR="00507742">
        <w:t xml:space="preserve">breast cancer and </w:t>
      </w:r>
      <w:r w:rsidR="00507742" w:rsidRPr="001C4687">
        <w:t>colorectal cancer</w:t>
      </w:r>
      <w:r w:rsidR="00507742">
        <w:t xml:space="preserve"> have declined.</w:t>
      </w:r>
    </w:p>
    <w:p w14:paraId="4C680381" w14:textId="77777777" w:rsidR="00507742" w:rsidRDefault="00507742" w:rsidP="004D3F6D"/>
    <w:p w14:paraId="4D5B59A2" w14:textId="401C8E70" w:rsidR="00507742" w:rsidRDefault="004D3F6D" w:rsidP="004D3F6D">
      <w:pPr>
        <w:pStyle w:val="Figure"/>
      </w:pPr>
      <w:bookmarkStart w:id="99" w:name="_Ref57375082"/>
      <w:bookmarkStart w:id="100" w:name="_Toc57295964"/>
      <w:bookmarkStart w:id="101" w:name="_Toc64536264"/>
      <w:r>
        <w:lastRenderedPageBreak/>
        <w:t>Figure </w:t>
      </w:r>
      <w:fldSimple w:instr=" SEQ Figure \* ARABIC ">
        <w:r w:rsidR="003F39AB">
          <w:rPr>
            <w:noProof/>
          </w:rPr>
          <w:t>7</w:t>
        </w:r>
      </w:fldSimple>
      <w:bookmarkEnd w:id="99"/>
      <w:r w:rsidR="00507742">
        <w:t xml:space="preserve">: </w:t>
      </w:r>
      <w:r w:rsidR="00507742" w:rsidRPr="00B41EB9">
        <w:t xml:space="preserve">Cancer </w:t>
      </w:r>
      <w:r w:rsidR="00507742">
        <w:t>mortality</w:t>
      </w:r>
      <w:r w:rsidR="00507742" w:rsidRPr="00B41EB9">
        <w:t xml:space="preserve"> rate</w:t>
      </w:r>
      <w:r w:rsidR="00507742">
        <w:t>,</w:t>
      </w:r>
      <w:r w:rsidR="00507742" w:rsidRPr="00B41EB9">
        <w:t xml:space="preserve"> by cancer type and sex, </w:t>
      </w:r>
      <w:r w:rsidR="00507742">
        <w:t>2008 to 2017*</w:t>
      </w:r>
      <w:bookmarkEnd w:id="100"/>
      <w:bookmarkEnd w:id="101"/>
    </w:p>
    <w:tbl>
      <w:tblPr>
        <w:tblStyle w:val="TableGrid"/>
        <w:tblW w:w="8295" w:type="dxa"/>
        <w:tblInd w:w="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47"/>
        <w:gridCol w:w="4148"/>
      </w:tblGrid>
      <w:tr w:rsidR="001C0979" w14:paraId="78118E0C" w14:textId="77777777" w:rsidTr="008D1ED2">
        <w:trPr>
          <w:cantSplit/>
        </w:trPr>
        <w:tc>
          <w:tcPr>
            <w:tcW w:w="4147" w:type="dxa"/>
          </w:tcPr>
          <w:p w14:paraId="448A79A9" w14:textId="3267736D" w:rsidR="001C0979" w:rsidRDefault="00EC60FD" w:rsidP="001C0979">
            <w:pPr>
              <w:keepNext/>
            </w:pPr>
            <w:r w:rsidRPr="001E65C0">
              <w:rPr>
                <w:noProof/>
                <w:lang w:eastAsia="en-NZ"/>
              </w:rPr>
              <w:drawing>
                <wp:inline distT="0" distB="0" distL="0" distR="0" wp14:anchorId="45C3E235" wp14:editId="4BCFADC6">
                  <wp:extent cx="2585258" cy="1577117"/>
                  <wp:effectExtent l="0" t="0" r="5715" b="4445"/>
                  <wp:docPr id="13" name="Picture 13" descr="This line graph shows that men have the highest mortality rates for lung cancer, followed by colorectal, prostate and pancreatic cancer. The rates for lung, colorectal and prostate cancers have declined over time, while the rate for pancreatic cancer has increased sl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97202" cy="1584403"/>
                          </a:xfrm>
                          <a:prstGeom prst="rect">
                            <a:avLst/>
                          </a:prstGeom>
                        </pic:spPr>
                      </pic:pic>
                    </a:graphicData>
                  </a:graphic>
                </wp:inline>
              </w:drawing>
            </w:r>
          </w:p>
        </w:tc>
        <w:tc>
          <w:tcPr>
            <w:tcW w:w="4148" w:type="dxa"/>
          </w:tcPr>
          <w:p w14:paraId="0F6A321F" w14:textId="2623B63A" w:rsidR="001C0979" w:rsidRDefault="008D1ED2" w:rsidP="001C0979">
            <w:pPr>
              <w:keepNext/>
            </w:pPr>
            <w:r w:rsidRPr="008D1ED2">
              <w:rPr>
                <w:noProof/>
              </w:rPr>
              <w:drawing>
                <wp:inline distT="0" distB="0" distL="0" distR="0" wp14:anchorId="43129847" wp14:editId="57C9DB2B">
                  <wp:extent cx="2591867" cy="1581150"/>
                  <wp:effectExtent l="0" t="0" r="0" b="0"/>
                  <wp:docPr id="10" name="Picture 10" descr="This line graph shows that women have the highest mortality rates for lung cancer, followed by breast, colorectal and pancreatic cancer. The rates for lung, colorectal and breast cancers have declined over time, while the rate for pancreatic cancer has remained 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99235" cy="1585645"/>
                          </a:xfrm>
                          <a:prstGeom prst="rect">
                            <a:avLst/>
                          </a:prstGeom>
                        </pic:spPr>
                      </pic:pic>
                    </a:graphicData>
                  </a:graphic>
                </wp:inline>
              </w:drawing>
            </w:r>
          </w:p>
        </w:tc>
      </w:tr>
    </w:tbl>
    <w:p w14:paraId="54836ACE" w14:textId="77777777" w:rsidR="00507742" w:rsidRDefault="00507742" w:rsidP="001C0979">
      <w:pPr>
        <w:pStyle w:val="Note"/>
        <w:keepNext/>
      </w:pPr>
      <w:r w:rsidRPr="003B7F23">
        <w:t>Notes: Rates are per 100,000 population and age</w:t>
      </w:r>
      <w:r>
        <w:t>-</w:t>
      </w:r>
      <w:r w:rsidRPr="003B7F23">
        <w:t xml:space="preserve">standardised to the </w:t>
      </w:r>
      <w:r>
        <w:t>World Health Organization</w:t>
      </w:r>
      <w:r w:rsidR="002542AA">
        <w:t>’</w:t>
      </w:r>
      <w:r>
        <w:t>s</w:t>
      </w:r>
      <w:r w:rsidRPr="000226DC">
        <w:t xml:space="preserve"> </w:t>
      </w:r>
      <w:r w:rsidRPr="003B7F23">
        <w:t>world standard population.</w:t>
      </w:r>
      <w:r>
        <w:t xml:space="preserve"> *2017 mortality data is provisional.</w:t>
      </w:r>
    </w:p>
    <w:p w14:paraId="50A531D5" w14:textId="77777777" w:rsidR="00507742" w:rsidRDefault="00507742" w:rsidP="004D3F6D">
      <w:pPr>
        <w:pStyle w:val="Source"/>
        <w:spacing w:before="0"/>
      </w:pPr>
      <w:r w:rsidRPr="00FD7B84">
        <w:t xml:space="preserve">Source: </w:t>
      </w:r>
      <w:r>
        <w:t>Ministry of Health (2020c)</w:t>
      </w:r>
    </w:p>
    <w:p w14:paraId="6C759FC7" w14:textId="77777777" w:rsidR="00507742" w:rsidRDefault="00507742" w:rsidP="004D3F6D">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72A89120" w14:textId="77777777" w:rsidTr="004D3F6D">
        <w:trPr>
          <w:cantSplit/>
        </w:trPr>
        <w:tc>
          <w:tcPr>
            <w:tcW w:w="7973" w:type="dxa"/>
          </w:tcPr>
          <w:p w14:paraId="777F889B" w14:textId="77777777" w:rsidR="00507742" w:rsidRPr="001551CF" w:rsidRDefault="00507742" w:rsidP="005533E2">
            <w:pPr>
              <w:pStyle w:val="TableText"/>
              <w:ind w:right="-57"/>
              <w:rPr>
                <w:color w:val="0A6AB4"/>
                <w:spacing w:val="-4"/>
                <w:sz w:val="24"/>
                <w:szCs w:val="24"/>
              </w:rPr>
            </w:pPr>
            <w:r>
              <w:rPr>
                <w:color w:val="0A6AB4"/>
                <w:spacing w:val="-4"/>
                <w:sz w:val="24"/>
                <w:szCs w:val="24"/>
              </w:rPr>
              <w:t xml:space="preserve">Cancer incidence and mortality rates are higher among </w:t>
            </w:r>
            <w:r w:rsidR="004D3F6D">
              <w:rPr>
                <w:color w:val="0A6AB4"/>
                <w:spacing w:val="-4"/>
                <w:sz w:val="24"/>
                <w:szCs w:val="24"/>
              </w:rPr>
              <w:t>Māori</w:t>
            </w:r>
          </w:p>
        </w:tc>
      </w:tr>
    </w:tbl>
    <w:p w14:paraId="47D46B57" w14:textId="77777777" w:rsidR="00507742" w:rsidRPr="00710B34" w:rsidRDefault="00507742" w:rsidP="004D3F6D"/>
    <w:p w14:paraId="3B26C60B" w14:textId="7D1C639F" w:rsidR="00507742" w:rsidRDefault="00507742" w:rsidP="004D3F6D">
      <w:r w:rsidRPr="00AA277F">
        <w:t xml:space="preserve">Cancer incidence and mortality rates are higher in Māori than </w:t>
      </w:r>
      <w:r>
        <w:t xml:space="preserve">in </w:t>
      </w:r>
      <w:r w:rsidRPr="00AA277F">
        <w:t>non-Māori (</w:t>
      </w:r>
      <w:r w:rsidR="004D3F6D">
        <w:fldChar w:fldCharType="begin"/>
      </w:r>
      <w:r w:rsidR="004D3F6D">
        <w:instrText xml:space="preserve"> REF _Ref57375136 \h </w:instrText>
      </w:r>
      <w:r w:rsidR="004D3F6D">
        <w:fldChar w:fldCharType="separate"/>
      </w:r>
      <w:r w:rsidR="003F39AB">
        <w:t>Table </w:t>
      </w:r>
      <w:r w:rsidR="003F39AB">
        <w:rPr>
          <w:noProof/>
        </w:rPr>
        <w:t>9</w:t>
      </w:r>
      <w:r w:rsidR="004D3F6D">
        <w:fldChar w:fldCharType="end"/>
      </w:r>
      <w:r w:rsidRPr="00AA277F">
        <w:t>). A</w:t>
      </w:r>
      <w:r w:rsidR="004D3F6D">
        <w:t> </w:t>
      </w:r>
      <w:r>
        <w:t xml:space="preserve">comprehensive analysis done to inform the </w:t>
      </w:r>
      <w:r w:rsidRPr="00DA4D13">
        <w:t>Wai 2575 Health Services and Outcomes Kaupapa Inquiry (Wai 2575)</w:t>
      </w:r>
      <w:r>
        <w:t xml:space="preserve"> showed that the gap in cancer incidence and mortality between Māori and non-Māori did not change significantly between 1996</w:t>
      </w:r>
      <w:r w:rsidRPr="00A54EC4">
        <w:t>–</w:t>
      </w:r>
      <w:r>
        <w:t>98 and 2012</w:t>
      </w:r>
      <w:r w:rsidRPr="00A54EC4">
        <w:t>–</w:t>
      </w:r>
      <w:r>
        <w:t xml:space="preserve">14 </w:t>
      </w:r>
      <w:r w:rsidRPr="00931749">
        <w:t xml:space="preserve">(Ministry of Health </w:t>
      </w:r>
      <w:r w:rsidR="00CE7557" w:rsidRPr="00931749">
        <w:t>2019</w:t>
      </w:r>
      <w:r w:rsidR="006D41BC">
        <w:t>d</w:t>
      </w:r>
      <w:r w:rsidRPr="00931749">
        <w:t>).</w:t>
      </w:r>
      <w:r>
        <w:t xml:space="preserve"> The inequities were particularly marked for the incidence and mortality of lung, stomach and liver cancers. For breast and cervical cancers, the gap was greater for mortality than for incidence.</w:t>
      </w:r>
    </w:p>
    <w:p w14:paraId="59885AE1" w14:textId="77777777" w:rsidR="00507742" w:rsidRDefault="00507742" w:rsidP="004D3F6D"/>
    <w:p w14:paraId="5F133D22" w14:textId="19E618CC" w:rsidR="00507742" w:rsidRPr="007D038A" w:rsidRDefault="004D3F6D" w:rsidP="004D3F6D">
      <w:pPr>
        <w:pStyle w:val="Table"/>
      </w:pPr>
      <w:bookmarkStart w:id="102" w:name="_Ref57375136"/>
      <w:bookmarkStart w:id="103" w:name="_Toc57273373"/>
      <w:bookmarkStart w:id="104" w:name="_Toc64536291"/>
      <w:r>
        <w:t>Table </w:t>
      </w:r>
      <w:fldSimple w:instr=" SEQ Table \* ARABIC ">
        <w:r w:rsidR="003F39AB">
          <w:rPr>
            <w:noProof/>
          </w:rPr>
          <w:t>9</w:t>
        </w:r>
      </w:fldSimple>
      <w:bookmarkEnd w:id="102"/>
      <w:r w:rsidR="00507742" w:rsidRPr="007D038A">
        <w:t xml:space="preserve">: Cancer </w:t>
      </w:r>
      <w:r w:rsidR="00507742">
        <w:t>incidence</w:t>
      </w:r>
      <w:r w:rsidR="00507742" w:rsidRPr="007D038A">
        <w:t xml:space="preserve"> and mortality rates, Māori and non-Māori</w:t>
      </w:r>
      <w:r w:rsidR="00507742">
        <w:t xml:space="preserve">, </w:t>
      </w:r>
      <w:bookmarkEnd w:id="103"/>
      <w:r w:rsidR="009B29CA">
        <w:t>2017</w:t>
      </w:r>
      <w:bookmarkEnd w:id="104"/>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701"/>
        <w:gridCol w:w="1594"/>
        <w:gridCol w:w="1595"/>
        <w:gridCol w:w="1595"/>
        <w:gridCol w:w="1595"/>
      </w:tblGrid>
      <w:tr w:rsidR="00507742" w:rsidRPr="004D3F6D" w14:paraId="61B6BB2D" w14:textId="77777777" w:rsidTr="004D3F6D">
        <w:trPr>
          <w:cantSplit/>
        </w:trPr>
        <w:tc>
          <w:tcPr>
            <w:tcW w:w="1701" w:type="dxa"/>
            <w:vMerge w:val="restart"/>
            <w:tcBorders>
              <w:top w:val="nil"/>
              <w:bottom w:val="nil"/>
              <w:right w:val="single" w:sz="4" w:space="0" w:color="A6A6A6" w:themeColor="background1" w:themeShade="A6"/>
            </w:tcBorders>
            <w:shd w:val="clear" w:color="auto" w:fill="D9D9D9" w:themeFill="background1" w:themeFillShade="D9"/>
          </w:tcPr>
          <w:p w14:paraId="001D2190" w14:textId="77777777" w:rsidR="00507742" w:rsidRPr="004D3F6D" w:rsidRDefault="00507742" w:rsidP="004D3F6D">
            <w:pPr>
              <w:pStyle w:val="TableText"/>
              <w:rPr>
                <w:b/>
              </w:rPr>
            </w:pPr>
            <w:r w:rsidRPr="004D3F6D">
              <w:rPr>
                <w:b/>
              </w:rPr>
              <w:t>Ethnic group</w:t>
            </w:r>
          </w:p>
        </w:tc>
        <w:tc>
          <w:tcPr>
            <w:tcW w:w="3189" w:type="dxa"/>
            <w:gridSpan w:val="2"/>
            <w:tcBorders>
              <w:top w:val="nil"/>
              <w:left w:val="single" w:sz="4" w:space="0" w:color="A6A6A6" w:themeColor="background1" w:themeShade="A6"/>
              <w:bottom w:val="nil"/>
              <w:right w:val="single" w:sz="4" w:space="0" w:color="A6A6A6" w:themeColor="background1" w:themeShade="A6"/>
            </w:tcBorders>
            <w:shd w:val="clear" w:color="auto" w:fill="D9D9D9" w:themeFill="background1" w:themeFillShade="D9"/>
          </w:tcPr>
          <w:p w14:paraId="789D4D7A" w14:textId="77777777" w:rsidR="00507742" w:rsidRPr="004D3F6D" w:rsidRDefault="00507742" w:rsidP="004D3F6D">
            <w:pPr>
              <w:pStyle w:val="TableText"/>
              <w:jc w:val="center"/>
              <w:rPr>
                <w:b/>
              </w:rPr>
            </w:pPr>
            <w:r w:rsidRPr="004D3F6D">
              <w:rPr>
                <w:b/>
              </w:rPr>
              <w:t>Registration rate</w:t>
            </w:r>
          </w:p>
        </w:tc>
        <w:tc>
          <w:tcPr>
            <w:tcW w:w="3190" w:type="dxa"/>
            <w:gridSpan w:val="2"/>
            <w:tcBorders>
              <w:top w:val="nil"/>
              <w:left w:val="single" w:sz="4" w:space="0" w:color="A6A6A6" w:themeColor="background1" w:themeShade="A6"/>
              <w:bottom w:val="nil"/>
            </w:tcBorders>
            <w:shd w:val="clear" w:color="auto" w:fill="D9D9D9" w:themeFill="background1" w:themeFillShade="D9"/>
          </w:tcPr>
          <w:p w14:paraId="45B23C0E" w14:textId="77777777" w:rsidR="00507742" w:rsidRPr="004D3F6D" w:rsidRDefault="00507742" w:rsidP="004D3F6D">
            <w:pPr>
              <w:pStyle w:val="TableText"/>
              <w:jc w:val="center"/>
              <w:rPr>
                <w:b/>
              </w:rPr>
            </w:pPr>
            <w:r w:rsidRPr="004D3F6D">
              <w:rPr>
                <w:b/>
              </w:rPr>
              <w:t>Death rate</w:t>
            </w:r>
          </w:p>
        </w:tc>
      </w:tr>
      <w:tr w:rsidR="00507742" w:rsidRPr="004D3F6D" w14:paraId="34DFB5AB" w14:textId="77777777" w:rsidTr="004D3F6D">
        <w:trPr>
          <w:cantSplit/>
        </w:trPr>
        <w:tc>
          <w:tcPr>
            <w:tcW w:w="1701" w:type="dxa"/>
            <w:vMerge/>
            <w:tcBorders>
              <w:top w:val="nil"/>
              <w:bottom w:val="nil"/>
              <w:right w:val="single" w:sz="4" w:space="0" w:color="A6A6A6" w:themeColor="background1" w:themeShade="A6"/>
            </w:tcBorders>
            <w:shd w:val="clear" w:color="auto" w:fill="D9D9D9" w:themeFill="background1" w:themeFillShade="D9"/>
          </w:tcPr>
          <w:p w14:paraId="3A37A23D" w14:textId="77777777" w:rsidR="00507742" w:rsidRPr="004D3F6D" w:rsidRDefault="00507742" w:rsidP="004D3F6D">
            <w:pPr>
              <w:pStyle w:val="TableText"/>
              <w:rPr>
                <w:b/>
                <w:sz w:val="2"/>
                <w:szCs w:val="2"/>
              </w:rPr>
            </w:pPr>
          </w:p>
        </w:tc>
        <w:tc>
          <w:tcPr>
            <w:tcW w:w="1594" w:type="dxa"/>
            <w:tcBorders>
              <w:top w:val="nil"/>
              <w:left w:val="single" w:sz="4" w:space="0" w:color="A6A6A6" w:themeColor="background1" w:themeShade="A6"/>
              <w:bottom w:val="nil"/>
            </w:tcBorders>
            <w:shd w:val="clear" w:color="auto" w:fill="D9D9D9" w:themeFill="background1" w:themeFillShade="D9"/>
          </w:tcPr>
          <w:p w14:paraId="0357BF6D" w14:textId="77777777" w:rsidR="00507742" w:rsidRPr="004D3F6D" w:rsidRDefault="00507742" w:rsidP="004D3F6D">
            <w:pPr>
              <w:pStyle w:val="TableText"/>
              <w:spacing w:before="0"/>
              <w:jc w:val="center"/>
              <w:rPr>
                <w:b/>
              </w:rPr>
            </w:pPr>
            <w:r w:rsidRPr="004D3F6D">
              <w:rPr>
                <w:b/>
              </w:rPr>
              <w:t>Male</w:t>
            </w:r>
          </w:p>
        </w:tc>
        <w:tc>
          <w:tcPr>
            <w:tcW w:w="1595" w:type="dxa"/>
            <w:tcBorders>
              <w:top w:val="nil"/>
              <w:bottom w:val="nil"/>
              <w:right w:val="single" w:sz="4" w:space="0" w:color="A6A6A6" w:themeColor="background1" w:themeShade="A6"/>
            </w:tcBorders>
            <w:shd w:val="clear" w:color="auto" w:fill="D9D9D9" w:themeFill="background1" w:themeFillShade="D9"/>
          </w:tcPr>
          <w:p w14:paraId="58577417" w14:textId="77777777" w:rsidR="00507742" w:rsidRPr="004D3F6D" w:rsidRDefault="00507742" w:rsidP="004D3F6D">
            <w:pPr>
              <w:pStyle w:val="TableText"/>
              <w:spacing w:before="0"/>
              <w:jc w:val="center"/>
              <w:rPr>
                <w:b/>
              </w:rPr>
            </w:pPr>
            <w:r w:rsidRPr="004D3F6D">
              <w:rPr>
                <w:b/>
              </w:rPr>
              <w:t>Female</w:t>
            </w:r>
          </w:p>
        </w:tc>
        <w:tc>
          <w:tcPr>
            <w:tcW w:w="1595" w:type="dxa"/>
            <w:tcBorders>
              <w:top w:val="nil"/>
              <w:left w:val="single" w:sz="4" w:space="0" w:color="A6A6A6" w:themeColor="background1" w:themeShade="A6"/>
              <w:bottom w:val="nil"/>
            </w:tcBorders>
            <w:shd w:val="clear" w:color="auto" w:fill="D9D9D9" w:themeFill="background1" w:themeFillShade="D9"/>
          </w:tcPr>
          <w:p w14:paraId="2E0D78BD" w14:textId="77777777" w:rsidR="00507742" w:rsidRPr="004D3F6D" w:rsidRDefault="00507742" w:rsidP="004D3F6D">
            <w:pPr>
              <w:pStyle w:val="TableText"/>
              <w:spacing w:before="0"/>
              <w:jc w:val="center"/>
              <w:rPr>
                <w:b/>
              </w:rPr>
            </w:pPr>
            <w:r w:rsidRPr="004D3F6D">
              <w:rPr>
                <w:b/>
              </w:rPr>
              <w:t>Male</w:t>
            </w:r>
          </w:p>
        </w:tc>
        <w:tc>
          <w:tcPr>
            <w:tcW w:w="1595" w:type="dxa"/>
            <w:tcBorders>
              <w:top w:val="nil"/>
              <w:bottom w:val="nil"/>
            </w:tcBorders>
            <w:shd w:val="clear" w:color="auto" w:fill="D9D9D9" w:themeFill="background1" w:themeFillShade="D9"/>
          </w:tcPr>
          <w:p w14:paraId="55DDB117" w14:textId="77777777" w:rsidR="00507742" w:rsidRPr="004D3F6D" w:rsidRDefault="00507742" w:rsidP="004D3F6D">
            <w:pPr>
              <w:pStyle w:val="TableText"/>
              <w:spacing w:before="0"/>
              <w:jc w:val="center"/>
              <w:rPr>
                <w:b/>
              </w:rPr>
            </w:pPr>
            <w:r w:rsidRPr="004D3F6D">
              <w:rPr>
                <w:b/>
              </w:rPr>
              <w:t>Female</w:t>
            </w:r>
          </w:p>
        </w:tc>
      </w:tr>
      <w:tr w:rsidR="00507742" w:rsidRPr="00432655" w14:paraId="23E8D8D3" w14:textId="77777777" w:rsidTr="004D3F6D">
        <w:trPr>
          <w:cantSplit/>
        </w:trPr>
        <w:tc>
          <w:tcPr>
            <w:tcW w:w="1701" w:type="dxa"/>
            <w:tcBorders>
              <w:top w:val="nil"/>
              <w:right w:val="single" w:sz="4" w:space="0" w:color="A6A6A6" w:themeColor="background1" w:themeShade="A6"/>
            </w:tcBorders>
            <w:shd w:val="clear" w:color="auto" w:fill="auto"/>
          </w:tcPr>
          <w:p w14:paraId="054933B2" w14:textId="77777777" w:rsidR="00507742" w:rsidRPr="00432655" w:rsidRDefault="00507742" w:rsidP="004D3F6D">
            <w:pPr>
              <w:pStyle w:val="TableText"/>
            </w:pPr>
            <w:r w:rsidRPr="00432655">
              <w:t>Māori</w:t>
            </w:r>
          </w:p>
        </w:tc>
        <w:tc>
          <w:tcPr>
            <w:tcW w:w="1594" w:type="dxa"/>
            <w:tcBorders>
              <w:top w:val="nil"/>
              <w:left w:val="single" w:sz="4" w:space="0" w:color="A6A6A6" w:themeColor="background1" w:themeShade="A6"/>
            </w:tcBorders>
            <w:shd w:val="clear" w:color="auto" w:fill="auto"/>
          </w:tcPr>
          <w:p w14:paraId="6450ED95" w14:textId="3F4B4993" w:rsidR="00507742" w:rsidRPr="00432655" w:rsidRDefault="009B29CA" w:rsidP="004D3F6D">
            <w:pPr>
              <w:pStyle w:val="TableText"/>
              <w:jc w:val="center"/>
            </w:pPr>
            <w:r>
              <w:t>422.9</w:t>
            </w:r>
          </w:p>
        </w:tc>
        <w:tc>
          <w:tcPr>
            <w:tcW w:w="1595" w:type="dxa"/>
            <w:tcBorders>
              <w:top w:val="nil"/>
              <w:right w:val="single" w:sz="4" w:space="0" w:color="A6A6A6" w:themeColor="background1" w:themeShade="A6"/>
            </w:tcBorders>
            <w:shd w:val="clear" w:color="auto" w:fill="auto"/>
          </w:tcPr>
          <w:p w14:paraId="0FB756A2" w14:textId="46526AE3" w:rsidR="00507742" w:rsidRPr="00432655" w:rsidRDefault="009B29CA" w:rsidP="004D3F6D">
            <w:pPr>
              <w:pStyle w:val="TableText"/>
              <w:jc w:val="center"/>
            </w:pPr>
            <w:r>
              <w:t>437.9</w:t>
            </w:r>
          </w:p>
        </w:tc>
        <w:tc>
          <w:tcPr>
            <w:tcW w:w="1595" w:type="dxa"/>
            <w:tcBorders>
              <w:top w:val="nil"/>
              <w:left w:val="single" w:sz="4" w:space="0" w:color="A6A6A6" w:themeColor="background1" w:themeShade="A6"/>
            </w:tcBorders>
          </w:tcPr>
          <w:p w14:paraId="07832EBE" w14:textId="62DB622D" w:rsidR="00507742" w:rsidRPr="00432655" w:rsidRDefault="009B29CA" w:rsidP="004D3F6D">
            <w:pPr>
              <w:pStyle w:val="TableText"/>
              <w:jc w:val="center"/>
            </w:pPr>
            <w:r>
              <w:t>214.3</w:t>
            </w:r>
          </w:p>
        </w:tc>
        <w:tc>
          <w:tcPr>
            <w:tcW w:w="1595" w:type="dxa"/>
            <w:tcBorders>
              <w:top w:val="nil"/>
            </w:tcBorders>
          </w:tcPr>
          <w:p w14:paraId="4EA4D0BE" w14:textId="15523EC7" w:rsidR="00507742" w:rsidRPr="00432655" w:rsidRDefault="009B29CA" w:rsidP="004D3F6D">
            <w:pPr>
              <w:pStyle w:val="TableText"/>
              <w:tabs>
                <w:tab w:val="decimal" w:pos="829"/>
              </w:tabs>
            </w:pPr>
            <w:r>
              <w:t>173.3</w:t>
            </w:r>
          </w:p>
        </w:tc>
      </w:tr>
      <w:tr w:rsidR="00507742" w:rsidRPr="007D038A" w14:paraId="71D92B21" w14:textId="77777777" w:rsidTr="004D3F6D">
        <w:trPr>
          <w:cantSplit/>
        </w:trPr>
        <w:tc>
          <w:tcPr>
            <w:tcW w:w="1701" w:type="dxa"/>
            <w:tcBorders>
              <w:right w:val="single" w:sz="4" w:space="0" w:color="A6A6A6" w:themeColor="background1" w:themeShade="A6"/>
            </w:tcBorders>
            <w:shd w:val="clear" w:color="auto" w:fill="auto"/>
          </w:tcPr>
          <w:p w14:paraId="36D2DB4A" w14:textId="77777777" w:rsidR="00507742" w:rsidRPr="00432655" w:rsidRDefault="00507742" w:rsidP="004D3F6D">
            <w:pPr>
              <w:pStyle w:val="TableText"/>
            </w:pPr>
            <w:r w:rsidRPr="00432655">
              <w:t>Non-Māori</w:t>
            </w:r>
          </w:p>
        </w:tc>
        <w:tc>
          <w:tcPr>
            <w:tcW w:w="1594" w:type="dxa"/>
            <w:tcBorders>
              <w:left w:val="single" w:sz="4" w:space="0" w:color="A6A6A6" w:themeColor="background1" w:themeShade="A6"/>
            </w:tcBorders>
            <w:shd w:val="clear" w:color="auto" w:fill="auto"/>
          </w:tcPr>
          <w:p w14:paraId="5233680B" w14:textId="0F3F1763" w:rsidR="00507742" w:rsidRPr="00432655" w:rsidRDefault="009B29CA" w:rsidP="004D3F6D">
            <w:pPr>
              <w:pStyle w:val="TableText"/>
              <w:jc w:val="center"/>
            </w:pPr>
            <w:r>
              <w:t>354.9</w:t>
            </w:r>
          </w:p>
        </w:tc>
        <w:tc>
          <w:tcPr>
            <w:tcW w:w="1595" w:type="dxa"/>
            <w:tcBorders>
              <w:right w:val="single" w:sz="4" w:space="0" w:color="A6A6A6" w:themeColor="background1" w:themeShade="A6"/>
            </w:tcBorders>
            <w:shd w:val="clear" w:color="auto" w:fill="auto"/>
          </w:tcPr>
          <w:p w14:paraId="192B56C0" w14:textId="0270E232" w:rsidR="00507742" w:rsidRPr="007D038A" w:rsidRDefault="009B29CA" w:rsidP="004D3F6D">
            <w:pPr>
              <w:pStyle w:val="TableText"/>
              <w:jc w:val="center"/>
            </w:pPr>
            <w:r>
              <w:t>291.0</w:t>
            </w:r>
          </w:p>
        </w:tc>
        <w:tc>
          <w:tcPr>
            <w:tcW w:w="1595" w:type="dxa"/>
            <w:tcBorders>
              <w:left w:val="single" w:sz="4" w:space="0" w:color="A6A6A6" w:themeColor="background1" w:themeShade="A6"/>
            </w:tcBorders>
          </w:tcPr>
          <w:p w14:paraId="2EABB4AE" w14:textId="3FA2589A" w:rsidR="00507742" w:rsidRPr="007D038A" w:rsidRDefault="009B29CA" w:rsidP="004D3F6D">
            <w:pPr>
              <w:pStyle w:val="TableText"/>
              <w:jc w:val="center"/>
            </w:pPr>
            <w:r>
              <w:t>123.9</w:t>
            </w:r>
          </w:p>
        </w:tc>
        <w:tc>
          <w:tcPr>
            <w:tcW w:w="1595" w:type="dxa"/>
          </w:tcPr>
          <w:p w14:paraId="0C3F4225" w14:textId="522DEDE1" w:rsidR="00507742" w:rsidRPr="007D038A" w:rsidRDefault="009B29CA" w:rsidP="004D3F6D">
            <w:pPr>
              <w:pStyle w:val="TableText"/>
              <w:tabs>
                <w:tab w:val="decimal" w:pos="829"/>
              </w:tabs>
            </w:pPr>
            <w:r>
              <w:t>94.4</w:t>
            </w:r>
          </w:p>
        </w:tc>
      </w:tr>
      <w:tr w:rsidR="00507742" w:rsidRPr="007D038A" w14:paraId="34B71984" w14:textId="77777777" w:rsidTr="004D3F6D">
        <w:trPr>
          <w:cantSplit/>
        </w:trPr>
        <w:tc>
          <w:tcPr>
            <w:tcW w:w="1701" w:type="dxa"/>
            <w:tcBorders>
              <w:right w:val="single" w:sz="4" w:space="0" w:color="A6A6A6" w:themeColor="background1" w:themeShade="A6"/>
            </w:tcBorders>
            <w:shd w:val="clear" w:color="auto" w:fill="auto"/>
          </w:tcPr>
          <w:p w14:paraId="335878D7" w14:textId="77777777" w:rsidR="00507742" w:rsidRPr="007D038A" w:rsidRDefault="00507742" w:rsidP="004D3F6D">
            <w:pPr>
              <w:pStyle w:val="TableText"/>
            </w:pPr>
            <w:r w:rsidRPr="007D038A">
              <w:t>All</w:t>
            </w:r>
          </w:p>
        </w:tc>
        <w:tc>
          <w:tcPr>
            <w:tcW w:w="1594" w:type="dxa"/>
            <w:tcBorders>
              <w:left w:val="single" w:sz="4" w:space="0" w:color="A6A6A6" w:themeColor="background1" w:themeShade="A6"/>
            </w:tcBorders>
            <w:shd w:val="clear" w:color="auto" w:fill="auto"/>
          </w:tcPr>
          <w:p w14:paraId="6420A0A7" w14:textId="470BAABA" w:rsidR="00507742" w:rsidRPr="007D038A" w:rsidRDefault="009B29CA" w:rsidP="004D3F6D">
            <w:pPr>
              <w:pStyle w:val="TableText"/>
              <w:jc w:val="center"/>
            </w:pPr>
            <w:r>
              <w:t>363.0</w:t>
            </w:r>
          </w:p>
        </w:tc>
        <w:tc>
          <w:tcPr>
            <w:tcW w:w="1595" w:type="dxa"/>
            <w:tcBorders>
              <w:right w:val="single" w:sz="4" w:space="0" w:color="A6A6A6" w:themeColor="background1" w:themeShade="A6"/>
            </w:tcBorders>
            <w:shd w:val="clear" w:color="auto" w:fill="auto"/>
          </w:tcPr>
          <w:p w14:paraId="52C00A9F" w14:textId="25A1812E" w:rsidR="00507742" w:rsidRPr="007D038A" w:rsidRDefault="009B29CA" w:rsidP="004D3F6D">
            <w:pPr>
              <w:pStyle w:val="TableText"/>
              <w:jc w:val="center"/>
            </w:pPr>
            <w:r>
              <w:t>306.1</w:t>
            </w:r>
          </w:p>
        </w:tc>
        <w:tc>
          <w:tcPr>
            <w:tcW w:w="1595" w:type="dxa"/>
            <w:tcBorders>
              <w:left w:val="single" w:sz="4" w:space="0" w:color="A6A6A6" w:themeColor="background1" w:themeShade="A6"/>
            </w:tcBorders>
          </w:tcPr>
          <w:p w14:paraId="2C645B71" w14:textId="3FE592DC" w:rsidR="00507742" w:rsidRPr="007D038A" w:rsidRDefault="009B29CA" w:rsidP="004D3F6D">
            <w:pPr>
              <w:pStyle w:val="TableText"/>
              <w:jc w:val="center"/>
            </w:pPr>
            <w:r>
              <w:t>131.2</w:t>
            </w:r>
          </w:p>
        </w:tc>
        <w:tc>
          <w:tcPr>
            <w:tcW w:w="1595" w:type="dxa"/>
          </w:tcPr>
          <w:p w14:paraId="2114C430" w14:textId="653FD0E5" w:rsidR="00507742" w:rsidRPr="007D038A" w:rsidRDefault="009B29CA" w:rsidP="004D3F6D">
            <w:pPr>
              <w:pStyle w:val="TableText"/>
              <w:tabs>
                <w:tab w:val="decimal" w:pos="829"/>
              </w:tabs>
            </w:pPr>
            <w:r>
              <w:t>101.9</w:t>
            </w:r>
          </w:p>
        </w:tc>
      </w:tr>
    </w:tbl>
    <w:p w14:paraId="6F5A99A4" w14:textId="77777777" w:rsidR="00507742" w:rsidRDefault="00507742" w:rsidP="004D3F6D">
      <w:pPr>
        <w:pStyle w:val="Note"/>
      </w:pPr>
      <w:r w:rsidRPr="007D038A">
        <w:t xml:space="preserve">Note: Rates are per 100,000 population and age-standardised to the </w:t>
      </w:r>
      <w:r>
        <w:t>World Health Organization</w:t>
      </w:r>
      <w:r w:rsidR="002542AA">
        <w:t>’</w:t>
      </w:r>
      <w:r>
        <w:t>s</w:t>
      </w:r>
      <w:r w:rsidRPr="007D038A">
        <w:t xml:space="preserve"> world standard population</w:t>
      </w:r>
      <w:r w:rsidRPr="007D038A">
        <w:rPr>
          <w:sz w:val="23"/>
        </w:rPr>
        <w:t>.</w:t>
      </w:r>
    </w:p>
    <w:p w14:paraId="01C52DBB" w14:textId="5C3DCC43" w:rsidR="00507742" w:rsidRDefault="00507742" w:rsidP="004D3F6D">
      <w:pPr>
        <w:pStyle w:val="Source"/>
        <w:spacing w:before="0"/>
      </w:pPr>
      <w:r w:rsidRPr="00AF7928">
        <w:t xml:space="preserve">Source: Ministry of Health </w:t>
      </w:r>
      <w:r>
        <w:t>(</w:t>
      </w:r>
      <w:r w:rsidR="00CE7557" w:rsidRPr="00AF7928">
        <w:t>2019</w:t>
      </w:r>
      <w:r w:rsidR="006D41BC">
        <w:t>b</w:t>
      </w:r>
      <w:r w:rsidR="0032753F">
        <w:t>, 2020c</w:t>
      </w:r>
      <w:r>
        <w:t>)</w:t>
      </w:r>
    </w:p>
    <w:p w14:paraId="047809DF" w14:textId="77777777" w:rsidR="00507742" w:rsidRPr="00AF3EA9" w:rsidRDefault="00507742" w:rsidP="004D3F6D">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2BAE75C6" w14:textId="77777777" w:rsidTr="004D3F6D">
        <w:trPr>
          <w:cantSplit/>
        </w:trPr>
        <w:tc>
          <w:tcPr>
            <w:tcW w:w="7973" w:type="dxa"/>
          </w:tcPr>
          <w:p w14:paraId="0C1F6691" w14:textId="77777777" w:rsidR="00507742" w:rsidRPr="001551CF" w:rsidRDefault="00507742" w:rsidP="005533E2">
            <w:pPr>
              <w:pStyle w:val="TableText"/>
              <w:ind w:right="-57"/>
              <w:rPr>
                <w:color w:val="0A6AB4"/>
                <w:spacing w:val="-4"/>
                <w:sz w:val="24"/>
                <w:szCs w:val="24"/>
              </w:rPr>
            </w:pPr>
            <w:r>
              <w:rPr>
                <w:color w:val="0A6AB4"/>
                <w:spacing w:val="-4"/>
                <w:sz w:val="24"/>
                <w:szCs w:val="24"/>
              </w:rPr>
              <w:t>Cancer mortality rates are higher among Pacific peoples</w:t>
            </w:r>
          </w:p>
        </w:tc>
      </w:tr>
    </w:tbl>
    <w:p w14:paraId="5EE904D9" w14:textId="77777777" w:rsidR="00507742" w:rsidRPr="00710B34" w:rsidRDefault="00507742" w:rsidP="004D3F6D"/>
    <w:p w14:paraId="2C6BDC90" w14:textId="77777777" w:rsidR="002542AA" w:rsidRDefault="00507742" w:rsidP="004D3F6D">
      <w:r>
        <w:t>A detailed analysis of cancer deaths from 2006 to 2011 showed that cancer mortality rates are declining for Pacific peoples, but not as quickly as for European and other ethnic groups and they remain significantly higher for Pacific than for non-Pacific ethnic groups (Teng et al 2016). The cancers contributing most to inequities in cancer death rates are lung cancer (Pacific men), breast cancer (Pacific women) and stomach cancers (Pacific men and women).</w:t>
      </w:r>
    </w:p>
    <w:p w14:paraId="40F95116" w14:textId="77777777" w:rsidR="004D3F6D" w:rsidRDefault="004D3F6D" w:rsidP="004D3F6D"/>
    <w:p w14:paraId="37A88B7D" w14:textId="77777777" w:rsidR="00507742" w:rsidRPr="007D038A" w:rsidRDefault="00507742" w:rsidP="004D3F6D">
      <w:pPr>
        <w:pStyle w:val="Heading2"/>
      </w:pPr>
      <w:bookmarkStart w:id="105" w:name="_TOC_250015"/>
      <w:bookmarkStart w:id="106" w:name="_Toc57295676"/>
      <w:bookmarkStart w:id="107" w:name="_Toc64536244"/>
      <w:r w:rsidRPr="007D038A">
        <w:lastRenderedPageBreak/>
        <w:t xml:space="preserve">Cardiovascular and cerebrovascular </w:t>
      </w:r>
      <w:bookmarkEnd w:id="105"/>
      <w:r w:rsidRPr="007D038A">
        <w:t>diseases</w:t>
      </w:r>
      <w:bookmarkEnd w:id="106"/>
      <w:bookmarkEnd w:id="107"/>
    </w:p>
    <w:p w14:paraId="57FC13B9" w14:textId="0154E978" w:rsidR="00507742" w:rsidRDefault="00507742" w:rsidP="004D3F6D">
      <w:r w:rsidRPr="007D038A">
        <w:t>Cardiovascular and cerebrovascular diseases</w:t>
      </w:r>
      <w:r>
        <w:t xml:space="preserve"> together</w:t>
      </w:r>
      <w:r w:rsidRPr="007D038A">
        <w:t xml:space="preserve"> account for </w:t>
      </w:r>
      <w:r>
        <w:t>15.1</w:t>
      </w:r>
      <w:r w:rsidRPr="007D038A">
        <w:t xml:space="preserve"> percent of </w:t>
      </w:r>
      <w:r>
        <w:t>all health loss</w:t>
      </w:r>
      <w:r w:rsidRPr="007D038A">
        <w:t xml:space="preserve"> (</w:t>
      </w:r>
      <w:r>
        <w:t>Global Burden of Disease Collaborative Network 2020</w:t>
      </w:r>
      <w:r w:rsidRPr="007D038A">
        <w:t>). Ischaemic heart disease and stroke are the leading causes within this group.</w:t>
      </w:r>
      <w:r>
        <w:t xml:space="preserve"> It is possible to avoid most of this health loss through a combination of prevention and treatment. Risk factors that can be modified include smoking, high blood pressure, poor diet, physical inactivity, obesity and diabetes. A person has a greater chance of surviving heart disease and stroke through early detection, effective treatment and rehabilitation.</w:t>
      </w:r>
    </w:p>
    <w:p w14:paraId="318D5079" w14:textId="77777777" w:rsidR="0060743C" w:rsidRDefault="0060743C" w:rsidP="004D3F6D"/>
    <w:p w14:paraId="7C8D8DD3" w14:textId="77777777" w:rsidR="004D3F6D" w:rsidRDefault="004D3F6D" w:rsidP="004D3F6D"/>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5AE6731B" w14:textId="77777777" w:rsidTr="00572CF6">
        <w:trPr>
          <w:cantSplit/>
        </w:trPr>
        <w:tc>
          <w:tcPr>
            <w:tcW w:w="7973" w:type="dxa"/>
          </w:tcPr>
          <w:p w14:paraId="17956F95" w14:textId="77777777" w:rsidR="00507742" w:rsidRPr="00933A6B" w:rsidRDefault="00507742" w:rsidP="005533E2">
            <w:pPr>
              <w:pStyle w:val="TableText"/>
              <w:ind w:right="-57"/>
              <w:rPr>
                <w:color w:val="0A6AB4"/>
                <w:sz w:val="24"/>
                <w:szCs w:val="24"/>
              </w:rPr>
            </w:pPr>
            <w:bookmarkStart w:id="108" w:name="_Hlk56348893"/>
            <w:r w:rsidRPr="003E78B5">
              <w:rPr>
                <w:color w:val="0A6AB4"/>
                <w:sz w:val="24"/>
                <w:szCs w:val="24"/>
              </w:rPr>
              <w:t xml:space="preserve">Ischaemic heart disease </w:t>
            </w:r>
            <w:r>
              <w:rPr>
                <w:color w:val="0A6AB4"/>
                <w:sz w:val="24"/>
                <w:szCs w:val="24"/>
              </w:rPr>
              <w:t xml:space="preserve">remains the </w:t>
            </w:r>
            <w:r w:rsidRPr="003E78B5">
              <w:rPr>
                <w:color w:val="0A6AB4"/>
                <w:sz w:val="24"/>
                <w:szCs w:val="24"/>
              </w:rPr>
              <w:t xml:space="preserve">leading </w:t>
            </w:r>
            <w:r>
              <w:rPr>
                <w:color w:val="0A6AB4"/>
                <w:sz w:val="24"/>
                <w:szCs w:val="24"/>
              </w:rPr>
              <w:t>specific</w:t>
            </w:r>
            <w:r w:rsidRPr="003E78B5">
              <w:rPr>
                <w:color w:val="0A6AB4"/>
                <w:sz w:val="24"/>
                <w:szCs w:val="24"/>
              </w:rPr>
              <w:t xml:space="preserve"> cause of health loss</w:t>
            </w:r>
            <w:r>
              <w:rPr>
                <w:color w:val="0A6AB4"/>
                <w:sz w:val="24"/>
                <w:szCs w:val="24"/>
              </w:rPr>
              <w:t xml:space="preserve"> even though mortality from this disease has fallen substantially since the late 1960s</w:t>
            </w:r>
          </w:p>
        </w:tc>
      </w:tr>
    </w:tbl>
    <w:p w14:paraId="55DAB3B1" w14:textId="77777777" w:rsidR="00507742" w:rsidRDefault="00507742" w:rsidP="004D3F6D"/>
    <w:p w14:paraId="422C61D2" w14:textId="77777777" w:rsidR="002542AA" w:rsidRDefault="00507742" w:rsidP="004D3F6D">
      <w:r w:rsidRPr="007D038A">
        <w:t xml:space="preserve">Ischaemic heart disease is the leading </w:t>
      </w:r>
      <w:r>
        <w:t xml:space="preserve">specific </w:t>
      </w:r>
      <w:r w:rsidRPr="007D038A">
        <w:t>cause of health loss</w:t>
      </w:r>
      <w:r>
        <w:t xml:space="preserve">, accounting for </w:t>
      </w:r>
      <w:r w:rsidRPr="007D038A">
        <w:t>7</w:t>
      </w:r>
      <w:r>
        <w:t>.7</w:t>
      </w:r>
      <w:r w:rsidR="004D3F6D">
        <w:t> </w:t>
      </w:r>
      <w:r w:rsidRPr="007D038A">
        <w:t>percent of DALYs</w:t>
      </w:r>
      <w:r>
        <w:t xml:space="preserve"> in 2019</w:t>
      </w:r>
      <w:r w:rsidRPr="007D038A">
        <w:t xml:space="preserve"> (</w:t>
      </w:r>
      <w:r>
        <w:t>Global Burden of Disease Collaborative Network 2020)</w:t>
      </w:r>
      <w:r w:rsidRPr="007D038A">
        <w:t>.</w:t>
      </w:r>
      <w:r>
        <w:t xml:space="preserve"> Nearly all (93 percent) of this health loss is due to established risk factors.</w:t>
      </w:r>
    </w:p>
    <w:p w14:paraId="3BB18AEF" w14:textId="77777777" w:rsidR="00507742" w:rsidRDefault="00507742" w:rsidP="004D3F6D"/>
    <w:p w14:paraId="252BBDE8" w14:textId="77777777" w:rsidR="00507742" w:rsidRPr="007D038A" w:rsidRDefault="00507742" w:rsidP="004D3F6D">
      <w:r w:rsidRPr="00D424BB">
        <w:t>According to the 2018/19 New Zealand Health Survey, 4.3 percent of adults have been diagnosed with ischaemic heart disease (Ministry of Health 2019</w:t>
      </w:r>
      <w:r>
        <w:t>a</w:t>
      </w:r>
      <w:r w:rsidRPr="00D424BB">
        <w:t xml:space="preserve">). This is likely to be an underestimate, because the measure </w:t>
      </w:r>
      <w:r>
        <w:t xml:space="preserve">includes </w:t>
      </w:r>
      <w:r w:rsidRPr="00D424BB">
        <w:t>only heart attacks requiring admission to hospital</w:t>
      </w:r>
      <w:r>
        <w:t xml:space="preserve"> or </w:t>
      </w:r>
      <w:r w:rsidR="00CE7557">
        <w:t xml:space="preserve">people </w:t>
      </w:r>
      <w:r>
        <w:t>told by a doctor that they have angina</w:t>
      </w:r>
      <w:r w:rsidRPr="00D424BB">
        <w:t>. The prevalence of</w:t>
      </w:r>
      <w:r w:rsidRPr="00343872">
        <w:t xml:space="preserve"> ischaemic heart disease has </w:t>
      </w:r>
      <w:r>
        <w:t xml:space="preserve">declined </w:t>
      </w:r>
      <w:r w:rsidRPr="00343872">
        <w:t xml:space="preserve">since </w:t>
      </w:r>
      <w:r>
        <w:t>2011/12, when 5.5 percent of adults had it</w:t>
      </w:r>
      <w:r w:rsidRPr="00343872">
        <w:t>.</w:t>
      </w:r>
      <w:r>
        <w:t xml:space="preserve"> The prevalence of ischaemic heart disease was significantly higher in Māori women than in non-Māori women, after adjusting for age differences.</w:t>
      </w:r>
    </w:p>
    <w:p w14:paraId="1A2120E9" w14:textId="77777777" w:rsidR="00507742" w:rsidRDefault="00507742" w:rsidP="004D3F6D"/>
    <w:p w14:paraId="03F843E5" w14:textId="5E7BB719" w:rsidR="002542AA" w:rsidRDefault="00507742" w:rsidP="004D3F6D">
      <w:r w:rsidRPr="007D038A">
        <w:t xml:space="preserve">In </w:t>
      </w:r>
      <w:r w:rsidR="009B29CA">
        <w:t>2017</w:t>
      </w:r>
      <w:r w:rsidR="009B29CA" w:rsidRPr="007D038A">
        <w:t xml:space="preserve"> </w:t>
      </w:r>
      <w:r w:rsidRPr="007D038A">
        <w:t>ischaemic heart disease accounted</w:t>
      </w:r>
      <w:r>
        <w:t xml:space="preserve"> for 4,</w:t>
      </w:r>
      <w:r w:rsidR="009B29CA">
        <w:t xml:space="preserve">856 </w:t>
      </w:r>
      <w:r>
        <w:t>deaths, which is an age</w:t>
      </w:r>
      <w:r w:rsidR="004D3F6D">
        <w:noBreakHyphen/>
      </w:r>
      <w:r>
        <w:t xml:space="preserve">standardised rate of </w:t>
      </w:r>
      <w:r w:rsidR="009B29CA">
        <w:t>50.2</w:t>
      </w:r>
      <w:r w:rsidRPr="007D038A">
        <w:t xml:space="preserve"> deaths per 100,000 population</w:t>
      </w:r>
      <w:r w:rsidR="009B29CA">
        <w:t xml:space="preserve"> (Ministry of Health 2019</w:t>
      </w:r>
      <w:r w:rsidR="006D41BC">
        <w:t>b</w:t>
      </w:r>
      <w:r w:rsidR="009B29CA">
        <w:t>)</w:t>
      </w:r>
      <w:r>
        <w:t xml:space="preserve">. This is substantially lower than the rate in the late </w:t>
      </w:r>
      <w:r w:rsidRPr="007D038A">
        <w:t>1960s</w:t>
      </w:r>
      <w:r>
        <w:t>, when ischaemic heart disease mortality rates peaked at about 250 per 100,000 population</w:t>
      </w:r>
      <w:r w:rsidR="00CD04E3">
        <w:t xml:space="preserve"> (Ministry of Health 2020b)</w:t>
      </w:r>
      <w:r>
        <w:t>.</w:t>
      </w:r>
    </w:p>
    <w:p w14:paraId="665152F9" w14:textId="77777777" w:rsidR="00507742" w:rsidRDefault="00507742" w:rsidP="004D3F6D"/>
    <w:p w14:paraId="58E90FCB" w14:textId="78341F6D" w:rsidR="002542AA" w:rsidRDefault="00507742" w:rsidP="004D3F6D">
      <w:r>
        <w:t>Ischaemic heart disease mortality rates were much higher in men (</w:t>
      </w:r>
      <w:r w:rsidR="00CD04E3">
        <w:t>70.4</w:t>
      </w:r>
      <w:r>
        <w:t xml:space="preserve"> per 100,000)</w:t>
      </w:r>
      <w:r w:rsidRPr="007D038A">
        <w:t xml:space="preserve"> </w:t>
      </w:r>
      <w:r>
        <w:t xml:space="preserve">than women </w:t>
      </w:r>
      <w:r w:rsidRPr="007D038A">
        <w:t>(</w:t>
      </w:r>
      <w:r w:rsidR="00CD04E3">
        <w:t>32.6</w:t>
      </w:r>
      <w:r>
        <w:t xml:space="preserve"> per 100,000</w:t>
      </w:r>
      <w:r w:rsidRPr="007D038A">
        <w:t>)</w:t>
      </w:r>
      <w:r>
        <w:t xml:space="preserve"> in </w:t>
      </w:r>
      <w:r w:rsidR="00CD04E3">
        <w:t>2017 (Ministry of Health 2019</w:t>
      </w:r>
      <w:r w:rsidR="00FF4687">
        <w:t>b</w:t>
      </w:r>
      <w:r w:rsidR="00CD04E3">
        <w:t>)</w:t>
      </w:r>
      <w:r w:rsidRPr="007D038A">
        <w:t xml:space="preserve">. </w:t>
      </w:r>
      <w:r>
        <w:t xml:space="preserve">Ischaemic heart disease contributes to ethnic inequities: </w:t>
      </w:r>
      <w:r w:rsidR="00CD04E3">
        <w:t xml:space="preserve">in 2017 </w:t>
      </w:r>
      <w:r>
        <w:t xml:space="preserve">the </w:t>
      </w:r>
      <w:r w:rsidRPr="007D038A">
        <w:t>mortality rate</w:t>
      </w:r>
      <w:r>
        <w:t xml:space="preserve"> </w:t>
      </w:r>
      <w:r w:rsidR="00CD04E3">
        <w:t xml:space="preserve">was nearly </w:t>
      </w:r>
      <w:r>
        <w:t>twice as high</w:t>
      </w:r>
      <w:r w:rsidRPr="007D038A">
        <w:t xml:space="preserve"> for Māori </w:t>
      </w:r>
      <w:r>
        <w:t>(</w:t>
      </w:r>
      <w:r w:rsidR="00CD04E3">
        <w:t>86.4</w:t>
      </w:r>
      <w:r>
        <w:t xml:space="preserve"> per 100,000) as</w:t>
      </w:r>
      <w:r w:rsidRPr="007D038A">
        <w:t xml:space="preserve"> for non-Māori (</w:t>
      </w:r>
      <w:r w:rsidR="00CD04E3">
        <w:t>46.5</w:t>
      </w:r>
      <w:r w:rsidRPr="007D038A">
        <w:t xml:space="preserve"> </w:t>
      </w:r>
      <w:r>
        <w:t>per 100,000).</w:t>
      </w:r>
    </w:p>
    <w:p w14:paraId="000FC9D3" w14:textId="77777777" w:rsidR="00507742" w:rsidRDefault="00507742" w:rsidP="004D3F6D"/>
    <w:p w14:paraId="78BE466A" w14:textId="0DD94BF0" w:rsidR="00885AE8" w:rsidRDefault="00507742" w:rsidP="00507742">
      <w:r w:rsidRPr="007D038A">
        <w:t>A study examining ischaemic heart disease events from 2006 to 2015 found that fatal and</w:t>
      </w:r>
      <w:r w:rsidRPr="004D3F6D">
        <w:t xml:space="preserve"> </w:t>
      </w:r>
      <w:r w:rsidRPr="007D038A">
        <w:t>non-fatal ischaemic heart disease rates have declined over that period, but Māori and Pacific peoples have disproportionately high rates of mortality</w:t>
      </w:r>
      <w:r>
        <w:t xml:space="preserve"> (Grey et al 2018)</w:t>
      </w:r>
      <w:r w:rsidRPr="007D038A">
        <w:t>. Ischaemic heart disease mortality rates declined by 3.1–5.4 percent each year for most groups</w:t>
      </w:r>
      <w:r>
        <w:t>.</w:t>
      </w:r>
      <w:r w:rsidRPr="007D038A">
        <w:t xml:space="preserve"> </w:t>
      </w:r>
      <w:r>
        <w:t xml:space="preserve">For </w:t>
      </w:r>
      <w:r w:rsidRPr="007D038A">
        <w:t xml:space="preserve">Pacific women, </w:t>
      </w:r>
      <w:r>
        <w:t xml:space="preserve">however, </w:t>
      </w:r>
      <w:r w:rsidRPr="007D038A">
        <w:t xml:space="preserve">the decline (1.3 percent each year) was not </w:t>
      </w:r>
      <w:r>
        <w:t xml:space="preserve">statistically </w:t>
      </w:r>
      <w:r w:rsidRPr="007D038A">
        <w:t>significant.</w:t>
      </w:r>
    </w:p>
    <w:p w14:paraId="6442FD38" w14:textId="78F92EAC" w:rsidR="0060743C" w:rsidRDefault="0060743C" w:rsidP="00507742"/>
    <w:p w14:paraId="0A807AD1" w14:textId="77777777" w:rsidR="0060743C" w:rsidRPr="007D038A" w:rsidRDefault="0060743C" w:rsidP="00507742"/>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rsidRPr="007D56B1" w14:paraId="64BDE25C" w14:textId="77777777" w:rsidTr="00572CF6">
        <w:trPr>
          <w:cantSplit/>
        </w:trPr>
        <w:tc>
          <w:tcPr>
            <w:tcW w:w="7973" w:type="dxa"/>
          </w:tcPr>
          <w:p w14:paraId="40E322E1" w14:textId="77777777" w:rsidR="00507742" w:rsidRPr="007D56B1" w:rsidRDefault="00507742" w:rsidP="005533E2">
            <w:pPr>
              <w:pStyle w:val="TableText"/>
              <w:ind w:right="-57"/>
              <w:rPr>
                <w:color w:val="0A6AB4"/>
                <w:sz w:val="24"/>
                <w:szCs w:val="24"/>
              </w:rPr>
            </w:pPr>
            <w:r w:rsidRPr="007D56B1">
              <w:rPr>
                <w:color w:val="0A6AB4"/>
                <w:sz w:val="24"/>
                <w:szCs w:val="24"/>
              </w:rPr>
              <w:lastRenderedPageBreak/>
              <w:t>Stroke continues to be a significant cause of our disease burden</w:t>
            </w:r>
          </w:p>
        </w:tc>
      </w:tr>
    </w:tbl>
    <w:p w14:paraId="63A1CE58" w14:textId="77777777" w:rsidR="00507742" w:rsidRPr="007D56B1" w:rsidRDefault="00507742" w:rsidP="004D3F6D"/>
    <w:p w14:paraId="5175E786" w14:textId="77777777" w:rsidR="002542AA" w:rsidRDefault="00507742" w:rsidP="004D3F6D">
      <w:r>
        <w:t>In 2019 stroke was the fifth leading specific cause of health loss, accounting for 3.5</w:t>
      </w:r>
      <w:r w:rsidR="004D3F6D">
        <w:t> </w:t>
      </w:r>
      <w:r>
        <w:t>percent of all health loss (Global Burden of Disease Collaborative Network 2020).</w:t>
      </w:r>
    </w:p>
    <w:p w14:paraId="333FEC8D" w14:textId="77777777" w:rsidR="00507742" w:rsidRDefault="00507742" w:rsidP="004D3F6D"/>
    <w:p w14:paraId="3662B424" w14:textId="77777777" w:rsidR="00507742" w:rsidRPr="003D640B" w:rsidRDefault="00507742" w:rsidP="004D3F6D">
      <w:r w:rsidRPr="003D640B">
        <w:t>The 2018/19 New Zealand Health Survey found that 1.6 percent of adults had been diagnosed with a stroke at some time in their life (Ministry of Health 2019</w:t>
      </w:r>
      <w:r>
        <w:t>a</w:t>
      </w:r>
      <w:r w:rsidRPr="003D640B">
        <w:t xml:space="preserve">). This estimate excludes transient ischaemic attacks, which are sometimes </w:t>
      </w:r>
      <w:r>
        <w:t>called</w:t>
      </w:r>
      <w:r w:rsidRPr="003D640B">
        <w:t xml:space="preserve"> mini-strokes. The prevalence of stroke has not changed significantly since 2011/12, when it was 1.8</w:t>
      </w:r>
      <w:r w:rsidR="004D3F6D">
        <w:t> </w:t>
      </w:r>
      <w:r w:rsidRPr="003D640B">
        <w:t>percent.</w:t>
      </w:r>
      <w:r>
        <w:t xml:space="preserve"> The prevalence of stroke was significantly higher in Māori compared with non-Māori, after adjusting for age and gender differences.</w:t>
      </w:r>
    </w:p>
    <w:p w14:paraId="03A59788" w14:textId="77777777" w:rsidR="00507742" w:rsidRPr="003D640B" w:rsidRDefault="00507742" w:rsidP="004D3F6D"/>
    <w:p w14:paraId="02B2F6B4" w14:textId="4487018D" w:rsidR="00507742" w:rsidRPr="003D640B" w:rsidRDefault="00507742" w:rsidP="004D3F6D">
      <w:r w:rsidRPr="003D640B">
        <w:t xml:space="preserve">In </w:t>
      </w:r>
      <w:r w:rsidR="00CD04E3">
        <w:t>2017</w:t>
      </w:r>
      <w:r w:rsidR="00CD04E3" w:rsidRPr="003D640B">
        <w:t xml:space="preserve"> </w:t>
      </w:r>
      <w:r w:rsidRPr="003D640B">
        <w:t>cerebrovascular disease</w:t>
      </w:r>
      <w:r w:rsidR="00CD04E3">
        <w:t>s</w:t>
      </w:r>
      <w:r w:rsidRPr="003D640B">
        <w:t xml:space="preserve"> accounted for 2,</w:t>
      </w:r>
      <w:r w:rsidR="00CD04E3">
        <w:t>477</w:t>
      </w:r>
      <w:r w:rsidR="00CD04E3" w:rsidRPr="003D640B">
        <w:t xml:space="preserve"> </w:t>
      </w:r>
      <w:r w:rsidRPr="003D640B">
        <w:t>deaths</w:t>
      </w:r>
      <w:r>
        <w:t>, which is an age</w:t>
      </w:r>
      <w:r w:rsidR="004D3F6D">
        <w:noBreakHyphen/>
      </w:r>
      <w:r>
        <w:t xml:space="preserve">standardised rate of </w:t>
      </w:r>
      <w:r w:rsidR="00CD04E3">
        <w:t>24.1</w:t>
      </w:r>
      <w:r w:rsidRPr="003D640B">
        <w:t xml:space="preserve"> deaths per 100,000 population</w:t>
      </w:r>
      <w:r w:rsidR="00CD04E3">
        <w:t xml:space="preserve"> (Ministry of Health 2019</w:t>
      </w:r>
      <w:r w:rsidR="00FF4687">
        <w:t>b</w:t>
      </w:r>
      <w:r w:rsidR="00CD04E3">
        <w:t>)</w:t>
      </w:r>
      <w:r>
        <w:t>.</w:t>
      </w:r>
      <w:r w:rsidRPr="003D640B">
        <w:t xml:space="preserve"> This is substantial</w:t>
      </w:r>
      <w:r>
        <w:t>ly lower than the rate in</w:t>
      </w:r>
      <w:r w:rsidRPr="003D640B">
        <w:t xml:space="preserve"> the </w:t>
      </w:r>
      <w:r>
        <w:t>early</w:t>
      </w:r>
      <w:r w:rsidRPr="003D640B">
        <w:t xml:space="preserve"> 19</w:t>
      </w:r>
      <w:r>
        <w:t>7</w:t>
      </w:r>
      <w:r w:rsidRPr="003D640B">
        <w:t xml:space="preserve">0s, when the </w:t>
      </w:r>
      <w:r>
        <w:t>cerebrovascular</w:t>
      </w:r>
      <w:r w:rsidRPr="003D640B">
        <w:t xml:space="preserve"> mortality rate peaked at about </w:t>
      </w:r>
      <w:r>
        <w:t>120</w:t>
      </w:r>
      <w:r w:rsidRPr="003D640B">
        <w:t xml:space="preserve"> per 100,000 population</w:t>
      </w:r>
      <w:r w:rsidR="00CD04E3">
        <w:t xml:space="preserve"> (Ministry of Health 2020b)</w:t>
      </w:r>
      <w:r w:rsidRPr="003D640B">
        <w:t>.</w:t>
      </w:r>
    </w:p>
    <w:p w14:paraId="26AF1702" w14:textId="77777777" w:rsidR="00507742" w:rsidRPr="003D640B" w:rsidRDefault="00507742" w:rsidP="004D3F6D"/>
    <w:p w14:paraId="26126360" w14:textId="69946569" w:rsidR="00507742" w:rsidRDefault="006C7F66" w:rsidP="004D3F6D">
      <w:r>
        <w:t>In 2017 t</w:t>
      </w:r>
      <w:r w:rsidR="00DE0D9B">
        <w:t xml:space="preserve">he </w:t>
      </w:r>
      <w:r>
        <w:t xml:space="preserve">mortality rate for </w:t>
      </w:r>
      <w:r w:rsidR="00DE0D9B">
        <w:t>c</w:t>
      </w:r>
      <w:r w:rsidR="00507742">
        <w:t>erebrovascular</w:t>
      </w:r>
      <w:r w:rsidR="00507742" w:rsidRPr="003D640B">
        <w:t xml:space="preserve"> </w:t>
      </w:r>
      <w:r w:rsidR="00CD04E3">
        <w:t xml:space="preserve">diseases </w:t>
      </w:r>
      <w:r w:rsidR="00DE0D9B">
        <w:t>was</w:t>
      </w:r>
      <w:r w:rsidR="00DE0D9B" w:rsidRPr="003D640B">
        <w:t xml:space="preserve"> </w:t>
      </w:r>
      <w:r w:rsidR="00507742" w:rsidRPr="003D640B">
        <w:t>similar in men (</w:t>
      </w:r>
      <w:r w:rsidR="00CD04E3">
        <w:t>23.8</w:t>
      </w:r>
      <w:r w:rsidR="00507742" w:rsidRPr="003D640B">
        <w:t xml:space="preserve"> per 100,000) and women (23.</w:t>
      </w:r>
      <w:r w:rsidR="00CD04E3">
        <w:t>9</w:t>
      </w:r>
      <w:r w:rsidR="00CD04E3" w:rsidRPr="003D640B">
        <w:t xml:space="preserve"> </w:t>
      </w:r>
      <w:r w:rsidR="00507742" w:rsidRPr="003D640B">
        <w:t>per 100,000</w:t>
      </w:r>
      <w:r w:rsidR="00FF4687">
        <w:t>)</w:t>
      </w:r>
      <w:r w:rsidR="00507742" w:rsidRPr="003D640B">
        <w:t xml:space="preserve">. The </w:t>
      </w:r>
      <w:r w:rsidR="00507742">
        <w:t>cerebrovascular</w:t>
      </w:r>
      <w:r w:rsidR="00507742" w:rsidRPr="003D640B">
        <w:t xml:space="preserve"> mortality rate was higher for Māori (</w:t>
      </w:r>
      <w:r w:rsidR="0032753F">
        <w:t>33.1</w:t>
      </w:r>
      <w:r w:rsidR="00507742" w:rsidRPr="003D640B">
        <w:t xml:space="preserve"> per 100,000) than </w:t>
      </w:r>
      <w:r w:rsidR="00507742">
        <w:t xml:space="preserve">for </w:t>
      </w:r>
      <w:r w:rsidR="00507742" w:rsidRPr="003D640B">
        <w:t>non-Māori (</w:t>
      </w:r>
      <w:r w:rsidR="0032753F">
        <w:t>23.1</w:t>
      </w:r>
      <w:r w:rsidR="00507742" w:rsidRPr="003D640B">
        <w:t xml:space="preserve"> per 100,000).</w:t>
      </w:r>
    </w:p>
    <w:p w14:paraId="2A7B1478" w14:textId="77777777" w:rsidR="004D3F6D" w:rsidRDefault="004D3F6D" w:rsidP="004D3F6D"/>
    <w:p w14:paraId="4ECD1B15" w14:textId="77777777" w:rsidR="00507742" w:rsidRDefault="00507742" w:rsidP="004D3F6D">
      <w:pPr>
        <w:pStyle w:val="Heading2"/>
      </w:pPr>
      <w:bookmarkStart w:id="109" w:name="_TOC_250014"/>
      <w:bookmarkStart w:id="110" w:name="_TOC_250013"/>
      <w:bookmarkStart w:id="111" w:name="_Toc57295677"/>
      <w:bookmarkStart w:id="112" w:name="_Toc64536245"/>
      <w:bookmarkEnd w:id="108"/>
      <w:bookmarkEnd w:id="109"/>
      <w:bookmarkEnd w:id="110"/>
      <w:r>
        <w:t>Diabetes</w:t>
      </w:r>
      <w:bookmarkEnd w:id="111"/>
      <w:bookmarkEnd w:id="112"/>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3F82919F" w14:textId="77777777" w:rsidTr="00572CF6">
        <w:trPr>
          <w:cantSplit/>
        </w:trPr>
        <w:tc>
          <w:tcPr>
            <w:tcW w:w="7973" w:type="dxa"/>
          </w:tcPr>
          <w:p w14:paraId="2D94C627" w14:textId="5C50C677" w:rsidR="00507742" w:rsidRPr="00933A6B" w:rsidRDefault="00C73882" w:rsidP="005533E2">
            <w:pPr>
              <w:pStyle w:val="TableText"/>
              <w:ind w:right="-57"/>
              <w:rPr>
                <w:color w:val="0A6AB4"/>
                <w:sz w:val="24"/>
                <w:szCs w:val="24"/>
              </w:rPr>
            </w:pPr>
            <w:r>
              <w:rPr>
                <w:color w:val="0A6AB4"/>
                <w:sz w:val="24"/>
                <w:szCs w:val="24"/>
              </w:rPr>
              <w:t>Health loss from diabetes is increasing</w:t>
            </w:r>
          </w:p>
        </w:tc>
      </w:tr>
    </w:tbl>
    <w:p w14:paraId="0F19573B" w14:textId="77777777" w:rsidR="00507742" w:rsidRDefault="00507742" w:rsidP="004D3F6D"/>
    <w:p w14:paraId="5A343D6F" w14:textId="7280DBF7" w:rsidR="00507742" w:rsidRDefault="00507742" w:rsidP="004D3F6D">
      <w:r>
        <w:t xml:space="preserve">Diabetes accounted for 2.6 percent of all health loss in 2019, up from 1.6 percent in 1990 (Global Burden of Disease Collaborative Network 2020). </w:t>
      </w:r>
      <w:r w:rsidRPr="00E70962">
        <w:t>Diabetes can cause blindness and nerve damage and may eventually require amputation of a foot or lower leg. It can lead to other health conditions, such as heart disease, stroke and kidney disease</w:t>
      </w:r>
      <w:r>
        <w:t xml:space="preserve">. Over half of health loss from diabetes is </w:t>
      </w:r>
      <w:r w:rsidR="00716F6C">
        <w:t xml:space="preserve">attributable </w:t>
      </w:r>
      <w:r>
        <w:t>to high body mass index (Global Burden of Disease Collaborative Network 2020).</w:t>
      </w:r>
    </w:p>
    <w:p w14:paraId="2125C4B6" w14:textId="77777777" w:rsidR="00507742" w:rsidRPr="006D3A84" w:rsidRDefault="00507742" w:rsidP="004D3F6D"/>
    <w:p w14:paraId="40F8377C" w14:textId="77777777" w:rsidR="00507742" w:rsidRDefault="00507742" w:rsidP="004D3F6D">
      <w:r w:rsidRPr="00952261">
        <w:t>As at the end of 2019, an estimated 263,900 people in New Zealand had diabetes</w:t>
      </w:r>
      <w:r w:rsidRPr="004D3F6D">
        <w:rPr>
          <w:rStyle w:val="FootnoteReference"/>
        </w:rPr>
        <w:footnoteReference w:id="2"/>
      </w:r>
      <w:r w:rsidRPr="00952261">
        <w:t xml:space="preserve"> (Ministry of Health 2020</w:t>
      </w:r>
      <w:r>
        <w:t>d</w:t>
      </w:r>
      <w:r w:rsidRPr="00952261">
        <w:t xml:space="preserve">). The prevalence of diabetes increased from </w:t>
      </w:r>
      <w:r>
        <w:t>2010</w:t>
      </w:r>
      <w:r w:rsidRPr="00952261">
        <w:t xml:space="preserve"> to </w:t>
      </w:r>
      <w:r>
        <w:t>2015, but it has been relatively stable since then</w:t>
      </w:r>
      <w:r w:rsidRPr="00952261">
        <w:t>.</w:t>
      </w:r>
    </w:p>
    <w:p w14:paraId="0D7560D3" w14:textId="77777777" w:rsidR="00507742" w:rsidRDefault="00507742" w:rsidP="004D3F6D"/>
    <w:p w14:paraId="6B102AC8" w14:textId="5563697A" w:rsidR="002542AA" w:rsidRDefault="004D3F6D" w:rsidP="004D3F6D">
      <w:r>
        <w:fldChar w:fldCharType="begin"/>
      </w:r>
      <w:r>
        <w:instrText xml:space="preserve"> REF _Ref57375396 \h </w:instrText>
      </w:r>
      <w:r>
        <w:fldChar w:fldCharType="separate"/>
      </w:r>
      <w:r w:rsidR="003F39AB">
        <w:t>Figure </w:t>
      </w:r>
      <w:r w:rsidR="003F39AB">
        <w:rPr>
          <w:noProof/>
        </w:rPr>
        <w:t>8</w:t>
      </w:r>
      <w:r>
        <w:fldChar w:fldCharType="end"/>
      </w:r>
      <w:r w:rsidR="00507742">
        <w:t xml:space="preserve"> shows the prevalence of diabetes by age group for major ethnic groups. </w:t>
      </w:r>
      <w:r w:rsidR="00716F6C">
        <w:t xml:space="preserve">The </w:t>
      </w:r>
      <w:r w:rsidR="00507742">
        <w:t xml:space="preserve">Pacific and Indian ethnic groups </w:t>
      </w:r>
      <w:r w:rsidR="00716F6C">
        <w:t>have the highest rates of diabetes</w:t>
      </w:r>
      <w:r w:rsidR="009E7C35">
        <w:t>, with about half affected by age 75 years.</w:t>
      </w:r>
    </w:p>
    <w:p w14:paraId="66463A55" w14:textId="585E3237" w:rsidR="00507742" w:rsidRDefault="004D3F6D" w:rsidP="004D3F6D">
      <w:pPr>
        <w:pStyle w:val="Figure"/>
        <w:spacing w:before="360"/>
      </w:pPr>
      <w:bookmarkStart w:id="113" w:name="_Ref57375396"/>
      <w:bookmarkStart w:id="114" w:name="_Toc400646793"/>
      <w:bookmarkStart w:id="115" w:name="_Toc399506740"/>
      <w:bookmarkStart w:id="116" w:name="_Toc57295965"/>
      <w:bookmarkStart w:id="117" w:name="_Toc64536265"/>
      <w:r>
        <w:lastRenderedPageBreak/>
        <w:t>Figure </w:t>
      </w:r>
      <w:fldSimple w:instr=" SEQ Figure \* ARABIC ">
        <w:r w:rsidR="003F39AB">
          <w:rPr>
            <w:noProof/>
          </w:rPr>
          <w:t>8</w:t>
        </w:r>
      </w:fldSimple>
      <w:bookmarkEnd w:id="113"/>
      <w:r w:rsidR="00507742" w:rsidRPr="0030381A">
        <w:t xml:space="preserve">: Prevalence of diabetes, by age and ethnic group, </w:t>
      </w:r>
      <w:bookmarkEnd w:id="114"/>
      <w:bookmarkEnd w:id="115"/>
      <w:r w:rsidR="00507742" w:rsidRPr="0030381A">
        <w:t>2019</w:t>
      </w:r>
      <w:bookmarkEnd w:id="116"/>
      <w:bookmarkEnd w:id="117"/>
    </w:p>
    <w:p w14:paraId="2F38BC80" w14:textId="38816543" w:rsidR="00507742" w:rsidRDefault="00EC60FD" w:rsidP="00B75540">
      <w:r w:rsidRPr="001E65C0">
        <w:rPr>
          <w:noProof/>
          <w:lang w:eastAsia="en-NZ"/>
        </w:rPr>
        <w:drawing>
          <wp:inline distT="0" distB="0" distL="0" distR="0" wp14:anchorId="57167BED" wp14:editId="10ED41D0">
            <wp:extent cx="5130165" cy="3129280"/>
            <wp:effectExtent l="0" t="0" r="0" b="0"/>
            <wp:docPr id="16" name="Picture 16" descr="This line graph shows that for most age groups, Pacific peoples have the highest rate of diabetes, but the rate is highest for Indians over the age of 80 years old. The next highest rate for all age groups is Māori followed by Europe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30165" cy="3129280"/>
                    </a:xfrm>
                    <a:prstGeom prst="rect">
                      <a:avLst/>
                    </a:prstGeom>
                  </pic:spPr>
                </pic:pic>
              </a:graphicData>
            </a:graphic>
          </wp:inline>
        </w:drawing>
      </w:r>
    </w:p>
    <w:p w14:paraId="2EA44A60" w14:textId="28C12729" w:rsidR="00507742" w:rsidRDefault="00507742" w:rsidP="004D3F6D">
      <w:pPr>
        <w:pStyle w:val="Source"/>
      </w:pPr>
      <w:r>
        <w:t xml:space="preserve">Source: Ministry of Health </w:t>
      </w:r>
      <w:r w:rsidR="009E77CA">
        <w:t>(</w:t>
      </w:r>
      <w:r>
        <w:t>2020d)</w:t>
      </w:r>
    </w:p>
    <w:p w14:paraId="6FC6107A" w14:textId="77777777" w:rsidR="00507742" w:rsidRDefault="00507742" w:rsidP="004D3F6D"/>
    <w:p w14:paraId="1C72FCBA" w14:textId="7DCE8539" w:rsidR="00507742" w:rsidRDefault="00507742" w:rsidP="004D3F6D">
      <w:r w:rsidRPr="001B3898">
        <w:t xml:space="preserve">In </w:t>
      </w:r>
      <w:r w:rsidR="00CD04E3">
        <w:t>2017</w:t>
      </w:r>
      <w:r w:rsidR="00CD04E3" w:rsidRPr="001B3898">
        <w:t xml:space="preserve"> </w:t>
      </w:r>
      <w:r w:rsidRPr="001B3898">
        <w:t xml:space="preserve">diabetes accounted for </w:t>
      </w:r>
      <w:r w:rsidR="00CD04E3">
        <w:t>917</w:t>
      </w:r>
      <w:r w:rsidR="00CD04E3" w:rsidRPr="001B3898">
        <w:t xml:space="preserve"> </w:t>
      </w:r>
      <w:r w:rsidRPr="001B3898">
        <w:t>deaths</w:t>
      </w:r>
      <w:r>
        <w:t xml:space="preserve">, which is an age-standardised rate of </w:t>
      </w:r>
      <w:r w:rsidRPr="001B3898">
        <w:t>10.</w:t>
      </w:r>
      <w:r w:rsidR="00CD04E3">
        <w:t>6 </w:t>
      </w:r>
      <w:r w:rsidRPr="001B3898">
        <w:t>deaths per 100,000 population</w:t>
      </w:r>
      <w:r w:rsidR="00CD04E3">
        <w:t xml:space="preserve"> (Ministry of Health 2019d)</w:t>
      </w:r>
      <w:r w:rsidRPr="001B3898">
        <w:t>.</w:t>
      </w:r>
      <w:r>
        <w:t xml:space="preserve"> Diabetes mortality rates were slightly higher in men (</w:t>
      </w:r>
      <w:r w:rsidR="00CD04E3">
        <w:t>12</w:t>
      </w:r>
      <w:r>
        <w:t>.8 per 100,000) than in women (8.</w:t>
      </w:r>
      <w:r w:rsidR="00CD04E3">
        <w:t xml:space="preserve">6 </w:t>
      </w:r>
      <w:r>
        <w:t>per 100,000</w:t>
      </w:r>
      <w:r w:rsidRPr="007D038A">
        <w:t xml:space="preserve">). The </w:t>
      </w:r>
      <w:r>
        <w:t xml:space="preserve">diabetes </w:t>
      </w:r>
      <w:r w:rsidRPr="007D038A">
        <w:t>mortality rate</w:t>
      </w:r>
      <w:r>
        <w:t xml:space="preserve"> was about four times higher</w:t>
      </w:r>
      <w:r w:rsidRPr="007D038A">
        <w:t xml:space="preserve"> </w:t>
      </w:r>
      <w:r>
        <w:t>in</w:t>
      </w:r>
      <w:r w:rsidRPr="007D038A">
        <w:t xml:space="preserve"> Māori </w:t>
      </w:r>
      <w:r>
        <w:t>(</w:t>
      </w:r>
      <w:r w:rsidR="00CD04E3">
        <w:t>33.7</w:t>
      </w:r>
      <w:r>
        <w:t xml:space="preserve"> per 100,000) than in </w:t>
      </w:r>
      <w:r w:rsidRPr="007D038A">
        <w:t>non-Māori (</w:t>
      </w:r>
      <w:r>
        <w:t>8.</w:t>
      </w:r>
      <w:r w:rsidR="00CD04E3">
        <w:t>5</w:t>
      </w:r>
      <w:r w:rsidR="00CD04E3" w:rsidRPr="007D038A">
        <w:t xml:space="preserve"> </w:t>
      </w:r>
      <w:r>
        <w:t>per 100,000).</w:t>
      </w:r>
    </w:p>
    <w:p w14:paraId="02562E56" w14:textId="77777777" w:rsidR="004D3F6D" w:rsidRPr="00EB3B1D" w:rsidRDefault="004D3F6D" w:rsidP="004D3F6D">
      <w:pPr>
        <w:rPr>
          <w:highlight w:val="yellow"/>
        </w:rPr>
      </w:pPr>
    </w:p>
    <w:p w14:paraId="3F3C46A6" w14:textId="77777777" w:rsidR="00507742" w:rsidRDefault="00507742" w:rsidP="004D3F6D">
      <w:pPr>
        <w:pStyle w:val="Heading2"/>
      </w:pPr>
      <w:bookmarkStart w:id="118" w:name="_Toc57295678"/>
      <w:bookmarkStart w:id="119" w:name="_Toc64536246"/>
      <w:r>
        <w:t>M</w:t>
      </w:r>
      <w:r w:rsidRPr="007D038A">
        <w:t>ental health conditions</w:t>
      </w:r>
      <w:bookmarkEnd w:id="118"/>
      <w:bookmarkEnd w:id="119"/>
    </w:p>
    <w:p w14:paraId="066F2AFF" w14:textId="70EB350C" w:rsidR="00507742" w:rsidRDefault="00507742" w:rsidP="004D3F6D">
      <w:r w:rsidRPr="00B400F4">
        <w:t>Mental health conditions are collectively responsible for 8.7</w:t>
      </w:r>
      <w:r>
        <w:t xml:space="preserve"> </w:t>
      </w:r>
      <w:r w:rsidRPr="00B400F4">
        <w:t xml:space="preserve">percent of </w:t>
      </w:r>
      <w:r>
        <w:t>total</w:t>
      </w:r>
      <w:r w:rsidRPr="00B400F4">
        <w:t xml:space="preserve"> health loss </w:t>
      </w:r>
      <w:r>
        <w:t xml:space="preserve">and 17.2 percent of non-fatal health </w:t>
      </w:r>
      <w:r w:rsidRPr="00B400F4">
        <w:t>(</w:t>
      </w:r>
      <w:r>
        <w:t>Global Burden of Disease Collaborative Network 2020</w:t>
      </w:r>
      <w:r w:rsidRPr="00B400F4">
        <w:t xml:space="preserve">). The leading conditions </w:t>
      </w:r>
      <w:r>
        <w:t xml:space="preserve">within this group </w:t>
      </w:r>
      <w:r w:rsidRPr="00B400F4">
        <w:t>are anxiety (2.6 percent</w:t>
      </w:r>
      <w:r w:rsidR="00BC7828">
        <w:t xml:space="preserve"> of total health loss</w:t>
      </w:r>
      <w:r w:rsidRPr="00B400F4">
        <w:t xml:space="preserve">) and depression (2.4 percent). </w:t>
      </w:r>
      <w:r>
        <w:t>A</w:t>
      </w:r>
      <w:r w:rsidRPr="00503432">
        <w:t xml:space="preserve">bout half of adults with mental illness will have developed their condition before the age of 15 years. </w:t>
      </w:r>
      <w:r>
        <w:t>For this reason</w:t>
      </w:r>
      <w:r w:rsidRPr="00503432">
        <w:t xml:space="preserve">, early detection and treatment </w:t>
      </w:r>
      <w:r>
        <w:t>are</w:t>
      </w:r>
      <w:r w:rsidRPr="00503432">
        <w:t xml:space="preserve"> important</w:t>
      </w:r>
      <w:r>
        <w:t>.</w:t>
      </w:r>
    </w:p>
    <w:p w14:paraId="39529DF3" w14:textId="77777777" w:rsidR="0060743C" w:rsidRDefault="0060743C" w:rsidP="004D3F6D"/>
    <w:p w14:paraId="71D13733" w14:textId="77777777" w:rsidR="004D3F6D" w:rsidRDefault="004D3F6D" w:rsidP="004D3F6D"/>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19C4DDEC" w14:textId="77777777" w:rsidTr="0060743C">
        <w:trPr>
          <w:cantSplit/>
        </w:trPr>
        <w:tc>
          <w:tcPr>
            <w:tcW w:w="7973" w:type="dxa"/>
          </w:tcPr>
          <w:p w14:paraId="5BF9D09C" w14:textId="77777777" w:rsidR="00507742" w:rsidRPr="00933A6B" w:rsidRDefault="00507742" w:rsidP="00B75540">
            <w:pPr>
              <w:pStyle w:val="TableText"/>
              <w:keepNext/>
              <w:ind w:right="-57"/>
              <w:rPr>
                <w:color w:val="0A6AB4"/>
                <w:sz w:val="24"/>
                <w:szCs w:val="24"/>
              </w:rPr>
            </w:pPr>
            <w:r w:rsidRPr="008704DC">
              <w:rPr>
                <w:color w:val="0A6AB4"/>
                <w:sz w:val="24"/>
                <w:szCs w:val="24"/>
              </w:rPr>
              <w:t>Psychological distress</w:t>
            </w:r>
            <w:r>
              <w:rPr>
                <w:color w:val="0A6AB4"/>
                <w:sz w:val="24"/>
                <w:szCs w:val="24"/>
              </w:rPr>
              <w:t xml:space="preserve"> has the greatest impact on</w:t>
            </w:r>
            <w:r w:rsidRPr="008704DC">
              <w:rPr>
                <w:color w:val="0A6AB4"/>
                <w:sz w:val="24"/>
                <w:szCs w:val="24"/>
              </w:rPr>
              <w:t xml:space="preserve"> Māori women, young adults and </w:t>
            </w:r>
            <w:r>
              <w:rPr>
                <w:color w:val="0A6AB4"/>
                <w:sz w:val="24"/>
                <w:szCs w:val="24"/>
              </w:rPr>
              <w:t>people</w:t>
            </w:r>
            <w:r w:rsidRPr="008704DC">
              <w:rPr>
                <w:color w:val="0A6AB4"/>
                <w:sz w:val="24"/>
                <w:szCs w:val="24"/>
              </w:rPr>
              <w:t xml:space="preserve"> living in socioeconomically deprived areas</w:t>
            </w:r>
          </w:p>
        </w:tc>
      </w:tr>
    </w:tbl>
    <w:p w14:paraId="30826AC5" w14:textId="77777777" w:rsidR="00507742" w:rsidRPr="007D038A" w:rsidRDefault="00507742" w:rsidP="00B75540">
      <w:pPr>
        <w:keepNext/>
      </w:pPr>
    </w:p>
    <w:p w14:paraId="1646DEB6" w14:textId="77777777" w:rsidR="00507742" w:rsidRDefault="00507742" w:rsidP="00B75540">
      <w:pPr>
        <w:keepNext/>
        <w:keepLines/>
      </w:pPr>
      <w:bookmarkStart w:id="120" w:name="_Hlk57196382"/>
      <w:r w:rsidRPr="009225FE">
        <w:t>Psychological (mental) distress refers to a person</w:t>
      </w:r>
      <w:r w:rsidR="002542AA">
        <w:t>’</w:t>
      </w:r>
      <w:r w:rsidRPr="009225FE">
        <w:t xml:space="preserve">s experience of symptoms such as anxiety, </w:t>
      </w:r>
      <w:r>
        <w:t>psychological fatigue or depression</w:t>
      </w:r>
      <w:r w:rsidRPr="009225FE">
        <w:t>. It is measured using the 10-question Kessler Psychological Distress Scale (Kessler et al 2003). High levels of psychological distress indicate</w:t>
      </w:r>
      <w:r>
        <w:t xml:space="preserve"> that a person has</w:t>
      </w:r>
      <w:r w:rsidRPr="009225FE">
        <w:t xml:space="preserve"> a high or very high probability of having an anxiety or depressive </w:t>
      </w:r>
      <w:r w:rsidRPr="009A1A20">
        <w:t>disorder.</w:t>
      </w:r>
    </w:p>
    <w:p w14:paraId="37DAA91C" w14:textId="77777777" w:rsidR="00E3718A" w:rsidRDefault="00E3718A" w:rsidP="00E3718A"/>
    <w:p w14:paraId="5A966B77" w14:textId="77777777" w:rsidR="00507742" w:rsidRDefault="00507742" w:rsidP="00E3718A">
      <w:r w:rsidRPr="007D038A">
        <w:lastRenderedPageBreak/>
        <w:t xml:space="preserve">In </w:t>
      </w:r>
      <w:r>
        <w:t>2018/19</w:t>
      </w:r>
      <w:r w:rsidRPr="007D038A">
        <w:t>, 8.</w:t>
      </w:r>
      <w:r>
        <w:t>2</w:t>
      </w:r>
      <w:r w:rsidRPr="007D038A">
        <w:t xml:space="preserve"> percent of </w:t>
      </w:r>
      <w:r>
        <w:t>adults</w:t>
      </w:r>
      <w:r w:rsidRPr="007D038A">
        <w:t xml:space="preserve"> experienced psychological distress in the previous</w:t>
      </w:r>
      <w:r>
        <w:t xml:space="preserve"> </w:t>
      </w:r>
      <w:r w:rsidRPr="007D038A">
        <w:t xml:space="preserve">four weeks (Ministry of Health </w:t>
      </w:r>
      <w:r>
        <w:t>2019a</w:t>
      </w:r>
      <w:r w:rsidRPr="007D038A">
        <w:t xml:space="preserve">). This </w:t>
      </w:r>
      <w:r>
        <w:t xml:space="preserve">is a significant increase since 2006/07, when the prevalence of psychological distress was </w:t>
      </w:r>
      <w:r w:rsidRPr="007D038A">
        <w:t>6.6</w:t>
      </w:r>
      <w:r>
        <w:t> </w:t>
      </w:r>
      <w:r w:rsidRPr="007D038A">
        <w:t>percent.</w:t>
      </w:r>
    </w:p>
    <w:p w14:paraId="57A59B55" w14:textId="77777777" w:rsidR="00507742" w:rsidRDefault="00507742" w:rsidP="00E3718A"/>
    <w:p w14:paraId="0744E353" w14:textId="77777777" w:rsidR="002542AA" w:rsidRDefault="00507742" w:rsidP="00E3718A">
      <w:r w:rsidRPr="007D038A">
        <w:t xml:space="preserve">Women </w:t>
      </w:r>
      <w:r>
        <w:t>(10.4 percent) we</w:t>
      </w:r>
      <w:r w:rsidRPr="007D038A">
        <w:t>re more likely to</w:t>
      </w:r>
      <w:r>
        <w:t xml:space="preserve"> </w:t>
      </w:r>
      <w:r w:rsidRPr="007D038A">
        <w:t>experience psychological distress than men</w:t>
      </w:r>
      <w:r>
        <w:t xml:space="preserve"> (5.9</w:t>
      </w:r>
      <w:r w:rsidR="00E3718A">
        <w:t> </w:t>
      </w:r>
      <w:r>
        <w:t>percent)</w:t>
      </w:r>
      <w:r w:rsidRPr="007D038A">
        <w:t>.</w:t>
      </w:r>
      <w:r w:rsidRPr="00BA2469">
        <w:t xml:space="preserve"> </w:t>
      </w:r>
      <w:r w:rsidRPr="007D038A">
        <w:t xml:space="preserve">Psychological distress rates </w:t>
      </w:r>
      <w:r>
        <w:t>we</w:t>
      </w:r>
      <w:r w:rsidRPr="007D038A">
        <w:t xml:space="preserve">re highest among </w:t>
      </w:r>
      <w:r>
        <w:t>young people</w:t>
      </w:r>
      <w:r w:rsidRPr="007D038A">
        <w:t xml:space="preserve"> aged</w:t>
      </w:r>
      <w:r w:rsidR="00E3718A">
        <w:br/>
      </w:r>
      <w:r w:rsidRPr="007D038A">
        <w:t>15–24</w:t>
      </w:r>
      <w:r>
        <w:t xml:space="preserve"> years at 14.5 </w:t>
      </w:r>
      <w:r w:rsidRPr="007D038A">
        <w:t>percent</w:t>
      </w:r>
      <w:r>
        <w:t>, up from 5.0 percent in 2011/12</w:t>
      </w:r>
      <w:r w:rsidRPr="007D038A">
        <w:t>.</w:t>
      </w:r>
    </w:p>
    <w:p w14:paraId="78D199A7" w14:textId="77777777" w:rsidR="00507742" w:rsidRPr="007D038A" w:rsidRDefault="00507742" w:rsidP="00E3718A"/>
    <w:p w14:paraId="1C0085D8" w14:textId="5C21B95F" w:rsidR="002542AA" w:rsidRDefault="00507742" w:rsidP="00E3718A">
      <w:r>
        <w:t>M</w:t>
      </w:r>
      <w:r>
        <w:rPr>
          <w:rFonts w:cs="Segoe UI"/>
        </w:rPr>
        <w:t>ā</w:t>
      </w:r>
      <w:r>
        <w:t xml:space="preserve">ori </w:t>
      </w:r>
      <w:r w:rsidRPr="00A131BC">
        <w:t xml:space="preserve">women </w:t>
      </w:r>
      <w:r>
        <w:t xml:space="preserve">had the highest prevalence of </w:t>
      </w:r>
      <w:r w:rsidRPr="00A131BC">
        <w:t xml:space="preserve">psychological distress </w:t>
      </w:r>
      <w:r>
        <w:t>(17.5 percent), followed by Pacific women (13.1 percent)</w:t>
      </w:r>
      <w:r w:rsidRPr="00A131BC">
        <w:t>.</w:t>
      </w:r>
      <w:r>
        <w:t xml:space="preserve"> After adjusting for age, gender and ethnic differences, adults</w:t>
      </w:r>
      <w:r w:rsidRPr="007D038A">
        <w:t xml:space="preserve"> living in the most socioeconomically deprived areas were 2.</w:t>
      </w:r>
      <w:r>
        <w:t>1</w:t>
      </w:r>
      <w:r w:rsidRPr="007D038A">
        <w:t xml:space="preserve"> times </w:t>
      </w:r>
      <w:r>
        <w:t>as</w:t>
      </w:r>
      <w:r w:rsidRPr="007D038A">
        <w:t xml:space="preserve"> likely to</w:t>
      </w:r>
      <w:r>
        <w:t xml:space="preserve"> </w:t>
      </w:r>
      <w:r w:rsidRPr="007D038A">
        <w:t xml:space="preserve">experience psychological distress </w:t>
      </w:r>
      <w:r>
        <w:t>as</w:t>
      </w:r>
      <w:r w:rsidRPr="007D038A">
        <w:t xml:space="preserve"> </w:t>
      </w:r>
      <w:r>
        <w:t>adults</w:t>
      </w:r>
      <w:r w:rsidRPr="007D038A">
        <w:t xml:space="preserve"> living in the least deprived areas</w:t>
      </w:r>
      <w:r>
        <w:t>.</w:t>
      </w:r>
    </w:p>
    <w:p w14:paraId="14D1467C" w14:textId="77777777" w:rsidR="0060743C" w:rsidRDefault="0060743C" w:rsidP="00E3718A"/>
    <w:p w14:paraId="5B1B71C7" w14:textId="77777777" w:rsidR="00E3718A" w:rsidRDefault="00E3718A" w:rsidP="00E3718A"/>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rsidRPr="00ED103B" w14:paraId="03F9C657" w14:textId="77777777" w:rsidTr="00572CF6">
        <w:trPr>
          <w:cantSplit/>
        </w:trPr>
        <w:tc>
          <w:tcPr>
            <w:tcW w:w="7973" w:type="dxa"/>
          </w:tcPr>
          <w:p w14:paraId="2E26077B" w14:textId="77777777" w:rsidR="00507742" w:rsidRPr="00ED103B" w:rsidRDefault="00507742" w:rsidP="005533E2">
            <w:pPr>
              <w:pStyle w:val="TableText"/>
              <w:ind w:right="-57"/>
              <w:rPr>
                <w:color w:val="0A6AB4"/>
                <w:sz w:val="24"/>
                <w:szCs w:val="24"/>
              </w:rPr>
            </w:pPr>
            <w:bookmarkStart w:id="121" w:name="_Hlk56348968"/>
            <w:bookmarkEnd w:id="120"/>
            <w:r>
              <w:rPr>
                <w:color w:val="0A6AB4"/>
                <w:sz w:val="24"/>
                <w:szCs w:val="24"/>
              </w:rPr>
              <w:t xml:space="preserve">Adults living in socioeconomically deprived areas are more than twice as likely to </w:t>
            </w:r>
            <w:r w:rsidR="00E3718A">
              <w:rPr>
                <w:color w:val="0A6AB4"/>
                <w:sz w:val="24"/>
                <w:szCs w:val="24"/>
              </w:rPr>
              <w:t>have symptoms of severe anxiety</w:t>
            </w:r>
          </w:p>
        </w:tc>
      </w:tr>
    </w:tbl>
    <w:p w14:paraId="203AA41D" w14:textId="77777777" w:rsidR="00507742" w:rsidRPr="00ED103B" w:rsidRDefault="00507742" w:rsidP="00E3718A"/>
    <w:p w14:paraId="1788E230" w14:textId="0622E3B4" w:rsidR="00DA1DCE" w:rsidRDefault="00DA1DCE" w:rsidP="00DA1DCE">
      <w:r w:rsidRPr="00ED103B">
        <w:t xml:space="preserve">The 2016/17 New Zealand Health Survey collected detailed data on mental health using </w:t>
      </w:r>
      <w:r>
        <w:t>the GAD-7 and PHQ-9</w:t>
      </w:r>
      <w:r w:rsidRPr="002C0229">
        <w:t xml:space="preserve"> </w:t>
      </w:r>
      <w:r w:rsidRPr="00ED103B">
        <w:t>screening tools</w:t>
      </w:r>
      <w:r>
        <w:t>, which</w:t>
      </w:r>
      <w:r w:rsidRPr="00ED103B">
        <w:t xml:space="preserve"> identify symptoms (</w:t>
      </w:r>
      <w:r>
        <w:t>Ministry of Health 2020e</w:t>
      </w:r>
      <w:r w:rsidRPr="00ED103B">
        <w:t>).</w:t>
      </w:r>
    </w:p>
    <w:p w14:paraId="038631F5" w14:textId="77777777" w:rsidR="00DA1DCE" w:rsidRDefault="00DA1DCE" w:rsidP="00DA1DCE"/>
    <w:p w14:paraId="04B6C255" w14:textId="77777777" w:rsidR="002542AA" w:rsidRDefault="00507742" w:rsidP="00E3718A">
      <w:r>
        <w:t>In 2016/17, 2.4 percent of adults had experienced symptoms of severe anxiety (based on a score of 15 or higher on the GAD-7) in the past two weeks (Ministry of Health 2020e). Symptoms of severe anxiety were more common in women (3.2 percent) than in men (1.6 percent). Young women aged 15</w:t>
      </w:r>
      <w:r w:rsidRPr="00A54EC4">
        <w:t>–</w:t>
      </w:r>
      <w:r>
        <w:t>24 years were most likely to have symptoms of severe anxiety (5.8 percent).</w:t>
      </w:r>
    </w:p>
    <w:p w14:paraId="7249E987" w14:textId="77777777" w:rsidR="00507742" w:rsidRDefault="00507742" w:rsidP="00E3718A"/>
    <w:p w14:paraId="1890D828" w14:textId="3B89B5C6" w:rsidR="00507742" w:rsidRDefault="00507742" w:rsidP="005811B6">
      <w:r>
        <w:t>Māori were 1.6 times as likely as non-Māori to have symptoms of severe anxiety, after adjusting for differences in age and gender. The most pronounced differences were seen for adults living in the most deprived areas, who were 2.4 times as likely as those living in the least deprived areas to have symptoms of severe anxiety after adjusting for age, gender and ethnic differences.</w:t>
      </w:r>
    </w:p>
    <w:p w14:paraId="2D0F45A5" w14:textId="3DEFA72E" w:rsidR="0060743C" w:rsidRDefault="0060743C" w:rsidP="005811B6"/>
    <w:p w14:paraId="2DED5A31" w14:textId="77777777" w:rsidR="0060743C" w:rsidRDefault="0060743C" w:rsidP="005811B6"/>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rsidRPr="00ED103B" w14:paraId="19725505" w14:textId="77777777" w:rsidTr="00572CF6">
        <w:trPr>
          <w:cantSplit/>
        </w:trPr>
        <w:tc>
          <w:tcPr>
            <w:tcW w:w="7973" w:type="dxa"/>
          </w:tcPr>
          <w:p w14:paraId="07C1309B" w14:textId="77777777" w:rsidR="00507742" w:rsidRPr="00ED103B" w:rsidRDefault="00507742" w:rsidP="00B75540">
            <w:pPr>
              <w:pStyle w:val="TableText"/>
              <w:keepNext/>
              <w:ind w:right="-57"/>
              <w:rPr>
                <w:color w:val="0A6AB4"/>
                <w:sz w:val="24"/>
                <w:szCs w:val="24"/>
              </w:rPr>
            </w:pPr>
            <w:r>
              <w:rPr>
                <w:color w:val="0A6AB4"/>
                <w:sz w:val="24"/>
                <w:szCs w:val="24"/>
              </w:rPr>
              <w:t>Young women are most likely</w:t>
            </w:r>
            <w:r w:rsidR="00E3718A">
              <w:rPr>
                <w:color w:val="0A6AB4"/>
                <w:sz w:val="24"/>
                <w:szCs w:val="24"/>
              </w:rPr>
              <w:t xml:space="preserve"> to have symptoms of depression</w:t>
            </w:r>
          </w:p>
        </w:tc>
      </w:tr>
    </w:tbl>
    <w:p w14:paraId="523468D2" w14:textId="77777777" w:rsidR="00507742" w:rsidRPr="00ED103B" w:rsidRDefault="00507742" w:rsidP="005811B6">
      <w:pPr>
        <w:keepNext/>
      </w:pPr>
    </w:p>
    <w:p w14:paraId="3FA62F7C" w14:textId="77777777" w:rsidR="002542AA" w:rsidRDefault="00507742" w:rsidP="00E3718A">
      <w:r>
        <w:t>In 2016/17, 1.3 percent of adults had experienced symptoms of severe depression (based on a score of 20 or higher on the PHQ-9) in the past two weeks (Ministry of Health 2020e). Symptoms of severe depression were more common in women (1.7</w:t>
      </w:r>
      <w:r w:rsidR="00E3718A">
        <w:t> </w:t>
      </w:r>
      <w:r>
        <w:t>percent) than in men (0.9 percent). Young women aged 15</w:t>
      </w:r>
      <w:r w:rsidRPr="00A54EC4">
        <w:t>–</w:t>
      </w:r>
      <w:r>
        <w:t>24 years were most likely to experience symptoms of severe depression (3.5 percent).</w:t>
      </w:r>
    </w:p>
    <w:p w14:paraId="657870CD" w14:textId="77777777" w:rsidR="00507742" w:rsidRDefault="00507742" w:rsidP="00E3718A"/>
    <w:p w14:paraId="588C509F" w14:textId="77777777" w:rsidR="002542AA" w:rsidRDefault="00507742" w:rsidP="00507742">
      <w:r>
        <w:t>Māori</w:t>
      </w:r>
      <w:r w:rsidRPr="00E3718A">
        <w:t xml:space="preserve"> </w:t>
      </w:r>
      <w:r>
        <w:t>were 1.6 times as likely as non-Māori to have symptoms of severe depression, after adjusting for differences in age and gender.</w:t>
      </w:r>
    </w:p>
    <w:p w14:paraId="19FDD009" w14:textId="77777777" w:rsidR="00E3718A" w:rsidRDefault="00E3718A" w:rsidP="00507742"/>
    <w:p w14:paraId="3922AECE" w14:textId="77777777" w:rsidR="00507742" w:rsidRDefault="00507742" w:rsidP="00E3718A">
      <w:pPr>
        <w:pStyle w:val="Heading2"/>
      </w:pPr>
      <w:bookmarkStart w:id="122" w:name="_TOC_250012"/>
      <w:bookmarkStart w:id="123" w:name="_TOC_250011"/>
      <w:bookmarkStart w:id="124" w:name="_TOC_250010"/>
      <w:bookmarkStart w:id="125" w:name="_Toc57295679"/>
      <w:bookmarkStart w:id="126" w:name="_Toc64536247"/>
      <w:bookmarkStart w:id="127" w:name="_Hlk56348992"/>
      <w:bookmarkEnd w:id="121"/>
      <w:bookmarkEnd w:id="122"/>
      <w:bookmarkEnd w:id="123"/>
      <w:bookmarkEnd w:id="124"/>
      <w:r>
        <w:lastRenderedPageBreak/>
        <w:t>Musculoskeletal conditions</w:t>
      </w:r>
      <w:bookmarkEnd w:id="125"/>
      <w:bookmarkEnd w:id="126"/>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3D85517D" w14:textId="77777777" w:rsidTr="00572CF6">
        <w:trPr>
          <w:cantSplit/>
        </w:trPr>
        <w:tc>
          <w:tcPr>
            <w:tcW w:w="7973" w:type="dxa"/>
          </w:tcPr>
          <w:p w14:paraId="0298DDE5" w14:textId="77777777" w:rsidR="00507742" w:rsidRPr="00933A6B" w:rsidRDefault="00507742" w:rsidP="005533E2">
            <w:pPr>
              <w:pStyle w:val="TableText"/>
              <w:ind w:right="-57"/>
              <w:rPr>
                <w:color w:val="0A6AB4"/>
                <w:sz w:val="24"/>
                <w:szCs w:val="24"/>
              </w:rPr>
            </w:pPr>
            <w:r>
              <w:rPr>
                <w:color w:val="0A6AB4"/>
                <w:sz w:val="24"/>
                <w:szCs w:val="24"/>
              </w:rPr>
              <w:t>One in six adults has arthritis, most commonly osteoarthritis</w:t>
            </w:r>
          </w:p>
        </w:tc>
      </w:tr>
    </w:tbl>
    <w:p w14:paraId="3E940433" w14:textId="77777777" w:rsidR="00507742" w:rsidRDefault="00507742" w:rsidP="00E3718A"/>
    <w:p w14:paraId="4F71F690" w14:textId="77777777" w:rsidR="00507742" w:rsidRDefault="00507742" w:rsidP="00E3718A">
      <w:r>
        <w:t>Collectively, musculoskeletal disorders accounted for 8.6 percent of health loss in 2019 (Global Burden of Disease Collaborative Network 2020). Major conditions within this group include lower back pain (4.5 percent) and osteoarthritis (1.9 percent).</w:t>
      </w:r>
    </w:p>
    <w:p w14:paraId="620CCA94" w14:textId="77777777" w:rsidR="00507742" w:rsidRPr="002370F0" w:rsidRDefault="00507742" w:rsidP="00E3718A"/>
    <w:p w14:paraId="1FC4688F" w14:textId="77777777" w:rsidR="00507742" w:rsidRDefault="00507742" w:rsidP="00E3718A">
      <w:r>
        <w:t>About 639,000 adults (16.2 percent) have been diagnosed with arthritis, according to the 2018/19 New Zealand Health Survey (Ministry of Health 2019a). The prevalence of arthritis has not changed significantly since 2011/12.</w:t>
      </w:r>
    </w:p>
    <w:p w14:paraId="4CEBF2CA" w14:textId="77777777" w:rsidR="00507742" w:rsidRDefault="00507742" w:rsidP="00E3718A"/>
    <w:p w14:paraId="12CE1C1B" w14:textId="77777777" w:rsidR="002542AA" w:rsidRDefault="00507742" w:rsidP="00E3718A">
      <w:r w:rsidRPr="0013434A">
        <w:t>Arthritis is more common in women (17.5 percent) than men (14.9 percent). The</w:t>
      </w:r>
      <w:r>
        <w:t xml:space="preserve"> prevalence of arthritis increases markedly with age: nearly half (46.2 percent) of all adults aged 75 years or older have been diagnosed with arthritis.</w:t>
      </w:r>
    </w:p>
    <w:p w14:paraId="081900CB" w14:textId="77777777" w:rsidR="00507742" w:rsidRDefault="00507742" w:rsidP="00E3718A"/>
    <w:p w14:paraId="42401C13" w14:textId="3E91EBBC" w:rsidR="002542AA" w:rsidRDefault="00507742" w:rsidP="00E3718A">
      <w:r>
        <w:t>Osteoarthritis is the most common type of arthritis, affecting 10.2 percent of adults in 2018/19. Other types of arthritis New Zealanders experienced were rheumatoid (2.6</w:t>
      </w:r>
      <w:r w:rsidR="003A60AF">
        <w:t> </w:t>
      </w:r>
      <w:r>
        <w:t>percent) and gout (2.7 percent). Gout was much more common in men (4.5</w:t>
      </w:r>
      <w:r w:rsidR="003A60AF">
        <w:t> </w:t>
      </w:r>
      <w:r>
        <w:t>percent) than in women (1.0 percent). After adjusting for age differences, Māori men were 2.5 times as likely as non-Māori men, and Pacific men were 3.2 times as likely as non-Pacific men, to have gout.</w:t>
      </w:r>
    </w:p>
    <w:p w14:paraId="3081E4D0" w14:textId="77777777" w:rsidR="00E3718A" w:rsidRDefault="00E3718A" w:rsidP="00E3718A"/>
    <w:p w14:paraId="0233C639" w14:textId="77777777" w:rsidR="00507742" w:rsidRDefault="00507742" w:rsidP="00E3718A">
      <w:pPr>
        <w:pStyle w:val="Heading2"/>
      </w:pPr>
      <w:bookmarkStart w:id="128" w:name="_Toc41484278"/>
      <w:bookmarkStart w:id="129" w:name="_Toc57295680"/>
      <w:bookmarkStart w:id="130" w:name="_Toc64536248"/>
      <w:r>
        <w:t>Chronic r</w:t>
      </w:r>
      <w:r w:rsidRPr="007D038A">
        <w:t>espiratory diseases</w:t>
      </w:r>
      <w:bookmarkEnd w:id="128"/>
      <w:bookmarkEnd w:id="129"/>
      <w:bookmarkEnd w:id="130"/>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341C569F" w14:textId="77777777" w:rsidTr="0060743C">
        <w:trPr>
          <w:cantSplit/>
        </w:trPr>
        <w:tc>
          <w:tcPr>
            <w:tcW w:w="7973" w:type="dxa"/>
          </w:tcPr>
          <w:p w14:paraId="1A9DD5B6" w14:textId="60CB1E1C" w:rsidR="00507742" w:rsidRPr="00933A6B" w:rsidRDefault="00D1365A" w:rsidP="005811B6">
            <w:pPr>
              <w:pStyle w:val="TableText"/>
              <w:keepNext/>
              <w:ind w:right="-57"/>
              <w:rPr>
                <w:color w:val="0A6AB4"/>
                <w:sz w:val="24"/>
                <w:szCs w:val="24"/>
              </w:rPr>
            </w:pPr>
            <w:r>
              <w:rPr>
                <w:color w:val="0A6AB4"/>
                <w:sz w:val="24"/>
                <w:szCs w:val="24"/>
              </w:rPr>
              <w:t>Chronic respiratory diseases are</w:t>
            </w:r>
            <w:r w:rsidR="00507742">
              <w:rPr>
                <w:color w:val="0A6AB4"/>
                <w:sz w:val="24"/>
                <w:szCs w:val="24"/>
              </w:rPr>
              <w:t xml:space="preserve"> a major cause of ethnic inequities</w:t>
            </w:r>
          </w:p>
        </w:tc>
      </w:tr>
    </w:tbl>
    <w:p w14:paraId="3E33F1BF" w14:textId="77777777" w:rsidR="00507742" w:rsidRPr="00426B76" w:rsidRDefault="00507742" w:rsidP="005811B6">
      <w:pPr>
        <w:keepNext/>
      </w:pPr>
    </w:p>
    <w:p w14:paraId="640A198B" w14:textId="77777777" w:rsidR="0060743C" w:rsidRDefault="0060743C" w:rsidP="0060743C">
      <w:pPr>
        <w:keepNext/>
      </w:pPr>
      <w:r w:rsidRPr="004D1660">
        <w:t xml:space="preserve">Chronic </w:t>
      </w:r>
      <w:r>
        <w:t xml:space="preserve">respiratory diseases </w:t>
      </w:r>
      <w:r w:rsidRPr="004D1660">
        <w:t xml:space="preserve">accounted for </w:t>
      </w:r>
      <w:r>
        <w:t>5.3 percent</w:t>
      </w:r>
      <w:r w:rsidRPr="003B0E6F">
        <w:t xml:space="preserve"> of health loss</w:t>
      </w:r>
      <w:r>
        <w:t xml:space="preserve"> in 2019</w:t>
      </w:r>
      <w:r w:rsidRPr="003B0E6F">
        <w:t xml:space="preserve"> (</w:t>
      </w:r>
      <w:r>
        <w:t>Global Burden of Disease Collaborative Network 2020</w:t>
      </w:r>
      <w:r w:rsidRPr="003B0E6F">
        <w:t xml:space="preserve">). The majority of this health loss is due to </w:t>
      </w:r>
      <w:r w:rsidRPr="008A3BAF">
        <w:t xml:space="preserve">chronic obstructive pulmonary disease </w:t>
      </w:r>
      <w:r>
        <w:t xml:space="preserve">(3.9 percent) </w:t>
      </w:r>
      <w:r w:rsidRPr="003B0E6F">
        <w:t>and asthma</w:t>
      </w:r>
      <w:r>
        <w:t xml:space="preserve"> (1.0 percent)</w:t>
      </w:r>
      <w:r w:rsidRPr="003B0E6F">
        <w:t>.</w:t>
      </w:r>
    </w:p>
    <w:p w14:paraId="20CE2669" w14:textId="77777777" w:rsidR="0060743C" w:rsidRDefault="0060743C" w:rsidP="00E3718A"/>
    <w:p w14:paraId="69CDFA03" w14:textId="7282D910" w:rsidR="002542AA" w:rsidRDefault="00507742" w:rsidP="00E3718A">
      <w:r w:rsidRPr="004F3018">
        <w:t xml:space="preserve">Chronic obstructive pulmonary disease </w:t>
      </w:r>
      <w:r w:rsidR="00FF4687" w:rsidRPr="008A3BAF">
        <w:t>(</w:t>
      </w:r>
      <w:r w:rsidR="00FF4687" w:rsidRPr="003B0E6F">
        <w:t>COPD</w:t>
      </w:r>
      <w:r w:rsidR="00FF4687">
        <w:t xml:space="preserve">) </w:t>
      </w:r>
      <w:r w:rsidRPr="004F3018">
        <w:t>is a lung disease that prevents normal breathing. Common types of COPD include chronic bronchitis and emphysema, which are permanent conditions that are usually caused by smoking</w:t>
      </w:r>
      <w:r>
        <w:t>.</w:t>
      </w:r>
    </w:p>
    <w:p w14:paraId="1DFD25D3" w14:textId="77777777" w:rsidR="00507742" w:rsidRDefault="00507742" w:rsidP="00E3718A"/>
    <w:p w14:paraId="13A0D63D" w14:textId="77777777" w:rsidR="00507742" w:rsidRDefault="00507742" w:rsidP="00E3718A">
      <w:r w:rsidRPr="003B0E6F">
        <w:t>According to the 2013/14 New Zealand Health Survey, 6.</w:t>
      </w:r>
      <w:r>
        <w:t>4 </w:t>
      </w:r>
      <w:r w:rsidRPr="003B0E6F">
        <w:t>percent of adults aged 45</w:t>
      </w:r>
      <w:r w:rsidR="00E3718A">
        <w:t> </w:t>
      </w:r>
      <w:r w:rsidRPr="003B0E6F">
        <w:t xml:space="preserve">years and over </w:t>
      </w:r>
      <w:r>
        <w:t>had</w:t>
      </w:r>
      <w:r w:rsidRPr="003B0E6F">
        <w:t xml:space="preserve"> COPD. </w:t>
      </w:r>
      <w:r>
        <w:t>Rates of COPD were highest in Māori (9.7 percent) and lowest in Asian (2.4 percent) adults. After adjusting for age, gender and ethnic differences, adults living in the most deprived neighbourhoods were 2.3 times as likely as adults living in the least deprived areas to have COPD.</w:t>
      </w:r>
    </w:p>
    <w:p w14:paraId="1C4799AF" w14:textId="77777777" w:rsidR="00507742" w:rsidRDefault="00507742" w:rsidP="00E3718A"/>
    <w:p w14:paraId="01DF98E8" w14:textId="32E6B723" w:rsidR="00507742" w:rsidRDefault="00507742" w:rsidP="005811B6">
      <w:r>
        <w:t xml:space="preserve">Chronic </w:t>
      </w:r>
      <w:r w:rsidRPr="006620A8">
        <w:t>lower</w:t>
      </w:r>
      <w:r>
        <w:t xml:space="preserve"> respiratory diseases </w:t>
      </w:r>
      <w:r w:rsidRPr="007D038A">
        <w:t>accounted for</w:t>
      </w:r>
      <w:r>
        <w:t xml:space="preserve"> 1,</w:t>
      </w:r>
      <w:r w:rsidR="00CD04E3">
        <w:t xml:space="preserve">898 </w:t>
      </w:r>
      <w:r>
        <w:t xml:space="preserve">deaths in </w:t>
      </w:r>
      <w:r w:rsidR="00CD04E3">
        <w:t>2017</w:t>
      </w:r>
      <w:r>
        <w:t>, which is an age</w:t>
      </w:r>
      <w:r w:rsidR="00E3718A">
        <w:noBreakHyphen/>
      </w:r>
      <w:r>
        <w:t>standard</w:t>
      </w:r>
      <w:r w:rsidRPr="00E3718A">
        <w:t>i</w:t>
      </w:r>
      <w:r>
        <w:t xml:space="preserve">sed rate of </w:t>
      </w:r>
      <w:r w:rsidR="00DE0D9B">
        <w:t>20.3</w:t>
      </w:r>
      <w:r w:rsidRPr="007D038A">
        <w:t xml:space="preserve"> deaths per 100,000 population</w:t>
      </w:r>
      <w:r>
        <w:t xml:space="preserve"> (Ministry of Health </w:t>
      </w:r>
      <w:r w:rsidR="00CD04E3">
        <w:t>2019d</w:t>
      </w:r>
      <w:r>
        <w:t xml:space="preserve">). </w:t>
      </w:r>
      <w:r w:rsidR="00CD04E3">
        <w:t xml:space="preserve">The </w:t>
      </w:r>
      <w:r w:rsidR="006C7F66">
        <w:t xml:space="preserve">mortality rate for </w:t>
      </w:r>
      <w:r w:rsidR="00CD04E3">
        <w:t>c</w:t>
      </w:r>
      <w:r>
        <w:t>hronic lower respiratory disease</w:t>
      </w:r>
      <w:r w:rsidR="00CD04E3">
        <w:t>s</w:t>
      </w:r>
      <w:r>
        <w:t xml:space="preserve"> </w:t>
      </w:r>
      <w:r w:rsidR="00CD04E3">
        <w:t>was similar</w:t>
      </w:r>
      <w:r>
        <w:t xml:space="preserve"> in men (</w:t>
      </w:r>
      <w:r w:rsidR="00CE7557">
        <w:t>21</w:t>
      </w:r>
      <w:r>
        <w:t>.</w:t>
      </w:r>
      <w:r w:rsidR="00CD04E3">
        <w:t>0</w:t>
      </w:r>
      <w:r w:rsidR="00CE7557">
        <w:t xml:space="preserve"> </w:t>
      </w:r>
      <w:r>
        <w:t xml:space="preserve">per 100,000) </w:t>
      </w:r>
      <w:r w:rsidR="00CD04E3">
        <w:t xml:space="preserve">and </w:t>
      </w:r>
      <w:r>
        <w:t>women (</w:t>
      </w:r>
      <w:r w:rsidR="00CD04E3">
        <w:t>20.0</w:t>
      </w:r>
      <w:r>
        <w:t xml:space="preserve"> per 100,000</w:t>
      </w:r>
      <w:r w:rsidRPr="007D038A">
        <w:t>)</w:t>
      </w:r>
      <w:r w:rsidR="00CD04E3">
        <w:t>, but</w:t>
      </w:r>
      <w:r>
        <w:t xml:space="preserve"> nearly three times higher</w:t>
      </w:r>
      <w:r w:rsidRPr="007D038A">
        <w:t xml:space="preserve"> </w:t>
      </w:r>
      <w:r>
        <w:t>in</w:t>
      </w:r>
      <w:r w:rsidRPr="007D038A">
        <w:t xml:space="preserve"> Māori </w:t>
      </w:r>
      <w:r>
        <w:t>(</w:t>
      </w:r>
      <w:r w:rsidR="00CD04E3">
        <w:t>49.9</w:t>
      </w:r>
      <w:r w:rsidR="00E3718A">
        <w:t> </w:t>
      </w:r>
      <w:r>
        <w:t xml:space="preserve">per 100,000) than in </w:t>
      </w:r>
      <w:r w:rsidRPr="007D038A">
        <w:t>non-Māori (</w:t>
      </w:r>
      <w:r>
        <w:t>17.</w:t>
      </w:r>
      <w:r w:rsidR="002D5CC3">
        <w:t xml:space="preserve">8 </w:t>
      </w:r>
      <w:r>
        <w:t>per 100,000).</w:t>
      </w:r>
    </w:p>
    <w:p w14:paraId="580C9487" w14:textId="77777777" w:rsidR="00383581" w:rsidRDefault="00383581" w:rsidP="005811B6"/>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37C792C7" w14:textId="77777777" w:rsidTr="00572CF6">
        <w:trPr>
          <w:cantSplit/>
        </w:trPr>
        <w:tc>
          <w:tcPr>
            <w:tcW w:w="7973" w:type="dxa"/>
          </w:tcPr>
          <w:p w14:paraId="7BEC6ABB" w14:textId="77777777" w:rsidR="00507742" w:rsidRPr="00933A6B" w:rsidRDefault="00507742" w:rsidP="005533E2">
            <w:pPr>
              <w:pStyle w:val="TableText"/>
              <w:ind w:right="-57"/>
              <w:rPr>
                <w:color w:val="0A6AB4"/>
                <w:sz w:val="24"/>
                <w:szCs w:val="24"/>
              </w:rPr>
            </w:pPr>
            <w:r>
              <w:rPr>
                <w:color w:val="0A6AB4"/>
                <w:sz w:val="24"/>
                <w:szCs w:val="24"/>
              </w:rPr>
              <w:t>Over half a million</w:t>
            </w:r>
            <w:r w:rsidRPr="002D4184">
              <w:rPr>
                <w:color w:val="0A6AB4"/>
                <w:sz w:val="24"/>
                <w:szCs w:val="24"/>
              </w:rPr>
              <w:t xml:space="preserve"> New Zealanders have </w:t>
            </w:r>
            <w:r>
              <w:rPr>
                <w:color w:val="0A6AB4"/>
                <w:sz w:val="24"/>
                <w:szCs w:val="24"/>
              </w:rPr>
              <w:t>asthma</w:t>
            </w:r>
          </w:p>
        </w:tc>
      </w:tr>
    </w:tbl>
    <w:p w14:paraId="7E56A618" w14:textId="77777777" w:rsidR="00507742" w:rsidRDefault="00507742" w:rsidP="00E3718A"/>
    <w:p w14:paraId="5D2EE3B3" w14:textId="77777777" w:rsidR="002542AA" w:rsidRDefault="00507742" w:rsidP="00E3718A">
      <w:r>
        <w:t>In 2018/19, 11.5 percent of adults (452,000) and 13.1 percent of children aged 2–14 years (110,000) had asthma</w:t>
      </w:r>
      <w:r w:rsidRPr="00E3718A">
        <w:rPr>
          <w:rStyle w:val="FootnoteReference"/>
        </w:rPr>
        <w:footnoteReference w:id="3"/>
      </w:r>
      <w:r>
        <w:t xml:space="preserve"> (Ministry of Health 2019a). The prevalence of asthma has not changed since 2011/12 for either adults or children.</w:t>
      </w:r>
    </w:p>
    <w:p w14:paraId="6AE222F7" w14:textId="77777777" w:rsidR="00507742" w:rsidRDefault="00507742" w:rsidP="00E3718A"/>
    <w:p w14:paraId="00644EE0" w14:textId="77777777" w:rsidR="00507742" w:rsidRDefault="00507742" w:rsidP="00E3718A">
      <w:r>
        <w:t>Among children, the prevalence of asthma is higher in boys (15.4 percent) than girls (10.8 percent), whereas in adults it is higher in women (13.7 percent) than men (9.2</w:t>
      </w:r>
      <w:r w:rsidR="00E3718A">
        <w:t> </w:t>
      </w:r>
      <w:r>
        <w:t>percent).</w:t>
      </w:r>
    </w:p>
    <w:p w14:paraId="2332A5A4" w14:textId="77777777" w:rsidR="00507742" w:rsidRDefault="00507742" w:rsidP="00E3718A"/>
    <w:p w14:paraId="69095C3E" w14:textId="77777777" w:rsidR="002542AA" w:rsidRDefault="00507742" w:rsidP="00E3718A">
      <w:r>
        <w:t>After adjusting for age and gender, Māori adults are 1.7 times as likely to have asthma as non-Māori adults. Māori children are 1.3 times as likely</w:t>
      </w:r>
      <w:r w:rsidRPr="0005436C">
        <w:t xml:space="preserve"> </w:t>
      </w:r>
      <w:r>
        <w:t>to have asthma as non</w:t>
      </w:r>
      <w:r w:rsidR="00E3718A">
        <w:noBreakHyphen/>
      </w:r>
      <w:r>
        <w:t>Māori children.</w:t>
      </w:r>
    </w:p>
    <w:p w14:paraId="2724B2AE" w14:textId="77777777" w:rsidR="00E3718A" w:rsidRDefault="00E3718A" w:rsidP="00E3718A"/>
    <w:p w14:paraId="45E7963A" w14:textId="77777777" w:rsidR="00507742" w:rsidRDefault="00507742" w:rsidP="00E3718A">
      <w:pPr>
        <w:pStyle w:val="Heading2"/>
      </w:pPr>
      <w:bookmarkStart w:id="131" w:name="_Toc57295681"/>
      <w:bookmarkStart w:id="132" w:name="_Toc64536249"/>
      <w:r>
        <w:t>Oral health</w:t>
      </w:r>
      <w:bookmarkEnd w:id="131"/>
      <w:bookmarkEnd w:id="132"/>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69DB3248" w14:textId="77777777" w:rsidTr="00572CF6">
        <w:trPr>
          <w:cantSplit/>
        </w:trPr>
        <w:tc>
          <w:tcPr>
            <w:tcW w:w="7973" w:type="dxa"/>
          </w:tcPr>
          <w:p w14:paraId="607B00D1" w14:textId="77777777" w:rsidR="00507742" w:rsidRPr="00933A6B" w:rsidRDefault="00507742" w:rsidP="005533E2">
            <w:pPr>
              <w:pStyle w:val="TableText"/>
              <w:ind w:right="-57"/>
              <w:rPr>
                <w:color w:val="0A6AB4"/>
                <w:sz w:val="24"/>
                <w:szCs w:val="24"/>
              </w:rPr>
            </w:pPr>
            <w:r w:rsidRPr="007F12DB">
              <w:rPr>
                <w:color w:val="0A6AB4"/>
                <w:sz w:val="24"/>
                <w:szCs w:val="24"/>
              </w:rPr>
              <w:t xml:space="preserve">Oral health issues </w:t>
            </w:r>
            <w:r>
              <w:rPr>
                <w:color w:val="0A6AB4"/>
                <w:sz w:val="24"/>
                <w:szCs w:val="24"/>
              </w:rPr>
              <w:t>contribute to health inequities</w:t>
            </w:r>
          </w:p>
        </w:tc>
      </w:tr>
    </w:tbl>
    <w:p w14:paraId="1924E4A0" w14:textId="77777777" w:rsidR="00507742" w:rsidRDefault="00507742" w:rsidP="00E3718A"/>
    <w:p w14:paraId="360816D1" w14:textId="77777777" w:rsidR="002542AA" w:rsidRDefault="00507742" w:rsidP="00E3718A">
      <w:r>
        <w:t>In the 2018/19 New Zealand Health Survey, 6.8 percent of adults reported having one or more teeth removed due to decay, abscess, infection or gum disease in the past 12</w:t>
      </w:r>
      <w:r w:rsidR="00E3718A">
        <w:t> </w:t>
      </w:r>
      <w:r>
        <w:t>months (Ministry of Health 2019a). About 40,000 children aged 1</w:t>
      </w:r>
      <w:r w:rsidRPr="00A54EC4">
        <w:t>–</w:t>
      </w:r>
      <w:r>
        <w:t>14 years (4.5</w:t>
      </w:r>
      <w:r w:rsidR="00E3718A">
        <w:t> </w:t>
      </w:r>
      <w:r>
        <w:t>percent) had had one</w:t>
      </w:r>
      <w:r w:rsidRPr="00470A2F">
        <w:t xml:space="preserve"> or more of their teeth removed in the past 12 months, due to decay, an abscess</w:t>
      </w:r>
      <w:r>
        <w:t>,</w:t>
      </w:r>
      <w:r w:rsidRPr="00470A2F">
        <w:t xml:space="preserve"> infection</w:t>
      </w:r>
      <w:r>
        <w:t xml:space="preserve"> or gum disease.</w:t>
      </w:r>
    </w:p>
    <w:p w14:paraId="6F602651" w14:textId="77777777" w:rsidR="00507742" w:rsidRDefault="00507742" w:rsidP="00E3718A"/>
    <w:p w14:paraId="56AAF2D3" w14:textId="77777777" w:rsidR="00507742" w:rsidRDefault="00507742" w:rsidP="00E3718A">
      <w:r>
        <w:t>Māori and Pacific adults were nearly twice as likely as their non-Māori and non-Pacific counterparts to have had a tooth removed in the past 12 months due to decay, abscess, infection or gum disease. The pattern was the same for Māori and Pacific children, especially for boys.</w:t>
      </w:r>
    </w:p>
    <w:p w14:paraId="77327D2A" w14:textId="77777777" w:rsidR="00507742" w:rsidRDefault="00507742" w:rsidP="00E3718A"/>
    <w:p w14:paraId="66F89F67" w14:textId="77777777" w:rsidR="002542AA" w:rsidRDefault="00507742" w:rsidP="00E3718A">
      <w:pPr>
        <w:keepLines/>
      </w:pPr>
      <w:r w:rsidRPr="00F753C2">
        <w:t>These ethnic disparities are reflected in results for self-rated oral health</w:t>
      </w:r>
      <w:r>
        <w:t xml:space="preserve"> among adults</w:t>
      </w:r>
      <w:r w:rsidRPr="00F753C2">
        <w:t xml:space="preserve">. </w:t>
      </w:r>
      <w:r>
        <w:rPr>
          <w:spacing w:val="-2"/>
        </w:rPr>
        <w:t xml:space="preserve">Overall, </w:t>
      </w:r>
      <w:r w:rsidRPr="00F753C2">
        <w:rPr>
          <w:spacing w:val="-2"/>
        </w:rPr>
        <w:t>78</w:t>
      </w:r>
      <w:r>
        <w:rPr>
          <w:spacing w:val="-2"/>
        </w:rPr>
        <w:t>.4</w:t>
      </w:r>
      <w:r w:rsidRPr="00F753C2">
        <w:rPr>
          <w:spacing w:val="-2"/>
        </w:rPr>
        <w:t xml:space="preserve"> percent of adults </w:t>
      </w:r>
      <w:r>
        <w:rPr>
          <w:spacing w:val="-2"/>
        </w:rPr>
        <w:t>rated their oral health as</w:t>
      </w:r>
      <w:r w:rsidRPr="00F753C2">
        <w:rPr>
          <w:spacing w:val="-2"/>
        </w:rPr>
        <w:t xml:space="preserve"> excellent, very good or good (Ministry of Health 2019</w:t>
      </w:r>
      <w:r>
        <w:rPr>
          <w:spacing w:val="-2"/>
        </w:rPr>
        <w:t>a</w:t>
      </w:r>
      <w:r w:rsidRPr="00F753C2">
        <w:rPr>
          <w:spacing w:val="-2"/>
        </w:rPr>
        <w:t xml:space="preserve">). </w:t>
      </w:r>
      <w:r>
        <w:t>These positive</w:t>
      </w:r>
      <w:r w:rsidRPr="00F753C2">
        <w:t xml:space="preserve"> self-rat</w:t>
      </w:r>
      <w:r>
        <w:t xml:space="preserve">ings were </w:t>
      </w:r>
      <w:r w:rsidRPr="00F753C2">
        <w:t xml:space="preserve">less </w:t>
      </w:r>
      <w:r>
        <w:t>common</w:t>
      </w:r>
      <w:r w:rsidRPr="00F753C2">
        <w:t xml:space="preserve"> among Māori (65.2</w:t>
      </w:r>
      <w:r w:rsidR="00E3718A">
        <w:t> </w:t>
      </w:r>
      <w:r w:rsidRPr="00F753C2">
        <w:t>percent) and Pacific</w:t>
      </w:r>
      <w:r>
        <w:t xml:space="preserve"> adults</w:t>
      </w:r>
      <w:r w:rsidRPr="00F753C2">
        <w:t xml:space="preserve"> (73.2 percent). Adults living in the most deprived areas </w:t>
      </w:r>
      <w:r>
        <w:t>we</w:t>
      </w:r>
      <w:r w:rsidRPr="00F753C2">
        <w:t>re also less likely to report excellent, very good or good oral health, after adjusting for age</w:t>
      </w:r>
      <w:r>
        <w:t>, gender</w:t>
      </w:r>
      <w:r w:rsidRPr="00F753C2">
        <w:t xml:space="preserve"> and ethnic differences.</w:t>
      </w:r>
    </w:p>
    <w:p w14:paraId="6B082907" w14:textId="77777777" w:rsidR="00507742" w:rsidRDefault="00507742" w:rsidP="00E3718A"/>
    <w:p w14:paraId="331ADFFD" w14:textId="77777777" w:rsidR="002542AA" w:rsidRDefault="00507742" w:rsidP="00E3718A">
      <w:r>
        <w:t>Overall, 93.6 p</w:t>
      </w:r>
      <w:r w:rsidRPr="00F753C2">
        <w:t>ercent of children aged 1</w:t>
      </w:r>
      <w:r w:rsidRPr="00A54EC4">
        <w:t>–</w:t>
      </w:r>
      <w:r w:rsidRPr="00F753C2">
        <w:t>14 years ha</w:t>
      </w:r>
      <w:r>
        <w:t>d</w:t>
      </w:r>
      <w:r w:rsidRPr="00F753C2">
        <w:t xml:space="preserve"> </w:t>
      </w:r>
      <w:r w:rsidR="002542AA">
        <w:t>‘</w:t>
      </w:r>
      <w:r w:rsidRPr="00F753C2">
        <w:t>excellent, very good or good</w:t>
      </w:r>
      <w:r w:rsidR="002542AA">
        <w:t>’</w:t>
      </w:r>
      <w:r w:rsidRPr="00F753C2">
        <w:t xml:space="preserve"> parent-rated oral health. </w:t>
      </w:r>
      <w:r>
        <w:t>There were some differences in parent-rated oral health by ethnic group and neighbourhood deprivation, but these differences were smaller than you would expect based on other oral health results.</w:t>
      </w:r>
    </w:p>
    <w:p w14:paraId="290FBCDC" w14:textId="77777777" w:rsidR="00E3718A" w:rsidRDefault="00E3718A" w:rsidP="00E3718A"/>
    <w:p w14:paraId="5BCD167E" w14:textId="77777777" w:rsidR="00507742" w:rsidRPr="007D038A" w:rsidRDefault="00507742" w:rsidP="00E3718A">
      <w:pPr>
        <w:pStyle w:val="Heading2"/>
      </w:pPr>
      <w:bookmarkStart w:id="133" w:name="_TOC_250008"/>
      <w:bookmarkStart w:id="134" w:name="_Toc57295682"/>
      <w:bookmarkStart w:id="135" w:name="_Toc64536250"/>
      <w:bookmarkEnd w:id="127"/>
      <w:bookmarkEnd w:id="133"/>
      <w:r w:rsidRPr="007D038A">
        <w:lastRenderedPageBreak/>
        <w:t>Communicable diseases</w:t>
      </w:r>
      <w:bookmarkEnd w:id="134"/>
      <w:bookmarkEnd w:id="135"/>
    </w:p>
    <w:p w14:paraId="65E4C00E" w14:textId="5B31975D" w:rsidR="002542AA" w:rsidRDefault="00507742" w:rsidP="005811B6">
      <w:pPr>
        <w:keepNext/>
      </w:pPr>
      <w:r w:rsidRPr="007D038A">
        <w:t xml:space="preserve">Health loss from communicable </w:t>
      </w:r>
      <w:r w:rsidR="009E7C35">
        <w:t xml:space="preserve">(or infectious) </w:t>
      </w:r>
      <w:r w:rsidRPr="007D038A">
        <w:t>diseases has decreased over time</w:t>
      </w:r>
      <w:r>
        <w:t>. I</w:t>
      </w:r>
      <w:r w:rsidRPr="007D038A">
        <w:t>t now makes a low contribution (</w:t>
      </w:r>
      <w:r>
        <w:t>1.9</w:t>
      </w:r>
      <w:r w:rsidRPr="007D038A">
        <w:t xml:space="preserve"> percent) to overall health loss</w:t>
      </w:r>
      <w:r>
        <w:t xml:space="preserve"> (Global Burden of Disease Collaborative Network 2020)</w:t>
      </w:r>
      <w:r w:rsidRPr="007D038A">
        <w:t>.</w:t>
      </w:r>
      <w:r w:rsidR="009E7C35">
        <w:t xml:space="preserve"> However, ongoing vigilance is needed because</w:t>
      </w:r>
      <w:r w:rsidR="009E7C35" w:rsidRPr="009E7C35">
        <w:t xml:space="preserve"> outbreaks of communicable diseases still occur and lead to avoidable hospitalisations</w:t>
      </w:r>
      <w:r w:rsidR="009E7C35">
        <w:t>.</w:t>
      </w:r>
    </w:p>
    <w:p w14:paraId="1888C020" w14:textId="77777777" w:rsidR="0060743C" w:rsidRDefault="0060743C" w:rsidP="005811B6">
      <w:pPr>
        <w:keepNext/>
      </w:pPr>
    </w:p>
    <w:p w14:paraId="13A8C297" w14:textId="77777777" w:rsidR="00E3718A" w:rsidRDefault="00E3718A" w:rsidP="005811B6">
      <w:pPr>
        <w:keepNext/>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4AE65C9B" w14:textId="77777777" w:rsidTr="00572CF6">
        <w:trPr>
          <w:cantSplit/>
        </w:trPr>
        <w:tc>
          <w:tcPr>
            <w:tcW w:w="7973" w:type="dxa"/>
          </w:tcPr>
          <w:p w14:paraId="78B1751A" w14:textId="77777777" w:rsidR="00507742" w:rsidRPr="00933A6B" w:rsidRDefault="00507742" w:rsidP="005811B6">
            <w:pPr>
              <w:pStyle w:val="TableText"/>
              <w:keepNext/>
              <w:ind w:right="-57"/>
              <w:rPr>
                <w:color w:val="0A6AB4"/>
                <w:sz w:val="24"/>
                <w:szCs w:val="24"/>
              </w:rPr>
            </w:pPr>
            <w:r w:rsidRPr="00E100DE">
              <w:rPr>
                <w:color w:val="0A6AB4"/>
                <w:sz w:val="24"/>
                <w:szCs w:val="24"/>
              </w:rPr>
              <w:t xml:space="preserve">Imported cases of measles </w:t>
            </w:r>
            <w:r>
              <w:rPr>
                <w:color w:val="0A6AB4"/>
                <w:sz w:val="24"/>
                <w:szCs w:val="24"/>
              </w:rPr>
              <w:t>led to</w:t>
            </w:r>
            <w:r w:rsidRPr="00E100DE">
              <w:rPr>
                <w:color w:val="0A6AB4"/>
                <w:sz w:val="24"/>
                <w:szCs w:val="24"/>
              </w:rPr>
              <w:t xml:space="preserve"> outbreaks in Christchurch, Auckland and Northland</w:t>
            </w:r>
          </w:p>
        </w:tc>
      </w:tr>
    </w:tbl>
    <w:p w14:paraId="027B9163" w14:textId="77777777" w:rsidR="00507742" w:rsidRPr="007D038A" w:rsidRDefault="00507742" w:rsidP="005811B6">
      <w:pPr>
        <w:keepNext/>
      </w:pPr>
    </w:p>
    <w:p w14:paraId="598525BB" w14:textId="77777777" w:rsidR="00507742" w:rsidRPr="007D038A" w:rsidRDefault="00507742" w:rsidP="005811B6">
      <w:pPr>
        <w:keepLines/>
      </w:pPr>
      <w:r w:rsidRPr="007D038A">
        <w:t xml:space="preserve">In October 2017, New Zealand had been officially declared to be free of endemic cases of measles. </w:t>
      </w:r>
      <w:r>
        <w:t xml:space="preserve">However, </w:t>
      </w:r>
      <w:r w:rsidRPr="007D038A">
        <w:t xml:space="preserve">New Zealand </w:t>
      </w:r>
      <w:r>
        <w:t xml:space="preserve">became </w:t>
      </w:r>
      <w:r w:rsidRPr="007D038A">
        <w:t>at risk of import</w:t>
      </w:r>
      <w:r>
        <w:t>ing</w:t>
      </w:r>
      <w:r w:rsidRPr="007D038A">
        <w:t xml:space="preserve"> the disease</w:t>
      </w:r>
      <w:r>
        <w:t xml:space="preserve"> again when,</w:t>
      </w:r>
      <w:r w:rsidRPr="007D038A">
        <w:t xml:space="preserve"> </w:t>
      </w:r>
      <w:r>
        <w:t>d</w:t>
      </w:r>
      <w:r w:rsidRPr="007D038A">
        <w:t xml:space="preserve">uring 2018 and 2019, measles notifications increased substantially worldwide. </w:t>
      </w:r>
      <w:r>
        <w:t>Low vaccination rates in</w:t>
      </w:r>
      <w:r w:rsidRPr="007D038A">
        <w:t xml:space="preserve"> pockets of our community </w:t>
      </w:r>
      <w:r>
        <w:t>heightened this risk</w:t>
      </w:r>
      <w:r w:rsidRPr="007D038A">
        <w:t>. In February 2019, an imported case of measles resulted in a local outbreak of measles.</w:t>
      </w:r>
    </w:p>
    <w:p w14:paraId="64055B90" w14:textId="77777777" w:rsidR="00507742" w:rsidRDefault="00507742" w:rsidP="00E3718A"/>
    <w:p w14:paraId="3C9691FB" w14:textId="77777777" w:rsidR="002542AA" w:rsidRDefault="00507742" w:rsidP="00E3718A">
      <w:r>
        <w:t>By the end</w:t>
      </w:r>
      <w:r w:rsidRPr="00E3718A">
        <w:t xml:space="preserve"> </w:t>
      </w:r>
      <w:r>
        <w:t>of 2019 a total of 2,213 confirmed cases of measles had been notified, which is a rate of 45 per 100,000 (ESR 2020a)</w:t>
      </w:r>
      <w:r w:rsidRPr="007D038A">
        <w:t xml:space="preserve">. </w:t>
      </w:r>
      <w:r>
        <w:t>This is similar to the number of cases notified in the 1997 outbreak (2,169), but fewer than during the measles epidemic in 1991 when the number of cases was estimated to be in the tens of thousands.</w:t>
      </w:r>
    </w:p>
    <w:p w14:paraId="776B2EE2" w14:textId="77777777" w:rsidR="00507742" w:rsidRDefault="00507742" w:rsidP="00E3718A"/>
    <w:p w14:paraId="65F29919" w14:textId="44BCB338" w:rsidR="002542AA" w:rsidRDefault="00507742" w:rsidP="00E3718A">
      <w:r>
        <w:t>The DHB with the largest number of confirmed measles cases as of 23 December 2019 (ESR 2020b) was Counties Manukau (1,150), followed by Waitemat</w:t>
      </w:r>
      <w:r>
        <w:rPr>
          <w:rFonts w:cs="Segoe UI"/>
        </w:rPr>
        <w:t>ā</w:t>
      </w:r>
      <w:r>
        <w:t xml:space="preserve"> (303) and Auckland (273). Young people aged 20</w:t>
      </w:r>
      <w:r w:rsidRPr="00A54EC4">
        <w:t>–</w:t>
      </w:r>
      <w:r>
        <w:t>29 years accounted for one-third (32.4 percent) of all measles cases, but the highest rate was in children aged under one year (</w:t>
      </w:r>
      <w:r w:rsidR="00E3718A">
        <w:fldChar w:fldCharType="begin"/>
      </w:r>
      <w:r w:rsidR="00E3718A">
        <w:instrText xml:space="preserve"> REF _Ref57375732 \h </w:instrText>
      </w:r>
      <w:r w:rsidR="00E3718A">
        <w:fldChar w:fldCharType="separate"/>
      </w:r>
      <w:r w:rsidR="003F39AB">
        <w:t>Figure </w:t>
      </w:r>
      <w:r w:rsidR="003F39AB">
        <w:rPr>
          <w:noProof/>
        </w:rPr>
        <w:t>9</w:t>
      </w:r>
      <w:r w:rsidR="00E3718A">
        <w:fldChar w:fldCharType="end"/>
      </w:r>
      <w:r>
        <w:t>).</w:t>
      </w:r>
    </w:p>
    <w:p w14:paraId="26E83DCF" w14:textId="77777777" w:rsidR="00507742" w:rsidRDefault="00507742" w:rsidP="00E3718A"/>
    <w:p w14:paraId="3697ECFD" w14:textId="51539EC9" w:rsidR="00507742" w:rsidRDefault="00E3718A" w:rsidP="00E3718A">
      <w:pPr>
        <w:pStyle w:val="Figure"/>
      </w:pPr>
      <w:bookmarkStart w:id="136" w:name="_Ref57375732"/>
      <w:bookmarkStart w:id="137" w:name="_Toc57295966"/>
      <w:bookmarkStart w:id="138" w:name="_Toc64536266"/>
      <w:r>
        <w:t>Figure </w:t>
      </w:r>
      <w:fldSimple w:instr=" SEQ Figure \* ARABIC ">
        <w:r w:rsidR="003F39AB">
          <w:rPr>
            <w:noProof/>
          </w:rPr>
          <w:t>9</w:t>
        </w:r>
      </w:fldSimple>
      <w:bookmarkEnd w:id="136"/>
      <w:r w:rsidR="00507742" w:rsidRPr="001662E6">
        <w:t xml:space="preserve">: </w:t>
      </w:r>
      <w:r w:rsidR="00507742">
        <w:t>Measles notification rate,</w:t>
      </w:r>
      <w:r w:rsidR="00507742" w:rsidRPr="001662E6">
        <w:t xml:space="preserve"> by age group, 2019</w:t>
      </w:r>
      <w:bookmarkEnd w:id="137"/>
      <w:bookmarkEnd w:id="138"/>
    </w:p>
    <w:p w14:paraId="7D6B87FD" w14:textId="7A15F808" w:rsidR="005811B6" w:rsidRPr="005811B6" w:rsidRDefault="00EC60FD" w:rsidP="005811B6">
      <w:pPr>
        <w:keepNext/>
      </w:pPr>
      <w:r w:rsidRPr="001E65C0">
        <w:rPr>
          <w:noProof/>
          <w:lang w:eastAsia="en-NZ"/>
        </w:rPr>
        <w:drawing>
          <wp:inline distT="0" distB="0" distL="0" distR="0" wp14:anchorId="37D95380" wp14:editId="68E75046">
            <wp:extent cx="5130165" cy="3129280"/>
            <wp:effectExtent l="0" t="0" r="0" b="0"/>
            <wp:docPr id="17" name="Picture 17" descr="This bar graph shows that the largest number of measles notifications occurred in people under the age of 1 year, just over 450 notifications. This was followed by the 1-4 year old age group, with about 125 notifications, 20-29 with about 110 notifications, 15-19 with about 105 notifications and 10-14 with about 50 notifications. All other groups had less than 50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30165" cy="3129280"/>
                    </a:xfrm>
                    <a:prstGeom prst="rect">
                      <a:avLst/>
                    </a:prstGeom>
                  </pic:spPr>
                </pic:pic>
              </a:graphicData>
            </a:graphic>
          </wp:inline>
        </w:drawing>
      </w:r>
    </w:p>
    <w:p w14:paraId="214CEC33" w14:textId="77777777" w:rsidR="002542AA" w:rsidRDefault="00507742" w:rsidP="005811B6">
      <w:pPr>
        <w:pStyle w:val="Source"/>
        <w:keepNext/>
      </w:pPr>
      <w:r w:rsidRPr="001662E6" w:rsidDel="00AC2B8B">
        <w:t>Source:</w:t>
      </w:r>
      <w:r w:rsidRPr="001662E6">
        <w:t xml:space="preserve"> ESR</w:t>
      </w:r>
      <w:r>
        <w:t xml:space="preserve"> (2020a)</w:t>
      </w:r>
    </w:p>
    <w:p w14:paraId="1F0E1A99" w14:textId="77777777" w:rsidR="00507742" w:rsidRDefault="00507742" w:rsidP="00E3718A"/>
    <w:p w14:paraId="7B1F30A7" w14:textId="61A75767" w:rsidR="00507742" w:rsidRDefault="00507742" w:rsidP="00E3718A">
      <w:r>
        <w:lastRenderedPageBreak/>
        <w:t>Measles</w:t>
      </w:r>
      <w:r w:rsidRPr="007D038A">
        <w:t xml:space="preserve"> </w:t>
      </w:r>
      <w:r>
        <w:t xml:space="preserve">disproportionately affected </w:t>
      </w:r>
      <w:r w:rsidRPr="007D038A">
        <w:t>Pacific peoples</w:t>
      </w:r>
      <w:r>
        <w:t>, who accounted for 41 percent of all cases. The measles rate for Pacific peoples was 281 per 100,000 (</w:t>
      </w:r>
      <w:r w:rsidR="00E3718A">
        <w:fldChar w:fldCharType="begin"/>
      </w:r>
      <w:r w:rsidR="00E3718A">
        <w:instrText xml:space="preserve"> REF _Ref57375768 \h </w:instrText>
      </w:r>
      <w:r w:rsidR="00E3718A">
        <w:fldChar w:fldCharType="separate"/>
      </w:r>
      <w:r w:rsidR="003F39AB">
        <w:t>Figure </w:t>
      </w:r>
      <w:r w:rsidR="003F39AB">
        <w:rPr>
          <w:noProof/>
        </w:rPr>
        <w:t>10</w:t>
      </w:r>
      <w:r w:rsidR="00E3718A">
        <w:fldChar w:fldCharType="end"/>
      </w:r>
      <w:r>
        <w:t>), which was more than six times higher than the national rate (45 per 100,000).</w:t>
      </w:r>
    </w:p>
    <w:p w14:paraId="769A6509" w14:textId="77777777" w:rsidR="00507742" w:rsidRPr="007D038A" w:rsidRDefault="00507742" w:rsidP="00E3718A"/>
    <w:p w14:paraId="1C22F98A" w14:textId="556CE898" w:rsidR="00507742" w:rsidRPr="00246A4E" w:rsidRDefault="00E3718A" w:rsidP="00E3718A">
      <w:pPr>
        <w:pStyle w:val="Figure"/>
      </w:pPr>
      <w:bookmarkStart w:id="139" w:name="_Ref57375768"/>
      <w:bookmarkStart w:id="140" w:name="_Toc57295967"/>
      <w:bookmarkStart w:id="141" w:name="_Toc64536267"/>
      <w:r>
        <w:t>Figure </w:t>
      </w:r>
      <w:fldSimple w:instr=" SEQ Figure \* ARABIC ">
        <w:r w:rsidR="003F39AB">
          <w:rPr>
            <w:noProof/>
          </w:rPr>
          <w:t>10</w:t>
        </w:r>
      </w:fldSimple>
      <w:bookmarkEnd w:id="139"/>
      <w:r w:rsidR="00507742" w:rsidRPr="00246A4E">
        <w:t xml:space="preserve">: </w:t>
      </w:r>
      <w:r w:rsidR="00507742">
        <w:t xml:space="preserve">Measles notification rate, </w:t>
      </w:r>
      <w:r w:rsidR="00507742" w:rsidRPr="00246A4E">
        <w:t>by ethnic group</w:t>
      </w:r>
      <w:r w:rsidR="00507742">
        <w:t>, 2019</w:t>
      </w:r>
      <w:bookmarkEnd w:id="140"/>
      <w:bookmarkEnd w:id="141"/>
    </w:p>
    <w:p w14:paraId="04CBF2EF" w14:textId="73757A89" w:rsidR="00507742" w:rsidRPr="00246A4E" w:rsidRDefault="00EC60FD" w:rsidP="005811B6">
      <w:r w:rsidRPr="001E65C0">
        <w:rPr>
          <w:noProof/>
          <w:lang w:eastAsia="en-NZ"/>
        </w:rPr>
        <w:drawing>
          <wp:inline distT="0" distB="0" distL="0" distR="0" wp14:anchorId="7CEADB3E" wp14:editId="5DC8600D">
            <wp:extent cx="5130165" cy="3129280"/>
            <wp:effectExtent l="0" t="0" r="0" b="0"/>
            <wp:docPr id="18" name="Picture 18" descr="This bar graph shows that about 275 of the measles notifications occurred in Pacific peoples, about 60 each for Māori and MELAA, and about 25 each for Asian and Europe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30165" cy="3129280"/>
                    </a:xfrm>
                    <a:prstGeom prst="rect">
                      <a:avLst/>
                    </a:prstGeom>
                  </pic:spPr>
                </pic:pic>
              </a:graphicData>
            </a:graphic>
          </wp:inline>
        </w:drawing>
      </w:r>
    </w:p>
    <w:p w14:paraId="1F337F76" w14:textId="77777777" w:rsidR="002542AA" w:rsidRDefault="00507742" w:rsidP="00E3718A">
      <w:pPr>
        <w:pStyle w:val="Source"/>
      </w:pPr>
      <w:r w:rsidRPr="00246A4E">
        <w:t xml:space="preserve">Source: ESR </w:t>
      </w:r>
      <w:r>
        <w:t>(2020a)</w:t>
      </w:r>
    </w:p>
    <w:p w14:paraId="15AD9408" w14:textId="77777777" w:rsidR="00507742" w:rsidRDefault="00507742" w:rsidP="00E3718A"/>
    <w:p w14:paraId="3F14B94B" w14:textId="7F4FC4C4" w:rsidR="002542AA" w:rsidRDefault="00507742" w:rsidP="005811B6">
      <w:pPr>
        <w:keepNext/>
      </w:pPr>
      <w:bookmarkStart w:id="142" w:name="_Hlk56502365"/>
      <w:r>
        <w:t xml:space="preserve">As at 23 December 2019, just over one-third (35 percent) of measles cases </w:t>
      </w:r>
      <w:r w:rsidR="009E7C35">
        <w:t xml:space="preserve">had been </w:t>
      </w:r>
      <w:r>
        <w:t>hospitalised (ESR 2020b)</w:t>
      </w:r>
      <w:r w:rsidRPr="007D038A">
        <w:t>.</w:t>
      </w:r>
      <w:r>
        <w:t xml:space="preserve"> </w:t>
      </w:r>
      <w:bookmarkEnd w:id="142"/>
      <w:r>
        <w:t>Immunisation</w:t>
      </w:r>
      <w:r w:rsidRPr="00E01593">
        <w:t xml:space="preserve"> status was known for </w:t>
      </w:r>
      <w:r>
        <w:t>nearly all (88 percent) cases</w:t>
      </w:r>
      <w:r w:rsidRPr="00E01593">
        <w:t xml:space="preserve">. Of these, </w:t>
      </w:r>
      <w:r>
        <w:t>8 percent had been fully immunised, 4 percent were partially immunised and the vast majority (87 percent)</w:t>
      </w:r>
      <w:r w:rsidRPr="00E01593">
        <w:t xml:space="preserve"> had not been</w:t>
      </w:r>
      <w:r>
        <w:t xml:space="preserve"> immunised.</w:t>
      </w:r>
    </w:p>
    <w:p w14:paraId="323C7F40" w14:textId="77777777" w:rsidR="0060743C" w:rsidRDefault="0060743C" w:rsidP="005811B6">
      <w:pPr>
        <w:keepNext/>
      </w:pPr>
    </w:p>
    <w:p w14:paraId="1915498A" w14:textId="77777777" w:rsidR="00E3718A" w:rsidRDefault="00E3718A" w:rsidP="00E3718A"/>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45084123" w14:textId="77777777" w:rsidTr="00572CF6">
        <w:trPr>
          <w:cantSplit/>
        </w:trPr>
        <w:tc>
          <w:tcPr>
            <w:tcW w:w="7973" w:type="dxa"/>
          </w:tcPr>
          <w:p w14:paraId="4DC977DD" w14:textId="77777777" w:rsidR="00507742" w:rsidRPr="00933A6B" w:rsidRDefault="00507742" w:rsidP="005533E2">
            <w:pPr>
              <w:pStyle w:val="TableText"/>
              <w:ind w:right="-57"/>
              <w:rPr>
                <w:color w:val="0A6AB4"/>
                <w:sz w:val="24"/>
                <w:szCs w:val="24"/>
              </w:rPr>
            </w:pPr>
            <w:r>
              <w:rPr>
                <w:color w:val="0A6AB4"/>
                <w:sz w:val="24"/>
                <w:szCs w:val="24"/>
              </w:rPr>
              <w:t>Cases of meningococcal disease have increased in the last few years but remain lower than the number of cases at the peak of the epidemic</w:t>
            </w:r>
          </w:p>
        </w:tc>
      </w:tr>
    </w:tbl>
    <w:p w14:paraId="68B7AC1C" w14:textId="77777777" w:rsidR="00507742" w:rsidRPr="007D038A" w:rsidRDefault="00507742" w:rsidP="00E3718A"/>
    <w:p w14:paraId="6952AA8D" w14:textId="77777777" w:rsidR="002542AA" w:rsidRDefault="00507742" w:rsidP="00E3718A">
      <w:r>
        <w:t>In total, 139 cases of meningococcal disease were notified in 2019 (2.8 per 100,000). Case numbers have increased since 2014, but remain significantly lower than the peak annual incidence rate of 16.7 per 100,000 during the epidemic from 1997 to 2007 (Ministry of Health 2020f).</w:t>
      </w:r>
    </w:p>
    <w:p w14:paraId="2365D125" w14:textId="77777777" w:rsidR="00507742" w:rsidRDefault="00507742" w:rsidP="00E3718A"/>
    <w:p w14:paraId="14153DD4" w14:textId="73ADD0BF" w:rsidR="00507742" w:rsidRDefault="00507742" w:rsidP="00E3718A">
      <w:r>
        <w:t>In 2019, the highest notification rates for meningococcal disease were in children aged under one year (52.0 per 100,000). Compared with the total population, meningococcal incidence rates were more than three times higher in Pacific peoples (9.2 per 100,000) and two times higher in Māori (6.1 per 100,000).</w:t>
      </w:r>
    </w:p>
    <w:p w14:paraId="6E2E2D30" w14:textId="77777777" w:rsidR="0060743C" w:rsidRDefault="0060743C" w:rsidP="00E3718A"/>
    <w:p w14:paraId="0DF1A923" w14:textId="77777777" w:rsidR="00E3718A" w:rsidRDefault="00E3718A" w:rsidP="00504CB2">
      <w:pPr>
        <w:keepNext/>
        <w:keepLines/>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3551C7BF" w14:textId="77777777" w:rsidTr="00572CF6">
        <w:trPr>
          <w:cantSplit/>
        </w:trPr>
        <w:tc>
          <w:tcPr>
            <w:tcW w:w="7973" w:type="dxa"/>
          </w:tcPr>
          <w:p w14:paraId="0FD68FA8" w14:textId="77777777" w:rsidR="00507742" w:rsidRPr="00933A6B" w:rsidRDefault="00507742" w:rsidP="00504CB2">
            <w:pPr>
              <w:pStyle w:val="TableText"/>
              <w:keepNext/>
              <w:keepLines/>
              <w:ind w:right="-57"/>
              <w:rPr>
                <w:color w:val="0A6AB4"/>
                <w:sz w:val="24"/>
                <w:szCs w:val="24"/>
              </w:rPr>
            </w:pPr>
            <w:r w:rsidRPr="00EF74BE">
              <w:rPr>
                <w:color w:val="0A6AB4"/>
                <w:sz w:val="24"/>
                <w:szCs w:val="24"/>
              </w:rPr>
              <w:t xml:space="preserve">Rates of rheumatic fever were declining but are now </w:t>
            </w:r>
            <w:r>
              <w:rPr>
                <w:color w:val="0A6AB4"/>
                <w:sz w:val="24"/>
                <w:szCs w:val="24"/>
              </w:rPr>
              <w:t>on the rise again</w:t>
            </w:r>
          </w:p>
        </w:tc>
      </w:tr>
    </w:tbl>
    <w:p w14:paraId="1D68A834" w14:textId="77777777" w:rsidR="00507742" w:rsidRPr="007D038A" w:rsidRDefault="00507742" w:rsidP="00504CB2">
      <w:pPr>
        <w:keepNext/>
        <w:keepLines/>
      </w:pPr>
    </w:p>
    <w:p w14:paraId="5309A71C" w14:textId="77777777" w:rsidR="00507742" w:rsidRPr="007D038A" w:rsidRDefault="00507742" w:rsidP="00504CB2">
      <w:pPr>
        <w:keepNext/>
        <w:keepLines/>
      </w:pPr>
      <w:r w:rsidRPr="00F85CDD">
        <w:t xml:space="preserve">Rheumatic fever is an autoimmune reaction to a group A streptococcal infection. It is a leading cause of acquired heart disease in New Zealand children. </w:t>
      </w:r>
      <w:r w:rsidRPr="007D038A">
        <w:t xml:space="preserve">While rheumatic fever is rare in most developed countries, </w:t>
      </w:r>
      <w:r>
        <w:t>its</w:t>
      </w:r>
      <w:r w:rsidRPr="00FC58B6">
        <w:t xml:space="preserve"> </w:t>
      </w:r>
      <w:r w:rsidRPr="007D038A">
        <w:t>incidence</w:t>
      </w:r>
      <w:r>
        <w:t xml:space="preserve"> in </w:t>
      </w:r>
      <w:r w:rsidRPr="007D038A">
        <w:t xml:space="preserve">New Zealand </w:t>
      </w:r>
      <w:r>
        <w:t>is</w:t>
      </w:r>
      <w:r w:rsidRPr="007D038A">
        <w:t xml:space="preserve"> persistently high</w:t>
      </w:r>
      <w:r>
        <w:t xml:space="preserve">. The </w:t>
      </w:r>
      <w:r w:rsidRPr="007D038A">
        <w:t xml:space="preserve">highest rates </w:t>
      </w:r>
      <w:r>
        <w:t xml:space="preserve">are </w:t>
      </w:r>
      <w:r w:rsidRPr="007D038A">
        <w:t xml:space="preserve">among Māori and Pacific children. Among Pacific peoples in New Zealand, rheumatic fever </w:t>
      </w:r>
      <w:r>
        <w:t>is limited</w:t>
      </w:r>
      <w:r w:rsidRPr="007D038A">
        <w:t xml:space="preserve"> almost </w:t>
      </w:r>
      <w:r>
        <w:t>entirely to</w:t>
      </w:r>
      <w:r w:rsidRPr="007D038A">
        <w:t xml:space="preserve"> Samoan and Tongan ethnic groups.</w:t>
      </w:r>
    </w:p>
    <w:p w14:paraId="345CBD4E" w14:textId="77777777" w:rsidR="00507742" w:rsidRDefault="00507742" w:rsidP="00E3718A"/>
    <w:p w14:paraId="64D734E5" w14:textId="4614C8C2" w:rsidR="00507742" w:rsidRDefault="00507742" w:rsidP="00E3718A">
      <w:r w:rsidRPr="007D038A">
        <w:t xml:space="preserve">In </w:t>
      </w:r>
      <w:r>
        <w:t>2019</w:t>
      </w:r>
      <w:r w:rsidRPr="007D038A">
        <w:t xml:space="preserve">, there were </w:t>
      </w:r>
      <w:r>
        <w:t>168</w:t>
      </w:r>
      <w:r w:rsidRPr="00FC58B6">
        <w:t xml:space="preserve"> </w:t>
      </w:r>
      <w:r w:rsidRPr="007D038A">
        <w:t>hospitalisations</w:t>
      </w:r>
      <w:r>
        <w:t xml:space="preserve"> for</w:t>
      </w:r>
      <w:r w:rsidRPr="007D038A">
        <w:t xml:space="preserve"> first episode rheumatic fever (</w:t>
      </w:r>
      <w:r>
        <w:t>3.2</w:t>
      </w:r>
      <w:r w:rsidRPr="007D038A">
        <w:t xml:space="preserve"> per 100,000). </w:t>
      </w:r>
      <w:r>
        <w:t xml:space="preserve">As </w:t>
      </w:r>
      <w:r w:rsidR="00E3718A">
        <w:fldChar w:fldCharType="begin"/>
      </w:r>
      <w:r w:rsidR="00E3718A">
        <w:instrText xml:space="preserve"> REF _Ref57375844 \h </w:instrText>
      </w:r>
      <w:r w:rsidR="00E3718A">
        <w:fldChar w:fldCharType="separate"/>
      </w:r>
      <w:r w:rsidR="003F39AB">
        <w:t>Figure </w:t>
      </w:r>
      <w:r w:rsidR="003F39AB">
        <w:rPr>
          <w:noProof/>
        </w:rPr>
        <w:t>11</w:t>
      </w:r>
      <w:r w:rsidR="00E3718A">
        <w:fldChar w:fldCharType="end"/>
      </w:r>
      <w:r w:rsidRPr="00FC58B6">
        <w:t xml:space="preserve"> </w:t>
      </w:r>
      <w:r>
        <w:t>shows, t</w:t>
      </w:r>
      <w:r w:rsidRPr="007D038A">
        <w:t>he</w:t>
      </w:r>
      <w:r>
        <w:t xml:space="preserve"> national incidence</w:t>
      </w:r>
      <w:r w:rsidRPr="007D038A">
        <w:t xml:space="preserve"> rate</w:t>
      </w:r>
      <w:r w:rsidR="00CE7557">
        <w:t xml:space="preserve"> declined from 2013 to 2015 but then began increasing, especially in Pacific peoples</w:t>
      </w:r>
      <w:r w:rsidR="00FF4687">
        <w:t xml:space="preserve"> (Ministry of Health 2020g)</w:t>
      </w:r>
      <w:r w:rsidRPr="007D038A">
        <w:t>.</w:t>
      </w:r>
    </w:p>
    <w:p w14:paraId="2F15340C" w14:textId="77777777" w:rsidR="00507742" w:rsidRDefault="00507742" w:rsidP="00E3718A"/>
    <w:p w14:paraId="5B7A77B1" w14:textId="06724F9E" w:rsidR="00507742" w:rsidRDefault="00507742" w:rsidP="00E3718A">
      <w:r>
        <w:t>The incidence rate for Pacific children in 2019 was 28.9 per 100,000, which is about nine times the national rate. The incidence rate for Māori children (7.6 per 100,000) is about twice the national rate.</w:t>
      </w:r>
    </w:p>
    <w:p w14:paraId="044E9826" w14:textId="77777777" w:rsidR="00507742" w:rsidRDefault="00507742" w:rsidP="00E3718A"/>
    <w:p w14:paraId="562F8AEC" w14:textId="0F36A8E7" w:rsidR="00507742" w:rsidRDefault="00E3718A" w:rsidP="00E3718A">
      <w:pPr>
        <w:pStyle w:val="Figure"/>
      </w:pPr>
      <w:bookmarkStart w:id="143" w:name="_Ref57375844"/>
      <w:bookmarkStart w:id="144" w:name="_Toc57295968"/>
      <w:bookmarkStart w:id="145" w:name="_Toc64536268"/>
      <w:r>
        <w:t>Figure </w:t>
      </w:r>
      <w:fldSimple w:instr=" SEQ Figure \* ARABIC ">
        <w:r w:rsidR="003F39AB">
          <w:rPr>
            <w:noProof/>
          </w:rPr>
          <w:t>11</w:t>
        </w:r>
      </w:fldSimple>
      <w:bookmarkEnd w:id="143"/>
      <w:r w:rsidR="00507742" w:rsidRPr="00546B0E">
        <w:t xml:space="preserve">: First episode rheumatic fever hospitalisation rate, </w:t>
      </w:r>
      <w:r w:rsidR="00507742">
        <w:t xml:space="preserve">by ethnic group, </w:t>
      </w:r>
      <w:r w:rsidR="00507742" w:rsidRPr="00546B0E">
        <w:t>2002</w:t>
      </w:r>
      <w:r w:rsidR="00507742">
        <w:t xml:space="preserve"> to </w:t>
      </w:r>
      <w:r w:rsidR="00507742" w:rsidRPr="00546B0E">
        <w:t>2019</w:t>
      </w:r>
      <w:bookmarkEnd w:id="144"/>
      <w:bookmarkEnd w:id="145"/>
    </w:p>
    <w:p w14:paraId="78F16483" w14:textId="05F77DF0" w:rsidR="0084744D" w:rsidRPr="0084744D" w:rsidRDefault="00EC60FD" w:rsidP="0084744D">
      <w:r w:rsidRPr="001E65C0">
        <w:rPr>
          <w:noProof/>
          <w:lang w:eastAsia="en-NZ"/>
        </w:rPr>
        <w:drawing>
          <wp:inline distT="0" distB="0" distL="0" distR="0" wp14:anchorId="02A71C22" wp14:editId="77AABDF1">
            <wp:extent cx="5130165" cy="3129280"/>
            <wp:effectExtent l="0" t="0" r="0" b="0"/>
            <wp:docPr id="19" name="Picture 19" descr="This graph shows that while the national hospitalisation rate is less than 5 in 100,000, the rates are much higher for Māori and Pacific peoples. The Māori rate has decreased over time, between 10 and 15 per 100,000 between 2009 and 2013 and between 5 and 10 per 100,000 since 2014. The Pacific peoples rate fluctuates, an average around 25 in 100,000, a high of 33 per 100,000 in 2013 and a low of about 17 per 100,000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30165" cy="3129280"/>
                    </a:xfrm>
                    <a:prstGeom prst="rect">
                      <a:avLst/>
                    </a:prstGeom>
                  </pic:spPr>
                </pic:pic>
              </a:graphicData>
            </a:graphic>
          </wp:inline>
        </w:drawing>
      </w:r>
    </w:p>
    <w:p w14:paraId="5FA9DB31" w14:textId="77777777" w:rsidR="00E3718A" w:rsidRDefault="00507742" w:rsidP="00E3718A">
      <w:pPr>
        <w:pStyle w:val="Note"/>
      </w:pPr>
      <w:r w:rsidRPr="00546B0E">
        <w:t>Note</w:t>
      </w:r>
      <w:r>
        <w:t>s</w:t>
      </w:r>
      <w:r w:rsidRPr="00546B0E">
        <w:t>: Rate per 100,000 population</w:t>
      </w:r>
      <w:r>
        <w:t>. Māori and Pacific data is only available from 2009.</w:t>
      </w:r>
    </w:p>
    <w:p w14:paraId="124ACC55" w14:textId="77777777" w:rsidR="00507742" w:rsidRDefault="00507742" w:rsidP="00E3718A">
      <w:pPr>
        <w:pStyle w:val="Source"/>
        <w:spacing w:before="0"/>
      </w:pPr>
      <w:r w:rsidRPr="00600FAE">
        <w:t xml:space="preserve">Source: Ministry of Health </w:t>
      </w:r>
      <w:r>
        <w:t>(</w:t>
      </w:r>
      <w:r w:rsidRPr="00600FAE">
        <w:t>2020g</w:t>
      </w:r>
      <w:r>
        <w:t>)</w:t>
      </w:r>
    </w:p>
    <w:p w14:paraId="5A8D9113" w14:textId="77777777" w:rsidR="00E3718A" w:rsidRPr="00E3718A" w:rsidRDefault="00E3718A" w:rsidP="00E3718A"/>
    <w:p w14:paraId="04036896" w14:textId="77777777" w:rsidR="00507742" w:rsidRPr="007D038A" w:rsidRDefault="00507742" w:rsidP="00E3718A">
      <w:pPr>
        <w:pStyle w:val="Heading1"/>
      </w:pPr>
      <w:bookmarkStart w:id="146" w:name="_TOC_250003"/>
      <w:bookmarkStart w:id="147" w:name="_Toc57295683"/>
      <w:bookmarkStart w:id="148" w:name="_Toc64536251"/>
      <w:bookmarkStart w:id="149" w:name="_TOC_250001"/>
      <w:bookmarkEnd w:id="146"/>
      <w:r w:rsidRPr="007D038A">
        <w:lastRenderedPageBreak/>
        <w:t>Determinants of health and wellbeing</w:t>
      </w:r>
      <w:r>
        <w:t xml:space="preserve"> </w:t>
      </w:r>
      <w:r w:rsidRPr="007D038A">
        <w:t>|</w:t>
      </w:r>
      <w:r>
        <w:br/>
      </w:r>
      <w:r w:rsidRPr="007D038A">
        <w:t>Ngā whakatau o te hauora me oranga</w:t>
      </w:r>
      <w:bookmarkEnd w:id="147"/>
      <w:bookmarkEnd w:id="148"/>
    </w:p>
    <w:p w14:paraId="11CFFE70" w14:textId="6A650B7B" w:rsidR="00507742" w:rsidRDefault="00507742" w:rsidP="009239BE">
      <w:pPr>
        <w:pStyle w:val="Introductoryparagraph"/>
        <w:ind w:right="567"/>
      </w:pPr>
      <w:r w:rsidRPr="00682D71">
        <w:t xml:space="preserve">Many </w:t>
      </w:r>
      <w:r>
        <w:t>underlying</w:t>
      </w:r>
      <w:r w:rsidRPr="00682D71">
        <w:t xml:space="preserve"> causes of ill</w:t>
      </w:r>
      <w:r>
        <w:t xml:space="preserve"> </w:t>
      </w:r>
      <w:r w:rsidRPr="00682D71">
        <w:t xml:space="preserve">health lie beyond </w:t>
      </w:r>
      <w:r>
        <w:t>what</w:t>
      </w:r>
      <w:r w:rsidRPr="00682D71">
        <w:t xml:space="preserve"> individuals </w:t>
      </w:r>
      <w:r>
        <w:t xml:space="preserve">can control </w:t>
      </w:r>
      <w:r w:rsidRPr="00682D71">
        <w:t xml:space="preserve">in their day-to-day lives, and even beyond the </w:t>
      </w:r>
      <w:r w:rsidR="00F61CFE">
        <w:t>health and disability system</w:t>
      </w:r>
      <w:r w:rsidR="002542AA">
        <w:t>’</w:t>
      </w:r>
      <w:r>
        <w:t>s influence.</w:t>
      </w:r>
    </w:p>
    <w:p w14:paraId="7360CE26" w14:textId="77777777" w:rsidR="00507742" w:rsidRDefault="00507742" w:rsidP="009239BE"/>
    <w:p w14:paraId="63D1823C" w14:textId="77777777" w:rsidR="00507742" w:rsidRPr="007D038A" w:rsidRDefault="00507742" w:rsidP="009239BE">
      <w:r w:rsidRPr="007D038A">
        <w:t>The factors affecting health are collectively known as the determinants of health.</w:t>
      </w:r>
      <w:r>
        <w:t xml:space="preserve"> </w:t>
      </w:r>
      <w:r w:rsidRPr="007D038A">
        <w:t>These can support or be barriers to good health and broader wellbeing.</w:t>
      </w:r>
    </w:p>
    <w:p w14:paraId="777E3081" w14:textId="77777777" w:rsidR="00507742" w:rsidRDefault="00507742" w:rsidP="009239BE"/>
    <w:p w14:paraId="3F17B69B" w14:textId="1C6C0D86" w:rsidR="00507742" w:rsidRPr="007D038A" w:rsidRDefault="00507742" w:rsidP="009239BE">
      <w:r w:rsidRPr="007D038A">
        <w:t xml:space="preserve">As </w:t>
      </w:r>
      <w:r w:rsidR="009239BE">
        <w:fldChar w:fldCharType="begin"/>
      </w:r>
      <w:r w:rsidR="009239BE">
        <w:instrText xml:space="preserve"> REF _Ref57375914 \h </w:instrText>
      </w:r>
      <w:r w:rsidR="009239BE">
        <w:fldChar w:fldCharType="separate"/>
      </w:r>
      <w:r w:rsidR="003F39AB">
        <w:t>Figure </w:t>
      </w:r>
      <w:r w:rsidR="003F39AB">
        <w:rPr>
          <w:noProof/>
        </w:rPr>
        <w:t>12</w:t>
      </w:r>
      <w:r w:rsidR="009239BE">
        <w:fldChar w:fldCharType="end"/>
      </w:r>
      <w:r w:rsidRPr="00182BC2">
        <w:t xml:space="preserve"> </w:t>
      </w:r>
      <w:r w:rsidRPr="007D038A">
        <w:t>show</w:t>
      </w:r>
      <w:r>
        <w:t>s</w:t>
      </w:r>
      <w:r w:rsidRPr="007D038A">
        <w:t>, the determinants of health include:</w:t>
      </w:r>
    </w:p>
    <w:p w14:paraId="0BC527F6" w14:textId="77777777" w:rsidR="00507742" w:rsidRPr="007D038A" w:rsidRDefault="00507742" w:rsidP="009239BE">
      <w:pPr>
        <w:pStyle w:val="Bullet"/>
      </w:pPr>
      <w:r w:rsidRPr="007D038A">
        <w:t>socioeconomic factors, such as income</w:t>
      </w:r>
      <w:r>
        <w:t xml:space="preserve"> and poverty</w:t>
      </w:r>
    </w:p>
    <w:p w14:paraId="259ABF11" w14:textId="77777777" w:rsidR="00507742" w:rsidRPr="007D038A" w:rsidRDefault="00507742" w:rsidP="009239BE">
      <w:pPr>
        <w:pStyle w:val="Bullet"/>
      </w:pPr>
      <w:r w:rsidRPr="007D038A">
        <w:t xml:space="preserve">physical environment, such as </w:t>
      </w:r>
      <w:r>
        <w:t xml:space="preserve">good housing and </w:t>
      </w:r>
      <w:r w:rsidRPr="007D038A">
        <w:t>access to clean water</w:t>
      </w:r>
    </w:p>
    <w:p w14:paraId="3CA0B995" w14:textId="77777777" w:rsidR="00507742" w:rsidRPr="007D038A" w:rsidRDefault="00507742" w:rsidP="009239BE">
      <w:pPr>
        <w:pStyle w:val="Bullet"/>
      </w:pPr>
      <w:r w:rsidRPr="007D038A">
        <w:t>health behaviours, such as tobacco use</w:t>
      </w:r>
      <w:r>
        <w:t xml:space="preserve"> and healthy diet</w:t>
      </w:r>
    </w:p>
    <w:p w14:paraId="7CFC4AC3" w14:textId="77777777" w:rsidR="00507742" w:rsidRPr="007D038A" w:rsidRDefault="00507742" w:rsidP="009239BE">
      <w:pPr>
        <w:pStyle w:val="Bullet"/>
      </w:pPr>
      <w:r w:rsidRPr="007D038A">
        <w:t>health care</w:t>
      </w:r>
      <w:r>
        <w:t>, including access to health services.</w:t>
      </w:r>
    </w:p>
    <w:p w14:paraId="75CD1F89" w14:textId="77777777" w:rsidR="00507742" w:rsidRDefault="00507742" w:rsidP="009239BE"/>
    <w:p w14:paraId="593FBEFB" w14:textId="77777777" w:rsidR="00507742" w:rsidRPr="007D038A" w:rsidRDefault="00507742" w:rsidP="009239BE">
      <w:r w:rsidRPr="007D038A">
        <w:t xml:space="preserve">Socioeconomic factors (40 percent) and the physical environment (10 percent) </w:t>
      </w:r>
      <w:r>
        <w:t>together make up</w:t>
      </w:r>
      <w:r w:rsidRPr="007D038A">
        <w:t xml:space="preserve"> half of the factors that dictate our health outcomes. Our health behaviours account for just under a third (30 percent) and the health care environment is responsible for one-fifth (20 percent) (Institute for Clinical Systems Improvement 2014).</w:t>
      </w:r>
    </w:p>
    <w:p w14:paraId="7D8E98E4" w14:textId="77777777" w:rsidR="00507742" w:rsidRDefault="00507742" w:rsidP="009239BE"/>
    <w:p w14:paraId="628C70BE" w14:textId="7BF9CBAA" w:rsidR="00507742" w:rsidRDefault="009239BE" w:rsidP="009239BE">
      <w:pPr>
        <w:pStyle w:val="Figure"/>
      </w:pPr>
      <w:bookmarkStart w:id="150" w:name="_Ref57375914"/>
      <w:bookmarkStart w:id="151" w:name="_Toc57295969"/>
      <w:bookmarkStart w:id="152" w:name="_Toc64536269"/>
      <w:r>
        <w:lastRenderedPageBreak/>
        <w:t>Figure </w:t>
      </w:r>
      <w:fldSimple w:instr=" SEQ Figure \* ARABIC ">
        <w:r w:rsidR="003F39AB">
          <w:rPr>
            <w:noProof/>
          </w:rPr>
          <w:t>12</w:t>
        </w:r>
      </w:fldSimple>
      <w:bookmarkEnd w:id="150"/>
      <w:r w:rsidR="00507742" w:rsidRPr="007D038A">
        <w:t>: The determinants of health and</w:t>
      </w:r>
      <w:r w:rsidR="00507742">
        <w:t xml:space="preserve"> how much each one</w:t>
      </w:r>
      <w:r w:rsidR="00507742" w:rsidRPr="007D038A">
        <w:t xml:space="preserve"> contribut</w:t>
      </w:r>
      <w:r w:rsidR="00507742">
        <w:t>es</w:t>
      </w:r>
      <w:r w:rsidR="00507742" w:rsidRPr="007D038A">
        <w:t xml:space="preserve"> to our health outcomes</w:t>
      </w:r>
      <w:bookmarkEnd w:id="151"/>
      <w:bookmarkEnd w:id="152"/>
    </w:p>
    <w:p w14:paraId="40CE0410" w14:textId="77777777" w:rsidR="00507742" w:rsidRPr="00BB1030" w:rsidRDefault="00507742" w:rsidP="009239BE">
      <w:r>
        <w:rPr>
          <w:noProof/>
          <w:lang w:eastAsia="en-NZ"/>
        </w:rPr>
        <w:drawing>
          <wp:inline distT="0" distB="0" distL="0" distR="0" wp14:anchorId="04A119DB" wp14:editId="3369A427">
            <wp:extent cx="4195635" cy="3009207"/>
            <wp:effectExtent l="0" t="0" r="0" b="1270"/>
            <wp:docPr id="957" name="Picture 957" descr="This infographic shows that the determinants of health are:&#10;40% socioeconomic factors, like education family/social support and income.&#10;10% physical environment, like where people live.&#10;30% health behaviours, like tobacco use, diet and exercise and alcohol use.&#10;20% access to and quality of health care." title="Figure 12: The determinants of health and how much each one contributes to our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I Fig 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10349" cy="3019760"/>
                    </a:xfrm>
                    <a:prstGeom prst="rect">
                      <a:avLst/>
                    </a:prstGeom>
                  </pic:spPr>
                </pic:pic>
              </a:graphicData>
            </a:graphic>
          </wp:inline>
        </w:drawing>
      </w:r>
    </w:p>
    <w:p w14:paraId="3A7EA7E3" w14:textId="77777777" w:rsidR="00507742" w:rsidRDefault="00507742" w:rsidP="009239BE">
      <w:pPr>
        <w:pStyle w:val="Source"/>
      </w:pPr>
      <w:r w:rsidRPr="007D038A">
        <w:t>Source: Adapted from the Institute for Clinical Systems Improvement (2014)</w:t>
      </w:r>
    </w:p>
    <w:p w14:paraId="27FB93A5" w14:textId="77777777" w:rsidR="009239BE" w:rsidRPr="009239BE" w:rsidRDefault="009239BE" w:rsidP="009239BE"/>
    <w:p w14:paraId="795BF528" w14:textId="77777777" w:rsidR="00507742" w:rsidRDefault="00507742" w:rsidP="009239BE">
      <w:pPr>
        <w:pStyle w:val="Heading2"/>
      </w:pPr>
      <w:bookmarkStart w:id="153" w:name="_TOC_250025"/>
      <w:bookmarkStart w:id="154" w:name="_Toc57295684"/>
      <w:bookmarkStart w:id="155" w:name="_Toc64536252"/>
      <w:bookmarkEnd w:id="153"/>
      <w:r w:rsidRPr="007D038A">
        <w:t>Socioeconomic factors</w:t>
      </w:r>
      <w:bookmarkEnd w:id="154"/>
      <w:bookmarkEnd w:id="155"/>
    </w:p>
    <w:p w14:paraId="57D90607" w14:textId="00A0B198" w:rsidR="00507742" w:rsidRDefault="00507742" w:rsidP="009239BE">
      <w:r>
        <w:t>T</w:t>
      </w:r>
      <w:r w:rsidRPr="0043478F">
        <w:t xml:space="preserve">he social and economic conditions </w:t>
      </w:r>
      <w:r>
        <w:t xml:space="preserve">that </w:t>
      </w:r>
      <w:r w:rsidRPr="0043478F">
        <w:t xml:space="preserve">people are born </w:t>
      </w:r>
      <w:r>
        <w:t xml:space="preserve">into </w:t>
      </w:r>
      <w:r w:rsidRPr="0043478F">
        <w:t xml:space="preserve">and live in </w:t>
      </w:r>
      <w:r>
        <w:t>have a major impact on</w:t>
      </w:r>
      <w:r w:rsidRPr="0043478F">
        <w:t xml:space="preserve"> their health. </w:t>
      </w:r>
      <w:r>
        <w:t>These conditions</w:t>
      </w:r>
      <w:r w:rsidRPr="0043478F">
        <w:t xml:space="preserve"> include education, income, social support and </w:t>
      </w:r>
      <w:r>
        <w:t xml:space="preserve">social </w:t>
      </w:r>
      <w:r w:rsidRPr="0043478F">
        <w:t xml:space="preserve">connection. </w:t>
      </w:r>
      <w:r w:rsidRPr="00C221F8">
        <w:t xml:space="preserve">Social and economic factors also impact on health behaviours: </w:t>
      </w:r>
      <w:r>
        <w:t>people</w:t>
      </w:r>
      <w:r w:rsidRPr="00C221F8">
        <w:t xml:space="preserve"> living in poverty have fewer choices available to them, greater stress and </w:t>
      </w:r>
      <w:r>
        <w:t>less</w:t>
      </w:r>
      <w:r w:rsidRPr="00C221F8">
        <w:t xml:space="preserve"> access to opportunities such as education</w:t>
      </w:r>
      <w:r>
        <w:t>. A</w:t>
      </w:r>
      <w:r w:rsidRPr="00C221F8">
        <w:t xml:space="preserve">ll of these experiences can lead </w:t>
      </w:r>
      <w:r>
        <w:t xml:space="preserve">people </w:t>
      </w:r>
      <w:r w:rsidRPr="00C221F8">
        <w:t xml:space="preserve">to </w:t>
      </w:r>
      <w:r>
        <w:t>undertake more</w:t>
      </w:r>
      <w:r w:rsidRPr="00C221F8">
        <w:t xml:space="preserve"> risk behaviours</w:t>
      </w:r>
      <w:r w:rsidR="001B5BE5">
        <w:t>, have greater exposure to adverse environments, or poorer access to information, services and opportunities that support good health</w:t>
      </w:r>
      <w:r w:rsidRPr="00C221F8">
        <w:t>.</w:t>
      </w:r>
    </w:p>
    <w:p w14:paraId="2FC9B21E" w14:textId="77777777" w:rsidR="00F14C69" w:rsidRDefault="00F14C69" w:rsidP="009239BE"/>
    <w:p w14:paraId="3BC9162E" w14:textId="77777777" w:rsidR="009239BE" w:rsidRDefault="009239BE" w:rsidP="009239BE"/>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4CF4B661" w14:textId="77777777" w:rsidTr="00572CF6">
        <w:trPr>
          <w:cantSplit/>
        </w:trPr>
        <w:tc>
          <w:tcPr>
            <w:tcW w:w="7973" w:type="dxa"/>
          </w:tcPr>
          <w:p w14:paraId="3079D532" w14:textId="77777777" w:rsidR="00507742" w:rsidRPr="00933A6B" w:rsidRDefault="00507742" w:rsidP="005533E2">
            <w:pPr>
              <w:pStyle w:val="TableText"/>
              <w:ind w:right="-57"/>
              <w:rPr>
                <w:color w:val="0A6AB4"/>
                <w:sz w:val="24"/>
                <w:szCs w:val="24"/>
              </w:rPr>
            </w:pPr>
            <w:r>
              <w:rPr>
                <w:color w:val="0A6AB4"/>
                <w:sz w:val="24"/>
                <w:szCs w:val="24"/>
              </w:rPr>
              <w:t>Most New Zealanders are satisfied or very satisfied with their lives</w:t>
            </w:r>
          </w:p>
        </w:tc>
      </w:tr>
    </w:tbl>
    <w:p w14:paraId="6305918F" w14:textId="77777777" w:rsidR="00507742" w:rsidRDefault="00507742" w:rsidP="009239BE"/>
    <w:p w14:paraId="67AE117C" w14:textId="77777777" w:rsidR="00507742" w:rsidRDefault="00507742" w:rsidP="009239BE">
      <w:pPr>
        <w:rPr>
          <w:noProof/>
          <w:lang w:eastAsia="en-NZ"/>
        </w:rPr>
      </w:pPr>
      <w:r w:rsidRPr="00990BA1">
        <w:t xml:space="preserve">Wellbeing statistics are based on </w:t>
      </w:r>
      <w:r>
        <w:t xml:space="preserve">how </w:t>
      </w:r>
      <w:r w:rsidRPr="00990BA1">
        <w:t xml:space="preserve">people assess their own lives, such as </w:t>
      </w:r>
      <w:r>
        <w:t xml:space="preserve">their view of </w:t>
      </w:r>
      <w:r w:rsidRPr="00990BA1">
        <w:t>how satisfied they are.</w:t>
      </w:r>
      <w:r>
        <w:t xml:space="preserve"> Data on wellbeing comes from the General Social Survey, which scores most indicators on a scale of 0 (low) to 10 (high).</w:t>
      </w:r>
    </w:p>
    <w:p w14:paraId="1BE1A986" w14:textId="77777777" w:rsidR="00507742" w:rsidRDefault="00507742" w:rsidP="009239BE">
      <w:pPr>
        <w:rPr>
          <w:noProof/>
          <w:lang w:eastAsia="en-NZ"/>
        </w:rPr>
      </w:pPr>
    </w:p>
    <w:p w14:paraId="3B314D9A" w14:textId="77777777" w:rsidR="002542AA" w:rsidRDefault="00507742" w:rsidP="009239BE">
      <w:pPr>
        <w:rPr>
          <w:noProof/>
          <w:lang w:eastAsia="en-NZ"/>
        </w:rPr>
      </w:pPr>
      <w:r>
        <w:rPr>
          <w:noProof/>
          <w:lang w:eastAsia="en-NZ"/>
        </w:rPr>
        <w:t xml:space="preserve">Most New Zealand adults (81 percent) rate their overall life satisfaction as 7 out of 10 or higher </w:t>
      </w:r>
      <w:r w:rsidRPr="004327C1">
        <w:rPr>
          <w:noProof/>
          <w:lang w:eastAsia="en-NZ"/>
        </w:rPr>
        <w:t>(Stats NZ 2020e). The average rating for all New Zealand adults was</w:t>
      </w:r>
      <w:r>
        <w:rPr>
          <w:noProof/>
          <w:lang w:eastAsia="en-NZ"/>
        </w:rPr>
        <w:t xml:space="preserve"> 7.7 out of 10. Overall life satisfaction was highest in people aged 75 years or older (8.2). Among ethnic groups, Asians had the highest overall life satisfaction score (7.8), followed by European (7.7), Māori (7.6) and Pacific peoples (7.5).</w:t>
      </w:r>
    </w:p>
    <w:p w14:paraId="6D7AD134" w14:textId="77777777" w:rsidR="00507742" w:rsidRDefault="00507742" w:rsidP="009239BE">
      <w:pPr>
        <w:rPr>
          <w:noProof/>
          <w:lang w:eastAsia="en-NZ"/>
        </w:rPr>
      </w:pPr>
    </w:p>
    <w:p w14:paraId="1BB8A3F1" w14:textId="77777777" w:rsidR="002542AA" w:rsidRDefault="00507742" w:rsidP="00507742">
      <w:pPr>
        <w:rPr>
          <w:noProof/>
          <w:lang w:eastAsia="en-NZ"/>
        </w:rPr>
      </w:pPr>
      <w:r>
        <w:rPr>
          <w:noProof/>
          <w:lang w:eastAsia="en-NZ"/>
        </w:rPr>
        <w:t xml:space="preserve">The average family wellbeing rating for New Zealanders was 7.8 out of 10, which has not </w:t>
      </w:r>
      <w:r w:rsidRPr="004327C1">
        <w:rPr>
          <w:noProof/>
          <w:lang w:eastAsia="en-NZ"/>
        </w:rPr>
        <w:t>changed since 2016 (Stats NZ 2020f). Māori rated their family wellbeing lower than</w:t>
      </w:r>
      <w:r>
        <w:rPr>
          <w:noProof/>
          <w:lang w:eastAsia="en-NZ"/>
        </w:rPr>
        <w:t xml:space="preserve"> </w:t>
      </w:r>
      <w:r>
        <w:rPr>
          <w:noProof/>
          <w:lang w:eastAsia="en-NZ"/>
        </w:rPr>
        <w:lastRenderedPageBreak/>
        <w:t>other ethnic groups (7.4, compared with 7.8 for European and Pacific peoples, and 8.2 for Asians).</w:t>
      </w:r>
    </w:p>
    <w:p w14:paraId="15760555" w14:textId="77777777" w:rsidR="00507742" w:rsidRDefault="00507742" w:rsidP="009239BE">
      <w:pPr>
        <w:rPr>
          <w:noProof/>
          <w:lang w:eastAsia="en-NZ"/>
        </w:rPr>
      </w:pPr>
    </w:p>
    <w:p w14:paraId="6BB74ADE" w14:textId="41765888" w:rsidR="00507742" w:rsidRPr="009239BE" w:rsidRDefault="00507742" w:rsidP="009239BE">
      <w:pPr>
        <w:rPr>
          <w:noProof/>
          <w:spacing w:val="-2"/>
          <w:lang w:eastAsia="en-NZ"/>
        </w:rPr>
      </w:pPr>
      <w:r w:rsidRPr="009239BE">
        <w:rPr>
          <w:noProof/>
          <w:spacing w:val="-2"/>
          <w:lang w:eastAsia="en-NZ"/>
        </w:rPr>
        <w:t>Overall life satisfaction varied by disability status. Disabled adults had lower average levels (6.9) than non-disabled adults (7.8) (Stats NZ 2020g). Average family wellbeing was also lower in disabled people (7.5) than in non-disabled people (7.8).</w:t>
      </w:r>
    </w:p>
    <w:p w14:paraId="71C0214E" w14:textId="77777777" w:rsidR="00507742" w:rsidRDefault="00507742" w:rsidP="009239BE">
      <w:pPr>
        <w:spacing w:after="240"/>
        <w:rPr>
          <w:noProof/>
          <w:lang w:eastAsia="en-NZ"/>
        </w:rPr>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60B04413" w14:textId="77777777" w:rsidTr="00572CF6">
        <w:trPr>
          <w:cantSplit/>
        </w:trPr>
        <w:tc>
          <w:tcPr>
            <w:tcW w:w="7973" w:type="dxa"/>
          </w:tcPr>
          <w:p w14:paraId="72CA9482" w14:textId="77777777" w:rsidR="00507742" w:rsidRPr="00933A6B" w:rsidRDefault="00507742" w:rsidP="005533E2">
            <w:pPr>
              <w:pStyle w:val="TableText"/>
              <w:ind w:right="-57"/>
              <w:rPr>
                <w:color w:val="0A6AB4"/>
                <w:sz w:val="24"/>
                <w:szCs w:val="24"/>
              </w:rPr>
            </w:pPr>
            <w:bookmarkStart w:id="156" w:name="_TOC_250024"/>
            <w:bookmarkEnd w:id="156"/>
            <w:r>
              <w:rPr>
                <w:color w:val="0A6AB4"/>
                <w:sz w:val="24"/>
                <w:szCs w:val="24"/>
              </w:rPr>
              <w:t>Māori and Pacific peoples have the strongest sense of belonging to New Zealand</w:t>
            </w:r>
          </w:p>
        </w:tc>
      </w:tr>
    </w:tbl>
    <w:p w14:paraId="653068B0" w14:textId="77777777" w:rsidR="00507742" w:rsidRDefault="00507742" w:rsidP="009239BE"/>
    <w:p w14:paraId="0D2D1556" w14:textId="77777777" w:rsidR="002542AA" w:rsidRDefault="00507742" w:rsidP="009239BE">
      <w:pPr>
        <w:rPr>
          <w:noProof/>
        </w:rPr>
      </w:pPr>
      <w:r w:rsidRPr="00405CFD">
        <w:rPr>
          <w:noProof/>
        </w:rPr>
        <w:t>A strong sense of belong</w:t>
      </w:r>
      <w:r>
        <w:rPr>
          <w:noProof/>
        </w:rPr>
        <w:t>ing</w:t>
      </w:r>
      <w:r w:rsidRPr="00405CFD">
        <w:rPr>
          <w:noProof/>
        </w:rPr>
        <w:t xml:space="preserve"> is positively associated with wellbeing and mental health</w:t>
      </w:r>
      <w:r>
        <w:rPr>
          <w:noProof/>
        </w:rPr>
        <w:t xml:space="preserve">. The 2016 General Social Survey asked people </w:t>
      </w:r>
      <w:r w:rsidRPr="00050E78">
        <w:rPr>
          <w:noProof/>
        </w:rPr>
        <w:t>about their sense of belonging to New Zealand</w:t>
      </w:r>
      <w:r>
        <w:rPr>
          <w:noProof/>
        </w:rPr>
        <w:t>; a score of 7 or higher (on a scale of 10) indicates a strong sense of belonging.</w:t>
      </w:r>
    </w:p>
    <w:p w14:paraId="15983F37" w14:textId="77777777" w:rsidR="00507742" w:rsidRDefault="00507742" w:rsidP="009239BE">
      <w:pPr>
        <w:rPr>
          <w:noProof/>
        </w:rPr>
      </w:pPr>
    </w:p>
    <w:p w14:paraId="0CBDD296" w14:textId="7CF098E5" w:rsidR="002542AA" w:rsidRDefault="00507742" w:rsidP="009239BE">
      <w:pPr>
        <w:rPr>
          <w:noProof/>
        </w:rPr>
      </w:pPr>
      <w:r>
        <w:rPr>
          <w:noProof/>
        </w:rPr>
        <w:t xml:space="preserve">Overall, 88.5 percent of New Zealanders aged 15 years and over reported a strong sense </w:t>
      </w:r>
      <w:r w:rsidRPr="004327C1">
        <w:rPr>
          <w:noProof/>
        </w:rPr>
        <w:t>of belonging (Stats NZ 2020</w:t>
      </w:r>
      <w:r>
        <w:rPr>
          <w:noProof/>
        </w:rPr>
        <w:t>h</w:t>
      </w:r>
      <w:r w:rsidRPr="004327C1">
        <w:rPr>
          <w:noProof/>
        </w:rPr>
        <w:t xml:space="preserve">). The proportion of people reporting </w:t>
      </w:r>
      <w:r>
        <w:rPr>
          <w:noProof/>
        </w:rPr>
        <w:t>this increased with age. Māori (90.5</w:t>
      </w:r>
      <w:r w:rsidRPr="0051059D">
        <w:rPr>
          <w:noProof/>
        </w:rPr>
        <w:t xml:space="preserve"> </w:t>
      </w:r>
      <w:r>
        <w:rPr>
          <w:noProof/>
        </w:rPr>
        <w:t>percent) and Pacific peoples (90.1 percent) were also more likely to report a strong sense of belonging.</w:t>
      </w:r>
    </w:p>
    <w:p w14:paraId="352693CF" w14:textId="77777777" w:rsidR="00F14C69" w:rsidRDefault="00F14C69" w:rsidP="009239BE">
      <w:pPr>
        <w:rPr>
          <w:noProof/>
        </w:rPr>
      </w:pPr>
    </w:p>
    <w:p w14:paraId="69448168" w14:textId="77777777" w:rsidR="009239BE" w:rsidRDefault="009239BE" w:rsidP="009239BE">
      <w:pPr>
        <w:rPr>
          <w:noProof/>
        </w:rPr>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0334CCFF" w14:textId="77777777" w:rsidTr="00572CF6">
        <w:trPr>
          <w:cantSplit/>
        </w:trPr>
        <w:tc>
          <w:tcPr>
            <w:tcW w:w="7973" w:type="dxa"/>
          </w:tcPr>
          <w:p w14:paraId="29D8F4D1" w14:textId="77777777" w:rsidR="00507742" w:rsidRPr="00933A6B" w:rsidRDefault="00507742" w:rsidP="005533E2">
            <w:pPr>
              <w:pStyle w:val="TableText"/>
              <w:ind w:right="-57"/>
              <w:rPr>
                <w:color w:val="0A6AB4"/>
                <w:sz w:val="24"/>
                <w:szCs w:val="24"/>
              </w:rPr>
            </w:pPr>
            <w:r>
              <w:rPr>
                <w:color w:val="0A6AB4"/>
                <w:sz w:val="24"/>
                <w:szCs w:val="24"/>
              </w:rPr>
              <w:t>About one in five children lives in relative poverty (after deducting housing costs)</w:t>
            </w:r>
          </w:p>
        </w:tc>
      </w:tr>
    </w:tbl>
    <w:p w14:paraId="1BA908AA" w14:textId="77777777" w:rsidR="00507742" w:rsidRDefault="00507742" w:rsidP="009239BE"/>
    <w:p w14:paraId="3EBE13D0" w14:textId="77777777" w:rsidR="00507742" w:rsidRPr="00A66823" w:rsidRDefault="00507742" w:rsidP="009239BE">
      <w:r w:rsidRPr="00A66823">
        <w:t>Poverty can negatively affect health in a number of ways, including through poor or no housing, inadequate nutrition or lack of access to health care.</w:t>
      </w:r>
    </w:p>
    <w:p w14:paraId="1D0AE9EE" w14:textId="77777777" w:rsidR="00507742" w:rsidRPr="00A66823" w:rsidRDefault="00507742" w:rsidP="009239BE"/>
    <w:p w14:paraId="46BD215C" w14:textId="1A08876F" w:rsidR="00507742" w:rsidRDefault="00507742" w:rsidP="009239BE">
      <w:pPr>
        <w:rPr>
          <w:noProof/>
          <w:lang w:eastAsia="en-NZ"/>
        </w:rPr>
      </w:pPr>
      <w:r>
        <w:rPr>
          <w:noProof/>
          <w:lang w:eastAsia="en-NZ"/>
        </w:rPr>
        <w:t xml:space="preserve">In the year ending June 2019, </w:t>
      </w:r>
      <w:r w:rsidR="001B5BE5">
        <w:rPr>
          <w:noProof/>
          <w:lang w:eastAsia="en-NZ"/>
        </w:rPr>
        <w:t xml:space="preserve">just under </w:t>
      </w:r>
      <w:r>
        <w:rPr>
          <w:noProof/>
          <w:lang w:eastAsia="en-NZ"/>
        </w:rPr>
        <w:t xml:space="preserve">one in seven New Zealand children (168,500) was living in a household with less than 50 percent of the median household </w:t>
      </w:r>
      <w:r w:rsidRPr="004327C1">
        <w:rPr>
          <w:noProof/>
          <w:lang w:eastAsia="en-NZ"/>
        </w:rPr>
        <w:t>income (Stats NZ 2020</w:t>
      </w:r>
      <w:r>
        <w:rPr>
          <w:noProof/>
          <w:lang w:eastAsia="en-NZ"/>
        </w:rPr>
        <w:t>i</w:t>
      </w:r>
      <w:r w:rsidRPr="004327C1">
        <w:rPr>
          <w:noProof/>
          <w:lang w:eastAsia="en-NZ"/>
        </w:rPr>
        <w:t xml:space="preserve">). </w:t>
      </w:r>
      <w:r w:rsidR="001B5BE5">
        <w:rPr>
          <w:noProof/>
          <w:lang w:eastAsia="en-NZ"/>
        </w:rPr>
        <w:t>This increases to about one in five children (235,400) once housing costs are taken into account</w:t>
      </w:r>
      <w:r w:rsidR="00E119D5">
        <w:rPr>
          <w:noProof/>
          <w:lang w:eastAsia="en-NZ"/>
        </w:rPr>
        <w:t>.</w:t>
      </w:r>
      <w:r w:rsidR="001B5BE5">
        <w:rPr>
          <w:rStyle w:val="FootnoteReference"/>
          <w:noProof/>
          <w:lang w:eastAsia="en-NZ"/>
        </w:rPr>
        <w:footnoteReference w:id="4"/>
      </w:r>
      <w:r w:rsidR="001B5BE5">
        <w:rPr>
          <w:noProof/>
          <w:lang w:eastAsia="en-NZ"/>
        </w:rPr>
        <w:t xml:space="preserve"> </w:t>
      </w:r>
    </w:p>
    <w:p w14:paraId="60B58E5A" w14:textId="77777777" w:rsidR="00507742" w:rsidRDefault="00507742" w:rsidP="009239BE">
      <w:pPr>
        <w:rPr>
          <w:noProof/>
          <w:lang w:eastAsia="en-NZ"/>
        </w:rPr>
      </w:pPr>
    </w:p>
    <w:p w14:paraId="3022FAEC" w14:textId="77777777" w:rsidR="002542AA" w:rsidRDefault="00507742" w:rsidP="009239BE">
      <w:r>
        <w:rPr>
          <w:noProof/>
          <w:lang w:eastAsia="en-NZ"/>
        </w:rPr>
        <w:t xml:space="preserve">Another indicator of poverty is material hardship, which indicates the number of households missing out on 6 or more of the 17 basics most people would regard as essentials. Examples include missing out by not eating fresh fruit and vegetables, putting off a visit to the doctor, or not being able to pay the electricity bill on time. </w:t>
      </w:r>
      <w:r w:rsidRPr="00A66823">
        <w:t xml:space="preserve">An estimated 13 percent of children live in a household experiencing material hardship, </w:t>
      </w:r>
      <w:r>
        <w:t>which has not changed since 2017/18</w:t>
      </w:r>
      <w:r w:rsidRPr="00A66823">
        <w:t>.</w:t>
      </w:r>
    </w:p>
    <w:p w14:paraId="4900FC9C" w14:textId="77777777" w:rsidR="00507742" w:rsidRDefault="00507742" w:rsidP="009239BE"/>
    <w:p w14:paraId="45E7D473" w14:textId="027D8B10" w:rsidR="00507742" w:rsidRDefault="00507742" w:rsidP="009239BE">
      <w:r>
        <w:t>Although children from all ethnic groups live in households with low income and relative material hardship, Māori and Pacific children are disproportionately affected (</w:t>
      </w:r>
      <w:r w:rsidR="009239BE">
        <w:fldChar w:fldCharType="begin"/>
      </w:r>
      <w:r w:rsidR="009239BE">
        <w:instrText xml:space="preserve"> REF _Ref57376069 \h </w:instrText>
      </w:r>
      <w:r w:rsidR="009239BE">
        <w:fldChar w:fldCharType="separate"/>
      </w:r>
      <w:r w:rsidR="003F39AB">
        <w:t>Figure </w:t>
      </w:r>
      <w:r w:rsidR="003F39AB">
        <w:rPr>
          <w:noProof/>
        </w:rPr>
        <w:t>13</w:t>
      </w:r>
      <w:r w:rsidR="009239BE">
        <w:fldChar w:fldCharType="end"/>
      </w:r>
      <w:r>
        <w:t>).</w:t>
      </w:r>
    </w:p>
    <w:p w14:paraId="69CE0934" w14:textId="77777777" w:rsidR="00507742" w:rsidRDefault="00507742" w:rsidP="009239BE"/>
    <w:p w14:paraId="20441065" w14:textId="3AABD16B" w:rsidR="00507742" w:rsidRDefault="009239BE" w:rsidP="009239BE">
      <w:pPr>
        <w:pStyle w:val="Figure"/>
      </w:pPr>
      <w:bookmarkStart w:id="157" w:name="_Ref57376069"/>
      <w:bookmarkStart w:id="158" w:name="_Toc57295970"/>
      <w:bookmarkStart w:id="159" w:name="_Toc64536270"/>
      <w:r>
        <w:lastRenderedPageBreak/>
        <w:t>Figure </w:t>
      </w:r>
      <w:fldSimple w:instr=" SEQ Figure \* ARABIC ">
        <w:r w:rsidR="003F39AB">
          <w:rPr>
            <w:noProof/>
          </w:rPr>
          <w:t>13</w:t>
        </w:r>
      </w:fldSimple>
      <w:bookmarkEnd w:id="157"/>
      <w:r w:rsidR="00507742" w:rsidRPr="007D038A">
        <w:t xml:space="preserve">: </w:t>
      </w:r>
      <w:r w:rsidR="00507742">
        <w:t>Primary</w:t>
      </w:r>
      <w:r w:rsidR="00507742" w:rsidRPr="00EB4D8D">
        <w:t xml:space="preserve"> </w:t>
      </w:r>
      <w:r w:rsidR="00507742">
        <w:t>measures of child poverty, by ethnic group, 2018/19</w:t>
      </w:r>
      <w:bookmarkEnd w:id="158"/>
      <w:bookmarkEnd w:id="159"/>
    </w:p>
    <w:p w14:paraId="6E35B9DF" w14:textId="0EB08CBE" w:rsidR="00507742" w:rsidRDefault="00EC60FD" w:rsidP="00E143AA">
      <w:r w:rsidRPr="00EC60FD">
        <w:rPr>
          <w:noProof/>
          <w:lang w:eastAsia="en-NZ"/>
        </w:rPr>
        <w:drawing>
          <wp:inline distT="0" distB="0" distL="0" distR="0" wp14:anchorId="73CC51C7" wp14:editId="4BF25943">
            <wp:extent cx="5130165" cy="3128010"/>
            <wp:effectExtent l="0" t="0" r="0" b="0"/>
            <wp:docPr id="21" name="Picture 21" descr="This bar graph shows that 19% of Māori have below half the median household income, about 25% of Māori have below half median household income (housing costs deducted), and about 23% have material hardship. For Pacific peoples, about 22% have below half median household income, about 24% have below half median household income (housing costs deducted) and 28% have material hardship. For Europeans, about 12% have below half median household income, about 17% have below half median household income (housing costs deducted) and 10% have material hardship. For the total population, about 15% have below half median household income, about 20% have below half median household income (housing costs deducted) and 13% have material har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0165" cy="3128010"/>
                    </a:xfrm>
                    <a:prstGeom prst="rect">
                      <a:avLst/>
                    </a:prstGeom>
                    <a:noFill/>
                    <a:ln>
                      <a:noFill/>
                    </a:ln>
                  </pic:spPr>
                </pic:pic>
              </a:graphicData>
            </a:graphic>
          </wp:inline>
        </w:drawing>
      </w:r>
    </w:p>
    <w:p w14:paraId="1E288F48" w14:textId="009CBAF2" w:rsidR="00507742" w:rsidRDefault="00507742" w:rsidP="009239BE">
      <w:pPr>
        <w:pStyle w:val="Source"/>
      </w:pPr>
      <w:r w:rsidRPr="004327C1">
        <w:t>Source: Stats NZ 2020</w:t>
      </w:r>
      <w:r>
        <w:t>i</w:t>
      </w:r>
      <w:r w:rsidRPr="004327C1">
        <w:t>)</w:t>
      </w:r>
    </w:p>
    <w:p w14:paraId="150D8CF5" w14:textId="77777777" w:rsidR="00507742" w:rsidRDefault="00507742" w:rsidP="009239BE"/>
    <w:p w14:paraId="43E557A3" w14:textId="77777777" w:rsidR="00507742" w:rsidRDefault="00507742" w:rsidP="009239BE">
      <w:r>
        <w:t xml:space="preserve">In 2018/19 about one in five Māori and Pacific children lived in a household with less than 50 percent of the median household income, compared with one in nine European children. After housing costs were deducted, this increased to about one in four Māori and Pacific children (both 24.7 percent), compared with 17 percent for European children. </w:t>
      </w:r>
      <w:r w:rsidRPr="00886413">
        <w:t xml:space="preserve">Looking at material hardship, </w:t>
      </w:r>
      <w:r>
        <w:t>23.3 percent of</w:t>
      </w:r>
      <w:r w:rsidRPr="00886413">
        <w:t xml:space="preserve"> Māori children </w:t>
      </w:r>
      <w:r>
        <w:t>and 28.6</w:t>
      </w:r>
      <w:r w:rsidR="009239BE">
        <w:t> </w:t>
      </w:r>
      <w:r>
        <w:t xml:space="preserve">percent of Pacific children </w:t>
      </w:r>
      <w:r w:rsidRPr="00886413">
        <w:t xml:space="preserve">lived in households that are doing without </w:t>
      </w:r>
      <w:r>
        <w:t>6</w:t>
      </w:r>
      <w:r w:rsidRPr="00886413">
        <w:t xml:space="preserve"> or more of the 17 material basic needs</w:t>
      </w:r>
      <w:r>
        <w:t xml:space="preserve">, compared with 9.8 percent of </w:t>
      </w:r>
      <w:r w:rsidRPr="00886413">
        <w:t>European children</w:t>
      </w:r>
      <w:r>
        <w:t>.</w:t>
      </w:r>
    </w:p>
    <w:p w14:paraId="505FF0BD" w14:textId="77777777" w:rsidR="009239BE" w:rsidRDefault="009239BE" w:rsidP="009239BE"/>
    <w:p w14:paraId="0BA36B6A" w14:textId="77777777" w:rsidR="00507742" w:rsidRDefault="00507742" w:rsidP="009239BE">
      <w:pPr>
        <w:pStyle w:val="Heading2"/>
      </w:pPr>
      <w:bookmarkStart w:id="160" w:name="_Toc57295685"/>
      <w:bookmarkStart w:id="161" w:name="_Toc64536253"/>
      <w:r>
        <w:lastRenderedPageBreak/>
        <w:t>Physical environment</w:t>
      </w:r>
      <w:bookmarkEnd w:id="160"/>
      <w:bookmarkEnd w:id="161"/>
    </w:p>
    <w:p w14:paraId="175C7270" w14:textId="77777777" w:rsidR="00507742" w:rsidRDefault="00507742" w:rsidP="009F4773">
      <w:pPr>
        <w:keepNext/>
      </w:pPr>
      <w:r w:rsidRPr="00CF60ED">
        <w:t>Both the built and natural environments have an important influence on health and wellbeing.</w:t>
      </w:r>
    </w:p>
    <w:p w14:paraId="509EFD9D" w14:textId="7D1FADD9" w:rsidR="009239BE" w:rsidRDefault="009239BE" w:rsidP="009F4773">
      <w:pPr>
        <w:keepNext/>
      </w:pPr>
    </w:p>
    <w:p w14:paraId="435D563E" w14:textId="77777777" w:rsidR="00F14C69" w:rsidRPr="00CF60ED" w:rsidRDefault="00F14C69" w:rsidP="009F4773">
      <w:pPr>
        <w:keepNext/>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42049A09" w14:textId="77777777" w:rsidTr="00572CF6">
        <w:trPr>
          <w:cantSplit/>
        </w:trPr>
        <w:tc>
          <w:tcPr>
            <w:tcW w:w="7973" w:type="dxa"/>
          </w:tcPr>
          <w:p w14:paraId="51F1BDA1" w14:textId="77777777" w:rsidR="00507742" w:rsidRPr="00933A6B" w:rsidRDefault="00507742" w:rsidP="009F4773">
            <w:pPr>
              <w:pStyle w:val="TableText"/>
              <w:keepNext/>
              <w:ind w:right="-57"/>
              <w:rPr>
                <w:color w:val="0A6AB4"/>
                <w:sz w:val="24"/>
                <w:szCs w:val="24"/>
              </w:rPr>
            </w:pPr>
            <w:r w:rsidRPr="001A0D43">
              <w:rPr>
                <w:color w:val="0A6AB4"/>
                <w:sz w:val="24"/>
                <w:szCs w:val="24"/>
              </w:rPr>
              <w:t>Pacific peoples, Māori and disabled people are more likely to live in houses with damp and mould</w:t>
            </w:r>
          </w:p>
        </w:tc>
      </w:tr>
    </w:tbl>
    <w:p w14:paraId="45962F39" w14:textId="77777777" w:rsidR="00507742" w:rsidRDefault="00507742" w:rsidP="009F4773">
      <w:pPr>
        <w:keepNext/>
      </w:pPr>
    </w:p>
    <w:p w14:paraId="2D9E8363" w14:textId="02493DE1" w:rsidR="00507742" w:rsidRDefault="00507742" w:rsidP="009F4773">
      <w:pPr>
        <w:keepNext/>
      </w:pPr>
      <w:r>
        <w:t xml:space="preserve">The 2018 Census results showed that one in five homes (318,891) was affected by </w:t>
      </w:r>
      <w:r w:rsidRPr="004327C1">
        <w:t xml:space="preserve">damp (Stats NZ </w:t>
      </w:r>
      <w:r>
        <w:t>2019</w:t>
      </w:r>
      <w:r w:rsidRPr="004327C1">
        <w:t>). Of homes affected by damp, 44,520 were damp all of the time</w:t>
      </w:r>
      <w:r>
        <w:t xml:space="preserve"> (3</w:t>
      </w:r>
      <w:r w:rsidR="009239BE">
        <w:t> </w:t>
      </w:r>
      <w:r>
        <w:t>percent of all homes). A further 274,371 were sometimes damp (18.5 percent of all homes). Compared with homes that the household owned or held in a family trust, the homes of renters were about seven times more likely to be always damp (</w:t>
      </w:r>
      <w:r w:rsidR="009239BE">
        <w:fldChar w:fldCharType="begin"/>
      </w:r>
      <w:r w:rsidR="009239BE">
        <w:instrText xml:space="preserve"> REF _Ref57376153 \h </w:instrText>
      </w:r>
      <w:r w:rsidR="009239BE">
        <w:fldChar w:fldCharType="separate"/>
      </w:r>
      <w:r w:rsidR="003F39AB">
        <w:t>Figure </w:t>
      </w:r>
      <w:r w:rsidR="003F39AB">
        <w:rPr>
          <w:noProof/>
        </w:rPr>
        <w:t>14</w:t>
      </w:r>
      <w:r w:rsidR="009239BE">
        <w:fldChar w:fldCharType="end"/>
      </w:r>
      <w:r>
        <w:t>).</w:t>
      </w:r>
    </w:p>
    <w:p w14:paraId="35233319" w14:textId="77777777" w:rsidR="009F4773" w:rsidRDefault="009F4773" w:rsidP="009F4773">
      <w:pPr>
        <w:keepNext/>
      </w:pPr>
    </w:p>
    <w:p w14:paraId="226C2086" w14:textId="7572F6D0" w:rsidR="002542AA" w:rsidRDefault="009239BE" w:rsidP="009F4773">
      <w:pPr>
        <w:pStyle w:val="Figure"/>
      </w:pPr>
      <w:bookmarkStart w:id="162" w:name="_Ref57376153"/>
      <w:bookmarkStart w:id="163" w:name="_Toc57295971"/>
      <w:bookmarkStart w:id="164" w:name="_Toc64536271"/>
      <w:r>
        <w:t>Figure </w:t>
      </w:r>
      <w:fldSimple w:instr=" SEQ Figure \* ARABIC ">
        <w:r w:rsidR="003F39AB">
          <w:rPr>
            <w:noProof/>
          </w:rPr>
          <w:t>14</w:t>
        </w:r>
      </w:fldSimple>
      <w:bookmarkEnd w:id="162"/>
      <w:r w:rsidR="00507742" w:rsidRPr="007D038A">
        <w:t xml:space="preserve">: </w:t>
      </w:r>
      <w:r w:rsidR="00507742">
        <w:t>Housing dampness, by household tenure, 2018</w:t>
      </w:r>
      <w:bookmarkEnd w:id="163"/>
      <w:bookmarkEnd w:id="164"/>
    </w:p>
    <w:p w14:paraId="29287160" w14:textId="39C50A50" w:rsidR="00507742" w:rsidRDefault="00EC60FD" w:rsidP="00E143AA">
      <w:r w:rsidRPr="001E65C0">
        <w:rPr>
          <w:noProof/>
          <w:lang w:eastAsia="en-NZ"/>
        </w:rPr>
        <w:drawing>
          <wp:inline distT="0" distB="0" distL="0" distR="0" wp14:anchorId="5729632C" wp14:editId="10B5DD32">
            <wp:extent cx="5130165" cy="3129280"/>
            <wp:effectExtent l="0" t="0" r="0" b="0"/>
            <wp:docPr id="23" name="Picture 23" descr="This bar graph shows that for homes that are owned or in a family trust, about 2% are always damp, about 15% are sometimes damp, and about 85% are not damp. For homes that are rented, about 8% are always damp, about 30% are sometimes damp and about 60% are not d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30165" cy="3129280"/>
                    </a:xfrm>
                    <a:prstGeom prst="rect">
                      <a:avLst/>
                    </a:prstGeom>
                  </pic:spPr>
                </pic:pic>
              </a:graphicData>
            </a:graphic>
          </wp:inline>
        </w:drawing>
      </w:r>
    </w:p>
    <w:p w14:paraId="0F92284D" w14:textId="17BC93CF" w:rsidR="00507742" w:rsidRDefault="00507742" w:rsidP="009239BE">
      <w:pPr>
        <w:pStyle w:val="Source"/>
      </w:pPr>
      <w:r w:rsidRPr="004327C1">
        <w:t xml:space="preserve">Source: Stats NZ </w:t>
      </w:r>
      <w:r w:rsidR="002D5CC3">
        <w:t>(</w:t>
      </w:r>
      <w:r>
        <w:t>2019</w:t>
      </w:r>
      <w:r w:rsidRPr="004327C1">
        <w:t>)</w:t>
      </w:r>
    </w:p>
    <w:p w14:paraId="7520BCD4" w14:textId="77777777" w:rsidR="00507742" w:rsidRDefault="00507742" w:rsidP="009239BE"/>
    <w:p w14:paraId="03F90D53" w14:textId="77777777" w:rsidR="00507742" w:rsidRDefault="00507742" w:rsidP="009239BE">
      <w:r>
        <w:t>Visible mould larger than an A4 sheet of paper was always present in 4.3 percent of homes and sometimes present in 12.6 percent of homes. As with dampness, mould was more common in rented houses.</w:t>
      </w:r>
    </w:p>
    <w:p w14:paraId="0480E9D2" w14:textId="77777777" w:rsidR="00507742" w:rsidRDefault="00507742" w:rsidP="009239BE"/>
    <w:p w14:paraId="6096C766" w14:textId="293F3A56" w:rsidR="002542AA" w:rsidRDefault="00507742" w:rsidP="009239BE">
      <w:r>
        <w:t xml:space="preserve">As </w:t>
      </w:r>
      <w:r w:rsidR="009239BE">
        <w:fldChar w:fldCharType="begin"/>
      </w:r>
      <w:r w:rsidR="009239BE">
        <w:instrText xml:space="preserve"> REF _Ref57376182 \h </w:instrText>
      </w:r>
      <w:r w:rsidR="009239BE">
        <w:fldChar w:fldCharType="separate"/>
      </w:r>
      <w:r w:rsidR="003F39AB">
        <w:t xml:space="preserve">Table </w:t>
      </w:r>
      <w:r w:rsidR="003F39AB">
        <w:rPr>
          <w:noProof/>
        </w:rPr>
        <w:t>10</w:t>
      </w:r>
      <w:r w:rsidR="009239BE">
        <w:fldChar w:fldCharType="end"/>
      </w:r>
      <w:r w:rsidRPr="004E7DAB">
        <w:t xml:space="preserve"> </w:t>
      </w:r>
      <w:r>
        <w:t>shows, Māori and Pacific peoples were more likely than other ethnic groups to live in damp homes and mouldy homes (Stats NZ 2020j).</w:t>
      </w:r>
    </w:p>
    <w:p w14:paraId="136C710B" w14:textId="77777777" w:rsidR="00507742" w:rsidRDefault="00507742" w:rsidP="009239BE"/>
    <w:p w14:paraId="4239766F" w14:textId="4491E52C" w:rsidR="00507742" w:rsidRPr="00816588" w:rsidRDefault="009239BE" w:rsidP="009239BE">
      <w:pPr>
        <w:pStyle w:val="Table"/>
      </w:pPr>
      <w:bookmarkStart w:id="165" w:name="_Ref57376182"/>
      <w:bookmarkStart w:id="166" w:name="_Toc57273374"/>
      <w:bookmarkStart w:id="167" w:name="_Toc64536292"/>
      <w:r>
        <w:t xml:space="preserve">Table </w:t>
      </w:r>
      <w:fldSimple w:instr=" SEQ Table \* ARABIC ">
        <w:r w:rsidR="003F39AB">
          <w:rPr>
            <w:noProof/>
          </w:rPr>
          <w:t>10</w:t>
        </w:r>
      </w:fldSimple>
      <w:bookmarkEnd w:id="165"/>
      <w:r w:rsidR="00507742" w:rsidRPr="00816588">
        <w:t xml:space="preserve">: </w:t>
      </w:r>
      <w:r w:rsidR="00507742">
        <w:t>Proportion of people living in homes with damp and mould, by ethnic group, 2018</w:t>
      </w:r>
      <w:bookmarkEnd w:id="166"/>
      <w:bookmarkEnd w:id="167"/>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127"/>
        <w:gridCol w:w="2976"/>
        <w:gridCol w:w="2977"/>
      </w:tblGrid>
      <w:tr w:rsidR="00507742" w:rsidRPr="00816588" w14:paraId="30DED815" w14:textId="77777777" w:rsidTr="009239BE">
        <w:trPr>
          <w:cantSplit/>
        </w:trPr>
        <w:tc>
          <w:tcPr>
            <w:tcW w:w="2127" w:type="dxa"/>
            <w:tcBorders>
              <w:top w:val="nil"/>
              <w:bottom w:val="nil"/>
            </w:tcBorders>
            <w:shd w:val="clear" w:color="auto" w:fill="D9D9D9" w:themeFill="background1" w:themeFillShade="D9"/>
          </w:tcPr>
          <w:p w14:paraId="31814615" w14:textId="77777777" w:rsidR="00507742" w:rsidRPr="00816588" w:rsidRDefault="00507742" w:rsidP="009239BE">
            <w:pPr>
              <w:pStyle w:val="TableText"/>
              <w:rPr>
                <w:b/>
              </w:rPr>
            </w:pPr>
            <w:r>
              <w:rPr>
                <w:b/>
              </w:rPr>
              <w:t>Ethnic group</w:t>
            </w:r>
          </w:p>
        </w:tc>
        <w:tc>
          <w:tcPr>
            <w:tcW w:w="2976" w:type="dxa"/>
            <w:tcBorders>
              <w:top w:val="nil"/>
              <w:bottom w:val="nil"/>
            </w:tcBorders>
            <w:shd w:val="clear" w:color="auto" w:fill="D9D9D9" w:themeFill="background1" w:themeFillShade="D9"/>
          </w:tcPr>
          <w:p w14:paraId="476A7197" w14:textId="77777777" w:rsidR="00507742" w:rsidRPr="00816588" w:rsidRDefault="00507742" w:rsidP="009239BE">
            <w:pPr>
              <w:pStyle w:val="TableText"/>
              <w:jc w:val="center"/>
              <w:rPr>
                <w:b/>
              </w:rPr>
            </w:pPr>
            <w:r>
              <w:rPr>
                <w:b/>
              </w:rPr>
              <w:t>Always/sometimes damp</w:t>
            </w:r>
          </w:p>
        </w:tc>
        <w:tc>
          <w:tcPr>
            <w:tcW w:w="2977" w:type="dxa"/>
            <w:tcBorders>
              <w:top w:val="nil"/>
              <w:bottom w:val="nil"/>
            </w:tcBorders>
            <w:shd w:val="clear" w:color="auto" w:fill="D9D9D9" w:themeFill="background1" w:themeFillShade="D9"/>
          </w:tcPr>
          <w:p w14:paraId="59947F27" w14:textId="77777777" w:rsidR="00507742" w:rsidRDefault="00507742" w:rsidP="009239BE">
            <w:pPr>
              <w:pStyle w:val="TableText"/>
              <w:jc w:val="center"/>
              <w:rPr>
                <w:b/>
              </w:rPr>
            </w:pPr>
            <w:r>
              <w:rPr>
                <w:b/>
              </w:rPr>
              <w:t>Always/sometimes mould</w:t>
            </w:r>
          </w:p>
        </w:tc>
      </w:tr>
      <w:tr w:rsidR="00507742" w:rsidRPr="00816588" w14:paraId="0EFC4134" w14:textId="77777777" w:rsidTr="009239BE">
        <w:trPr>
          <w:cantSplit/>
        </w:trPr>
        <w:tc>
          <w:tcPr>
            <w:tcW w:w="2127" w:type="dxa"/>
            <w:tcBorders>
              <w:top w:val="nil"/>
            </w:tcBorders>
          </w:tcPr>
          <w:p w14:paraId="70145A18" w14:textId="77777777" w:rsidR="00507742" w:rsidRPr="00816588" w:rsidRDefault="00507742" w:rsidP="009239BE">
            <w:pPr>
              <w:pStyle w:val="TableText"/>
            </w:pPr>
            <w:r>
              <w:t>Māori</w:t>
            </w:r>
          </w:p>
        </w:tc>
        <w:tc>
          <w:tcPr>
            <w:tcW w:w="2976" w:type="dxa"/>
            <w:tcBorders>
              <w:top w:val="nil"/>
            </w:tcBorders>
          </w:tcPr>
          <w:p w14:paraId="57D13AF6" w14:textId="77777777" w:rsidR="00507742" w:rsidRPr="00816588" w:rsidRDefault="00507742" w:rsidP="009239BE">
            <w:pPr>
              <w:pStyle w:val="TableText"/>
              <w:jc w:val="center"/>
            </w:pPr>
            <w:r>
              <w:t>40.3</w:t>
            </w:r>
          </w:p>
        </w:tc>
        <w:tc>
          <w:tcPr>
            <w:tcW w:w="2977" w:type="dxa"/>
            <w:tcBorders>
              <w:top w:val="nil"/>
            </w:tcBorders>
          </w:tcPr>
          <w:p w14:paraId="10CFCD1B" w14:textId="77777777" w:rsidR="00507742" w:rsidRDefault="00507742" w:rsidP="009239BE">
            <w:pPr>
              <w:pStyle w:val="TableText"/>
              <w:jc w:val="center"/>
            </w:pPr>
            <w:r>
              <w:t>33.0</w:t>
            </w:r>
          </w:p>
        </w:tc>
      </w:tr>
      <w:tr w:rsidR="00507742" w:rsidRPr="00816588" w14:paraId="7147BE47" w14:textId="77777777" w:rsidTr="009239BE">
        <w:trPr>
          <w:cantSplit/>
        </w:trPr>
        <w:tc>
          <w:tcPr>
            <w:tcW w:w="2127" w:type="dxa"/>
          </w:tcPr>
          <w:p w14:paraId="7E5E2ACC" w14:textId="77777777" w:rsidR="00507742" w:rsidRDefault="009239BE" w:rsidP="009239BE">
            <w:pPr>
              <w:pStyle w:val="TableText"/>
            </w:pPr>
            <w:r>
              <w:lastRenderedPageBreak/>
              <w:t>Pacific</w:t>
            </w:r>
          </w:p>
        </w:tc>
        <w:tc>
          <w:tcPr>
            <w:tcW w:w="2976" w:type="dxa"/>
          </w:tcPr>
          <w:p w14:paraId="7D9CDC2D" w14:textId="77777777" w:rsidR="00507742" w:rsidRPr="00816588" w:rsidRDefault="00507742" w:rsidP="009239BE">
            <w:pPr>
              <w:pStyle w:val="TableText"/>
              <w:jc w:val="center"/>
            </w:pPr>
            <w:r>
              <w:t>45.9</w:t>
            </w:r>
          </w:p>
        </w:tc>
        <w:tc>
          <w:tcPr>
            <w:tcW w:w="2977" w:type="dxa"/>
          </w:tcPr>
          <w:p w14:paraId="05B7A529" w14:textId="77777777" w:rsidR="00507742" w:rsidRPr="00816588" w:rsidRDefault="00507742" w:rsidP="009239BE">
            <w:pPr>
              <w:pStyle w:val="TableText"/>
              <w:jc w:val="center"/>
            </w:pPr>
            <w:r>
              <w:t>41.8</w:t>
            </w:r>
          </w:p>
        </w:tc>
      </w:tr>
      <w:tr w:rsidR="00507742" w:rsidRPr="00816588" w14:paraId="48E53F6D" w14:textId="77777777" w:rsidTr="009239BE">
        <w:trPr>
          <w:cantSplit/>
        </w:trPr>
        <w:tc>
          <w:tcPr>
            <w:tcW w:w="2127" w:type="dxa"/>
          </w:tcPr>
          <w:p w14:paraId="685BA652" w14:textId="77777777" w:rsidR="00507742" w:rsidRPr="00816588" w:rsidRDefault="00507742" w:rsidP="009239BE">
            <w:pPr>
              <w:pStyle w:val="TableText"/>
            </w:pPr>
            <w:r>
              <w:t>Asian</w:t>
            </w:r>
          </w:p>
        </w:tc>
        <w:tc>
          <w:tcPr>
            <w:tcW w:w="2976" w:type="dxa"/>
          </w:tcPr>
          <w:p w14:paraId="1F0893CC" w14:textId="77777777" w:rsidR="00507742" w:rsidRPr="00816588" w:rsidRDefault="00507742" w:rsidP="009239BE">
            <w:pPr>
              <w:pStyle w:val="TableText"/>
              <w:jc w:val="center"/>
            </w:pPr>
            <w:r>
              <w:t>22.5</w:t>
            </w:r>
          </w:p>
        </w:tc>
        <w:tc>
          <w:tcPr>
            <w:tcW w:w="2977" w:type="dxa"/>
          </w:tcPr>
          <w:p w14:paraId="271AC430" w14:textId="77777777" w:rsidR="00507742" w:rsidRPr="00816588" w:rsidRDefault="00507742" w:rsidP="009239BE">
            <w:pPr>
              <w:pStyle w:val="TableText"/>
              <w:jc w:val="center"/>
            </w:pPr>
            <w:r>
              <w:t>19.9</w:t>
            </w:r>
          </w:p>
        </w:tc>
      </w:tr>
      <w:tr w:rsidR="00507742" w:rsidRPr="00816588" w14:paraId="21943767" w14:textId="77777777" w:rsidTr="009239BE">
        <w:trPr>
          <w:cantSplit/>
        </w:trPr>
        <w:tc>
          <w:tcPr>
            <w:tcW w:w="2127" w:type="dxa"/>
          </w:tcPr>
          <w:p w14:paraId="1DBF1835" w14:textId="77777777" w:rsidR="00507742" w:rsidRDefault="00507742" w:rsidP="009239BE">
            <w:pPr>
              <w:pStyle w:val="TableText"/>
            </w:pPr>
            <w:r>
              <w:t>MELAA</w:t>
            </w:r>
          </w:p>
        </w:tc>
        <w:tc>
          <w:tcPr>
            <w:tcW w:w="2976" w:type="dxa"/>
          </w:tcPr>
          <w:p w14:paraId="47107A67" w14:textId="77777777" w:rsidR="00507742" w:rsidRDefault="00507742" w:rsidP="009239BE">
            <w:pPr>
              <w:pStyle w:val="TableText"/>
              <w:jc w:val="center"/>
            </w:pPr>
            <w:r>
              <w:t>29.2</w:t>
            </w:r>
          </w:p>
        </w:tc>
        <w:tc>
          <w:tcPr>
            <w:tcW w:w="2977" w:type="dxa"/>
          </w:tcPr>
          <w:p w14:paraId="5E349064" w14:textId="77777777" w:rsidR="00507742" w:rsidRDefault="00507742" w:rsidP="009239BE">
            <w:pPr>
              <w:pStyle w:val="TableText"/>
              <w:jc w:val="center"/>
            </w:pPr>
            <w:r>
              <w:t>23.9</w:t>
            </w:r>
          </w:p>
        </w:tc>
      </w:tr>
      <w:tr w:rsidR="00507742" w:rsidRPr="00816588" w14:paraId="7D0443D2" w14:textId="77777777" w:rsidTr="009239BE">
        <w:trPr>
          <w:cantSplit/>
        </w:trPr>
        <w:tc>
          <w:tcPr>
            <w:tcW w:w="2127" w:type="dxa"/>
          </w:tcPr>
          <w:p w14:paraId="4E1E338C" w14:textId="77777777" w:rsidR="00507742" w:rsidRDefault="00507742" w:rsidP="009239BE">
            <w:pPr>
              <w:pStyle w:val="TableText"/>
            </w:pPr>
            <w:r>
              <w:t>European</w:t>
            </w:r>
          </w:p>
        </w:tc>
        <w:tc>
          <w:tcPr>
            <w:tcW w:w="2976" w:type="dxa"/>
          </w:tcPr>
          <w:p w14:paraId="77AC667C" w14:textId="77777777" w:rsidR="00507742" w:rsidRDefault="00507742" w:rsidP="009239BE">
            <w:pPr>
              <w:pStyle w:val="TableText"/>
              <w:jc w:val="center"/>
            </w:pPr>
            <w:r>
              <w:t>21.3</w:t>
            </w:r>
          </w:p>
        </w:tc>
        <w:tc>
          <w:tcPr>
            <w:tcW w:w="2977" w:type="dxa"/>
          </w:tcPr>
          <w:p w14:paraId="2BE4A114" w14:textId="77777777" w:rsidR="00507742" w:rsidRDefault="00507742" w:rsidP="009239BE">
            <w:pPr>
              <w:pStyle w:val="TableText"/>
              <w:jc w:val="center"/>
            </w:pPr>
            <w:r>
              <w:t>16.7</w:t>
            </w:r>
          </w:p>
        </w:tc>
      </w:tr>
      <w:tr w:rsidR="00507742" w:rsidRPr="00816588" w14:paraId="53A3057C" w14:textId="77777777" w:rsidTr="009239BE">
        <w:trPr>
          <w:cantSplit/>
        </w:trPr>
        <w:tc>
          <w:tcPr>
            <w:tcW w:w="2127" w:type="dxa"/>
          </w:tcPr>
          <w:p w14:paraId="27AABB0A" w14:textId="77777777" w:rsidR="00507742" w:rsidRDefault="00507742" w:rsidP="009239BE">
            <w:pPr>
              <w:pStyle w:val="TableText"/>
            </w:pPr>
            <w:r>
              <w:t>Other</w:t>
            </w:r>
          </w:p>
        </w:tc>
        <w:tc>
          <w:tcPr>
            <w:tcW w:w="2976" w:type="dxa"/>
          </w:tcPr>
          <w:p w14:paraId="5BD629E6" w14:textId="77777777" w:rsidR="00507742" w:rsidRDefault="00507742" w:rsidP="009239BE">
            <w:pPr>
              <w:pStyle w:val="TableText"/>
              <w:jc w:val="center"/>
            </w:pPr>
            <w:r>
              <w:t>24.4</w:t>
            </w:r>
          </w:p>
        </w:tc>
        <w:tc>
          <w:tcPr>
            <w:tcW w:w="2977" w:type="dxa"/>
          </w:tcPr>
          <w:p w14:paraId="42125065" w14:textId="77777777" w:rsidR="00507742" w:rsidRDefault="00507742" w:rsidP="009239BE">
            <w:pPr>
              <w:pStyle w:val="TableText"/>
              <w:jc w:val="center"/>
            </w:pPr>
            <w:r>
              <w:t>19.4</w:t>
            </w:r>
          </w:p>
        </w:tc>
      </w:tr>
    </w:tbl>
    <w:p w14:paraId="30165B3C" w14:textId="77777777" w:rsidR="009239BE" w:rsidRDefault="00507742" w:rsidP="009239BE">
      <w:pPr>
        <w:pStyle w:val="Note"/>
      </w:pPr>
      <w:r w:rsidRPr="00546B0E">
        <w:t>Note:</w:t>
      </w:r>
      <w:r>
        <w:t xml:space="preserve"> MELAA = Middle Eastern, Latin American and African.</w:t>
      </w:r>
    </w:p>
    <w:p w14:paraId="64B6E9EE" w14:textId="387F2107" w:rsidR="00507742" w:rsidRDefault="00507742" w:rsidP="009239BE">
      <w:pPr>
        <w:pStyle w:val="Source"/>
        <w:spacing w:before="0"/>
      </w:pPr>
      <w:r>
        <w:t>Source</w:t>
      </w:r>
      <w:r w:rsidRPr="00816588">
        <w:t xml:space="preserve">: </w:t>
      </w:r>
      <w:r>
        <w:t xml:space="preserve">Stats NZ </w:t>
      </w:r>
      <w:r w:rsidR="002D5CC3">
        <w:t>(</w:t>
      </w:r>
      <w:r>
        <w:t>2020j)</w:t>
      </w:r>
    </w:p>
    <w:p w14:paraId="58394732" w14:textId="77777777" w:rsidR="00507742" w:rsidRDefault="00507742" w:rsidP="009239BE"/>
    <w:p w14:paraId="286D2D0C" w14:textId="39C8432B" w:rsidR="00507742" w:rsidRDefault="00507742" w:rsidP="009239BE">
      <w:r>
        <w:t>Housing quality indicators are worse for disabled people. In the 2018 Census, 24</w:t>
      </w:r>
      <w:r w:rsidR="009E7C35">
        <w:t>.0</w:t>
      </w:r>
      <w:r w:rsidR="009239BE">
        <w:t> </w:t>
      </w:r>
      <w:r>
        <w:t>percent of disabled people lived in a house with mould compared with 18.5</w:t>
      </w:r>
      <w:r w:rsidR="009239BE">
        <w:t> </w:t>
      </w:r>
      <w:r>
        <w:t xml:space="preserve">percent of </w:t>
      </w:r>
      <w:r w:rsidRPr="004327C1">
        <w:t>non-disabled people (Stats NZ 2020</w:t>
      </w:r>
      <w:r>
        <w:t>g</w:t>
      </w:r>
      <w:r w:rsidRPr="004327C1">
        <w:t>). Disabled people were also more likely to be</w:t>
      </w:r>
      <w:r>
        <w:t xml:space="preserve"> living in a house that was sometimes or always damp (29.0 percent) than non-disabled people (22.8</w:t>
      </w:r>
      <w:r w:rsidR="009239BE">
        <w:t> </w:t>
      </w:r>
      <w:r>
        <w:t>percent).</w:t>
      </w:r>
    </w:p>
    <w:p w14:paraId="7F65DDB4" w14:textId="77777777" w:rsidR="00E143AA" w:rsidRDefault="00E143AA" w:rsidP="009239BE"/>
    <w:p w14:paraId="01F73303" w14:textId="77777777" w:rsidR="00507742" w:rsidRDefault="00507742" w:rsidP="009F4773">
      <w:r>
        <w:t>The 2018 Census also asked people about the availability of seven basic amenities in their home: cooking facilities, tap water that was safe to drink, a kitchen sink, a refrigerator, a toilet, a bath or shower, and electricity. While most private households (93</w:t>
      </w:r>
      <w:r w:rsidR="009239BE">
        <w:t> </w:t>
      </w:r>
      <w:r>
        <w:t xml:space="preserve">percent) had access to all these basic amenities, nearly 6,000 homes had none of the basic amenities. Disabled people were more likely to live in a home with fewer than six of the seven basic amenities (2.9 percent), </w:t>
      </w:r>
      <w:r w:rsidRPr="004327C1">
        <w:t xml:space="preserve">compared with 1.5 percent </w:t>
      </w:r>
      <w:r>
        <w:t>of</w:t>
      </w:r>
      <w:r w:rsidRPr="004327C1">
        <w:t xml:space="preserve"> non</w:t>
      </w:r>
      <w:r w:rsidR="009239BE">
        <w:noBreakHyphen/>
      </w:r>
      <w:r w:rsidRPr="004327C1">
        <w:t>disabled people (Stats NZ 2020</w:t>
      </w:r>
      <w:r>
        <w:t>g</w:t>
      </w:r>
      <w:r w:rsidRPr="004327C1">
        <w:t>).</w:t>
      </w:r>
    </w:p>
    <w:p w14:paraId="036CADDF" w14:textId="77777777" w:rsidR="00507742" w:rsidRDefault="00507742" w:rsidP="009239BE">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4F959F47" w14:textId="77777777" w:rsidTr="00572CF6">
        <w:trPr>
          <w:cantSplit/>
        </w:trPr>
        <w:tc>
          <w:tcPr>
            <w:tcW w:w="7973" w:type="dxa"/>
          </w:tcPr>
          <w:p w14:paraId="7B56E4D4" w14:textId="77777777" w:rsidR="00507742" w:rsidRPr="00933A6B" w:rsidRDefault="00507742" w:rsidP="005533E2">
            <w:pPr>
              <w:pStyle w:val="TableText"/>
              <w:ind w:right="-57"/>
              <w:rPr>
                <w:color w:val="0A6AB4"/>
                <w:sz w:val="24"/>
                <w:szCs w:val="24"/>
              </w:rPr>
            </w:pPr>
            <w:r>
              <w:rPr>
                <w:color w:val="0A6AB4"/>
                <w:sz w:val="24"/>
                <w:szCs w:val="24"/>
              </w:rPr>
              <w:t>Just over one in ten New Zealanders lives in a crowded house, and Pacific peoples are four times more likely to live in a crowded house</w:t>
            </w:r>
          </w:p>
        </w:tc>
      </w:tr>
    </w:tbl>
    <w:p w14:paraId="3A0C44AE" w14:textId="77777777" w:rsidR="00507742" w:rsidRDefault="00507742" w:rsidP="009239BE"/>
    <w:p w14:paraId="03B3918B" w14:textId="77777777" w:rsidR="00507742" w:rsidRDefault="00507742" w:rsidP="009239BE">
      <w:r>
        <w:t xml:space="preserve">The term </w:t>
      </w:r>
      <w:r w:rsidR="002542AA">
        <w:t>‘</w:t>
      </w:r>
      <w:r>
        <w:t>household crowding</w:t>
      </w:r>
      <w:r w:rsidR="002542AA">
        <w:t>’</w:t>
      </w:r>
      <w:r>
        <w:t xml:space="preserve"> generally means that a household has fewer bedrooms, or less space, than will adequately or appropriately house the number of people living there. Measures of household crowding are important in the health context because crowding increases health risks, particularly risks of infectious diseases such as respiratory infections, gastroenteritis, meningococcal disease and acute rheumatic fever. Perceptions and measures of crowding can be cultural or subjective, but the health effects of crowding are not. Living in crowded conditions can make life difficult for families regardless of ethnicity or culture. Household crowding occurs because of housing availability and affordability pressures as well as cultural expectations.</w:t>
      </w:r>
    </w:p>
    <w:p w14:paraId="1AE33C2B" w14:textId="77777777" w:rsidR="00507742" w:rsidRDefault="00507742" w:rsidP="009239BE"/>
    <w:p w14:paraId="1A87F9B7" w14:textId="1FFE449E" w:rsidR="00507742" w:rsidRDefault="00507742" w:rsidP="00CF6605">
      <w:pPr>
        <w:keepNext/>
      </w:pPr>
      <w:r>
        <w:t xml:space="preserve">The 2018 Census results showed that 10.8 percent of people lived in a crowded house </w:t>
      </w:r>
      <w:r w:rsidRPr="004327C1">
        <w:t>(Stats NZ 2020</w:t>
      </w:r>
      <w:r>
        <w:t>k</w:t>
      </w:r>
      <w:r w:rsidRPr="004327C1">
        <w:t>). Pacific peoples had the highest rate of crowding, with almost four in</w:t>
      </w:r>
      <w:r>
        <w:t xml:space="preserve"> ten (38.5 percent) living in a crowded house. Among Pacific peoples, crowding was most common in those aged 15</w:t>
      </w:r>
      <w:r w:rsidRPr="00A54EC4">
        <w:t>–</w:t>
      </w:r>
      <w:r>
        <w:t>24 years (46 percent). Over a quarter (27 percent) of Pacific adults aged 70 years or older lived in a crowded house, compared with 2.7</w:t>
      </w:r>
      <w:r w:rsidR="009239BE">
        <w:t> </w:t>
      </w:r>
      <w:r>
        <w:t>percent of people aged 70 years or older in the total population.</w:t>
      </w:r>
    </w:p>
    <w:p w14:paraId="789B1C37" w14:textId="77777777" w:rsidR="00F14C69" w:rsidRDefault="00F14C69" w:rsidP="00CF6605">
      <w:pPr>
        <w:keepNext/>
      </w:pPr>
    </w:p>
    <w:p w14:paraId="6D83AEE1" w14:textId="77777777" w:rsidR="009239BE" w:rsidRDefault="009239BE" w:rsidP="00CF6605">
      <w:pPr>
        <w:keepNext/>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7D31F29D" w14:textId="77777777" w:rsidTr="00F14C69">
        <w:trPr>
          <w:cantSplit/>
        </w:trPr>
        <w:tc>
          <w:tcPr>
            <w:tcW w:w="7973" w:type="dxa"/>
          </w:tcPr>
          <w:p w14:paraId="6E138067" w14:textId="77777777" w:rsidR="00507742" w:rsidRPr="00933A6B" w:rsidRDefault="00507742" w:rsidP="009239BE">
            <w:pPr>
              <w:pStyle w:val="TableText"/>
              <w:ind w:right="-57"/>
              <w:rPr>
                <w:color w:val="0A6AB4"/>
                <w:sz w:val="24"/>
                <w:szCs w:val="24"/>
              </w:rPr>
            </w:pPr>
            <w:r w:rsidRPr="00654412">
              <w:rPr>
                <w:color w:val="0A6AB4"/>
                <w:sz w:val="24"/>
                <w:szCs w:val="24"/>
              </w:rPr>
              <w:t>The vast majority of New Zealanders hav</w:t>
            </w:r>
            <w:r>
              <w:rPr>
                <w:color w:val="0A6AB4"/>
                <w:sz w:val="24"/>
                <w:szCs w:val="24"/>
              </w:rPr>
              <w:t>e good access to safe drinking</w:t>
            </w:r>
            <w:r w:rsidR="009239BE">
              <w:rPr>
                <w:color w:val="0A6AB4"/>
                <w:sz w:val="24"/>
                <w:szCs w:val="24"/>
              </w:rPr>
              <w:noBreakHyphen/>
            </w:r>
            <w:r w:rsidRPr="00654412">
              <w:rPr>
                <w:color w:val="0A6AB4"/>
                <w:sz w:val="24"/>
                <w:szCs w:val="24"/>
              </w:rPr>
              <w:t>water</w:t>
            </w:r>
          </w:p>
        </w:tc>
      </w:tr>
    </w:tbl>
    <w:p w14:paraId="00357357" w14:textId="77777777" w:rsidR="00507742" w:rsidRPr="007D038A" w:rsidRDefault="00507742" w:rsidP="009239BE"/>
    <w:p w14:paraId="1D967F4A" w14:textId="77777777" w:rsidR="002542AA" w:rsidRDefault="00507742" w:rsidP="009239BE">
      <w:r w:rsidRPr="007D038A">
        <w:lastRenderedPageBreak/>
        <w:t>In New Zealand, all suppliers providing drinking-water to over 100 people must be registered</w:t>
      </w:r>
      <w:r>
        <w:t>. They must</w:t>
      </w:r>
      <w:r w:rsidRPr="007D038A">
        <w:t xml:space="preserve"> meet appropriate requirements to ensure the water is safe to consume and provided reliably.</w:t>
      </w:r>
    </w:p>
    <w:p w14:paraId="319DF395" w14:textId="77777777" w:rsidR="00507742" w:rsidRDefault="00507742" w:rsidP="009239BE"/>
    <w:p w14:paraId="139657C0" w14:textId="77777777" w:rsidR="00507742" w:rsidRDefault="00507742" w:rsidP="009239BE">
      <w:r>
        <w:t>In 2018/19 New Zealand had 490 registered networked drinking-water suppliers that serviced populations of more than 100 people, which represents 4,077,000 people. During this period, 9</w:t>
      </w:r>
      <w:r w:rsidRPr="00EC7FF0">
        <w:t xml:space="preserve">7.1 percent of </w:t>
      </w:r>
      <w:r>
        <w:t>these people</w:t>
      </w:r>
      <w:r w:rsidRPr="00EC7FF0">
        <w:t xml:space="preserve"> received </w:t>
      </w:r>
      <w:r>
        <w:t xml:space="preserve">drinking water that </w:t>
      </w:r>
      <w:r w:rsidRPr="007D038A">
        <w:t xml:space="preserve">met all the legislative requirements (Ministry of Health </w:t>
      </w:r>
      <w:r>
        <w:t>2020h</w:t>
      </w:r>
      <w:r w:rsidRPr="007D038A">
        <w:t>).</w:t>
      </w:r>
    </w:p>
    <w:p w14:paraId="09B11235" w14:textId="77777777" w:rsidR="009239BE" w:rsidRPr="007D038A" w:rsidRDefault="009239BE" w:rsidP="009239BE"/>
    <w:p w14:paraId="69142A3B" w14:textId="77777777" w:rsidR="00507742" w:rsidRPr="007D038A" w:rsidRDefault="00507742" w:rsidP="009239BE">
      <w:pPr>
        <w:pStyle w:val="Heading2"/>
      </w:pPr>
      <w:bookmarkStart w:id="168" w:name="_TOC_250023"/>
      <w:bookmarkStart w:id="169" w:name="_TOC_250022"/>
      <w:bookmarkStart w:id="170" w:name="_Toc57295686"/>
      <w:bookmarkStart w:id="171" w:name="_Toc64536254"/>
      <w:bookmarkEnd w:id="168"/>
      <w:bookmarkEnd w:id="169"/>
      <w:r w:rsidRPr="007D038A">
        <w:t xml:space="preserve">Health behaviours </w:t>
      </w:r>
      <w:r>
        <w:t>and risk factors</w:t>
      </w:r>
      <w:bookmarkEnd w:id="170"/>
      <w:bookmarkEnd w:id="171"/>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F14C69" w14:paraId="2B5E4ED2" w14:textId="77777777" w:rsidTr="00C8242F">
        <w:trPr>
          <w:cantSplit/>
          <w:trHeight w:val="236"/>
        </w:trPr>
        <w:tc>
          <w:tcPr>
            <w:tcW w:w="7973" w:type="dxa"/>
          </w:tcPr>
          <w:p w14:paraId="490DA421" w14:textId="77777777" w:rsidR="00F14C69" w:rsidRPr="00933A6B" w:rsidRDefault="00F14C69" w:rsidP="00C8242F">
            <w:pPr>
              <w:pStyle w:val="TableText"/>
              <w:ind w:right="-57"/>
              <w:rPr>
                <w:color w:val="0A6AB4"/>
                <w:sz w:val="24"/>
                <w:szCs w:val="24"/>
              </w:rPr>
            </w:pPr>
            <w:r>
              <w:rPr>
                <w:color w:val="0A6AB4"/>
                <w:sz w:val="24"/>
                <w:szCs w:val="24"/>
              </w:rPr>
              <w:t>Potentially modifiable risk factors account for more than one-third of all health loss</w:t>
            </w:r>
          </w:p>
        </w:tc>
      </w:tr>
    </w:tbl>
    <w:p w14:paraId="5C02970B" w14:textId="77777777" w:rsidR="00F14C69" w:rsidRPr="0053665C" w:rsidRDefault="00F14C69" w:rsidP="00F14C69"/>
    <w:p w14:paraId="45A5155D" w14:textId="64CFDE03" w:rsidR="002542AA" w:rsidRDefault="00507742" w:rsidP="009239BE">
      <w:r w:rsidRPr="007D038A">
        <w:t xml:space="preserve">The Global Burden of Disease Study estimates that </w:t>
      </w:r>
      <w:r>
        <w:t>39</w:t>
      </w:r>
      <w:r w:rsidRPr="007D038A">
        <w:t xml:space="preserve"> percent of New Zealanders</w:t>
      </w:r>
      <w:r w:rsidR="002542AA">
        <w:t>’</w:t>
      </w:r>
      <w:r w:rsidRPr="007D038A">
        <w:t xml:space="preserve"> health loss is </w:t>
      </w:r>
      <w:r>
        <w:t>due</w:t>
      </w:r>
      <w:r w:rsidRPr="007D038A">
        <w:t xml:space="preserve"> to risk factors</w:t>
      </w:r>
      <w:r>
        <w:t xml:space="preserve"> that can be modified</w:t>
      </w:r>
      <w:r w:rsidR="00FF4687">
        <w:t xml:space="preserve"> (Global Burden of Disease Collaborative Network 2020)</w:t>
      </w:r>
      <w:r w:rsidRPr="007D038A">
        <w:t xml:space="preserve">. </w:t>
      </w:r>
      <w:r>
        <w:t>L</w:t>
      </w:r>
      <w:r w:rsidRPr="007D038A">
        <w:t xml:space="preserve">eading </w:t>
      </w:r>
      <w:r>
        <w:t xml:space="preserve">behavioural </w:t>
      </w:r>
      <w:r w:rsidRPr="007D038A">
        <w:t xml:space="preserve">risk factors include </w:t>
      </w:r>
      <w:r>
        <w:t>smoking</w:t>
      </w:r>
      <w:r w:rsidRPr="007D038A">
        <w:t xml:space="preserve">, unhealthy diet, </w:t>
      </w:r>
      <w:r>
        <w:t>high body mass index</w:t>
      </w:r>
      <w:r w:rsidRPr="007D038A">
        <w:t xml:space="preserve"> and alcohol consumption.</w:t>
      </w:r>
      <w:r>
        <w:t xml:space="preserve"> Although these risk factors are defined as behavioural, individuals vary in their level of control over some of them. For example, the food available to us and our level of income and education influence our food choices.</w:t>
      </w:r>
    </w:p>
    <w:p w14:paraId="15850883" w14:textId="77777777" w:rsidR="00F14C69" w:rsidRDefault="00F14C69" w:rsidP="009239BE"/>
    <w:p w14:paraId="470D7F3D" w14:textId="1601D4F0" w:rsidR="002542AA" w:rsidRDefault="00507742" w:rsidP="009239BE">
      <w:r>
        <w:t>The amount that some leading risk factors contribute to health loss has declined over time</w:t>
      </w:r>
      <w:r w:rsidR="00CE7557">
        <w:t xml:space="preserve"> (eg, smoking, high systolic blood pressure, dietary risks)</w:t>
      </w:r>
      <w:r>
        <w:t xml:space="preserve">, but these improvements have slowed over the last decade. Also, some risk factors (eg, high body mass index, high </w:t>
      </w:r>
      <w:r w:rsidR="00CE7557">
        <w:t xml:space="preserve">fasting plasma </w:t>
      </w:r>
      <w:r>
        <w:t>glucose, low physical activity) are making an increasingly larger contribution to health loss (</w:t>
      </w:r>
      <w:r w:rsidR="009239BE">
        <w:fldChar w:fldCharType="begin"/>
      </w:r>
      <w:r w:rsidR="009239BE">
        <w:instrText xml:space="preserve"> REF _Ref57376342 \h </w:instrText>
      </w:r>
      <w:r w:rsidR="009239BE">
        <w:fldChar w:fldCharType="separate"/>
      </w:r>
      <w:r w:rsidR="003F39AB">
        <w:t>Table </w:t>
      </w:r>
      <w:r w:rsidR="003F39AB">
        <w:rPr>
          <w:noProof/>
        </w:rPr>
        <w:t>11</w:t>
      </w:r>
      <w:r w:rsidR="009239BE">
        <w:fldChar w:fldCharType="end"/>
      </w:r>
      <w:r>
        <w:t>).</w:t>
      </w:r>
    </w:p>
    <w:p w14:paraId="6BD7305B" w14:textId="77777777" w:rsidR="00507742" w:rsidRDefault="00507742" w:rsidP="009239BE"/>
    <w:p w14:paraId="39671429" w14:textId="2BA3381E" w:rsidR="00507742" w:rsidRPr="00816588" w:rsidRDefault="009239BE" w:rsidP="009239BE">
      <w:pPr>
        <w:pStyle w:val="Table"/>
      </w:pPr>
      <w:bookmarkStart w:id="172" w:name="_Ref57376342"/>
      <w:bookmarkStart w:id="173" w:name="_Toc57273375"/>
      <w:bookmarkStart w:id="174" w:name="_Toc64536293"/>
      <w:r>
        <w:t>Table </w:t>
      </w:r>
      <w:fldSimple w:instr=" SEQ Table \* ARABIC ">
        <w:r w:rsidR="003F39AB">
          <w:rPr>
            <w:noProof/>
          </w:rPr>
          <w:t>11</w:t>
        </w:r>
      </w:fldSimple>
      <w:bookmarkEnd w:id="172"/>
      <w:r w:rsidR="00507742" w:rsidRPr="00816588">
        <w:t xml:space="preserve">: </w:t>
      </w:r>
      <w:r w:rsidR="00507742">
        <w:t>Percentage of health loss (DALYs) due to leading risk factors, 1990 to 2019</w:t>
      </w:r>
      <w:bookmarkEnd w:id="173"/>
      <w:bookmarkEnd w:id="174"/>
    </w:p>
    <w:tbl>
      <w:tblPr>
        <w:tblW w:w="8081"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2977"/>
        <w:gridCol w:w="1276"/>
        <w:gridCol w:w="1276"/>
        <w:gridCol w:w="1276"/>
        <w:gridCol w:w="1276"/>
      </w:tblGrid>
      <w:tr w:rsidR="00507742" w:rsidRPr="00816588" w14:paraId="79B89E8C" w14:textId="77777777" w:rsidTr="009239BE">
        <w:trPr>
          <w:cantSplit/>
        </w:trPr>
        <w:tc>
          <w:tcPr>
            <w:tcW w:w="2977" w:type="dxa"/>
            <w:tcBorders>
              <w:top w:val="nil"/>
              <w:bottom w:val="nil"/>
            </w:tcBorders>
            <w:shd w:val="clear" w:color="auto" w:fill="D9D9D9" w:themeFill="background1" w:themeFillShade="D9"/>
          </w:tcPr>
          <w:p w14:paraId="427D4189" w14:textId="77777777" w:rsidR="00507742" w:rsidRPr="00816588" w:rsidRDefault="00507742" w:rsidP="009F4773">
            <w:pPr>
              <w:pStyle w:val="TableText"/>
              <w:keepNext/>
              <w:rPr>
                <w:b/>
              </w:rPr>
            </w:pPr>
            <w:r>
              <w:rPr>
                <w:b/>
              </w:rPr>
              <w:t>Risk factor</w:t>
            </w:r>
          </w:p>
        </w:tc>
        <w:tc>
          <w:tcPr>
            <w:tcW w:w="1276" w:type="dxa"/>
            <w:tcBorders>
              <w:top w:val="nil"/>
              <w:bottom w:val="nil"/>
            </w:tcBorders>
            <w:shd w:val="clear" w:color="auto" w:fill="D9D9D9" w:themeFill="background1" w:themeFillShade="D9"/>
          </w:tcPr>
          <w:p w14:paraId="5A47FA09" w14:textId="77777777" w:rsidR="00507742" w:rsidRPr="00816588" w:rsidRDefault="00507742" w:rsidP="009F4773">
            <w:pPr>
              <w:pStyle w:val="TableText"/>
              <w:keepNext/>
              <w:jc w:val="center"/>
              <w:rPr>
                <w:b/>
              </w:rPr>
            </w:pPr>
            <w:r>
              <w:rPr>
                <w:b/>
              </w:rPr>
              <w:t>1990</w:t>
            </w:r>
          </w:p>
        </w:tc>
        <w:tc>
          <w:tcPr>
            <w:tcW w:w="1276" w:type="dxa"/>
            <w:tcBorders>
              <w:top w:val="nil"/>
              <w:bottom w:val="nil"/>
            </w:tcBorders>
            <w:shd w:val="clear" w:color="auto" w:fill="D9D9D9" w:themeFill="background1" w:themeFillShade="D9"/>
          </w:tcPr>
          <w:p w14:paraId="1650203C" w14:textId="77777777" w:rsidR="00507742" w:rsidRDefault="00507742" w:rsidP="009F4773">
            <w:pPr>
              <w:pStyle w:val="TableText"/>
              <w:keepNext/>
              <w:jc w:val="center"/>
              <w:rPr>
                <w:b/>
              </w:rPr>
            </w:pPr>
            <w:r>
              <w:rPr>
                <w:b/>
              </w:rPr>
              <w:t>2000</w:t>
            </w:r>
          </w:p>
        </w:tc>
        <w:tc>
          <w:tcPr>
            <w:tcW w:w="1276" w:type="dxa"/>
            <w:tcBorders>
              <w:top w:val="nil"/>
              <w:bottom w:val="nil"/>
            </w:tcBorders>
            <w:shd w:val="clear" w:color="auto" w:fill="D9D9D9" w:themeFill="background1" w:themeFillShade="D9"/>
          </w:tcPr>
          <w:p w14:paraId="1AF16608" w14:textId="77777777" w:rsidR="00507742" w:rsidRPr="00816588" w:rsidRDefault="00507742" w:rsidP="009F4773">
            <w:pPr>
              <w:pStyle w:val="TableText"/>
              <w:keepNext/>
              <w:jc w:val="center"/>
              <w:rPr>
                <w:b/>
              </w:rPr>
            </w:pPr>
            <w:r>
              <w:rPr>
                <w:b/>
              </w:rPr>
              <w:t>2010</w:t>
            </w:r>
          </w:p>
        </w:tc>
        <w:tc>
          <w:tcPr>
            <w:tcW w:w="1276" w:type="dxa"/>
            <w:tcBorders>
              <w:top w:val="nil"/>
              <w:bottom w:val="nil"/>
            </w:tcBorders>
            <w:shd w:val="clear" w:color="auto" w:fill="D9D9D9" w:themeFill="background1" w:themeFillShade="D9"/>
          </w:tcPr>
          <w:p w14:paraId="39E3F847" w14:textId="77777777" w:rsidR="00507742" w:rsidRDefault="00507742" w:rsidP="009F4773">
            <w:pPr>
              <w:pStyle w:val="TableText"/>
              <w:keepNext/>
              <w:jc w:val="center"/>
              <w:rPr>
                <w:b/>
              </w:rPr>
            </w:pPr>
            <w:r>
              <w:rPr>
                <w:b/>
              </w:rPr>
              <w:t>2019</w:t>
            </w:r>
          </w:p>
        </w:tc>
      </w:tr>
      <w:tr w:rsidR="00507742" w:rsidRPr="00816588" w14:paraId="1ADD6EF8" w14:textId="77777777" w:rsidTr="009239BE">
        <w:trPr>
          <w:cantSplit/>
        </w:trPr>
        <w:tc>
          <w:tcPr>
            <w:tcW w:w="2977" w:type="dxa"/>
            <w:tcBorders>
              <w:top w:val="nil"/>
            </w:tcBorders>
          </w:tcPr>
          <w:p w14:paraId="3AA74A22" w14:textId="77777777" w:rsidR="00507742" w:rsidRPr="00816588" w:rsidRDefault="00507742" w:rsidP="009F4773">
            <w:pPr>
              <w:pStyle w:val="TableText"/>
              <w:keepNext/>
            </w:pPr>
            <w:r>
              <w:t>Smoking</w:t>
            </w:r>
          </w:p>
        </w:tc>
        <w:tc>
          <w:tcPr>
            <w:tcW w:w="1276" w:type="dxa"/>
            <w:tcBorders>
              <w:top w:val="nil"/>
            </w:tcBorders>
          </w:tcPr>
          <w:p w14:paraId="3ED3DC22" w14:textId="77777777" w:rsidR="00507742" w:rsidRPr="00816588" w:rsidRDefault="00507742" w:rsidP="009F4773">
            <w:pPr>
              <w:pStyle w:val="TableText"/>
              <w:keepNext/>
              <w:tabs>
                <w:tab w:val="decimal" w:pos="605"/>
              </w:tabs>
            </w:pPr>
            <w:r>
              <w:t>14.9</w:t>
            </w:r>
          </w:p>
        </w:tc>
        <w:tc>
          <w:tcPr>
            <w:tcW w:w="1276" w:type="dxa"/>
            <w:tcBorders>
              <w:top w:val="nil"/>
            </w:tcBorders>
          </w:tcPr>
          <w:p w14:paraId="60B0DFC3" w14:textId="77777777" w:rsidR="00507742" w:rsidRDefault="00507742" w:rsidP="009F4773">
            <w:pPr>
              <w:pStyle w:val="TableText"/>
              <w:keepNext/>
              <w:tabs>
                <w:tab w:val="decimal" w:pos="605"/>
              </w:tabs>
            </w:pPr>
            <w:r>
              <w:t>12.3</w:t>
            </w:r>
          </w:p>
        </w:tc>
        <w:tc>
          <w:tcPr>
            <w:tcW w:w="1276" w:type="dxa"/>
            <w:tcBorders>
              <w:top w:val="nil"/>
            </w:tcBorders>
          </w:tcPr>
          <w:p w14:paraId="7C852CC1" w14:textId="77777777" w:rsidR="00507742" w:rsidRPr="00816588" w:rsidRDefault="00507742" w:rsidP="009F4773">
            <w:pPr>
              <w:pStyle w:val="TableText"/>
              <w:keepNext/>
              <w:tabs>
                <w:tab w:val="decimal" w:pos="605"/>
              </w:tabs>
            </w:pPr>
            <w:r>
              <w:t>10.4</w:t>
            </w:r>
          </w:p>
        </w:tc>
        <w:tc>
          <w:tcPr>
            <w:tcW w:w="1276" w:type="dxa"/>
            <w:tcBorders>
              <w:top w:val="nil"/>
            </w:tcBorders>
          </w:tcPr>
          <w:p w14:paraId="1C12DE0E" w14:textId="77777777" w:rsidR="00507742" w:rsidRPr="000860F2" w:rsidRDefault="00507742" w:rsidP="009F4773">
            <w:pPr>
              <w:pStyle w:val="TableText"/>
              <w:keepNext/>
              <w:jc w:val="center"/>
            </w:pPr>
            <w:r>
              <w:t>9.6</w:t>
            </w:r>
          </w:p>
        </w:tc>
      </w:tr>
      <w:tr w:rsidR="00507742" w:rsidRPr="00816588" w14:paraId="697710C3" w14:textId="77777777" w:rsidTr="009239BE">
        <w:trPr>
          <w:cantSplit/>
        </w:trPr>
        <w:tc>
          <w:tcPr>
            <w:tcW w:w="2977" w:type="dxa"/>
          </w:tcPr>
          <w:p w14:paraId="3BF6D631" w14:textId="77777777" w:rsidR="00507742" w:rsidRDefault="00507742" w:rsidP="009F4773">
            <w:pPr>
              <w:pStyle w:val="TableText"/>
              <w:keepNext/>
            </w:pPr>
            <w:r>
              <w:t>High body mass index</w:t>
            </w:r>
          </w:p>
        </w:tc>
        <w:tc>
          <w:tcPr>
            <w:tcW w:w="1276" w:type="dxa"/>
          </w:tcPr>
          <w:p w14:paraId="0783F530" w14:textId="77777777" w:rsidR="00507742" w:rsidRPr="00816588" w:rsidRDefault="00507742" w:rsidP="009F4773">
            <w:pPr>
              <w:pStyle w:val="TableText"/>
              <w:keepNext/>
              <w:tabs>
                <w:tab w:val="decimal" w:pos="605"/>
              </w:tabs>
            </w:pPr>
            <w:r>
              <w:t>6.9</w:t>
            </w:r>
          </w:p>
        </w:tc>
        <w:tc>
          <w:tcPr>
            <w:tcW w:w="1276" w:type="dxa"/>
          </w:tcPr>
          <w:p w14:paraId="6C61EEAD" w14:textId="77777777" w:rsidR="00507742" w:rsidRPr="00816588" w:rsidRDefault="00507742" w:rsidP="009F4773">
            <w:pPr>
              <w:pStyle w:val="TableText"/>
              <w:keepNext/>
              <w:tabs>
                <w:tab w:val="decimal" w:pos="605"/>
              </w:tabs>
            </w:pPr>
            <w:r>
              <w:t>7.3</w:t>
            </w:r>
          </w:p>
        </w:tc>
        <w:tc>
          <w:tcPr>
            <w:tcW w:w="1276" w:type="dxa"/>
          </w:tcPr>
          <w:p w14:paraId="040E648D" w14:textId="77777777" w:rsidR="00507742" w:rsidRPr="00816588" w:rsidRDefault="00507742" w:rsidP="009F4773">
            <w:pPr>
              <w:pStyle w:val="TableText"/>
              <w:keepNext/>
              <w:tabs>
                <w:tab w:val="decimal" w:pos="605"/>
              </w:tabs>
            </w:pPr>
            <w:r>
              <w:t>7.3</w:t>
            </w:r>
          </w:p>
        </w:tc>
        <w:tc>
          <w:tcPr>
            <w:tcW w:w="1276" w:type="dxa"/>
          </w:tcPr>
          <w:p w14:paraId="373438E2" w14:textId="77777777" w:rsidR="00507742" w:rsidRPr="00816588" w:rsidRDefault="00507742" w:rsidP="009F4773">
            <w:pPr>
              <w:pStyle w:val="TableText"/>
              <w:keepNext/>
              <w:jc w:val="center"/>
            </w:pPr>
            <w:r>
              <w:t>8.2</w:t>
            </w:r>
          </w:p>
        </w:tc>
      </w:tr>
      <w:tr w:rsidR="00507742" w:rsidRPr="00816588" w14:paraId="5386684C" w14:textId="77777777" w:rsidTr="009239BE">
        <w:trPr>
          <w:cantSplit/>
        </w:trPr>
        <w:tc>
          <w:tcPr>
            <w:tcW w:w="2977" w:type="dxa"/>
          </w:tcPr>
          <w:p w14:paraId="17CB00CE" w14:textId="77777777" w:rsidR="00507742" w:rsidRPr="00816588" w:rsidRDefault="00507742" w:rsidP="009F4773">
            <w:pPr>
              <w:pStyle w:val="TableText"/>
              <w:keepNext/>
            </w:pPr>
            <w:r>
              <w:t>High systolic blood pressure</w:t>
            </w:r>
          </w:p>
        </w:tc>
        <w:tc>
          <w:tcPr>
            <w:tcW w:w="1276" w:type="dxa"/>
          </w:tcPr>
          <w:p w14:paraId="61EA8AE4" w14:textId="77777777" w:rsidR="00507742" w:rsidRPr="00816588" w:rsidRDefault="00507742" w:rsidP="009F4773">
            <w:pPr>
              <w:pStyle w:val="TableText"/>
              <w:keepNext/>
              <w:tabs>
                <w:tab w:val="decimal" w:pos="605"/>
              </w:tabs>
            </w:pPr>
            <w:r>
              <w:t>12.3</w:t>
            </w:r>
          </w:p>
        </w:tc>
        <w:tc>
          <w:tcPr>
            <w:tcW w:w="1276" w:type="dxa"/>
          </w:tcPr>
          <w:p w14:paraId="7DDF4589" w14:textId="77777777" w:rsidR="00507742" w:rsidRPr="00816588" w:rsidRDefault="00507742" w:rsidP="009F4773">
            <w:pPr>
              <w:pStyle w:val="TableText"/>
              <w:keepNext/>
              <w:tabs>
                <w:tab w:val="decimal" w:pos="605"/>
              </w:tabs>
            </w:pPr>
            <w:r>
              <w:t>9.9</w:t>
            </w:r>
          </w:p>
        </w:tc>
        <w:tc>
          <w:tcPr>
            <w:tcW w:w="1276" w:type="dxa"/>
          </w:tcPr>
          <w:p w14:paraId="797B8A82" w14:textId="77777777" w:rsidR="00507742" w:rsidRPr="00816588" w:rsidRDefault="00507742" w:rsidP="009F4773">
            <w:pPr>
              <w:pStyle w:val="TableText"/>
              <w:keepNext/>
              <w:tabs>
                <w:tab w:val="decimal" w:pos="605"/>
              </w:tabs>
            </w:pPr>
            <w:r>
              <w:t>7.9</w:t>
            </w:r>
          </w:p>
        </w:tc>
        <w:tc>
          <w:tcPr>
            <w:tcW w:w="1276" w:type="dxa"/>
          </w:tcPr>
          <w:p w14:paraId="137D933E" w14:textId="77777777" w:rsidR="00507742" w:rsidRPr="00816588" w:rsidRDefault="00507742" w:rsidP="009F4773">
            <w:pPr>
              <w:pStyle w:val="TableText"/>
              <w:keepNext/>
              <w:jc w:val="center"/>
            </w:pPr>
            <w:r>
              <w:t>7.8</w:t>
            </w:r>
          </w:p>
        </w:tc>
      </w:tr>
      <w:tr w:rsidR="00507742" w:rsidRPr="00816588" w14:paraId="2693EC0B" w14:textId="77777777" w:rsidTr="009239BE">
        <w:trPr>
          <w:cantSplit/>
        </w:trPr>
        <w:tc>
          <w:tcPr>
            <w:tcW w:w="2977" w:type="dxa"/>
          </w:tcPr>
          <w:p w14:paraId="665BFCFB" w14:textId="77777777" w:rsidR="00507742" w:rsidRDefault="00507742" w:rsidP="009F4773">
            <w:pPr>
              <w:pStyle w:val="TableText"/>
              <w:keepNext/>
            </w:pPr>
            <w:r>
              <w:t>Dietary risks</w:t>
            </w:r>
          </w:p>
        </w:tc>
        <w:tc>
          <w:tcPr>
            <w:tcW w:w="1276" w:type="dxa"/>
          </w:tcPr>
          <w:p w14:paraId="72050D0F" w14:textId="77777777" w:rsidR="00507742" w:rsidRDefault="00507742" w:rsidP="009F4773">
            <w:pPr>
              <w:pStyle w:val="TableText"/>
              <w:keepNext/>
              <w:tabs>
                <w:tab w:val="decimal" w:pos="605"/>
              </w:tabs>
            </w:pPr>
            <w:r>
              <w:t>10.2</w:t>
            </w:r>
          </w:p>
        </w:tc>
        <w:tc>
          <w:tcPr>
            <w:tcW w:w="1276" w:type="dxa"/>
          </w:tcPr>
          <w:p w14:paraId="46D2FD86" w14:textId="77777777" w:rsidR="00507742" w:rsidRDefault="00507742" w:rsidP="009F4773">
            <w:pPr>
              <w:pStyle w:val="TableText"/>
              <w:keepNext/>
              <w:tabs>
                <w:tab w:val="decimal" w:pos="605"/>
              </w:tabs>
            </w:pPr>
            <w:r>
              <w:t>8.9</w:t>
            </w:r>
          </w:p>
        </w:tc>
        <w:tc>
          <w:tcPr>
            <w:tcW w:w="1276" w:type="dxa"/>
          </w:tcPr>
          <w:p w14:paraId="2754C7EF" w14:textId="77777777" w:rsidR="00507742" w:rsidRDefault="00507742" w:rsidP="009F4773">
            <w:pPr>
              <w:pStyle w:val="TableText"/>
              <w:keepNext/>
              <w:tabs>
                <w:tab w:val="decimal" w:pos="605"/>
              </w:tabs>
            </w:pPr>
            <w:r>
              <w:t>7.4</w:t>
            </w:r>
          </w:p>
        </w:tc>
        <w:tc>
          <w:tcPr>
            <w:tcW w:w="1276" w:type="dxa"/>
          </w:tcPr>
          <w:p w14:paraId="7A86F5E3" w14:textId="77777777" w:rsidR="00507742" w:rsidRDefault="00507742" w:rsidP="009F4773">
            <w:pPr>
              <w:pStyle w:val="TableText"/>
              <w:keepNext/>
              <w:jc w:val="center"/>
            </w:pPr>
            <w:r>
              <w:t>7.4</w:t>
            </w:r>
          </w:p>
        </w:tc>
      </w:tr>
      <w:tr w:rsidR="00507742" w:rsidRPr="00816588" w14:paraId="456CD3C5" w14:textId="77777777" w:rsidTr="009239BE">
        <w:trPr>
          <w:cantSplit/>
        </w:trPr>
        <w:tc>
          <w:tcPr>
            <w:tcW w:w="2977" w:type="dxa"/>
          </w:tcPr>
          <w:p w14:paraId="13D32F1A" w14:textId="51C6D2D9" w:rsidR="00507742" w:rsidRDefault="00507742" w:rsidP="009F4773">
            <w:pPr>
              <w:pStyle w:val="TableText"/>
              <w:keepNext/>
            </w:pPr>
            <w:r>
              <w:t xml:space="preserve">High </w:t>
            </w:r>
            <w:r w:rsidR="00CE7557">
              <w:t xml:space="preserve">fasting plasma </w:t>
            </w:r>
            <w:r>
              <w:t>glucose</w:t>
            </w:r>
          </w:p>
        </w:tc>
        <w:tc>
          <w:tcPr>
            <w:tcW w:w="1276" w:type="dxa"/>
          </w:tcPr>
          <w:p w14:paraId="27C2A867" w14:textId="77777777" w:rsidR="00507742" w:rsidRPr="00816588" w:rsidRDefault="00507742" w:rsidP="009F4773">
            <w:pPr>
              <w:pStyle w:val="TableText"/>
              <w:keepNext/>
              <w:tabs>
                <w:tab w:val="decimal" w:pos="605"/>
              </w:tabs>
            </w:pPr>
            <w:r>
              <w:t>3.9</w:t>
            </w:r>
          </w:p>
        </w:tc>
        <w:tc>
          <w:tcPr>
            <w:tcW w:w="1276" w:type="dxa"/>
          </w:tcPr>
          <w:p w14:paraId="71C3347B" w14:textId="77777777" w:rsidR="00507742" w:rsidRPr="00816588" w:rsidRDefault="00507742" w:rsidP="009F4773">
            <w:pPr>
              <w:pStyle w:val="TableText"/>
              <w:keepNext/>
              <w:tabs>
                <w:tab w:val="decimal" w:pos="605"/>
              </w:tabs>
            </w:pPr>
            <w:r>
              <w:t>4.6</w:t>
            </w:r>
          </w:p>
        </w:tc>
        <w:tc>
          <w:tcPr>
            <w:tcW w:w="1276" w:type="dxa"/>
          </w:tcPr>
          <w:p w14:paraId="68C1544F" w14:textId="77777777" w:rsidR="00507742" w:rsidRPr="00816588" w:rsidRDefault="00507742" w:rsidP="009F4773">
            <w:pPr>
              <w:pStyle w:val="TableText"/>
              <w:keepNext/>
              <w:tabs>
                <w:tab w:val="decimal" w:pos="605"/>
              </w:tabs>
            </w:pPr>
            <w:r>
              <w:t>4.6</w:t>
            </w:r>
          </w:p>
        </w:tc>
        <w:tc>
          <w:tcPr>
            <w:tcW w:w="1276" w:type="dxa"/>
          </w:tcPr>
          <w:p w14:paraId="5BCC3DD4" w14:textId="77777777" w:rsidR="00507742" w:rsidRPr="00816588" w:rsidRDefault="00507742" w:rsidP="009F4773">
            <w:pPr>
              <w:pStyle w:val="TableText"/>
              <w:keepNext/>
              <w:jc w:val="center"/>
            </w:pPr>
            <w:r>
              <w:t>5.9</w:t>
            </w:r>
          </w:p>
        </w:tc>
      </w:tr>
      <w:tr w:rsidR="00507742" w:rsidRPr="00816588" w14:paraId="207ED531" w14:textId="77777777" w:rsidTr="009239BE">
        <w:trPr>
          <w:cantSplit/>
        </w:trPr>
        <w:tc>
          <w:tcPr>
            <w:tcW w:w="2977" w:type="dxa"/>
          </w:tcPr>
          <w:p w14:paraId="7B04F9AA" w14:textId="77777777" w:rsidR="00507742" w:rsidRDefault="00507742" w:rsidP="009F4773">
            <w:pPr>
              <w:pStyle w:val="TableText"/>
              <w:keepNext/>
            </w:pPr>
            <w:r>
              <w:t>Alcohol use</w:t>
            </w:r>
          </w:p>
        </w:tc>
        <w:tc>
          <w:tcPr>
            <w:tcW w:w="1276" w:type="dxa"/>
          </w:tcPr>
          <w:p w14:paraId="08EAEB71" w14:textId="77777777" w:rsidR="00507742" w:rsidRDefault="00507742" w:rsidP="009F4773">
            <w:pPr>
              <w:pStyle w:val="TableText"/>
              <w:keepNext/>
              <w:tabs>
                <w:tab w:val="decimal" w:pos="605"/>
              </w:tabs>
            </w:pPr>
            <w:r>
              <w:t>5.1</w:t>
            </w:r>
          </w:p>
        </w:tc>
        <w:tc>
          <w:tcPr>
            <w:tcW w:w="1276" w:type="dxa"/>
          </w:tcPr>
          <w:p w14:paraId="37570B1E" w14:textId="77777777" w:rsidR="00507742" w:rsidRDefault="00507742" w:rsidP="009F4773">
            <w:pPr>
              <w:pStyle w:val="TableText"/>
              <w:keepNext/>
              <w:tabs>
                <w:tab w:val="decimal" w:pos="605"/>
              </w:tabs>
            </w:pPr>
            <w:r>
              <w:t>4.5</w:t>
            </w:r>
          </w:p>
        </w:tc>
        <w:tc>
          <w:tcPr>
            <w:tcW w:w="1276" w:type="dxa"/>
          </w:tcPr>
          <w:p w14:paraId="2152592A" w14:textId="77777777" w:rsidR="00507742" w:rsidRDefault="00507742" w:rsidP="009F4773">
            <w:pPr>
              <w:pStyle w:val="TableText"/>
              <w:keepNext/>
              <w:tabs>
                <w:tab w:val="decimal" w:pos="605"/>
              </w:tabs>
            </w:pPr>
            <w:r>
              <w:t>4.6</w:t>
            </w:r>
          </w:p>
        </w:tc>
        <w:tc>
          <w:tcPr>
            <w:tcW w:w="1276" w:type="dxa"/>
          </w:tcPr>
          <w:p w14:paraId="6F335CDF" w14:textId="77777777" w:rsidR="00507742" w:rsidRDefault="00507742" w:rsidP="009F4773">
            <w:pPr>
              <w:pStyle w:val="TableText"/>
              <w:keepNext/>
              <w:jc w:val="center"/>
            </w:pPr>
            <w:r>
              <w:t>4.9</w:t>
            </w:r>
          </w:p>
        </w:tc>
      </w:tr>
      <w:tr w:rsidR="00507742" w:rsidRPr="00816588" w14:paraId="12E7F0BF" w14:textId="77777777" w:rsidTr="009239BE">
        <w:trPr>
          <w:cantSplit/>
        </w:trPr>
        <w:tc>
          <w:tcPr>
            <w:tcW w:w="2977" w:type="dxa"/>
          </w:tcPr>
          <w:p w14:paraId="3CC58E25" w14:textId="77777777" w:rsidR="00507742" w:rsidRDefault="00507742" w:rsidP="009F4773">
            <w:pPr>
              <w:pStyle w:val="TableText"/>
              <w:keepNext/>
            </w:pPr>
            <w:r>
              <w:t>High (LDL) cholesterol</w:t>
            </w:r>
          </w:p>
        </w:tc>
        <w:tc>
          <w:tcPr>
            <w:tcW w:w="1276" w:type="dxa"/>
          </w:tcPr>
          <w:p w14:paraId="01EAF703" w14:textId="77777777" w:rsidR="00507742" w:rsidRDefault="00507742" w:rsidP="009F4773">
            <w:pPr>
              <w:pStyle w:val="TableText"/>
              <w:keepNext/>
              <w:tabs>
                <w:tab w:val="decimal" w:pos="605"/>
              </w:tabs>
            </w:pPr>
            <w:r>
              <w:t>7.4</w:t>
            </w:r>
          </w:p>
        </w:tc>
        <w:tc>
          <w:tcPr>
            <w:tcW w:w="1276" w:type="dxa"/>
          </w:tcPr>
          <w:p w14:paraId="2E12F233" w14:textId="77777777" w:rsidR="00507742" w:rsidRDefault="00507742" w:rsidP="009F4773">
            <w:pPr>
              <w:pStyle w:val="TableText"/>
              <w:keepNext/>
              <w:tabs>
                <w:tab w:val="decimal" w:pos="605"/>
              </w:tabs>
            </w:pPr>
            <w:r>
              <w:t>5.9</w:t>
            </w:r>
          </w:p>
        </w:tc>
        <w:tc>
          <w:tcPr>
            <w:tcW w:w="1276" w:type="dxa"/>
          </w:tcPr>
          <w:p w14:paraId="27E26CA4" w14:textId="77777777" w:rsidR="00507742" w:rsidRDefault="00507742" w:rsidP="009F4773">
            <w:pPr>
              <w:pStyle w:val="TableText"/>
              <w:keepNext/>
              <w:tabs>
                <w:tab w:val="decimal" w:pos="605"/>
              </w:tabs>
            </w:pPr>
            <w:r>
              <w:t>4.4</w:t>
            </w:r>
          </w:p>
        </w:tc>
        <w:tc>
          <w:tcPr>
            <w:tcW w:w="1276" w:type="dxa"/>
          </w:tcPr>
          <w:p w14:paraId="346E9F74" w14:textId="77777777" w:rsidR="00507742" w:rsidRDefault="00507742" w:rsidP="009F4773">
            <w:pPr>
              <w:pStyle w:val="TableText"/>
              <w:keepNext/>
              <w:jc w:val="center"/>
            </w:pPr>
            <w:r>
              <w:t>4.2</w:t>
            </w:r>
          </w:p>
        </w:tc>
      </w:tr>
      <w:tr w:rsidR="00507742" w:rsidRPr="00816588" w14:paraId="26AA2148" w14:textId="77777777" w:rsidTr="009239BE">
        <w:trPr>
          <w:cantSplit/>
        </w:trPr>
        <w:tc>
          <w:tcPr>
            <w:tcW w:w="2977" w:type="dxa"/>
          </w:tcPr>
          <w:p w14:paraId="670B8D6D" w14:textId="77777777" w:rsidR="00507742" w:rsidRDefault="00507742" w:rsidP="009F4773">
            <w:pPr>
              <w:pStyle w:val="TableText"/>
              <w:keepNext/>
            </w:pPr>
            <w:r>
              <w:t>Illicit drug use</w:t>
            </w:r>
          </w:p>
        </w:tc>
        <w:tc>
          <w:tcPr>
            <w:tcW w:w="1276" w:type="dxa"/>
          </w:tcPr>
          <w:p w14:paraId="413D77B9" w14:textId="77777777" w:rsidR="00507742" w:rsidRDefault="00507742" w:rsidP="009F4773">
            <w:pPr>
              <w:pStyle w:val="TableText"/>
              <w:keepNext/>
              <w:tabs>
                <w:tab w:val="decimal" w:pos="605"/>
              </w:tabs>
            </w:pPr>
            <w:r>
              <w:t>1.1</w:t>
            </w:r>
          </w:p>
        </w:tc>
        <w:tc>
          <w:tcPr>
            <w:tcW w:w="1276" w:type="dxa"/>
          </w:tcPr>
          <w:p w14:paraId="6E26C7F9" w14:textId="77777777" w:rsidR="00507742" w:rsidRDefault="00507742" w:rsidP="009F4773">
            <w:pPr>
              <w:pStyle w:val="TableText"/>
              <w:keepNext/>
              <w:tabs>
                <w:tab w:val="decimal" w:pos="605"/>
              </w:tabs>
            </w:pPr>
            <w:r>
              <w:t>1.4</w:t>
            </w:r>
          </w:p>
        </w:tc>
        <w:tc>
          <w:tcPr>
            <w:tcW w:w="1276" w:type="dxa"/>
          </w:tcPr>
          <w:p w14:paraId="60D29E81" w14:textId="77777777" w:rsidR="00507742" w:rsidRDefault="00507742" w:rsidP="009F4773">
            <w:pPr>
              <w:pStyle w:val="TableText"/>
              <w:keepNext/>
              <w:tabs>
                <w:tab w:val="decimal" w:pos="605"/>
              </w:tabs>
            </w:pPr>
            <w:r>
              <w:t>1.5</w:t>
            </w:r>
          </w:p>
        </w:tc>
        <w:tc>
          <w:tcPr>
            <w:tcW w:w="1276" w:type="dxa"/>
          </w:tcPr>
          <w:p w14:paraId="0B17AF3B" w14:textId="77777777" w:rsidR="00507742" w:rsidRDefault="00507742" w:rsidP="009F4773">
            <w:pPr>
              <w:pStyle w:val="TableText"/>
              <w:keepNext/>
              <w:jc w:val="center"/>
            </w:pPr>
            <w:r>
              <w:t>1.5</w:t>
            </w:r>
          </w:p>
        </w:tc>
      </w:tr>
      <w:tr w:rsidR="00507742" w:rsidRPr="00816588" w14:paraId="03700AF4" w14:textId="77777777" w:rsidTr="009239BE">
        <w:trPr>
          <w:cantSplit/>
        </w:trPr>
        <w:tc>
          <w:tcPr>
            <w:tcW w:w="2977" w:type="dxa"/>
          </w:tcPr>
          <w:p w14:paraId="67CB9F7F" w14:textId="77777777" w:rsidR="00507742" w:rsidRDefault="00507742" w:rsidP="009239BE">
            <w:pPr>
              <w:pStyle w:val="TableText"/>
            </w:pPr>
            <w:r>
              <w:t>Low physical activity</w:t>
            </w:r>
          </w:p>
        </w:tc>
        <w:tc>
          <w:tcPr>
            <w:tcW w:w="1276" w:type="dxa"/>
          </w:tcPr>
          <w:p w14:paraId="09B2AAE6" w14:textId="77777777" w:rsidR="00507742" w:rsidRDefault="00507742" w:rsidP="009239BE">
            <w:pPr>
              <w:pStyle w:val="TableText"/>
              <w:tabs>
                <w:tab w:val="decimal" w:pos="605"/>
              </w:tabs>
            </w:pPr>
            <w:r>
              <w:t>1.0</w:t>
            </w:r>
          </w:p>
        </w:tc>
        <w:tc>
          <w:tcPr>
            <w:tcW w:w="1276" w:type="dxa"/>
          </w:tcPr>
          <w:p w14:paraId="2652F247" w14:textId="77777777" w:rsidR="00507742" w:rsidRDefault="00507742" w:rsidP="009239BE">
            <w:pPr>
              <w:pStyle w:val="TableText"/>
              <w:tabs>
                <w:tab w:val="decimal" w:pos="605"/>
              </w:tabs>
            </w:pPr>
            <w:r>
              <w:t>0.9</w:t>
            </w:r>
          </w:p>
        </w:tc>
        <w:tc>
          <w:tcPr>
            <w:tcW w:w="1276" w:type="dxa"/>
          </w:tcPr>
          <w:p w14:paraId="57255486" w14:textId="77777777" w:rsidR="00507742" w:rsidRDefault="00507742" w:rsidP="009239BE">
            <w:pPr>
              <w:pStyle w:val="TableText"/>
              <w:tabs>
                <w:tab w:val="decimal" w:pos="605"/>
              </w:tabs>
            </w:pPr>
            <w:r>
              <w:t>0.9</w:t>
            </w:r>
          </w:p>
        </w:tc>
        <w:tc>
          <w:tcPr>
            <w:tcW w:w="1276" w:type="dxa"/>
          </w:tcPr>
          <w:p w14:paraId="4E288480" w14:textId="77777777" w:rsidR="00507742" w:rsidRDefault="00507742" w:rsidP="009239BE">
            <w:pPr>
              <w:pStyle w:val="TableText"/>
              <w:jc w:val="center"/>
            </w:pPr>
            <w:r>
              <w:t>1.2</w:t>
            </w:r>
          </w:p>
        </w:tc>
      </w:tr>
    </w:tbl>
    <w:p w14:paraId="7C60EE0E" w14:textId="494EAF46" w:rsidR="00507742" w:rsidRDefault="009E77CA" w:rsidP="009239BE">
      <w:pPr>
        <w:pStyle w:val="Source"/>
      </w:pPr>
      <w:r>
        <w:t>Source: Global Burden of Disease Collaborative Network (2020)</w:t>
      </w:r>
    </w:p>
    <w:p w14:paraId="6AA6E865" w14:textId="77777777" w:rsidR="00F14C69" w:rsidRPr="00F14C69" w:rsidRDefault="00F14C69" w:rsidP="00F14C69"/>
    <w:p w14:paraId="2D9990DD" w14:textId="77777777" w:rsidR="009239BE" w:rsidRPr="009239BE" w:rsidRDefault="009239BE" w:rsidP="009239BE">
      <w:pPr>
        <w:rPr>
          <w:rFonts w:eastAsia="Arial Unicode MS"/>
        </w:rPr>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095F6C75" w14:textId="77777777" w:rsidTr="00572CF6">
        <w:trPr>
          <w:cantSplit/>
          <w:trHeight w:val="236"/>
        </w:trPr>
        <w:tc>
          <w:tcPr>
            <w:tcW w:w="7973" w:type="dxa"/>
          </w:tcPr>
          <w:p w14:paraId="682C5FAD" w14:textId="77777777" w:rsidR="00507742" w:rsidRPr="00933A6B" w:rsidRDefault="00507742" w:rsidP="005533E2">
            <w:pPr>
              <w:pStyle w:val="TableText"/>
              <w:ind w:right="-57"/>
              <w:rPr>
                <w:color w:val="0A6AB4"/>
                <w:sz w:val="24"/>
                <w:szCs w:val="24"/>
              </w:rPr>
            </w:pPr>
            <w:bookmarkStart w:id="175" w:name="_Hlk56349100"/>
            <w:r>
              <w:rPr>
                <w:color w:val="0A6AB4"/>
                <w:sz w:val="24"/>
                <w:szCs w:val="24"/>
              </w:rPr>
              <w:lastRenderedPageBreak/>
              <w:t>Smoking rates continue to decline</w:t>
            </w:r>
            <w:r w:rsidRPr="00BD5E76">
              <w:rPr>
                <w:color w:val="0A6AB4"/>
                <w:sz w:val="24"/>
                <w:szCs w:val="24"/>
              </w:rPr>
              <w:t xml:space="preserve">, </w:t>
            </w:r>
            <w:r>
              <w:rPr>
                <w:color w:val="0A6AB4"/>
                <w:sz w:val="24"/>
                <w:szCs w:val="24"/>
              </w:rPr>
              <w:t>but the rate of decline is slower for Māori and Pacific adults</w:t>
            </w:r>
          </w:p>
        </w:tc>
      </w:tr>
    </w:tbl>
    <w:p w14:paraId="2CD07A9B" w14:textId="77777777" w:rsidR="00507742" w:rsidRPr="0053665C" w:rsidRDefault="00507742" w:rsidP="009239BE"/>
    <w:p w14:paraId="54FC4554" w14:textId="77777777" w:rsidR="002542AA" w:rsidRDefault="00507742" w:rsidP="009239BE">
      <w:r>
        <w:t>Smoking</w:t>
      </w:r>
      <w:r w:rsidRPr="007D038A">
        <w:t xml:space="preserve"> is a </w:t>
      </w:r>
      <w:r>
        <w:t>major</w:t>
      </w:r>
      <w:r w:rsidRPr="007D038A">
        <w:t xml:space="preserve"> risk factor for </w:t>
      </w:r>
      <w:r>
        <w:t xml:space="preserve">potentially avoidable </w:t>
      </w:r>
      <w:r w:rsidRPr="007D038A">
        <w:t>health loss in New Zealand</w:t>
      </w:r>
      <w:r>
        <w:t>. It accounted for 9.6 percent of all illness and premature mortality in 2019 (Global Burden of Disease Collaborative Network 2020).</w:t>
      </w:r>
    </w:p>
    <w:p w14:paraId="6CFC8A1E" w14:textId="77777777" w:rsidR="00507742" w:rsidRDefault="00507742" w:rsidP="009239BE"/>
    <w:p w14:paraId="2F4BA29A" w14:textId="5234F153" w:rsidR="00507742" w:rsidRDefault="00507742" w:rsidP="009F4773">
      <w:r w:rsidRPr="007D038A">
        <w:t xml:space="preserve">In </w:t>
      </w:r>
      <w:r>
        <w:t>2018/19</w:t>
      </w:r>
      <w:r w:rsidRPr="007D038A">
        <w:t>,</w:t>
      </w:r>
      <w:r>
        <w:t xml:space="preserve"> 14.2 </w:t>
      </w:r>
      <w:r w:rsidRPr="007D038A">
        <w:t xml:space="preserve">percent of adults were current smokers, down from </w:t>
      </w:r>
      <w:r>
        <w:t>18.2</w:t>
      </w:r>
      <w:r w:rsidRPr="007D038A">
        <w:t xml:space="preserve"> percent in </w:t>
      </w:r>
      <w:r>
        <w:t>2011/12</w:t>
      </w:r>
      <w:r w:rsidRPr="007D038A">
        <w:t xml:space="preserve"> (Ministry of Health 2019</w:t>
      </w:r>
      <w:r>
        <w:t>a</w:t>
      </w:r>
      <w:r w:rsidRPr="007D038A">
        <w:t xml:space="preserve">). </w:t>
      </w:r>
      <w:r>
        <w:t>While smoking rates have declined in most population subgroups, the level of decline varies by age and ethnic group. The</w:t>
      </w:r>
      <w:r w:rsidRPr="007D038A">
        <w:t xml:space="preserve"> most </w:t>
      </w:r>
      <w:r>
        <w:t>marked</w:t>
      </w:r>
      <w:r w:rsidRPr="007D038A">
        <w:t xml:space="preserve"> reduction in smoking since </w:t>
      </w:r>
      <w:r>
        <w:t>2011/12</w:t>
      </w:r>
      <w:r w:rsidRPr="007D038A">
        <w:t xml:space="preserve"> was for</w:t>
      </w:r>
      <w:r>
        <w:t xml:space="preserve"> </w:t>
      </w:r>
      <w:r w:rsidR="00AA1DFF">
        <w:t xml:space="preserve">young people, with smaller decreases in older age groups </w:t>
      </w:r>
      <w:r>
        <w:t>(</w:t>
      </w:r>
      <w:r w:rsidR="009239BE">
        <w:fldChar w:fldCharType="begin"/>
      </w:r>
      <w:r w:rsidR="009239BE">
        <w:instrText xml:space="preserve"> REF _Ref57376454 \h </w:instrText>
      </w:r>
      <w:r w:rsidR="009239BE">
        <w:fldChar w:fldCharType="separate"/>
      </w:r>
      <w:r w:rsidR="003F39AB">
        <w:t>Figure </w:t>
      </w:r>
      <w:r w:rsidR="003F39AB">
        <w:rPr>
          <w:noProof/>
        </w:rPr>
        <w:t>15</w:t>
      </w:r>
      <w:r w:rsidR="009239BE">
        <w:fldChar w:fldCharType="end"/>
      </w:r>
      <w:r>
        <w:t>).</w:t>
      </w:r>
    </w:p>
    <w:p w14:paraId="03A9B19C" w14:textId="77777777" w:rsidR="00507742" w:rsidRDefault="00507742" w:rsidP="009239BE"/>
    <w:p w14:paraId="200F61F9" w14:textId="58ECEE78" w:rsidR="00507742" w:rsidRDefault="009239BE" w:rsidP="009239BE">
      <w:pPr>
        <w:pStyle w:val="Figure"/>
      </w:pPr>
      <w:bookmarkStart w:id="176" w:name="_Ref57376454"/>
      <w:bookmarkStart w:id="177" w:name="_Toc57295972"/>
      <w:bookmarkStart w:id="178" w:name="_Toc64536272"/>
      <w:r>
        <w:t>Figure </w:t>
      </w:r>
      <w:fldSimple w:instr=" SEQ Figure \* ARABIC ">
        <w:r w:rsidR="003F39AB">
          <w:rPr>
            <w:noProof/>
          </w:rPr>
          <w:t>15</w:t>
        </w:r>
      </w:fldSimple>
      <w:bookmarkEnd w:id="176"/>
      <w:r w:rsidR="00507742">
        <w:t>: Prevalence of current smoking, by age group, 2011/12 and 2018/19</w:t>
      </w:r>
      <w:bookmarkEnd w:id="177"/>
      <w:bookmarkEnd w:id="178"/>
    </w:p>
    <w:p w14:paraId="092E5F0F" w14:textId="5795CE14" w:rsidR="00507742" w:rsidRDefault="00EC60FD" w:rsidP="00E143AA">
      <w:r w:rsidRPr="001E65C0">
        <w:rPr>
          <w:noProof/>
          <w:lang w:eastAsia="en-NZ"/>
        </w:rPr>
        <w:drawing>
          <wp:inline distT="0" distB="0" distL="0" distR="0" wp14:anchorId="290FCAAE" wp14:editId="4B3B2A34">
            <wp:extent cx="5130165" cy="3129280"/>
            <wp:effectExtent l="0" t="0" r="0" b="0"/>
            <wp:docPr id="24" name="Picture 24" descr="This bar graph shows that smoking rates have declined for all groups since 2011/2012, and that rates decline with age after the 35-44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30165" cy="3129280"/>
                    </a:xfrm>
                    <a:prstGeom prst="rect">
                      <a:avLst/>
                    </a:prstGeom>
                  </pic:spPr>
                </pic:pic>
              </a:graphicData>
            </a:graphic>
          </wp:inline>
        </w:drawing>
      </w:r>
    </w:p>
    <w:p w14:paraId="53016E82" w14:textId="10A4E332" w:rsidR="00507742" w:rsidRPr="00CF60ED" w:rsidRDefault="009E77CA" w:rsidP="009239BE">
      <w:pPr>
        <w:pStyle w:val="Source"/>
        <w:rPr>
          <w:rFonts w:eastAsia="Arial Unicode MS" w:hAnsi="Arial Unicode MS" w:cs="Arial Unicode MS"/>
          <w:szCs w:val="16"/>
        </w:rPr>
      </w:pPr>
      <w:r>
        <w:t>Source: Ministry of Health (2019a)</w:t>
      </w:r>
    </w:p>
    <w:p w14:paraId="78F94392" w14:textId="77777777" w:rsidR="00507742" w:rsidRDefault="00507742" w:rsidP="009239BE"/>
    <w:p w14:paraId="0DA229C9" w14:textId="1A78E8BC" w:rsidR="002542AA" w:rsidRPr="00E143AA" w:rsidRDefault="00507742" w:rsidP="009239BE">
      <w:pPr>
        <w:rPr>
          <w:spacing w:val="-2"/>
        </w:rPr>
      </w:pPr>
      <w:r w:rsidRPr="00E143AA">
        <w:rPr>
          <w:spacing w:val="-2"/>
        </w:rPr>
        <w:t>Among Māori adults, 34.0 percent were current smokers in 2018/19, down from 40.2</w:t>
      </w:r>
      <w:r w:rsidR="009239BE" w:rsidRPr="00E143AA">
        <w:rPr>
          <w:spacing w:val="-2"/>
        </w:rPr>
        <w:t> </w:t>
      </w:r>
      <w:r w:rsidRPr="00E143AA">
        <w:rPr>
          <w:spacing w:val="-2"/>
        </w:rPr>
        <w:t>percent in 2011/12 (</w:t>
      </w:r>
      <w:r w:rsidR="009239BE" w:rsidRPr="00E143AA">
        <w:rPr>
          <w:spacing w:val="-2"/>
        </w:rPr>
        <w:fldChar w:fldCharType="begin"/>
      </w:r>
      <w:r w:rsidR="009239BE" w:rsidRPr="00E143AA">
        <w:rPr>
          <w:spacing w:val="-2"/>
        </w:rPr>
        <w:instrText xml:space="preserve"> REF _Ref57376489 \h </w:instrText>
      </w:r>
      <w:r w:rsidR="00E143AA">
        <w:rPr>
          <w:spacing w:val="-2"/>
        </w:rPr>
        <w:instrText xml:space="preserve"> \* MERGEFORMAT </w:instrText>
      </w:r>
      <w:r w:rsidR="009239BE" w:rsidRPr="00E143AA">
        <w:rPr>
          <w:spacing w:val="-2"/>
        </w:rPr>
      </w:r>
      <w:r w:rsidR="009239BE" w:rsidRPr="00E143AA">
        <w:rPr>
          <w:spacing w:val="-2"/>
        </w:rPr>
        <w:fldChar w:fldCharType="separate"/>
      </w:r>
      <w:r w:rsidR="003F39AB" w:rsidRPr="003F39AB">
        <w:rPr>
          <w:spacing w:val="-2"/>
        </w:rPr>
        <w:t>Table 12</w:t>
      </w:r>
      <w:r w:rsidR="009239BE" w:rsidRPr="00E143AA">
        <w:rPr>
          <w:spacing w:val="-2"/>
        </w:rPr>
        <w:fldChar w:fldCharType="end"/>
      </w:r>
      <w:r w:rsidRPr="00E143AA">
        <w:rPr>
          <w:spacing w:val="-2"/>
        </w:rPr>
        <w:t>). Although Māori had the largest absolute decline in smoking (by 6.2 percentage points), the largest relative decline was for European/Other (by 25</w:t>
      </w:r>
      <w:r w:rsidR="009239BE" w:rsidRPr="00E143AA">
        <w:rPr>
          <w:spacing w:val="-2"/>
        </w:rPr>
        <w:t> </w:t>
      </w:r>
      <w:r w:rsidRPr="00E143AA">
        <w:rPr>
          <w:spacing w:val="-2"/>
        </w:rPr>
        <w:t>percent). From 2011/12 to 2018/19 there was a small decrease in current smoking rates for Pacific and Asian adults, but these changes were not statistically significant.</w:t>
      </w:r>
    </w:p>
    <w:p w14:paraId="2129AD4F" w14:textId="77777777" w:rsidR="00507742" w:rsidRDefault="00507742" w:rsidP="009239BE"/>
    <w:p w14:paraId="56EA6665" w14:textId="3A996042" w:rsidR="00507742" w:rsidRPr="00816588" w:rsidRDefault="009239BE" w:rsidP="009239BE">
      <w:pPr>
        <w:pStyle w:val="Table"/>
      </w:pPr>
      <w:bookmarkStart w:id="179" w:name="_Ref57376489"/>
      <w:bookmarkStart w:id="180" w:name="_Toc519278618"/>
      <w:bookmarkStart w:id="181" w:name="_Toc57273376"/>
      <w:bookmarkStart w:id="182" w:name="_Toc64536294"/>
      <w:r>
        <w:t>Table </w:t>
      </w:r>
      <w:fldSimple w:instr=" SEQ Table \* ARABIC ">
        <w:r w:rsidR="003F39AB">
          <w:rPr>
            <w:noProof/>
          </w:rPr>
          <w:t>12</w:t>
        </w:r>
      </w:fldSimple>
      <w:bookmarkEnd w:id="179"/>
      <w:r w:rsidR="00507742" w:rsidRPr="00816588">
        <w:t xml:space="preserve">: </w:t>
      </w:r>
      <w:r w:rsidR="00507742">
        <w:t>Prevalence of current</w:t>
      </w:r>
      <w:r w:rsidR="00507742" w:rsidRPr="00816588">
        <w:t xml:space="preserve"> smoking</w:t>
      </w:r>
      <w:r w:rsidR="00507742">
        <w:t>,</w:t>
      </w:r>
      <w:r w:rsidR="00507742" w:rsidRPr="00816588">
        <w:t xml:space="preserve"> </w:t>
      </w:r>
      <w:r w:rsidR="00507742">
        <w:t>by ethnic group, 2011/12</w:t>
      </w:r>
      <w:r w:rsidR="00507742" w:rsidRPr="00816588">
        <w:t xml:space="preserve"> and </w:t>
      </w:r>
      <w:bookmarkEnd w:id="180"/>
      <w:r w:rsidR="00507742" w:rsidRPr="00816588">
        <w:t>2018/19</w:t>
      </w:r>
      <w:bookmarkEnd w:id="181"/>
      <w:bookmarkEnd w:id="182"/>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503"/>
        <w:gridCol w:w="1375"/>
        <w:gridCol w:w="1375"/>
        <w:gridCol w:w="1913"/>
        <w:gridCol w:w="1914"/>
      </w:tblGrid>
      <w:tr w:rsidR="00507742" w:rsidRPr="00816588" w14:paraId="28288E49" w14:textId="77777777" w:rsidTr="009239BE">
        <w:trPr>
          <w:cantSplit/>
        </w:trPr>
        <w:tc>
          <w:tcPr>
            <w:tcW w:w="1503" w:type="dxa"/>
            <w:tcBorders>
              <w:top w:val="nil"/>
              <w:bottom w:val="nil"/>
            </w:tcBorders>
            <w:shd w:val="clear" w:color="auto" w:fill="D9D9D9" w:themeFill="background1" w:themeFillShade="D9"/>
          </w:tcPr>
          <w:p w14:paraId="79672175" w14:textId="77777777" w:rsidR="00507742" w:rsidRPr="00816588" w:rsidRDefault="00507742" w:rsidP="00572CF6">
            <w:pPr>
              <w:pStyle w:val="TableText"/>
              <w:rPr>
                <w:b/>
              </w:rPr>
            </w:pPr>
            <w:r>
              <w:rPr>
                <w:b/>
              </w:rPr>
              <w:t>Ethnic group</w:t>
            </w:r>
          </w:p>
        </w:tc>
        <w:tc>
          <w:tcPr>
            <w:tcW w:w="1375" w:type="dxa"/>
            <w:tcBorders>
              <w:top w:val="nil"/>
              <w:bottom w:val="nil"/>
            </w:tcBorders>
            <w:shd w:val="clear" w:color="auto" w:fill="D9D9D9" w:themeFill="background1" w:themeFillShade="D9"/>
          </w:tcPr>
          <w:p w14:paraId="047B6D82" w14:textId="77777777" w:rsidR="00507742" w:rsidRPr="00816588" w:rsidRDefault="00507742" w:rsidP="00572CF6">
            <w:pPr>
              <w:pStyle w:val="TableText"/>
              <w:jc w:val="center"/>
              <w:rPr>
                <w:b/>
              </w:rPr>
            </w:pPr>
            <w:r>
              <w:rPr>
                <w:b/>
              </w:rPr>
              <w:t>2011/12</w:t>
            </w:r>
          </w:p>
        </w:tc>
        <w:tc>
          <w:tcPr>
            <w:tcW w:w="1375" w:type="dxa"/>
            <w:tcBorders>
              <w:top w:val="nil"/>
              <w:bottom w:val="nil"/>
            </w:tcBorders>
            <w:shd w:val="clear" w:color="auto" w:fill="D9D9D9" w:themeFill="background1" w:themeFillShade="D9"/>
          </w:tcPr>
          <w:p w14:paraId="0E24CC34" w14:textId="77777777" w:rsidR="00507742" w:rsidRPr="00816588" w:rsidRDefault="00507742" w:rsidP="00572CF6">
            <w:pPr>
              <w:pStyle w:val="TableText"/>
              <w:jc w:val="center"/>
              <w:rPr>
                <w:b/>
              </w:rPr>
            </w:pPr>
            <w:r>
              <w:rPr>
                <w:b/>
              </w:rPr>
              <w:t>2018/19</w:t>
            </w:r>
          </w:p>
        </w:tc>
        <w:tc>
          <w:tcPr>
            <w:tcW w:w="1913" w:type="dxa"/>
            <w:tcBorders>
              <w:top w:val="nil"/>
              <w:bottom w:val="nil"/>
            </w:tcBorders>
            <w:shd w:val="clear" w:color="auto" w:fill="D9D9D9" w:themeFill="background1" w:themeFillShade="D9"/>
          </w:tcPr>
          <w:p w14:paraId="34BA8E4E" w14:textId="77777777" w:rsidR="00507742" w:rsidRPr="00816588" w:rsidRDefault="00507742" w:rsidP="00572CF6">
            <w:pPr>
              <w:pStyle w:val="TableText"/>
              <w:jc w:val="center"/>
              <w:rPr>
                <w:b/>
              </w:rPr>
            </w:pPr>
            <w:r>
              <w:rPr>
                <w:b/>
              </w:rPr>
              <w:t>Absolute change</w:t>
            </w:r>
          </w:p>
        </w:tc>
        <w:tc>
          <w:tcPr>
            <w:tcW w:w="1914" w:type="dxa"/>
            <w:tcBorders>
              <w:top w:val="nil"/>
              <w:bottom w:val="nil"/>
            </w:tcBorders>
            <w:shd w:val="clear" w:color="auto" w:fill="D9D9D9" w:themeFill="background1" w:themeFillShade="D9"/>
          </w:tcPr>
          <w:p w14:paraId="73F20EA4" w14:textId="77777777" w:rsidR="00507742" w:rsidRPr="00816588" w:rsidRDefault="00507742" w:rsidP="00572CF6">
            <w:pPr>
              <w:pStyle w:val="TableText"/>
              <w:jc w:val="center"/>
              <w:rPr>
                <w:b/>
              </w:rPr>
            </w:pPr>
            <w:r>
              <w:rPr>
                <w:b/>
              </w:rPr>
              <w:t>Relative change</w:t>
            </w:r>
          </w:p>
        </w:tc>
      </w:tr>
      <w:tr w:rsidR="00507742" w:rsidRPr="00816588" w14:paraId="43E6A417" w14:textId="77777777" w:rsidTr="009239BE">
        <w:trPr>
          <w:cantSplit/>
        </w:trPr>
        <w:tc>
          <w:tcPr>
            <w:tcW w:w="1503" w:type="dxa"/>
            <w:tcBorders>
              <w:top w:val="nil"/>
              <w:bottom w:val="single" w:sz="4" w:space="0" w:color="A6A6A6" w:themeColor="background1" w:themeShade="A6"/>
            </w:tcBorders>
          </w:tcPr>
          <w:p w14:paraId="36E73ECB" w14:textId="77777777" w:rsidR="00507742" w:rsidRPr="00816588" w:rsidRDefault="00507742" w:rsidP="00572CF6">
            <w:pPr>
              <w:pStyle w:val="TableText"/>
            </w:pPr>
            <w:r w:rsidRPr="00816588">
              <w:t>Māori</w:t>
            </w:r>
          </w:p>
        </w:tc>
        <w:tc>
          <w:tcPr>
            <w:tcW w:w="1375" w:type="dxa"/>
            <w:tcBorders>
              <w:top w:val="nil"/>
              <w:bottom w:val="single" w:sz="4" w:space="0" w:color="A6A6A6" w:themeColor="background1" w:themeShade="A6"/>
            </w:tcBorders>
          </w:tcPr>
          <w:p w14:paraId="6060B508" w14:textId="77777777" w:rsidR="00507742" w:rsidRPr="00816588" w:rsidRDefault="00507742" w:rsidP="009239BE">
            <w:pPr>
              <w:pStyle w:val="TableText"/>
              <w:tabs>
                <w:tab w:val="decimal" w:pos="624"/>
              </w:tabs>
            </w:pPr>
            <w:r>
              <w:t>40.2</w:t>
            </w:r>
          </w:p>
        </w:tc>
        <w:tc>
          <w:tcPr>
            <w:tcW w:w="1375" w:type="dxa"/>
            <w:tcBorders>
              <w:top w:val="nil"/>
              <w:bottom w:val="single" w:sz="4" w:space="0" w:color="A6A6A6" w:themeColor="background1" w:themeShade="A6"/>
            </w:tcBorders>
          </w:tcPr>
          <w:p w14:paraId="790DD217" w14:textId="77777777" w:rsidR="00507742" w:rsidRPr="00816588" w:rsidRDefault="00507742" w:rsidP="009239BE">
            <w:pPr>
              <w:pStyle w:val="TableText"/>
              <w:tabs>
                <w:tab w:val="decimal" w:pos="624"/>
              </w:tabs>
            </w:pPr>
            <w:r>
              <w:t>34.0</w:t>
            </w:r>
          </w:p>
        </w:tc>
        <w:tc>
          <w:tcPr>
            <w:tcW w:w="1913" w:type="dxa"/>
            <w:tcBorders>
              <w:top w:val="nil"/>
              <w:bottom w:val="single" w:sz="4" w:space="0" w:color="A6A6A6" w:themeColor="background1" w:themeShade="A6"/>
            </w:tcBorders>
          </w:tcPr>
          <w:p w14:paraId="2241A28F" w14:textId="77777777" w:rsidR="00507742" w:rsidRDefault="00507742" w:rsidP="00572CF6">
            <w:pPr>
              <w:pStyle w:val="TableText"/>
              <w:jc w:val="center"/>
            </w:pPr>
            <w:r>
              <w:t>–6.2</w:t>
            </w:r>
          </w:p>
        </w:tc>
        <w:tc>
          <w:tcPr>
            <w:tcW w:w="1914" w:type="dxa"/>
            <w:tcBorders>
              <w:top w:val="nil"/>
              <w:bottom w:val="single" w:sz="4" w:space="0" w:color="A6A6A6" w:themeColor="background1" w:themeShade="A6"/>
            </w:tcBorders>
          </w:tcPr>
          <w:p w14:paraId="4B06187F" w14:textId="77777777" w:rsidR="00507742" w:rsidRPr="00816588" w:rsidRDefault="00507742" w:rsidP="009239BE">
            <w:pPr>
              <w:pStyle w:val="TableText"/>
              <w:tabs>
                <w:tab w:val="decimal" w:pos="1007"/>
              </w:tabs>
            </w:pPr>
            <w:r>
              <w:t>–15%</w:t>
            </w:r>
          </w:p>
        </w:tc>
      </w:tr>
      <w:tr w:rsidR="00507742" w:rsidRPr="00816588" w14:paraId="07B782F3" w14:textId="77777777" w:rsidTr="009239BE">
        <w:trPr>
          <w:cantSplit/>
        </w:trPr>
        <w:tc>
          <w:tcPr>
            <w:tcW w:w="1503" w:type="dxa"/>
            <w:tcBorders>
              <w:top w:val="single" w:sz="4" w:space="0" w:color="A6A6A6" w:themeColor="background1" w:themeShade="A6"/>
              <w:bottom w:val="single" w:sz="4" w:space="0" w:color="A6A6A6" w:themeColor="background1" w:themeShade="A6"/>
            </w:tcBorders>
          </w:tcPr>
          <w:p w14:paraId="0231EC0A" w14:textId="77777777" w:rsidR="00507742" w:rsidRPr="00816588" w:rsidRDefault="00507742" w:rsidP="00572CF6">
            <w:pPr>
              <w:pStyle w:val="TableText"/>
            </w:pPr>
            <w:r w:rsidRPr="00816588">
              <w:t xml:space="preserve">Pacific </w:t>
            </w:r>
          </w:p>
        </w:tc>
        <w:tc>
          <w:tcPr>
            <w:tcW w:w="1375" w:type="dxa"/>
            <w:tcBorders>
              <w:top w:val="single" w:sz="4" w:space="0" w:color="A6A6A6" w:themeColor="background1" w:themeShade="A6"/>
              <w:bottom w:val="single" w:sz="4" w:space="0" w:color="A6A6A6" w:themeColor="background1" w:themeShade="A6"/>
            </w:tcBorders>
          </w:tcPr>
          <w:p w14:paraId="5038DB67" w14:textId="77777777" w:rsidR="00507742" w:rsidRPr="00816588" w:rsidRDefault="00507742" w:rsidP="009239BE">
            <w:pPr>
              <w:pStyle w:val="TableText"/>
              <w:tabs>
                <w:tab w:val="decimal" w:pos="624"/>
              </w:tabs>
            </w:pPr>
            <w:r>
              <w:t>25.9</w:t>
            </w:r>
          </w:p>
        </w:tc>
        <w:tc>
          <w:tcPr>
            <w:tcW w:w="1375" w:type="dxa"/>
            <w:tcBorders>
              <w:top w:val="single" w:sz="4" w:space="0" w:color="A6A6A6" w:themeColor="background1" w:themeShade="A6"/>
              <w:bottom w:val="single" w:sz="4" w:space="0" w:color="A6A6A6" w:themeColor="background1" w:themeShade="A6"/>
            </w:tcBorders>
          </w:tcPr>
          <w:p w14:paraId="3045D8DC" w14:textId="77777777" w:rsidR="00507742" w:rsidRPr="00816588" w:rsidRDefault="00507742" w:rsidP="009239BE">
            <w:pPr>
              <w:pStyle w:val="TableText"/>
              <w:tabs>
                <w:tab w:val="decimal" w:pos="624"/>
              </w:tabs>
            </w:pPr>
            <w:r>
              <w:t>24.4</w:t>
            </w:r>
          </w:p>
        </w:tc>
        <w:tc>
          <w:tcPr>
            <w:tcW w:w="1913" w:type="dxa"/>
            <w:tcBorders>
              <w:top w:val="single" w:sz="4" w:space="0" w:color="A6A6A6" w:themeColor="background1" w:themeShade="A6"/>
              <w:bottom w:val="single" w:sz="4" w:space="0" w:color="A6A6A6" w:themeColor="background1" w:themeShade="A6"/>
            </w:tcBorders>
          </w:tcPr>
          <w:p w14:paraId="029D439F" w14:textId="77777777" w:rsidR="00507742" w:rsidRDefault="00507742" w:rsidP="00572CF6">
            <w:pPr>
              <w:pStyle w:val="TableText"/>
              <w:jc w:val="center"/>
            </w:pPr>
            <w:r>
              <w:t>–1.5</w:t>
            </w:r>
          </w:p>
        </w:tc>
        <w:tc>
          <w:tcPr>
            <w:tcW w:w="1914" w:type="dxa"/>
            <w:tcBorders>
              <w:top w:val="single" w:sz="4" w:space="0" w:color="A6A6A6" w:themeColor="background1" w:themeShade="A6"/>
              <w:bottom w:val="single" w:sz="4" w:space="0" w:color="A6A6A6" w:themeColor="background1" w:themeShade="A6"/>
            </w:tcBorders>
          </w:tcPr>
          <w:p w14:paraId="6637DA1D" w14:textId="77777777" w:rsidR="00507742" w:rsidRPr="00816588" w:rsidRDefault="00507742" w:rsidP="009239BE">
            <w:pPr>
              <w:pStyle w:val="TableText"/>
              <w:tabs>
                <w:tab w:val="decimal" w:pos="1007"/>
              </w:tabs>
            </w:pPr>
            <w:r>
              <w:t>–6%</w:t>
            </w:r>
          </w:p>
        </w:tc>
      </w:tr>
      <w:tr w:rsidR="00507742" w:rsidRPr="00816588" w14:paraId="0FE410BC" w14:textId="77777777" w:rsidTr="009239BE">
        <w:trPr>
          <w:cantSplit/>
        </w:trPr>
        <w:tc>
          <w:tcPr>
            <w:tcW w:w="1503" w:type="dxa"/>
            <w:tcBorders>
              <w:top w:val="single" w:sz="4" w:space="0" w:color="A6A6A6" w:themeColor="background1" w:themeShade="A6"/>
              <w:bottom w:val="single" w:sz="4" w:space="0" w:color="A6A6A6" w:themeColor="background1" w:themeShade="A6"/>
            </w:tcBorders>
          </w:tcPr>
          <w:p w14:paraId="26276AC9" w14:textId="77777777" w:rsidR="00507742" w:rsidRPr="00816588" w:rsidRDefault="00507742" w:rsidP="00572CF6">
            <w:pPr>
              <w:pStyle w:val="TableText"/>
            </w:pPr>
            <w:r>
              <w:t>Asian</w:t>
            </w:r>
          </w:p>
        </w:tc>
        <w:tc>
          <w:tcPr>
            <w:tcW w:w="1375" w:type="dxa"/>
            <w:tcBorders>
              <w:top w:val="single" w:sz="4" w:space="0" w:color="A6A6A6" w:themeColor="background1" w:themeShade="A6"/>
              <w:bottom w:val="single" w:sz="4" w:space="0" w:color="A6A6A6" w:themeColor="background1" w:themeShade="A6"/>
            </w:tcBorders>
          </w:tcPr>
          <w:p w14:paraId="513877F0" w14:textId="77777777" w:rsidR="00507742" w:rsidRDefault="00507742" w:rsidP="009239BE">
            <w:pPr>
              <w:pStyle w:val="TableText"/>
              <w:tabs>
                <w:tab w:val="decimal" w:pos="624"/>
              </w:tabs>
            </w:pPr>
            <w:r>
              <w:t>9.4</w:t>
            </w:r>
          </w:p>
        </w:tc>
        <w:tc>
          <w:tcPr>
            <w:tcW w:w="1375" w:type="dxa"/>
            <w:tcBorders>
              <w:top w:val="single" w:sz="4" w:space="0" w:color="A6A6A6" w:themeColor="background1" w:themeShade="A6"/>
              <w:bottom w:val="single" w:sz="4" w:space="0" w:color="A6A6A6" w:themeColor="background1" w:themeShade="A6"/>
            </w:tcBorders>
          </w:tcPr>
          <w:p w14:paraId="7E5E00A2" w14:textId="77777777" w:rsidR="00507742" w:rsidRDefault="00507742" w:rsidP="009239BE">
            <w:pPr>
              <w:pStyle w:val="TableText"/>
              <w:tabs>
                <w:tab w:val="decimal" w:pos="624"/>
              </w:tabs>
            </w:pPr>
            <w:r>
              <w:t>8.4</w:t>
            </w:r>
          </w:p>
        </w:tc>
        <w:tc>
          <w:tcPr>
            <w:tcW w:w="1913" w:type="dxa"/>
            <w:tcBorders>
              <w:top w:val="single" w:sz="4" w:space="0" w:color="A6A6A6" w:themeColor="background1" w:themeShade="A6"/>
              <w:bottom w:val="single" w:sz="4" w:space="0" w:color="A6A6A6" w:themeColor="background1" w:themeShade="A6"/>
            </w:tcBorders>
          </w:tcPr>
          <w:p w14:paraId="774B4DDF" w14:textId="77777777" w:rsidR="00507742" w:rsidRDefault="00507742" w:rsidP="00572CF6">
            <w:pPr>
              <w:pStyle w:val="TableText"/>
              <w:jc w:val="center"/>
            </w:pPr>
            <w:r>
              <w:t>–1.0</w:t>
            </w:r>
          </w:p>
        </w:tc>
        <w:tc>
          <w:tcPr>
            <w:tcW w:w="1914" w:type="dxa"/>
            <w:tcBorders>
              <w:top w:val="single" w:sz="4" w:space="0" w:color="A6A6A6" w:themeColor="background1" w:themeShade="A6"/>
              <w:bottom w:val="single" w:sz="4" w:space="0" w:color="A6A6A6" w:themeColor="background1" w:themeShade="A6"/>
            </w:tcBorders>
          </w:tcPr>
          <w:p w14:paraId="1EF74A24" w14:textId="77777777" w:rsidR="00507742" w:rsidRDefault="00507742" w:rsidP="009239BE">
            <w:pPr>
              <w:pStyle w:val="TableText"/>
              <w:tabs>
                <w:tab w:val="decimal" w:pos="1007"/>
              </w:tabs>
            </w:pPr>
            <w:r>
              <w:t>–11%</w:t>
            </w:r>
          </w:p>
        </w:tc>
      </w:tr>
      <w:tr w:rsidR="00507742" w:rsidRPr="00816588" w14:paraId="186E0DD6" w14:textId="77777777" w:rsidTr="009239BE">
        <w:trPr>
          <w:cantSplit/>
        </w:trPr>
        <w:tc>
          <w:tcPr>
            <w:tcW w:w="1503" w:type="dxa"/>
            <w:tcBorders>
              <w:top w:val="nil"/>
            </w:tcBorders>
          </w:tcPr>
          <w:p w14:paraId="3B62C4FA" w14:textId="77777777" w:rsidR="00507742" w:rsidRPr="00816588" w:rsidRDefault="00507742" w:rsidP="00572CF6">
            <w:pPr>
              <w:pStyle w:val="TableText"/>
            </w:pPr>
            <w:r>
              <w:t>European/Other</w:t>
            </w:r>
          </w:p>
        </w:tc>
        <w:tc>
          <w:tcPr>
            <w:tcW w:w="1375" w:type="dxa"/>
            <w:tcBorders>
              <w:top w:val="nil"/>
            </w:tcBorders>
          </w:tcPr>
          <w:p w14:paraId="572B8C00" w14:textId="77777777" w:rsidR="00507742" w:rsidRDefault="00507742" w:rsidP="009239BE">
            <w:pPr>
              <w:pStyle w:val="TableText"/>
              <w:tabs>
                <w:tab w:val="decimal" w:pos="624"/>
              </w:tabs>
            </w:pPr>
            <w:r>
              <w:t>16.5</w:t>
            </w:r>
          </w:p>
        </w:tc>
        <w:tc>
          <w:tcPr>
            <w:tcW w:w="1375" w:type="dxa"/>
            <w:tcBorders>
              <w:top w:val="nil"/>
            </w:tcBorders>
          </w:tcPr>
          <w:p w14:paraId="3CA6CC65" w14:textId="77777777" w:rsidR="00507742" w:rsidRDefault="00507742" w:rsidP="009239BE">
            <w:pPr>
              <w:pStyle w:val="TableText"/>
              <w:tabs>
                <w:tab w:val="decimal" w:pos="624"/>
              </w:tabs>
            </w:pPr>
            <w:r>
              <w:t>12.4</w:t>
            </w:r>
          </w:p>
        </w:tc>
        <w:tc>
          <w:tcPr>
            <w:tcW w:w="1913" w:type="dxa"/>
            <w:tcBorders>
              <w:top w:val="nil"/>
            </w:tcBorders>
          </w:tcPr>
          <w:p w14:paraId="65FC03D9" w14:textId="77777777" w:rsidR="00507742" w:rsidRDefault="00507742" w:rsidP="00572CF6">
            <w:pPr>
              <w:pStyle w:val="TableText"/>
              <w:jc w:val="center"/>
            </w:pPr>
            <w:r>
              <w:t>–4.1</w:t>
            </w:r>
          </w:p>
        </w:tc>
        <w:tc>
          <w:tcPr>
            <w:tcW w:w="1914" w:type="dxa"/>
            <w:tcBorders>
              <w:top w:val="nil"/>
            </w:tcBorders>
          </w:tcPr>
          <w:p w14:paraId="102C8EC6" w14:textId="77777777" w:rsidR="00507742" w:rsidRDefault="00507742" w:rsidP="009239BE">
            <w:pPr>
              <w:pStyle w:val="TableText"/>
              <w:tabs>
                <w:tab w:val="decimal" w:pos="1007"/>
              </w:tabs>
            </w:pPr>
            <w:r>
              <w:t>–25%</w:t>
            </w:r>
          </w:p>
        </w:tc>
      </w:tr>
      <w:tr w:rsidR="00507742" w:rsidRPr="00816588" w14:paraId="016931C2" w14:textId="77777777" w:rsidTr="009239BE">
        <w:trPr>
          <w:cantSplit/>
        </w:trPr>
        <w:tc>
          <w:tcPr>
            <w:tcW w:w="1503" w:type="dxa"/>
            <w:tcBorders>
              <w:top w:val="nil"/>
            </w:tcBorders>
          </w:tcPr>
          <w:p w14:paraId="51157E4B" w14:textId="77777777" w:rsidR="00507742" w:rsidRPr="00816588" w:rsidRDefault="00507742" w:rsidP="00572CF6">
            <w:pPr>
              <w:pStyle w:val="TableText"/>
            </w:pPr>
            <w:r w:rsidRPr="00816588">
              <w:t>Total population</w:t>
            </w:r>
          </w:p>
        </w:tc>
        <w:tc>
          <w:tcPr>
            <w:tcW w:w="1375" w:type="dxa"/>
            <w:tcBorders>
              <w:top w:val="nil"/>
            </w:tcBorders>
          </w:tcPr>
          <w:p w14:paraId="409ADBE3" w14:textId="77777777" w:rsidR="00507742" w:rsidRPr="00816588" w:rsidRDefault="00507742" w:rsidP="009239BE">
            <w:pPr>
              <w:pStyle w:val="TableText"/>
              <w:tabs>
                <w:tab w:val="decimal" w:pos="624"/>
              </w:tabs>
            </w:pPr>
            <w:r>
              <w:t>18.2</w:t>
            </w:r>
          </w:p>
        </w:tc>
        <w:tc>
          <w:tcPr>
            <w:tcW w:w="1375" w:type="dxa"/>
            <w:tcBorders>
              <w:top w:val="nil"/>
            </w:tcBorders>
          </w:tcPr>
          <w:p w14:paraId="0FF268BD" w14:textId="77777777" w:rsidR="00507742" w:rsidRPr="00816588" w:rsidRDefault="00507742" w:rsidP="009239BE">
            <w:pPr>
              <w:pStyle w:val="TableText"/>
              <w:tabs>
                <w:tab w:val="decimal" w:pos="624"/>
              </w:tabs>
            </w:pPr>
            <w:r>
              <w:t>14.2</w:t>
            </w:r>
          </w:p>
        </w:tc>
        <w:tc>
          <w:tcPr>
            <w:tcW w:w="1913" w:type="dxa"/>
            <w:tcBorders>
              <w:top w:val="nil"/>
            </w:tcBorders>
          </w:tcPr>
          <w:p w14:paraId="61A8C2E5" w14:textId="77777777" w:rsidR="00507742" w:rsidRDefault="00507742" w:rsidP="00572CF6">
            <w:pPr>
              <w:pStyle w:val="TableText"/>
              <w:jc w:val="center"/>
            </w:pPr>
            <w:r>
              <w:t>–4.0</w:t>
            </w:r>
          </w:p>
        </w:tc>
        <w:tc>
          <w:tcPr>
            <w:tcW w:w="1914" w:type="dxa"/>
            <w:tcBorders>
              <w:top w:val="nil"/>
            </w:tcBorders>
          </w:tcPr>
          <w:p w14:paraId="2249B9CA" w14:textId="77777777" w:rsidR="00507742" w:rsidRPr="00816588" w:rsidRDefault="00507742" w:rsidP="009239BE">
            <w:pPr>
              <w:pStyle w:val="TableText"/>
              <w:tabs>
                <w:tab w:val="decimal" w:pos="1007"/>
              </w:tabs>
            </w:pPr>
            <w:r>
              <w:t>–22%</w:t>
            </w:r>
          </w:p>
        </w:tc>
      </w:tr>
    </w:tbl>
    <w:p w14:paraId="3BA69BDF" w14:textId="77777777" w:rsidR="00507742" w:rsidRPr="00816588" w:rsidRDefault="00507742" w:rsidP="00507742">
      <w:pPr>
        <w:spacing w:line="20" w:lineRule="atLeast"/>
        <w:ind w:left="1695"/>
        <w:rPr>
          <w:rFonts w:ascii="Arial Unicode MS" w:eastAsia="Arial Unicode MS" w:hAnsi="Arial Unicode MS" w:cs="Arial Unicode MS"/>
          <w:sz w:val="2"/>
          <w:szCs w:val="2"/>
        </w:rPr>
      </w:pPr>
    </w:p>
    <w:p w14:paraId="01B67CEE" w14:textId="580EDDD7" w:rsidR="00507742" w:rsidRPr="00CF60ED" w:rsidRDefault="009E77CA" w:rsidP="009239BE">
      <w:pPr>
        <w:pStyle w:val="Source"/>
        <w:rPr>
          <w:rFonts w:eastAsia="Arial Unicode MS" w:hAnsi="Arial Unicode MS" w:cs="Arial Unicode MS"/>
          <w:szCs w:val="16"/>
        </w:rPr>
      </w:pPr>
      <w:r>
        <w:lastRenderedPageBreak/>
        <w:t>Source: Ministry of Health (2019a)</w:t>
      </w:r>
    </w:p>
    <w:p w14:paraId="50E356E7" w14:textId="77777777" w:rsidR="00507742" w:rsidRPr="007D038A" w:rsidRDefault="00507742" w:rsidP="009239BE"/>
    <w:p w14:paraId="3C89CEB6" w14:textId="77777777" w:rsidR="002542AA" w:rsidRDefault="00507742" w:rsidP="009239BE">
      <w:r w:rsidRPr="007D038A">
        <w:t>Although men are generally more likely to smoke than women, Māori women have higher smoking rates</w:t>
      </w:r>
      <w:r>
        <w:t xml:space="preserve"> (</w:t>
      </w:r>
      <w:r w:rsidRPr="007D038A">
        <w:t>36.</w:t>
      </w:r>
      <w:r>
        <w:t>3</w:t>
      </w:r>
      <w:r w:rsidRPr="007D038A">
        <w:t xml:space="preserve"> percent</w:t>
      </w:r>
      <w:r>
        <w:t>)</w:t>
      </w:r>
      <w:r w:rsidRPr="007D038A">
        <w:t xml:space="preserve"> than Māori men (</w:t>
      </w:r>
      <w:r>
        <w:t>31.5</w:t>
      </w:r>
      <w:r w:rsidRPr="007D038A">
        <w:t xml:space="preserve"> percent).</w:t>
      </w:r>
    </w:p>
    <w:p w14:paraId="0DCBF117" w14:textId="77777777" w:rsidR="00E143AA" w:rsidRDefault="00E143AA" w:rsidP="009239BE"/>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0A78A859" w14:textId="77777777" w:rsidTr="00572CF6">
        <w:trPr>
          <w:cantSplit/>
          <w:trHeight w:val="236"/>
        </w:trPr>
        <w:tc>
          <w:tcPr>
            <w:tcW w:w="7973" w:type="dxa"/>
          </w:tcPr>
          <w:p w14:paraId="63ECB214" w14:textId="77777777" w:rsidR="00507742" w:rsidRPr="00933A6B" w:rsidRDefault="00507742" w:rsidP="009F4773">
            <w:pPr>
              <w:pStyle w:val="TableText"/>
              <w:keepNext/>
              <w:ind w:right="-57"/>
              <w:rPr>
                <w:color w:val="0A6AB4"/>
                <w:sz w:val="24"/>
                <w:szCs w:val="24"/>
              </w:rPr>
            </w:pPr>
            <w:r>
              <w:rPr>
                <w:color w:val="0A6AB4"/>
                <w:sz w:val="24"/>
                <w:szCs w:val="24"/>
              </w:rPr>
              <w:t>The most marked inequities in smoking are by socioeconomic status</w:t>
            </w:r>
          </w:p>
        </w:tc>
      </w:tr>
    </w:tbl>
    <w:p w14:paraId="51DF1434" w14:textId="77777777" w:rsidR="00507742" w:rsidRPr="0053665C" w:rsidRDefault="00507742" w:rsidP="009F4773">
      <w:pPr>
        <w:keepNext/>
      </w:pPr>
    </w:p>
    <w:p w14:paraId="7616FFBB" w14:textId="66088B83" w:rsidR="00507742" w:rsidRDefault="00507742" w:rsidP="009F4773">
      <w:pPr>
        <w:keepNext/>
      </w:pPr>
      <w:r>
        <w:t xml:space="preserve">As shown in </w:t>
      </w:r>
      <w:r w:rsidR="009239BE">
        <w:fldChar w:fldCharType="begin"/>
      </w:r>
      <w:r w:rsidR="009239BE">
        <w:instrText xml:space="preserve"> REF _Ref57376611 \h </w:instrText>
      </w:r>
      <w:r w:rsidR="009239BE">
        <w:fldChar w:fldCharType="separate"/>
      </w:r>
      <w:r w:rsidR="003F39AB">
        <w:t>Figure </w:t>
      </w:r>
      <w:r w:rsidR="003F39AB">
        <w:rPr>
          <w:noProof/>
        </w:rPr>
        <w:t>16</w:t>
      </w:r>
      <w:r w:rsidR="009239BE">
        <w:fldChar w:fldCharType="end"/>
      </w:r>
      <w:r>
        <w:t>, a</w:t>
      </w:r>
      <w:r w:rsidRPr="007D038A">
        <w:t xml:space="preserve">dults living in the most socioeconomically deprived areas </w:t>
      </w:r>
      <w:r>
        <w:t>are</w:t>
      </w:r>
      <w:r w:rsidRPr="007D038A">
        <w:t xml:space="preserve"> </w:t>
      </w:r>
      <w:r>
        <w:t>3.6</w:t>
      </w:r>
      <w:r w:rsidR="009239BE">
        <w:t> </w:t>
      </w:r>
      <w:r w:rsidRPr="007D038A">
        <w:t xml:space="preserve">times </w:t>
      </w:r>
      <w:r>
        <w:t>as</w:t>
      </w:r>
      <w:r w:rsidRPr="007D038A">
        <w:t xml:space="preserve"> likely to smoke </w:t>
      </w:r>
      <w:r>
        <w:t>as</w:t>
      </w:r>
      <w:r w:rsidRPr="007D038A">
        <w:t xml:space="preserve"> </w:t>
      </w:r>
      <w:r>
        <w:t>adults</w:t>
      </w:r>
      <w:r w:rsidRPr="007D038A">
        <w:t xml:space="preserve"> living in the least deprived areas, after adjusting for age, gender and ethnic differences.</w:t>
      </w:r>
    </w:p>
    <w:p w14:paraId="6B5D97E6" w14:textId="77777777" w:rsidR="00507742" w:rsidRDefault="00507742" w:rsidP="009F4773">
      <w:pPr>
        <w:keepNext/>
      </w:pPr>
    </w:p>
    <w:p w14:paraId="00995336" w14:textId="3D9BC11B" w:rsidR="00507742" w:rsidRDefault="009239BE" w:rsidP="009239BE">
      <w:pPr>
        <w:pStyle w:val="Figure"/>
      </w:pPr>
      <w:bookmarkStart w:id="183" w:name="_Ref57376611"/>
      <w:bookmarkStart w:id="184" w:name="_Toc57295973"/>
      <w:bookmarkStart w:id="185" w:name="_Toc64536273"/>
      <w:r>
        <w:t>Figure </w:t>
      </w:r>
      <w:fldSimple w:instr=" SEQ Figure \* ARABIC ">
        <w:r w:rsidR="003F39AB">
          <w:rPr>
            <w:noProof/>
          </w:rPr>
          <w:t>16</w:t>
        </w:r>
      </w:fldSimple>
      <w:bookmarkEnd w:id="183"/>
      <w:r w:rsidR="00507742">
        <w:t>: Prevalence of current smoking, by neighbourhood deprivation and gender, 2018/19</w:t>
      </w:r>
      <w:bookmarkEnd w:id="184"/>
      <w:bookmarkEnd w:id="185"/>
    </w:p>
    <w:p w14:paraId="1519ED73" w14:textId="3A507E72" w:rsidR="00507742" w:rsidRDefault="00EC60FD" w:rsidP="009239BE">
      <w:r w:rsidRPr="001E65C0">
        <w:rPr>
          <w:noProof/>
          <w:lang w:eastAsia="en-NZ"/>
        </w:rPr>
        <w:drawing>
          <wp:inline distT="0" distB="0" distL="0" distR="0" wp14:anchorId="3D0FB69A" wp14:editId="055FF9A3">
            <wp:extent cx="5130165" cy="3129280"/>
            <wp:effectExtent l="0" t="0" r="0" b="0"/>
            <wp:docPr id="26" name="Picture 26" descr="This bar graph shows that smoking prevalence increases with deprivation and that men are more likely to smoke than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130165" cy="3129280"/>
                    </a:xfrm>
                    <a:prstGeom prst="rect">
                      <a:avLst/>
                    </a:prstGeom>
                  </pic:spPr>
                </pic:pic>
              </a:graphicData>
            </a:graphic>
          </wp:inline>
        </w:drawing>
      </w:r>
    </w:p>
    <w:p w14:paraId="1EB71C6A" w14:textId="18464BCF" w:rsidR="00507742" w:rsidRDefault="009E77CA" w:rsidP="009239BE">
      <w:pPr>
        <w:pStyle w:val="Source"/>
      </w:pPr>
      <w:r>
        <w:t>Source: Ministry of Health (2019a)</w:t>
      </w:r>
    </w:p>
    <w:p w14:paraId="5BD6FA39" w14:textId="77777777" w:rsidR="00F14C69" w:rsidRPr="00F14C69" w:rsidRDefault="00F14C69" w:rsidP="00F14C69">
      <w:pPr>
        <w:rPr>
          <w:rFonts w:eastAsia="Arial Unicode MS"/>
        </w:rPr>
      </w:pPr>
    </w:p>
    <w:p w14:paraId="71C9BFFF" w14:textId="77777777" w:rsidR="00507742" w:rsidRDefault="00507742" w:rsidP="009239BE"/>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49FA0815" w14:textId="77777777" w:rsidTr="00572CF6">
        <w:trPr>
          <w:cantSplit/>
        </w:trPr>
        <w:tc>
          <w:tcPr>
            <w:tcW w:w="7973" w:type="dxa"/>
          </w:tcPr>
          <w:p w14:paraId="5E2EF1AB" w14:textId="77777777" w:rsidR="00507742" w:rsidRPr="00933A6B" w:rsidRDefault="00507742" w:rsidP="005533E2">
            <w:pPr>
              <w:pStyle w:val="TableText"/>
              <w:ind w:right="-57"/>
              <w:rPr>
                <w:color w:val="0A6AB4"/>
                <w:sz w:val="24"/>
                <w:szCs w:val="24"/>
              </w:rPr>
            </w:pPr>
            <w:r>
              <w:rPr>
                <w:color w:val="0A6AB4"/>
                <w:sz w:val="24"/>
                <w:szCs w:val="24"/>
              </w:rPr>
              <w:t>One in</w:t>
            </w:r>
            <w:r w:rsidRPr="0062499C">
              <w:rPr>
                <w:color w:val="0A6AB4"/>
                <w:sz w:val="24"/>
                <w:szCs w:val="24"/>
              </w:rPr>
              <w:t xml:space="preserve"> five </w:t>
            </w:r>
            <w:r>
              <w:rPr>
                <w:color w:val="0A6AB4"/>
                <w:sz w:val="24"/>
                <w:szCs w:val="24"/>
              </w:rPr>
              <w:t>adults drinks alcohol</w:t>
            </w:r>
            <w:r w:rsidRPr="0062499C">
              <w:rPr>
                <w:color w:val="0A6AB4"/>
                <w:sz w:val="24"/>
                <w:szCs w:val="24"/>
              </w:rPr>
              <w:t xml:space="preserve"> in a way that could be harmful to themselves or others</w:t>
            </w:r>
          </w:p>
        </w:tc>
      </w:tr>
    </w:tbl>
    <w:p w14:paraId="1814FB1A" w14:textId="77777777" w:rsidR="00507742" w:rsidRDefault="00507742" w:rsidP="009239BE"/>
    <w:p w14:paraId="77F1D661" w14:textId="77777777" w:rsidR="002542AA" w:rsidRDefault="00507742" w:rsidP="009239BE">
      <w:r w:rsidRPr="007D038A">
        <w:t xml:space="preserve">Alcohol consumption </w:t>
      </w:r>
      <w:r>
        <w:t>accounted for 4.9 percent of all health loss in 2019 (Global Burden of Disease Collaborative Network 2020)</w:t>
      </w:r>
      <w:r w:rsidRPr="007D038A">
        <w:t>.</w:t>
      </w:r>
    </w:p>
    <w:p w14:paraId="13BA4173" w14:textId="77777777" w:rsidR="00507742" w:rsidRDefault="00507742" w:rsidP="009239BE"/>
    <w:p w14:paraId="6B6D9624" w14:textId="77777777" w:rsidR="00507742" w:rsidRDefault="00507742" w:rsidP="009239BE">
      <w:r>
        <w:t xml:space="preserve">In this report, </w:t>
      </w:r>
      <w:r w:rsidR="002542AA">
        <w:t>‘</w:t>
      </w:r>
      <w:r>
        <w:t>hazardous drinking</w:t>
      </w:r>
      <w:r w:rsidR="002542AA">
        <w:t>’</w:t>
      </w:r>
      <w:r>
        <w:t xml:space="preserve"> means an established pattern of drinking (measured according to internationally agreed methods) that indicates a higher risk to the person drinking or to others. However, this indicator does not take</w:t>
      </w:r>
      <w:r w:rsidRPr="00C66AA6">
        <w:t xml:space="preserve"> </w:t>
      </w:r>
      <w:r>
        <w:t>account of all harmful negative effects of alcohol and no level of intake is considered safe.</w:t>
      </w:r>
    </w:p>
    <w:p w14:paraId="6625DA36" w14:textId="77777777" w:rsidR="00507742" w:rsidRDefault="00507742" w:rsidP="009239BE"/>
    <w:p w14:paraId="553142A0" w14:textId="77777777" w:rsidR="002542AA" w:rsidRDefault="00507742" w:rsidP="009239BE">
      <w:r w:rsidRPr="007D038A">
        <w:t xml:space="preserve">In </w:t>
      </w:r>
      <w:r>
        <w:t>2018/19</w:t>
      </w:r>
      <w:r w:rsidRPr="007D038A">
        <w:t>, four in five adults</w:t>
      </w:r>
      <w:r>
        <w:t xml:space="preserve"> </w:t>
      </w:r>
      <w:r w:rsidRPr="007D038A">
        <w:t>(</w:t>
      </w:r>
      <w:r>
        <w:t>80.3</w:t>
      </w:r>
      <w:r w:rsidRPr="007D038A">
        <w:t xml:space="preserve"> percent) had consumed alcohol in the</w:t>
      </w:r>
      <w:r>
        <w:t xml:space="preserve"> </w:t>
      </w:r>
      <w:r w:rsidRPr="007D038A">
        <w:t>previous year and one in five (20</w:t>
      </w:r>
      <w:r>
        <w:t>.0</w:t>
      </w:r>
      <w:r w:rsidRPr="007D038A">
        <w:t xml:space="preserve"> percent) drank alcohol in a way that could be hazardous to themselves or others (Ministry of Health 2019</w:t>
      </w:r>
      <w:r>
        <w:t>a</w:t>
      </w:r>
      <w:r w:rsidRPr="007D038A">
        <w:t>).</w:t>
      </w:r>
    </w:p>
    <w:p w14:paraId="5DD5DB60" w14:textId="77777777" w:rsidR="007D4A6C" w:rsidRDefault="007D4A6C" w:rsidP="009239BE"/>
    <w:p w14:paraId="704DD740" w14:textId="666C25FE" w:rsidR="00507742" w:rsidRDefault="00507742" w:rsidP="009239BE">
      <w:r w:rsidRPr="007D038A">
        <w:lastRenderedPageBreak/>
        <w:t>Hazardous drinking rates</w:t>
      </w:r>
      <w:r>
        <w:t xml:space="preserve"> differ by gender and age (</w:t>
      </w:r>
      <w:r w:rsidR="009239BE">
        <w:fldChar w:fldCharType="begin"/>
      </w:r>
      <w:r w:rsidR="009239BE">
        <w:instrText xml:space="preserve"> REF _Ref57376666 \h </w:instrText>
      </w:r>
      <w:r w:rsidR="009239BE">
        <w:fldChar w:fldCharType="separate"/>
      </w:r>
      <w:r w:rsidR="003F39AB">
        <w:t>Figure </w:t>
      </w:r>
      <w:r w:rsidR="003F39AB">
        <w:rPr>
          <w:noProof/>
        </w:rPr>
        <w:t>17</w:t>
      </w:r>
      <w:r w:rsidR="009239BE">
        <w:fldChar w:fldCharType="end"/>
      </w:r>
      <w:r>
        <w:t xml:space="preserve">). Hazardous drinking rates are much higher in men </w:t>
      </w:r>
      <w:r w:rsidRPr="007D038A">
        <w:t>(27</w:t>
      </w:r>
      <w:r>
        <w:t>.5</w:t>
      </w:r>
      <w:r w:rsidRPr="007D038A">
        <w:t xml:space="preserve"> percent) </w:t>
      </w:r>
      <w:r>
        <w:t>than</w:t>
      </w:r>
      <w:r w:rsidRPr="007D038A">
        <w:t xml:space="preserve"> women</w:t>
      </w:r>
      <w:r>
        <w:t xml:space="preserve"> </w:t>
      </w:r>
      <w:r w:rsidRPr="007D038A">
        <w:t>(</w:t>
      </w:r>
      <w:r>
        <w:t>12.8</w:t>
      </w:r>
      <w:r w:rsidRPr="007D038A">
        <w:t xml:space="preserve"> percent). </w:t>
      </w:r>
      <w:r>
        <w:t>Young adults aged 18</w:t>
      </w:r>
      <w:r w:rsidRPr="00A54EC4">
        <w:t>–</w:t>
      </w:r>
      <w:r>
        <w:t>24 years had the highest hazardous drinking rate (35.4 percent).</w:t>
      </w:r>
    </w:p>
    <w:p w14:paraId="7547A93C" w14:textId="05F14BBC" w:rsidR="00507742" w:rsidRDefault="009239BE" w:rsidP="009239BE">
      <w:pPr>
        <w:pStyle w:val="Figure"/>
        <w:spacing w:before="360"/>
      </w:pPr>
      <w:bookmarkStart w:id="186" w:name="_Ref57376666"/>
      <w:bookmarkStart w:id="187" w:name="_Toc399506748"/>
      <w:bookmarkStart w:id="188" w:name="_Toc400646801"/>
      <w:bookmarkStart w:id="189" w:name="_Toc57295974"/>
      <w:bookmarkStart w:id="190" w:name="_Toc64536274"/>
      <w:r>
        <w:t>Figure </w:t>
      </w:r>
      <w:fldSimple w:instr=" SEQ Figure \* ARABIC ">
        <w:r w:rsidR="003F39AB">
          <w:rPr>
            <w:noProof/>
          </w:rPr>
          <w:t>17</w:t>
        </w:r>
      </w:fldSimple>
      <w:bookmarkEnd w:id="186"/>
      <w:r w:rsidR="00507742">
        <w:rPr>
          <w:noProof/>
        </w:rPr>
        <w:t xml:space="preserve">: Prevalence of </w:t>
      </w:r>
      <w:r w:rsidR="00507742">
        <w:t xml:space="preserve">hazardous drinking, by age group and gender, </w:t>
      </w:r>
      <w:bookmarkEnd w:id="187"/>
      <w:bookmarkEnd w:id="188"/>
      <w:r w:rsidR="00507742">
        <w:t>2018/19</w:t>
      </w:r>
      <w:bookmarkEnd w:id="189"/>
      <w:bookmarkEnd w:id="190"/>
    </w:p>
    <w:p w14:paraId="59344DB8" w14:textId="2B14A602" w:rsidR="00507742" w:rsidRPr="00802E82" w:rsidRDefault="00EC60FD" w:rsidP="007D4A6C">
      <w:r w:rsidRPr="001E65C0">
        <w:rPr>
          <w:noProof/>
          <w:lang w:eastAsia="en-NZ"/>
        </w:rPr>
        <w:drawing>
          <wp:inline distT="0" distB="0" distL="0" distR="0" wp14:anchorId="523160DC" wp14:editId="1988F0E9">
            <wp:extent cx="5130165" cy="3129280"/>
            <wp:effectExtent l="0" t="0" r="0" b="0"/>
            <wp:docPr id="27" name="Picture 27" descr="This bar graph shows that hazardous drinking is most common in the 18-24 age group and decreases with age after that point. It is more common in men than in women in ever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30165" cy="3129280"/>
                    </a:xfrm>
                    <a:prstGeom prst="rect">
                      <a:avLst/>
                    </a:prstGeom>
                  </pic:spPr>
                </pic:pic>
              </a:graphicData>
            </a:graphic>
          </wp:inline>
        </w:drawing>
      </w:r>
    </w:p>
    <w:p w14:paraId="46966D7A" w14:textId="109267C6" w:rsidR="00507742" w:rsidRDefault="009E77CA" w:rsidP="009239BE">
      <w:pPr>
        <w:pStyle w:val="Source"/>
      </w:pPr>
      <w:r>
        <w:t>Source: Ministry of Health (2019a)</w:t>
      </w:r>
    </w:p>
    <w:p w14:paraId="13F2AECD" w14:textId="77777777" w:rsidR="00507742" w:rsidRDefault="00507742" w:rsidP="009239BE"/>
    <w:p w14:paraId="60289AE7" w14:textId="36482191" w:rsidR="00507742" w:rsidRDefault="00507742" w:rsidP="009239BE">
      <w:r>
        <w:t>Hazardous drinking rates vary by ethnicity, with the highest rates in Māori</w:t>
      </w:r>
      <w:r w:rsidRPr="008F5AEC">
        <w:t xml:space="preserve"> </w:t>
      </w:r>
      <w:r>
        <w:t>adults (33.2</w:t>
      </w:r>
      <w:r w:rsidR="009239BE">
        <w:t> </w:t>
      </w:r>
      <w:r>
        <w:t>percent) and lowest rates in Asian</w:t>
      </w:r>
      <w:r w:rsidRPr="008F5AEC">
        <w:t xml:space="preserve"> </w:t>
      </w:r>
      <w:r>
        <w:t>adults (6.2 percent). After adjusting for age and gender differences, Māori adults were 1.6 times as likely as non-Māori adults</w:t>
      </w:r>
      <w:r w:rsidR="009E7C35">
        <w:t xml:space="preserve"> to be hazardous drinkers</w:t>
      </w:r>
      <w:r>
        <w:t>.</w:t>
      </w:r>
    </w:p>
    <w:p w14:paraId="10CB851C" w14:textId="77777777" w:rsidR="00507742" w:rsidRPr="007D038A" w:rsidRDefault="00507742" w:rsidP="009239BE"/>
    <w:p w14:paraId="6ABE39F1" w14:textId="7DF7B8A1" w:rsidR="002542AA" w:rsidRDefault="00507742" w:rsidP="009239BE">
      <w:r>
        <w:t xml:space="preserve">In the </w:t>
      </w:r>
      <w:r w:rsidRPr="00E4414F">
        <w:t>2016/17 New Zealand Health Survey, 15</w:t>
      </w:r>
      <w:r>
        <w:t>.2</w:t>
      </w:r>
      <w:r w:rsidRPr="00E4414F">
        <w:t xml:space="preserve"> percent of adults had a moderate or high risk of problematic alcohol use </w:t>
      </w:r>
      <w:r>
        <w:t xml:space="preserve">based on a score of </w:t>
      </w:r>
      <w:r w:rsidR="00AA1DFF">
        <w:t xml:space="preserve">eleven </w:t>
      </w:r>
      <w:r>
        <w:t>or more on the ASSIST tool</w:t>
      </w:r>
      <w:r w:rsidR="00AA1DFF">
        <w:rPr>
          <w:rStyle w:val="FootnoteReference"/>
        </w:rPr>
        <w:footnoteReference w:id="5"/>
      </w:r>
      <w:r>
        <w:t xml:space="preserve"> </w:t>
      </w:r>
      <w:r w:rsidRPr="00E4414F">
        <w:t>(Ministry of Health 2020</w:t>
      </w:r>
      <w:r>
        <w:t>e</w:t>
      </w:r>
      <w:r w:rsidRPr="00E4414F">
        <w:t xml:space="preserve">). </w:t>
      </w:r>
      <w:r>
        <w:t>Problematic use of alcohol was more common in men (18.7</w:t>
      </w:r>
      <w:r w:rsidR="009239BE">
        <w:t> </w:t>
      </w:r>
      <w:r>
        <w:t>percent) than in women (12.0 percent). After adjusting for age and gender, Māori were 1.4 times as likely as non-Māori to have a moderate or high risk of problematic alcohol use.</w:t>
      </w:r>
    </w:p>
    <w:p w14:paraId="2372EEBA" w14:textId="77777777" w:rsidR="00F14C69" w:rsidRDefault="00F14C69" w:rsidP="009239BE"/>
    <w:p w14:paraId="1EC1CA4A" w14:textId="77777777" w:rsidR="009239BE" w:rsidRDefault="009239BE" w:rsidP="009239BE"/>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2900BA75" w14:textId="77777777" w:rsidTr="00572CF6">
        <w:trPr>
          <w:cantSplit/>
        </w:trPr>
        <w:tc>
          <w:tcPr>
            <w:tcW w:w="7973" w:type="dxa"/>
          </w:tcPr>
          <w:p w14:paraId="6A85C5C3" w14:textId="77777777" w:rsidR="00507742" w:rsidRPr="00933A6B" w:rsidRDefault="00507742" w:rsidP="007D4A6C">
            <w:pPr>
              <w:pStyle w:val="TableText"/>
              <w:keepNext/>
              <w:ind w:right="-57"/>
              <w:rPr>
                <w:color w:val="0A6AB4"/>
                <w:sz w:val="24"/>
                <w:szCs w:val="24"/>
              </w:rPr>
            </w:pPr>
            <w:r>
              <w:rPr>
                <w:color w:val="0A6AB4"/>
                <w:sz w:val="24"/>
                <w:szCs w:val="24"/>
              </w:rPr>
              <w:lastRenderedPageBreak/>
              <w:t>Problematic cannabinoid use is more common in Māori adults</w:t>
            </w:r>
          </w:p>
        </w:tc>
      </w:tr>
    </w:tbl>
    <w:p w14:paraId="1BFDF492" w14:textId="77777777" w:rsidR="00507742" w:rsidRDefault="00507742" w:rsidP="007D4A6C">
      <w:pPr>
        <w:keepNext/>
      </w:pPr>
    </w:p>
    <w:p w14:paraId="789C4540" w14:textId="77777777" w:rsidR="002542AA" w:rsidRDefault="00507742" w:rsidP="007D4A6C">
      <w:pPr>
        <w:keepNext/>
      </w:pPr>
      <w:r>
        <w:t>Drug</w:t>
      </w:r>
      <w:r w:rsidRPr="007D038A">
        <w:t xml:space="preserve"> </w:t>
      </w:r>
      <w:r>
        <w:t>use</w:t>
      </w:r>
      <w:r w:rsidRPr="007D038A">
        <w:t xml:space="preserve"> </w:t>
      </w:r>
      <w:r>
        <w:t>accounted for 1.5 percent of all health loss in 2019 (Global Burden of Disease Collaborative Network 2020)</w:t>
      </w:r>
      <w:r w:rsidRPr="007D038A">
        <w:t>.</w:t>
      </w:r>
    </w:p>
    <w:p w14:paraId="1E199BA4" w14:textId="77777777" w:rsidR="00507742" w:rsidRDefault="00507742" w:rsidP="007D4A6C">
      <w:pPr>
        <w:keepNext/>
      </w:pPr>
    </w:p>
    <w:p w14:paraId="5774B1ED" w14:textId="77777777" w:rsidR="00507742" w:rsidRDefault="00507742" w:rsidP="007D4A6C">
      <w:pPr>
        <w:keepNext/>
        <w:keepLines/>
      </w:pPr>
      <w:bookmarkStart w:id="191" w:name="_Hlk56415644"/>
      <w:r>
        <w:t xml:space="preserve">In the </w:t>
      </w:r>
      <w:r w:rsidRPr="00E4414F">
        <w:t xml:space="preserve">2016/17 New Zealand Health Survey, </w:t>
      </w:r>
      <w:r>
        <w:t>7.3</w:t>
      </w:r>
      <w:r w:rsidRPr="00E4414F">
        <w:t xml:space="preserve"> percent of adults had a moderate or high risk of problematic </w:t>
      </w:r>
      <w:r>
        <w:t>cannabinoid use</w:t>
      </w:r>
      <w:r w:rsidRPr="00E4414F">
        <w:t xml:space="preserve"> </w:t>
      </w:r>
      <w:r>
        <w:t xml:space="preserve">based on a score of four or more on the ASSIST tool </w:t>
      </w:r>
      <w:r w:rsidRPr="00E4414F">
        <w:t>(Ministry of Health 2020</w:t>
      </w:r>
      <w:r>
        <w:t>e</w:t>
      </w:r>
      <w:r w:rsidRPr="00E4414F">
        <w:t xml:space="preserve">). </w:t>
      </w:r>
      <w:bookmarkEnd w:id="191"/>
      <w:r>
        <w:t>Problematic cannabinoid use was more common in men (9.6 percent) than in women (5.1 percent). After adjusting for age and gender, Māori adults were 2.9 times as likely as non-Māori adults to have a moderate or high risk of problematic cannabinoid use.</w:t>
      </w:r>
    </w:p>
    <w:p w14:paraId="32DAB8A6" w14:textId="77777777" w:rsidR="009239BE" w:rsidRDefault="009239BE" w:rsidP="009239BE"/>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A124D4" w14:paraId="7BCAB905" w14:textId="77777777" w:rsidTr="00A124D4">
        <w:trPr>
          <w:cantSplit/>
        </w:trPr>
        <w:tc>
          <w:tcPr>
            <w:tcW w:w="7973" w:type="dxa"/>
          </w:tcPr>
          <w:p w14:paraId="38D91A17" w14:textId="4944DEEB" w:rsidR="00A124D4" w:rsidRPr="00933A6B" w:rsidRDefault="00A124D4" w:rsidP="00A124D4">
            <w:pPr>
              <w:pStyle w:val="TableText"/>
              <w:keepNext/>
              <w:ind w:right="-57"/>
              <w:rPr>
                <w:color w:val="0A6AB4"/>
                <w:sz w:val="24"/>
                <w:szCs w:val="24"/>
              </w:rPr>
            </w:pPr>
            <w:r w:rsidRPr="00A124D4">
              <w:rPr>
                <w:color w:val="0A6AB4"/>
                <w:sz w:val="24"/>
                <w:szCs w:val="24"/>
              </w:rPr>
              <w:t xml:space="preserve">Collectively, dietary risks account for </w:t>
            </w:r>
            <w:r>
              <w:rPr>
                <w:color w:val="0A6AB4"/>
                <w:sz w:val="24"/>
                <w:szCs w:val="24"/>
              </w:rPr>
              <w:t xml:space="preserve">about </w:t>
            </w:r>
            <w:r w:rsidRPr="00A124D4">
              <w:rPr>
                <w:color w:val="0A6AB4"/>
                <w:sz w:val="24"/>
                <w:szCs w:val="24"/>
              </w:rPr>
              <w:t xml:space="preserve">7 percent of all health loss </w:t>
            </w:r>
          </w:p>
        </w:tc>
      </w:tr>
    </w:tbl>
    <w:p w14:paraId="2B28FEC3" w14:textId="77777777" w:rsidR="00A124D4" w:rsidRDefault="00A124D4" w:rsidP="00A124D4">
      <w:pPr>
        <w:keepNext/>
      </w:pPr>
    </w:p>
    <w:p w14:paraId="411DA54E" w14:textId="77777777" w:rsidR="002542AA" w:rsidRDefault="00507742" w:rsidP="009239BE">
      <w:r w:rsidRPr="00490332">
        <w:t>The foods and drinks we consume play a major role in our health and wellbeing. A</w:t>
      </w:r>
      <w:r w:rsidR="009239BE">
        <w:t> </w:t>
      </w:r>
      <w:r w:rsidRPr="00490332">
        <w:t>healthy diet throughout life can help prevent nutritional deficiencies, protect against infection and help maintain a healthy body weight. It also reduces the risk of cardiovascular diseases, type 2 diabetes and some cancers.</w:t>
      </w:r>
      <w:r>
        <w:t xml:space="preserve"> Collectively, dietary risks accounted for about 7.4 percent of all health loss in New Zealand in 2019 (Global Burden of Disease Collaborative Network 2020).</w:t>
      </w:r>
    </w:p>
    <w:p w14:paraId="295B6765" w14:textId="77777777" w:rsidR="00507742" w:rsidRPr="00693B7E" w:rsidRDefault="00507742" w:rsidP="009239BE">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678E4912" w14:textId="77777777" w:rsidTr="00572CF6">
        <w:trPr>
          <w:cantSplit/>
        </w:trPr>
        <w:tc>
          <w:tcPr>
            <w:tcW w:w="7973" w:type="dxa"/>
          </w:tcPr>
          <w:p w14:paraId="329A612A" w14:textId="77777777" w:rsidR="00507742" w:rsidRPr="00933A6B" w:rsidRDefault="00507742" w:rsidP="009239BE">
            <w:pPr>
              <w:pStyle w:val="TableText"/>
              <w:ind w:right="-57"/>
              <w:rPr>
                <w:color w:val="0A6AB4"/>
                <w:sz w:val="24"/>
                <w:szCs w:val="24"/>
              </w:rPr>
            </w:pPr>
            <w:r>
              <w:rPr>
                <w:color w:val="0A6AB4"/>
                <w:sz w:val="24"/>
                <w:szCs w:val="24"/>
              </w:rPr>
              <w:t>Only one-third of adults meet recommendations for vegetable and fruit</w:t>
            </w:r>
            <w:r w:rsidR="009239BE">
              <w:rPr>
                <w:color w:val="0A6AB4"/>
                <w:sz w:val="24"/>
                <w:szCs w:val="24"/>
              </w:rPr>
              <w:t> </w:t>
            </w:r>
            <w:r>
              <w:rPr>
                <w:color w:val="0A6AB4"/>
                <w:sz w:val="24"/>
                <w:szCs w:val="24"/>
              </w:rPr>
              <w:t>intake</w:t>
            </w:r>
          </w:p>
        </w:tc>
      </w:tr>
    </w:tbl>
    <w:p w14:paraId="589615F3" w14:textId="77777777" w:rsidR="00507742" w:rsidRPr="0053665C" w:rsidRDefault="00507742" w:rsidP="009239BE"/>
    <w:p w14:paraId="10D4E006" w14:textId="77777777" w:rsidR="00507742" w:rsidRDefault="00507742" w:rsidP="009239BE">
      <w:r>
        <w:t xml:space="preserve">The Ministry of Health recommends that adults </w:t>
      </w:r>
      <w:r w:rsidRPr="001B44AE">
        <w:t>eat at least three servings of vegetables and at least two servings of fruit each day.</w:t>
      </w:r>
    </w:p>
    <w:p w14:paraId="51A30A5D" w14:textId="77777777" w:rsidR="00507742" w:rsidRDefault="00507742" w:rsidP="009239BE"/>
    <w:p w14:paraId="76D176DC" w14:textId="77777777" w:rsidR="002542AA" w:rsidRDefault="00507742" w:rsidP="009239BE">
      <w:r w:rsidRPr="007D038A">
        <w:t xml:space="preserve">In </w:t>
      </w:r>
      <w:r>
        <w:t>2018/19</w:t>
      </w:r>
      <w:r w:rsidRPr="007D038A">
        <w:t xml:space="preserve">, </w:t>
      </w:r>
      <w:r>
        <w:t>one-third (32.5</w:t>
      </w:r>
      <w:r w:rsidRPr="007D038A">
        <w:t xml:space="preserve"> percent</w:t>
      </w:r>
      <w:r>
        <w:t>)</w:t>
      </w:r>
      <w:r w:rsidRPr="007D038A">
        <w:t xml:space="preserve"> of adults met the guidelines for daily vegetable and fruit intake (Ministry of Health 2019</w:t>
      </w:r>
      <w:r>
        <w:t>a</w:t>
      </w:r>
      <w:r w:rsidRPr="007D038A">
        <w:t xml:space="preserve">). Those living in the most deprived communities </w:t>
      </w:r>
      <w:r>
        <w:t>were</w:t>
      </w:r>
      <w:r w:rsidRPr="007D038A">
        <w:t xml:space="preserve"> less likely to eat the recommended</w:t>
      </w:r>
      <w:r>
        <w:t xml:space="preserve"> number of</w:t>
      </w:r>
      <w:r w:rsidRPr="007D038A">
        <w:t xml:space="preserve"> servings than those in the least deprived communities.</w:t>
      </w:r>
    </w:p>
    <w:p w14:paraId="5CC9D766" w14:textId="77777777" w:rsidR="00507742" w:rsidRDefault="00507742" w:rsidP="009239BE">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67F05423" w14:textId="77777777" w:rsidTr="00572CF6">
        <w:trPr>
          <w:cantSplit/>
        </w:trPr>
        <w:tc>
          <w:tcPr>
            <w:tcW w:w="7973" w:type="dxa"/>
          </w:tcPr>
          <w:p w14:paraId="46593919" w14:textId="77777777" w:rsidR="00507742" w:rsidRPr="00933A6B" w:rsidRDefault="00507742" w:rsidP="007D4A6C">
            <w:pPr>
              <w:pStyle w:val="TableText"/>
              <w:keepNext/>
              <w:ind w:right="-57"/>
              <w:rPr>
                <w:color w:val="0A6AB4"/>
                <w:sz w:val="24"/>
                <w:szCs w:val="24"/>
              </w:rPr>
            </w:pPr>
            <w:r>
              <w:rPr>
                <w:color w:val="0A6AB4"/>
                <w:sz w:val="24"/>
                <w:szCs w:val="24"/>
              </w:rPr>
              <w:lastRenderedPageBreak/>
              <w:t>Sodium intake continues to be higher than recommended</w:t>
            </w:r>
          </w:p>
        </w:tc>
      </w:tr>
    </w:tbl>
    <w:p w14:paraId="09D8BDAD" w14:textId="77777777" w:rsidR="00507742" w:rsidRPr="0053665C" w:rsidRDefault="00507742" w:rsidP="007D4A6C">
      <w:pPr>
        <w:keepNext/>
      </w:pPr>
    </w:p>
    <w:p w14:paraId="5AF14C18" w14:textId="77777777" w:rsidR="002542AA" w:rsidRDefault="00507742" w:rsidP="007D4A6C">
      <w:pPr>
        <w:keepNext/>
      </w:pPr>
      <w:r w:rsidRPr="007768D8">
        <w:t>Diets high in sodium put strain on the kidneys and raise blood pressure. Most dietary sodium comes from salt (sodium chloride) in manufactured or processed foods</w:t>
      </w:r>
      <w:r>
        <w:t>.</w:t>
      </w:r>
    </w:p>
    <w:p w14:paraId="76012209" w14:textId="77777777" w:rsidR="00507742" w:rsidRDefault="00507742" w:rsidP="007D4A6C">
      <w:pPr>
        <w:keepNext/>
      </w:pPr>
    </w:p>
    <w:p w14:paraId="2483B400" w14:textId="4763ADE0" w:rsidR="00507742" w:rsidRDefault="00507742" w:rsidP="007D4A6C">
      <w:pPr>
        <w:keepNext/>
        <w:keepLines/>
      </w:pPr>
      <w:r>
        <w:t>Based on the most recent data on urinary sodium excretion (Ministry of Health 2020i), adults consume about 3,000 mg of sodium each day. This level of sodium intake is well above the World Health Organization recommendation of less than 2,000 mg per day. It is unlikely that sodium intake has declined in recent years given there was no change in urinary sodium between 2008/09 and 2014/15, even though the sodium content of some foods had fallen over that period. Recent monitoring of the food supply shows that decreases in the sodium content of some foods (eg, bread) were offset by increases in the serving size (and so also in sodium levels) in other foods (Eyles et al 2018).</w:t>
      </w:r>
    </w:p>
    <w:p w14:paraId="5612536C" w14:textId="77777777" w:rsidR="00F14C69" w:rsidRDefault="00F14C69" w:rsidP="007D4A6C">
      <w:pPr>
        <w:keepNext/>
        <w:keepLines/>
      </w:pPr>
    </w:p>
    <w:p w14:paraId="6B9D19DF" w14:textId="77777777" w:rsidR="009239BE" w:rsidRDefault="009239BE" w:rsidP="009239BE"/>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25B3C737" w14:textId="77777777" w:rsidTr="00572CF6">
        <w:trPr>
          <w:cantSplit/>
        </w:trPr>
        <w:tc>
          <w:tcPr>
            <w:tcW w:w="7973" w:type="dxa"/>
          </w:tcPr>
          <w:p w14:paraId="7D544A50" w14:textId="77777777" w:rsidR="00507742" w:rsidRPr="00933A6B" w:rsidRDefault="00507742" w:rsidP="005533E2">
            <w:pPr>
              <w:pStyle w:val="TableText"/>
              <w:ind w:right="-57"/>
              <w:rPr>
                <w:color w:val="0A6AB4"/>
                <w:sz w:val="24"/>
                <w:szCs w:val="24"/>
              </w:rPr>
            </w:pPr>
            <w:r w:rsidRPr="00BD5E76">
              <w:rPr>
                <w:color w:val="0A6AB4"/>
                <w:sz w:val="24"/>
                <w:szCs w:val="24"/>
              </w:rPr>
              <w:t xml:space="preserve">Half of </w:t>
            </w:r>
            <w:r>
              <w:rPr>
                <w:color w:val="0A6AB4"/>
                <w:sz w:val="24"/>
                <w:szCs w:val="24"/>
              </w:rPr>
              <w:t>New Zealand</w:t>
            </w:r>
            <w:r w:rsidRPr="00BD5E76">
              <w:rPr>
                <w:color w:val="0A6AB4"/>
                <w:sz w:val="24"/>
                <w:szCs w:val="24"/>
              </w:rPr>
              <w:t xml:space="preserve"> </w:t>
            </w:r>
            <w:r>
              <w:rPr>
                <w:color w:val="0A6AB4"/>
                <w:sz w:val="24"/>
                <w:szCs w:val="24"/>
              </w:rPr>
              <w:t>adults</w:t>
            </w:r>
            <w:r w:rsidRPr="00BD5E76">
              <w:rPr>
                <w:color w:val="0A6AB4"/>
                <w:sz w:val="24"/>
                <w:szCs w:val="24"/>
              </w:rPr>
              <w:t xml:space="preserve"> meet physical activity guidelines</w:t>
            </w:r>
          </w:p>
        </w:tc>
      </w:tr>
    </w:tbl>
    <w:p w14:paraId="7CEE4F09" w14:textId="77777777" w:rsidR="00507742" w:rsidRPr="007D038A" w:rsidRDefault="00507742" w:rsidP="009239BE"/>
    <w:p w14:paraId="5D5B061A" w14:textId="77777777" w:rsidR="002542AA" w:rsidRDefault="00507742" w:rsidP="009239BE">
      <w:r w:rsidRPr="007E7D51">
        <w:t>Physical activity helps protect against heart disease, stroke, type 2 diabetes, certain cancers, osteoarthritis and depression. It is also important for maintaining a healthy weight and preventing and reducing obesity</w:t>
      </w:r>
      <w:r>
        <w:t>. Low levels of physical activity accounted for 1.2</w:t>
      </w:r>
      <w:r w:rsidR="009239BE">
        <w:t> </w:t>
      </w:r>
      <w:r>
        <w:t>percent of health loss in 2019 (Global Burden of Disease Collaborative Network 2020).</w:t>
      </w:r>
    </w:p>
    <w:p w14:paraId="0805FAC6" w14:textId="77777777" w:rsidR="00507742" w:rsidRPr="007D038A" w:rsidRDefault="00507742" w:rsidP="009239BE">
      <w:pPr>
        <w:spacing w:before="240"/>
      </w:pPr>
      <w:r w:rsidRPr="007D038A">
        <w:t xml:space="preserve">The Ministry of Health recommends that adults </w:t>
      </w:r>
      <w:r>
        <w:t>(</w:t>
      </w:r>
      <w:r w:rsidRPr="007D038A">
        <w:t>18 years</w:t>
      </w:r>
      <w:r>
        <w:t xml:space="preserve"> and older)</w:t>
      </w:r>
      <w:r w:rsidRPr="007D038A">
        <w:t xml:space="preserve"> do</w:t>
      </w:r>
      <w:r>
        <w:t xml:space="preserve"> at least 2½</w:t>
      </w:r>
      <w:r w:rsidR="009239BE">
        <w:t> </w:t>
      </w:r>
      <w:r>
        <w:t>hours of moderate or 1¼</w:t>
      </w:r>
      <w:r w:rsidR="009239BE">
        <w:t> </w:t>
      </w:r>
      <w:r>
        <w:t xml:space="preserve">hours of vigorous physical activity spread throughout the week. Physical activity includes </w:t>
      </w:r>
      <w:r w:rsidRPr="00EA4D34">
        <w:t>deliberate exercise (such as running and sports), incidental activity (such as housework), work-related activity and active transport</w:t>
      </w:r>
      <w:r>
        <w:t>.</w:t>
      </w:r>
    </w:p>
    <w:p w14:paraId="687243E9" w14:textId="77777777" w:rsidR="00507742" w:rsidRDefault="00507742" w:rsidP="009239BE"/>
    <w:p w14:paraId="02A43483" w14:textId="77777777" w:rsidR="002542AA" w:rsidRDefault="00507742" w:rsidP="009239BE">
      <w:r w:rsidRPr="007D038A">
        <w:t xml:space="preserve">In </w:t>
      </w:r>
      <w:r>
        <w:t>2018/19</w:t>
      </w:r>
      <w:r w:rsidRPr="007D038A">
        <w:t xml:space="preserve">, </w:t>
      </w:r>
      <w:r>
        <w:t>50.8</w:t>
      </w:r>
      <w:r w:rsidRPr="007D038A">
        <w:t xml:space="preserve"> percent of </w:t>
      </w:r>
      <w:r>
        <w:t>adults</w:t>
      </w:r>
      <w:r w:rsidRPr="007D038A">
        <w:t xml:space="preserve"> were physically active</w:t>
      </w:r>
      <w:r w:rsidRPr="009239BE">
        <w:rPr>
          <w:rStyle w:val="FootnoteReference"/>
        </w:rPr>
        <w:footnoteReference w:id="6"/>
      </w:r>
      <w:r w:rsidRPr="007D038A">
        <w:t xml:space="preserve"> (Ministry of Health 2019</w:t>
      </w:r>
      <w:r>
        <w:t>a</w:t>
      </w:r>
      <w:r w:rsidRPr="007D038A">
        <w:t xml:space="preserve">). </w:t>
      </w:r>
      <w:r>
        <w:t>This is a decline since 2011/12 when 54.4 percent of adults were physically active.</w:t>
      </w:r>
    </w:p>
    <w:p w14:paraId="707F4A85" w14:textId="77777777" w:rsidR="00507742" w:rsidRDefault="00507742" w:rsidP="009239BE"/>
    <w:p w14:paraId="5E5AD4B7" w14:textId="77777777" w:rsidR="00507742" w:rsidRDefault="00507742" w:rsidP="009239BE">
      <w:r>
        <w:t>Men (54.7 percent) were more likely to be</w:t>
      </w:r>
      <w:r w:rsidRPr="007D038A">
        <w:t xml:space="preserve"> physically active than women</w:t>
      </w:r>
      <w:r>
        <w:t xml:space="preserve"> (47.1 percent)</w:t>
      </w:r>
      <w:r w:rsidRPr="007D038A">
        <w:t xml:space="preserve">. </w:t>
      </w:r>
      <w:r>
        <w:t>Pacific (44.8</w:t>
      </w:r>
      <w:r w:rsidRPr="00D92EE1">
        <w:t xml:space="preserve"> </w:t>
      </w:r>
      <w:r>
        <w:t xml:space="preserve">percent) and Asian (42.8 percent) adults were slightly less likely to be physically active. </w:t>
      </w:r>
      <w:r w:rsidRPr="007D038A">
        <w:t xml:space="preserve">Women in our most deprived areas are </w:t>
      </w:r>
      <w:r>
        <w:t>the</w:t>
      </w:r>
      <w:r w:rsidRPr="007D038A">
        <w:t xml:space="preserve"> </w:t>
      </w:r>
      <w:r>
        <w:t>least</w:t>
      </w:r>
      <w:r w:rsidRPr="007D038A">
        <w:t xml:space="preserve"> likely to </w:t>
      </w:r>
      <w:r>
        <w:t>be physically active (39.0 percent).</w:t>
      </w:r>
    </w:p>
    <w:p w14:paraId="5D9F5FBF" w14:textId="77777777" w:rsidR="00507742" w:rsidRDefault="00507742" w:rsidP="009239BE"/>
    <w:p w14:paraId="46291879" w14:textId="77777777" w:rsidR="00507742" w:rsidRDefault="00507742" w:rsidP="009239BE">
      <w:r>
        <w:t>In 2018/19, 14.0 percent of adults did little or no physical activity (defined as less than 30</w:t>
      </w:r>
      <w:r w:rsidR="009239BE">
        <w:t> </w:t>
      </w:r>
      <w:r>
        <w:t>minutes of activity in the last seven days). This is an increase since 2011/12 when 12.5</w:t>
      </w:r>
      <w:r w:rsidR="009239BE">
        <w:t> </w:t>
      </w:r>
      <w:r>
        <w:t>percent did little or no physical activity.</w:t>
      </w:r>
    </w:p>
    <w:p w14:paraId="319CBDFD" w14:textId="77777777" w:rsidR="00507742" w:rsidRDefault="00507742" w:rsidP="009239BE">
      <w:pPr>
        <w:spacing w:after="240"/>
      </w:pP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3137952D" w14:textId="77777777" w:rsidTr="00572CF6">
        <w:trPr>
          <w:cantSplit/>
        </w:trPr>
        <w:tc>
          <w:tcPr>
            <w:tcW w:w="7973" w:type="dxa"/>
          </w:tcPr>
          <w:p w14:paraId="65315931" w14:textId="77777777" w:rsidR="00507742" w:rsidRPr="00933A6B" w:rsidRDefault="00507742" w:rsidP="007D4A6C">
            <w:pPr>
              <w:pStyle w:val="TableText"/>
              <w:keepNext/>
              <w:ind w:right="-57"/>
              <w:rPr>
                <w:color w:val="0A6AB4"/>
                <w:sz w:val="24"/>
                <w:szCs w:val="24"/>
              </w:rPr>
            </w:pPr>
            <w:r>
              <w:rPr>
                <w:color w:val="0A6AB4"/>
                <w:sz w:val="24"/>
                <w:szCs w:val="24"/>
              </w:rPr>
              <w:t>Few children meet screen time</w:t>
            </w:r>
            <w:r w:rsidRPr="00BD5E76">
              <w:rPr>
                <w:color w:val="0A6AB4"/>
                <w:sz w:val="24"/>
                <w:szCs w:val="24"/>
              </w:rPr>
              <w:t xml:space="preserve"> guidelines</w:t>
            </w:r>
          </w:p>
        </w:tc>
      </w:tr>
    </w:tbl>
    <w:p w14:paraId="3C62BA29" w14:textId="77777777" w:rsidR="00507742" w:rsidRPr="007D038A" w:rsidRDefault="00507742" w:rsidP="007D4A6C">
      <w:pPr>
        <w:keepNext/>
      </w:pPr>
    </w:p>
    <w:p w14:paraId="328C966E" w14:textId="77777777" w:rsidR="00507742" w:rsidRPr="007D038A" w:rsidRDefault="00507742" w:rsidP="009239BE">
      <w:r w:rsidRPr="007D038A">
        <w:t xml:space="preserve">The health risks of sedentary behaviour, such as screen time, </w:t>
      </w:r>
      <w:r>
        <w:t>are increasingly</w:t>
      </w:r>
      <w:r w:rsidRPr="007D038A">
        <w:t xml:space="preserve"> recognised. </w:t>
      </w:r>
      <w:r w:rsidR="002542AA">
        <w:t>‘</w:t>
      </w:r>
      <w:r w:rsidRPr="007D038A">
        <w:t>Screen time</w:t>
      </w:r>
      <w:r w:rsidR="002542AA">
        <w:t>’</w:t>
      </w:r>
      <w:r w:rsidRPr="007D038A">
        <w:t xml:space="preserve"> </w:t>
      </w:r>
      <w:r>
        <w:t>means</w:t>
      </w:r>
      <w:r w:rsidRPr="007D038A">
        <w:t xml:space="preserve"> the time children and young people spend watching </w:t>
      </w:r>
      <w:r w:rsidRPr="007D038A">
        <w:lastRenderedPageBreak/>
        <w:t>television or looking at a computer, phone or tablet screen, excluding time at school or for homework.</w:t>
      </w:r>
    </w:p>
    <w:p w14:paraId="5673C424" w14:textId="77777777" w:rsidR="00507742" w:rsidRDefault="00507742" w:rsidP="009239BE"/>
    <w:p w14:paraId="32386C2D" w14:textId="77777777" w:rsidR="00507742" w:rsidRPr="007D038A" w:rsidRDefault="00507742" w:rsidP="009239BE">
      <w:r w:rsidRPr="007D038A">
        <w:t>Ministry of Health guidelines recommend that children aged 6–23 months should not have any screen time, while daily screen time should be less than one hour for those aged 2–4 years and less than two hours for those aged 5–14 years.</w:t>
      </w:r>
    </w:p>
    <w:p w14:paraId="399ABEAF" w14:textId="77777777" w:rsidR="00507742" w:rsidRDefault="00507742" w:rsidP="009239BE"/>
    <w:p w14:paraId="00920C3B" w14:textId="4A9AE882" w:rsidR="00507742" w:rsidRDefault="00507742" w:rsidP="009239BE">
      <w:r>
        <w:t xml:space="preserve">Few children meet these screen time recommendations. In 2018/19 only 8.5 percent of children met the </w:t>
      </w:r>
      <w:r w:rsidRPr="007D038A">
        <w:t>screen time recommendations for their age group (Ministry of Health 2019</w:t>
      </w:r>
      <w:r>
        <w:t>a</w:t>
      </w:r>
      <w:r w:rsidRPr="007D038A">
        <w:t>).</w:t>
      </w:r>
      <w:r>
        <w:t xml:space="preserve"> Māori children were less likely to meet screen time recommendations than non-Māori children.</w:t>
      </w:r>
    </w:p>
    <w:p w14:paraId="33D68DEE" w14:textId="77777777" w:rsidR="00F14C69" w:rsidRDefault="00F14C69" w:rsidP="009239BE"/>
    <w:p w14:paraId="7DEBDFF0" w14:textId="77777777" w:rsidR="009239BE" w:rsidRDefault="009239BE" w:rsidP="009239BE"/>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253E2F40" w14:textId="77777777" w:rsidTr="00572CF6">
        <w:trPr>
          <w:cantSplit/>
        </w:trPr>
        <w:tc>
          <w:tcPr>
            <w:tcW w:w="7973" w:type="dxa"/>
          </w:tcPr>
          <w:p w14:paraId="22C97299" w14:textId="0EFE2381" w:rsidR="00507742" w:rsidRPr="00933A6B" w:rsidRDefault="00B01F6E" w:rsidP="005533E2">
            <w:pPr>
              <w:pStyle w:val="TableText"/>
              <w:ind w:right="-57"/>
              <w:rPr>
                <w:color w:val="0A6AB4"/>
                <w:sz w:val="24"/>
                <w:szCs w:val="24"/>
              </w:rPr>
            </w:pPr>
            <w:r>
              <w:rPr>
                <w:color w:val="0A6AB4"/>
                <w:sz w:val="24"/>
                <w:szCs w:val="24"/>
              </w:rPr>
              <w:t>Obesity is a major risk for potentially avoidable health loss</w:t>
            </w:r>
          </w:p>
        </w:tc>
      </w:tr>
    </w:tbl>
    <w:p w14:paraId="5DA771A8" w14:textId="77777777" w:rsidR="00507742" w:rsidRPr="007D038A" w:rsidRDefault="00507742" w:rsidP="009239BE"/>
    <w:p w14:paraId="7BC017D7" w14:textId="77777777" w:rsidR="002542AA" w:rsidRDefault="00507742" w:rsidP="009239BE">
      <w:r w:rsidRPr="009969A4">
        <w:t xml:space="preserve">Excess weight is a </w:t>
      </w:r>
      <w:r>
        <w:t>risk factor for a</w:t>
      </w:r>
      <w:r w:rsidRPr="009969A4">
        <w:t xml:space="preserve"> number of health conditions, including type 2 diabetes, cardiovascular diseases, some common types of cancer (eg, colorectal), osteoarth</w:t>
      </w:r>
      <w:r w:rsidRPr="009239BE">
        <w:t>ritis, gout, sleep apnoea, reproductive disorders, gallstones, mental health conditions</w:t>
      </w:r>
      <w:r w:rsidRPr="009969A4">
        <w:t xml:space="preserve"> (especially depression) and dementia</w:t>
      </w:r>
      <w:r>
        <w:t xml:space="preserve">. </w:t>
      </w:r>
      <w:r w:rsidRPr="007D038A">
        <w:t xml:space="preserve">A high </w:t>
      </w:r>
      <w:r>
        <w:t>b</w:t>
      </w:r>
      <w:r w:rsidRPr="007D038A">
        <w:t xml:space="preserve">ody </w:t>
      </w:r>
      <w:r>
        <w:t>m</w:t>
      </w:r>
      <w:r w:rsidRPr="007D038A">
        <w:t xml:space="preserve">ass </w:t>
      </w:r>
      <w:r>
        <w:t>in</w:t>
      </w:r>
      <w:r w:rsidRPr="007D038A">
        <w:t xml:space="preserve">dex </w:t>
      </w:r>
      <w:r>
        <w:t>accounted for 8.2 percent of all health loss in 2019 (Global Burden of Disease Collaborative Network 2020)</w:t>
      </w:r>
      <w:r w:rsidRPr="007D038A">
        <w:t>.</w:t>
      </w:r>
    </w:p>
    <w:p w14:paraId="35202576" w14:textId="77777777" w:rsidR="00B01F6E" w:rsidRDefault="00B01F6E" w:rsidP="00B01F6E">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B01F6E" w14:paraId="07F23DF8" w14:textId="77777777" w:rsidTr="00C8242F">
        <w:trPr>
          <w:cantSplit/>
        </w:trPr>
        <w:tc>
          <w:tcPr>
            <w:tcW w:w="7973" w:type="dxa"/>
          </w:tcPr>
          <w:p w14:paraId="2D49EC12" w14:textId="2031B8B7" w:rsidR="00B01F6E" w:rsidRPr="00933A6B" w:rsidRDefault="00B01F6E" w:rsidP="00CD4873">
            <w:pPr>
              <w:pStyle w:val="TableText"/>
              <w:keepNext/>
              <w:keepLines/>
              <w:ind w:right="-57"/>
              <w:rPr>
                <w:color w:val="0A6AB4"/>
                <w:sz w:val="24"/>
                <w:szCs w:val="24"/>
              </w:rPr>
            </w:pPr>
            <w:r>
              <w:rPr>
                <w:color w:val="0A6AB4"/>
                <w:sz w:val="24"/>
                <w:szCs w:val="24"/>
              </w:rPr>
              <w:t>1.3 million New Zealand adults and children are classified as obese</w:t>
            </w:r>
          </w:p>
        </w:tc>
      </w:tr>
    </w:tbl>
    <w:p w14:paraId="135F7CD5" w14:textId="4E1421A0" w:rsidR="002542AA" w:rsidRDefault="00507742" w:rsidP="00CD4873">
      <w:pPr>
        <w:keepNext/>
        <w:keepLines/>
        <w:spacing w:before="240"/>
      </w:pPr>
      <w:r>
        <w:t>In 2018/19, 30.9 percent of adults (1.2 million) were classified as obese</w:t>
      </w:r>
      <w:r w:rsidR="00873B79">
        <w:t xml:space="preserve"> (Ministry of Health 2019a)</w:t>
      </w:r>
      <w:r w:rsidRPr="007D038A">
        <w:t xml:space="preserve">. </w:t>
      </w:r>
      <w:r>
        <w:t>The proportion of adults with obesity has increased since 2011/12 (when it was 28.6 percent), but it is slightly lower than it was in 2016/17 and 2017/18 (32.2 percent).</w:t>
      </w:r>
    </w:p>
    <w:p w14:paraId="5144B63E" w14:textId="77777777" w:rsidR="00507742" w:rsidRDefault="00507742" w:rsidP="009239BE"/>
    <w:p w14:paraId="54105192" w14:textId="77777777" w:rsidR="00507742" w:rsidRDefault="00507742" w:rsidP="009239BE">
      <w:r>
        <w:t>Obesity rates are higher in Māori (48.2 percent) and Pacific (66.5 percent) adults, but the majority of adults with obesity are of European/Other ethnicity (an estimated 872,000 people in 2018/19).</w:t>
      </w:r>
    </w:p>
    <w:p w14:paraId="11164135" w14:textId="77777777" w:rsidR="00507742" w:rsidRDefault="00507742" w:rsidP="009239BE"/>
    <w:p w14:paraId="1DD048B3" w14:textId="77777777" w:rsidR="002542AA" w:rsidRDefault="00507742" w:rsidP="009239BE">
      <w:r>
        <w:t>In 2018/19, 11.3 percent of children aged 2</w:t>
      </w:r>
      <w:r w:rsidRPr="00A54EC4">
        <w:t>–</w:t>
      </w:r>
      <w:r>
        <w:t xml:space="preserve">14 years (94,000) were classified as obese (Ministry of Health 2019a). </w:t>
      </w:r>
      <w:r w:rsidRPr="007D038A">
        <w:t xml:space="preserve">The </w:t>
      </w:r>
      <w:r>
        <w:t>proportion of children with obesity</w:t>
      </w:r>
      <w:r w:rsidRPr="007D038A">
        <w:t xml:space="preserve"> has not changed significantly since 2011/12</w:t>
      </w:r>
      <w:r>
        <w:t xml:space="preserve">, </w:t>
      </w:r>
      <w:r w:rsidRPr="007D038A">
        <w:t>when it was 10.7 percent.</w:t>
      </w:r>
    </w:p>
    <w:p w14:paraId="5A81C894" w14:textId="77777777" w:rsidR="00507742" w:rsidRDefault="00507742" w:rsidP="009239BE"/>
    <w:p w14:paraId="3FF8AF88" w14:textId="4665A400" w:rsidR="00507742" w:rsidRDefault="00507742" w:rsidP="009239BE">
      <w:r>
        <w:t>Adults aged 45–64 years have high rates of obesity and have had the largest increase since 2011/12 (</w:t>
      </w:r>
      <w:r w:rsidR="009239BE">
        <w:fldChar w:fldCharType="begin"/>
      </w:r>
      <w:r w:rsidR="009239BE">
        <w:instrText xml:space="preserve"> REF _Ref57376886 \h </w:instrText>
      </w:r>
      <w:r w:rsidR="009239BE">
        <w:fldChar w:fldCharType="separate"/>
      </w:r>
      <w:r w:rsidR="003F39AB">
        <w:t>Figure </w:t>
      </w:r>
      <w:r w:rsidR="003F39AB">
        <w:rPr>
          <w:noProof/>
        </w:rPr>
        <w:t>18</w:t>
      </w:r>
      <w:r w:rsidR="009239BE">
        <w:fldChar w:fldCharType="end"/>
      </w:r>
      <w:r>
        <w:t>).</w:t>
      </w:r>
    </w:p>
    <w:p w14:paraId="4272BF1C" w14:textId="77777777" w:rsidR="00507742" w:rsidRDefault="00507742" w:rsidP="009239BE"/>
    <w:p w14:paraId="471A72AF" w14:textId="3AA78ACC" w:rsidR="00507742" w:rsidRDefault="009239BE" w:rsidP="009239BE">
      <w:pPr>
        <w:pStyle w:val="Figure"/>
      </w:pPr>
      <w:bookmarkStart w:id="192" w:name="_Ref57376886"/>
      <w:bookmarkStart w:id="193" w:name="_Toc399506750"/>
      <w:bookmarkStart w:id="194" w:name="_Toc400646803"/>
      <w:bookmarkStart w:id="195" w:name="_Toc57295975"/>
      <w:bookmarkStart w:id="196" w:name="_Toc64536275"/>
      <w:r>
        <w:lastRenderedPageBreak/>
        <w:t>Figure </w:t>
      </w:r>
      <w:fldSimple w:instr=" SEQ Figure \* ARABIC ">
        <w:r w:rsidR="003F39AB">
          <w:rPr>
            <w:noProof/>
          </w:rPr>
          <w:t>18</w:t>
        </w:r>
      </w:fldSimple>
      <w:bookmarkEnd w:id="192"/>
      <w:r w:rsidR="00507742" w:rsidRPr="00FB4A68">
        <w:rPr>
          <w:noProof/>
        </w:rPr>
        <w:t>: Prevalence of obesity</w:t>
      </w:r>
      <w:r w:rsidR="00507742" w:rsidRPr="00FB4A68">
        <w:t>, by age group,</w:t>
      </w:r>
      <w:bookmarkEnd w:id="193"/>
      <w:bookmarkEnd w:id="194"/>
      <w:r w:rsidR="00507742">
        <w:t xml:space="preserve"> 2011/12 and 2018/19</w:t>
      </w:r>
      <w:bookmarkEnd w:id="195"/>
      <w:bookmarkEnd w:id="196"/>
    </w:p>
    <w:p w14:paraId="5CAE716C" w14:textId="4069DDE3" w:rsidR="00507742" w:rsidRDefault="00EC60FD" w:rsidP="009239BE">
      <w:r w:rsidRPr="001E65C0">
        <w:rPr>
          <w:noProof/>
          <w:lang w:eastAsia="en-NZ"/>
        </w:rPr>
        <w:drawing>
          <wp:inline distT="0" distB="0" distL="0" distR="0" wp14:anchorId="38721985" wp14:editId="508FD6EB">
            <wp:extent cx="5130165" cy="3129280"/>
            <wp:effectExtent l="0" t="0" r="0" b="0"/>
            <wp:docPr id="1" name="Picture 1" descr="This bar graph shows that obesity rates have either increased or remained steady since 2011/2012 for every age group except those 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30165" cy="3129280"/>
                    </a:xfrm>
                    <a:prstGeom prst="rect">
                      <a:avLst/>
                    </a:prstGeom>
                  </pic:spPr>
                </pic:pic>
              </a:graphicData>
            </a:graphic>
          </wp:inline>
        </w:drawing>
      </w:r>
    </w:p>
    <w:p w14:paraId="2B4231E0" w14:textId="13688C01" w:rsidR="00507742" w:rsidRDefault="009E77CA" w:rsidP="009239BE">
      <w:pPr>
        <w:pStyle w:val="Source"/>
      </w:pPr>
      <w:r>
        <w:t>Source: Ministry of Health (2019a)</w:t>
      </w:r>
    </w:p>
    <w:p w14:paraId="25801899" w14:textId="77777777" w:rsidR="00507742" w:rsidRDefault="00507742" w:rsidP="009239BE"/>
    <w:p w14:paraId="6082D3BD" w14:textId="77777777" w:rsidR="00B01F6E" w:rsidRDefault="00B01F6E" w:rsidP="00B01F6E"/>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B01F6E" w14:paraId="62D5FC3C" w14:textId="77777777" w:rsidTr="00C8242F">
        <w:trPr>
          <w:cantSplit/>
          <w:trHeight w:val="236"/>
        </w:trPr>
        <w:tc>
          <w:tcPr>
            <w:tcW w:w="7973" w:type="dxa"/>
          </w:tcPr>
          <w:p w14:paraId="1601EC61" w14:textId="2D731F07" w:rsidR="00B01F6E" w:rsidRPr="00933A6B" w:rsidRDefault="00B01F6E" w:rsidP="00C8242F">
            <w:pPr>
              <w:pStyle w:val="TableText"/>
              <w:keepNext/>
              <w:ind w:right="-57"/>
              <w:rPr>
                <w:color w:val="0A6AB4"/>
                <w:sz w:val="24"/>
                <w:szCs w:val="24"/>
              </w:rPr>
            </w:pPr>
            <w:r>
              <w:rPr>
                <w:color w:val="0A6AB4"/>
                <w:sz w:val="24"/>
                <w:szCs w:val="24"/>
              </w:rPr>
              <w:t>There are marked inequities in obesity by socioeconomic status, especially in children</w:t>
            </w:r>
          </w:p>
        </w:tc>
      </w:tr>
    </w:tbl>
    <w:p w14:paraId="463A7013" w14:textId="77777777" w:rsidR="00B01F6E" w:rsidRPr="0053665C" w:rsidRDefault="00B01F6E" w:rsidP="00B01F6E">
      <w:pPr>
        <w:keepNext/>
      </w:pPr>
    </w:p>
    <w:p w14:paraId="3E3C5E3A" w14:textId="53727030" w:rsidR="002542AA" w:rsidRDefault="00507742" w:rsidP="009239BE">
      <w:r>
        <w:t xml:space="preserve">Socioeconomic deprivation is associated with higher rates of obesity, especially in children. After adjusting for age, gender and ethnic differences, adults living in the most deprived areas </w:t>
      </w:r>
      <w:r w:rsidR="004A712F">
        <w:t xml:space="preserve">were </w:t>
      </w:r>
      <w:r>
        <w:t>1.6 times as likely as adults living in the least deprived areas</w:t>
      </w:r>
      <w:r w:rsidR="004A712F">
        <w:t xml:space="preserve"> to have obesity</w:t>
      </w:r>
      <w:r>
        <w:t xml:space="preserve">. </w:t>
      </w:r>
      <w:r w:rsidRPr="007D038A">
        <w:t xml:space="preserve">Children living in the most deprived areas are </w:t>
      </w:r>
      <w:r>
        <w:t>2.7</w:t>
      </w:r>
      <w:r w:rsidRPr="007D038A">
        <w:t xml:space="preserve"> times as likely as children living in the least deprived areas</w:t>
      </w:r>
      <w:r w:rsidR="004A712F">
        <w:t xml:space="preserve"> </w:t>
      </w:r>
      <w:r w:rsidR="004A712F" w:rsidRPr="007D038A">
        <w:t xml:space="preserve">to </w:t>
      </w:r>
      <w:r w:rsidR="004A712F">
        <w:t>have obesity</w:t>
      </w:r>
      <w:r w:rsidRPr="007D038A">
        <w:t>.</w:t>
      </w:r>
    </w:p>
    <w:p w14:paraId="6846CE62" w14:textId="77777777" w:rsidR="00F14C69" w:rsidRDefault="00F14C69" w:rsidP="009239BE"/>
    <w:p w14:paraId="2CF7BD33" w14:textId="77777777" w:rsidR="009239BE" w:rsidRDefault="009239BE" w:rsidP="009239BE"/>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12281968" w14:textId="77777777" w:rsidTr="00572CF6">
        <w:trPr>
          <w:cantSplit/>
        </w:trPr>
        <w:tc>
          <w:tcPr>
            <w:tcW w:w="7973" w:type="dxa"/>
          </w:tcPr>
          <w:p w14:paraId="31DD4EE3" w14:textId="77777777" w:rsidR="00507742" w:rsidRPr="00933A6B" w:rsidRDefault="00507742" w:rsidP="00CF6605">
            <w:pPr>
              <w:pStyle w:val="TableText"/>
              <w:keepNext/>
              <w:ind w:right="-57"/>
              <w:rPr>
                <w:color w:val="0A6AB4"/>
                <w:sz w:val="24"/>
                <w:szCs w:val="24"/>
              </w:rPr>
            </w:pPr>
            <w:r>
              <w:rPr>
                <w:color w:val="0A6AB4"/>
                <w:sz w:val="24"/>
                <w:szCs w:val="24"/>
              </w:rPr>
              <w:lastRenderedPageBreak/>
              <w:t xml:space="preserve">Around half of older adults have raised blood pressure </w:t>
            </w:r>
          </w:p>
        </w:tc>
      </w:tr>
    </w:tbl>
    <w:p w14:paraId="27637470" w14:textId="77777777" w:rsidR="00507742" w:rsidRDefault="00507742" w:rsidP="00CF6605">
      <w:pPr>
        <w:keepNext/>
      </w:pPr>
    </w:p>
    <w:p w14:paraId="2D76B55F" w14:textId="77777777" w:rsidR="00507742" w:rsidRDefault="00507742" w:rsidP="00CF6605">
      <w:pPr>
        <w:keepNext/>
      </w:pPr>
      <w:r>
        <w:t xml:space="preserve">High blood pressure or hypertension is a risk factor for </w:t>
      </w:r>
      <w:r w:rsidRPr="001F613E">
        <w:t>ischaemic heart disease, stroke</w:t>
      </w:r>
      <w:r>
        <w:t xml:space="preserve">, </w:t>
      </w:r>
      <w:r w:rsidRPr="00EB4256">
        <w:t xml:space="preserve">hypertensive heart disease, kidney failure and dementia. </w:t>
      </w:r>
      <w:r>
        <w:t>It</w:t>
      </w:r>
      <w:r w:rsidRPr="00EB4256">
        <w:t xml:space="preserve"> accounted for 7.8 percent of all health loss in 2019 </w:t>
      </w:r>
      <w:r w:rsidRPr="00EB4256">
        <w:rPr>
          <w:noProof/>
        </w:rPr>
        <w:t>(</w:t>
      </w:r>
      <w:r>
        <w:t>Global Burden of Disease Collaborative Network 2020</w:t>
      </w:r>
      <w:r w:rsidRPr="00EB4256">
        <w:rPr>
          <w:noProof/>
        </w:rPr>
        <w:t>)</w:t>
      </w:r>
      <w:r>
        <w:t xml:space="preserve"> and a much higher</w:t>
      </w:r>
      <w:r w:rsidRPr="00EB4256">
        <w:t xml:space="preserve"> proportion of ischaemic heart disease (52 percent) and stroke (48</w:t>
      </w:r>
      <w:r w:rsidR="009239BE">
        <w:t> </w:t>
      </w:r>
      <w:r w:rsidRPr="00EB4256">
        <w:t>percent).</w:t>
      </w:r>
    </w:p>
    <w:p w14:paraId="3E18B855" w14:textId="77777777" w:rsidR="00507742" w:rsidRDefault="00507742" w:rsidP="00CF6605">
      <w:pPr>
        <w:keepNext/>
      </w:pPr>
    </w:p>
    <w:p w14:paraId="55645EE8" w14:textId="69CC922F" w:rsidR="002542AA" w:rsidRDefault="00507742" w:rsidP="00CF6605">
      <w:pPr>
        <w:keepNext/>
      </w:pPr>
      <w:r>
        <w:t>In 2018/19 just over one in five adults (21.6 percent) had raised blood pressure, defined as a measured systolic blood pressure of 140 mmHg or higher and/or diastolic blood pressure of 90 mmHg or higher</w:t>
      </w:r>
      <w:r w:rsidR="00873B79">
        <w:t xml:space="preserve"> (Ministry of Health 2019a)</w:t>
      </w:r>
      <w:r>
        <w:t>. Raised blood pressure is more common in men (24.1</w:t>
      </w:r>
      <w:r w:rsidR="009239BE">
        <w:t> </w:t>
      </w:r>
      <w:r>
        <w:t>percent) than women (19.2 percent). The prevalence of raised blood pressure increases with age, affecting nearly half of adults aged 75 years and over (</w:t>
      </w:r>
      <w:r w:rsidR="009239BE">
        <w:fldChar w:fldCharType="begin"/>
      </w:r>
      <w:r w:rsidR="009239BE">
        <w:instrText xml:space="preserve"> REF _Ref57376948 \h </w:instrText>
      </w:r>
      <w:r w:rsidR="009239BE">
        <w:fldChar w:fldCharType="separate"/>
      </w:r>
      <w:r w:rsidR="003F39AB">
        <w:t>Figure </w:t>
      </w:r>
      <w:r w:rsidR="003F39AB">
        <w:rPr>
          <w:noProof/>
        </w:rPr>
        <w:t>19</w:t>
      </w:r>
      <w:r w:rsidR="009239BE">
        <w:fldChar w:fldCharType="end"/>
      </w:r>
      <w:r>
        <w:t>).</w:t>
      </w:r>
    </w:p>
    <w:p w14:paraId="0699D5CF" w14:textId="77777777" w:rsidR="00507742" w:rsidRDefault="00507742" w:rsidP="00CF6605">
      <w:pPr>
        <w:keepNext/>
      </w:pPr>
    </w:p>
    <w:p w14:paraId="56AC0C69" w14:textId="5F30B865" w:rsidR="00507742" w:rsidRDefault="009239BE" w:rsidP="009239BE">
      <w:pPr>
        <w:pStyle w:val="Figure"/>
      </w:pPr>
      <w:bookmarkStart w:id="197" w:name="_Ref57376948"/>
      <w:bookmarkStart w:id="198" w:name="_Toc57295976"/>
      <w:bookmarkStart w:id="199" w:name="_Toc64536276"/>
      <w:r>
        <w:t>Figure </w:t>
      </w:r>
      <w:fldSimple w:instr=" SEQ Figure \* ARABIC ">
        <w:r w:rsidR="003F39AB">
          <w:rPr>
            <w:noProof/>
          </w:rPr>
          <w:t>19</w:t>
        </w:r>
      </w:fldSimple>
      <w:bookmarkEnd w:id="197"/>
      <w:r w:rsidR="00507742">
        <w:rPr>
          <w:noProof/>
        </w:rPr>
        <w:t xml:space="preserve">: Prevalence of </w:t>
      </w:r>
      <w:r w:rsidR="00507742">
        <w:t>raised blood pressure, by age group and gender, 2018/19</w:t>
      </w:r>
      <w:bookmarkEnd w:id="198"/>
      <w:bookmarkEnd w:id="199"/>
    </w:p>
    <w:p w14:paraId="21650A6A" w14:textId="3CAC08ED" w:rsidR="00507742" w:rsidRDefault="00EC60FD" w:rsidP="00F508B5">
      <w:r w:rsidRPr="001E65C0">
        <w:rPr>
          <w:noProof/>
          <w:lang w:eastAsia="en-NZ"/>
        </w:rPr>
        <w:drawing>
          <wp:inline distT="0" distB="0" distL="0" distR="0" wp14:anchorId="2EDF4989" wp14:editId="162F55C6">
            <wp:extent cx="5130165" cy="3129280"/>
            <wp:effectExtent l="0" t="0" r="0" b="0"/>
            <wp:docPr id="28" name="Picture 28" descr="This bar graph shows that raised blood pressure rates increase with age and tend to be higher for men than for women, except in those over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130165" cy="3129280"/>
                    </a:xfrm>
                    <a:prstGeom prst="rect">
                      <a:avLst/>
                    </a:prstGeom>
                  </pic:spPr>
                </pic:pic>
              </a:graphicData>
            </a:graphic>
          </wp:inline>
        </w:drawing>
      </w:r>
    </w:p>
    <w:p w14:paraId="3C4D380F" w14:textId="611DA275" w:rsidR="00507742" w:rsidRDefault="009E77CA" w:rsidP="009239BE">
      <w:pPr>
        <w:pStyle w:val="Source"/>
      </w:pPr>
      <w:r>
        <w:t>Source: Ministry of Health (2019a)</w:t>
      </w:r>
    </w:p>
    <w:p w14:paraId="796C7016" w14:textId="77777777" w:rsidR="00507742" w:rsidRDefault="00507742" w:rsidP="009239BE"/>
    <w:p w14:paraId="5014F7A0" w14:textId="77777777" w:rsidR="00507742" w:rsidRDefault="00507742" w:rsidP="009239BE">
      <w:r>
        <w:t>After adjusting for age, gender and ethnicity, adults living in the most deprived areas were 1.4 times as likely to have raised blood pressure as adults living in the least deprived areas.</w:t>
      </w:r>
    </w:p>
    <w:p w14:paraId="4F6C83E0" w14:textId="77777777" w:rsidR="009239BE" w:rsidRPr="001C2BA5" w:rsidRDefault="009239BE" w:rsidP="009239BE"/>
    <w:p w14:paraId="110BFE8C" w14:textId="77777777" w:rsidR="00507742" w:rsidRDefault="00507742" w:rsidP="009239BE">
      <w:pPr>
        <w:pStyle w:val="Heading2"/>
      </w:pPr>
      <w:bookmarkStart w:id="200" w:name="_Toc57295687"/>
      <w:bookmarkStart w:id="201" w:name="_Toc64536255"/>
      <w:r>
        <w:lastRenderedPageBreak/>
        <w:t>Health care</w:t>
      </w:r>
      <w:bookmarkEnd w:id="200"/>
      <w:bookmarkEnd w:id="201"/>
    </w:p>
    <w:p w14:paraId="1430EFFE" w14:textId="06034BC3" w:rsidR="00507742" w:rsidRDefault="00507742" w:rsidP="00CF6605">
      <w:pPr>
        <w:keepNext/>
        <w:keepLines/>
      </w:pPr>
      <w:r w:rsidRPr="00930A17">
        <w:t xml:space="preserve">The </w:t>
      </w:r>
      <w:r w:rsidR="00F61CFE">
        <w:t>health and disability system</w:t>
      </w:r>
      <w:r w:rsidRPr="00930A17">
        <w:t xml:space="preserve"> plays an important role in helping people stay healthy</w:t>
      </w:r>
      <w:r>
        <w:t xml:space="preserve"> in a range of ways:</w:t>
      </w:r>
      <w:r w:rsidRPr="00930A17">
        <w:t xml:space="preserve"> through</w:t>
      </w:r>
      <w:r>
        <w:t xml:space="preserve"> providing </w:t>
      </w:r>
      <w:r w:rsidRPr="00930A17">
        <w:t xml:space="preserve">preventive care, treating acute and serious illness, and </w:t>
      </w:r>
      <w:r>
        <w:t xml:space="preserve">helping with </w:t>
      </w:r>
      <w:r w:rsidRPr="00930A17">
        <w:t xml:space="preserve">managing long-term conditions. </w:t>
      </w:r>
      <w:r w:rsidRPr="004B499F">
        <w:t xml:space="preserve">Good access to health care includes being able to </w:t>
      </w:r>
      <w:r>
        <w:t>get</w:t>
      </w:r>
      <w:r w:rsidRPr="004B499F">
        <w:t xml:space="preserve"> affordable and appropriate health care in a timely manner. </w:t>
      </w:r>
      <w:r>
        <w:t>Health</w:t>
      </w:r>
      <w:r w:rsidRPr="004B499F">
        <w:t xml:space="preserve"> services are generally provided where and when New Zealanders need them</w:t>
      </w:r>
      <w:r>
        <w:t xml:space="preserve">, but </w:t>
      </w:r>
      <w:r w:rsidRPr="004B499F">
        <w:t xml:space="preserve">there are some barriers to accessing primary care and different patterns of </w:t>
      </w:r>
      <w:r>
        <w:t>use</w:t>
      </w:r>
      <w:r w:rsidRPr="004B499F">
        <w:t xml:space="preserve"> by ethnic group</w:t>
      </w:r>
      <w:r>
        <w:t>.</w:t>
      </w:r>
    </w:p>
    <w:p w14:paraId="477E1EE1" w14:textId="77777777" w:rsidR="00F14C69" w:rsidRDefault="00F14C69" w:rsidP="00CF6605">
      <w:pPr>
        <w:keepNext/>
        <w:keepLines/>
      </w:pPr>
    </w:p>
    <w:p w14:paraId="3473A06A" w14:textId="77777777" w:rsidR="008B3E9A" w:rsidRDefault="008B3E9A" w:rsidP="00CF6605">
      <w:pPr>
        <w:keepNext/>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13E99783" w14:textId="77777777" w:rsidTr="00572CF6">
        <w:trPr>
          <w:cantSplit/>
        </w:trPr>
        <w:tc>
          <w:tcPr>
            <w:tcW w:w="7973" w:type="dxa"/>
          </w:tcPr>
          <w:p w14:paraId="259D0585" w14:textId="77777777" w:rsidR="00507742" w:rsidRPr="00933A6B" w:rsidRDefault="00507742" w:rsidP="00F508B5">
            <w:pPr>
              <w:pStyle w:val="TableText"/>
              <w:keepNext/>
              <w:ind w:right="-57"/>
              <w:rPr>
                <w:color w:val="0A6AB4"/>
                <w:sz w:val="24"/>
                <w:szCs w:val="24"/>
              </w:rPr>
            </w:pPr>
            <w:r>
              <w:rPr>
                <w:color w:val="0A6AB4"/>
                <w:sz w:val="24"/>
                <w:szCs w:val="24"/>
              </w:rPr>
              <w:t>Cost is a barrier to accessing health care, especiall</w:t>
            </w:r>
            <w:r w:rsidR="008B3E9A">
              <w:rPr>
                <w:color w:val="0A6AB4"/>
                <w:sz w:val="24"/>
                <w:szCs w:val="24"/>
              </w:rPr>
              <w:t>y for Pacific peoples and Māori</w:t>
            </w:r>
          </w:p>
        </w:tc>
      </w:tr>
    </w:tbl>
    <w:p w14:paraId="0366280D" w14:textId="77777777" w:rsidR="00507742" w:rsidRDefault="00507742" w:rsidP="00F508B5">
      <w:pPr>
        <w:keepNext/>
      </w:pPr>
    </w:p>
    <w:p w14:paraId="011B3BB1" w14:textId="6C97E2F2" w:rsidR="00507742" w:rsidRDefault="00507742" w:rsidP="00F508B5">
      <w:pPr>
        <w:keepNext/>
      </w:pPr>
      <w:r w:rsidRPr="007D038A">
        <w:t xml:space="preserve">In </w:t>
      </w:r>
      <w:r>
        <w:t>2018/19</w:t>
      </w:r>
      <w:r w:rsidRPr="007D038A">
        <w:t xml:space="preserve">, </w:t>
      </w:r>
      <w:r>
        <w:t>about one in five adults and one in six children were unable to get an appointment at their usual medical centre within 24 hours (</w:t>
      </w:r>
      <w:r w:rsidR="008B3E9A">
        <w:fldChar w:fldCharType="begin"/>
      </w:r>
      <w:r w:rsidR="008B3E9A">
        <w:instrText xml:space="preserve"> REF _Ref57377025 \h </w:instrText>
      </w:r>
      <w:r w:rsidR="008B3E9A">
        <w:fldChar w:fldCharType="separate"/>
      </w:r>
      <w:r w:rsidR="003F39AB">
        <w:t>Table </w:t>
      </w:r>
      <w:r w:rsidR="003F39AB">
        <w:rPr>
          <w:noProof/>
        </w:rPr>
        <w:t>13</w:t>
      </w:r>
      <w:r w:rsidR="008B3E9A">
        <w:fldChar w:fldCharType="end"/>
      </w:r>
      <w:r w:rsidRPr="007D038A">
        <w:t xml:space="preserve">). </w:t>
      </w:r>
      <w:r>
        <w:t>The percentage of adults and children unable to get an appointment within 24 hours has increased over time</w:t>
      </w:r>
      <w:r w:rsidR="00873B79">
        <w:t xml:space="preserve"> (Ministry of Health 2019a)</w:t>
      </w:r>
      <w:r>
        <w:t>.</w:t>
      </w:r>
    </w:p>
    <w:p w14:paraId="0CCD94ED" w14:textId="77777777" w:rsidR="00507742" w:rsidRDefault="00507742" w:rsidP="00F508B5">
      <w:pPr>
        <w:keepNext/>
      </w:pPr>
    </w:p>
    <w:p w14:paraId="45D6EE3D" w14:textId="77777777" w:rsidR="002542AA" w:rsidRDefault="00507742" w:rsidP="008B3E9A">
      <w:r>
        <w:t>Cost was a barrier to seeing a</w:t>
      </w:r>
      <w:r w:rsidRPr="007D038A">
        <w:t xml:space="preserve"> general practitioner </w:t>
      </w:r>
      <w:r>
        <w:t>for 13.4 percent of adults and 1.8</w:t>
      </w:r>
      <w:r w:rsidR="008B3E9A">
        <w:t> </w:t>
      </w:r>
      <w:r>
        <w:t>percent of children</w:t>
      </w:r>
      <w:r w:rsidRPr="007D038A">
        <w:t>.</w:t>
      </w:r>
      <w:r>
        <w:t xml:space="preserve"> </w:t>
      </w:r>
      <w:r w:rsidRPr="007D038A">
        <w:t xml:space="preserve">The proportion </w:t>
      </w:r>
      <w:r>
        <w:t xml:space="preserve">of adults </w:t>
      </w:r>
      <w:r w:rsidRPr="007D038A">
        <w:t xml:space="preserve">citing cost </w:t>
      </w:r>
      <w:r>
        <w:t xml:space="preserve">as a </w:t>
      </w:r>
      <w:r w:rsidRPr="007D038A">
        <w:t>barrier to seeing a general practitioner</w:t>
      </w:r>
      <w:r>
        <w:t xml:space="preserve"> (GP)</w:t>
      </w:r>
      <w:r w:rsidRPr="007D038A">
        <w:t xml:space="preserve"> has not changed </w:t>
      </w:r>
      <w:r>
        <w:t>since 2011/12, but it has decreased significantly for children (down from 4.7 percent).</w:t>
      </w:r>
    </w:p>
    <w:p w14:paraId="617E6A98" w14:textId="77777777" w:rsidR="00507742" w:rsidRDefault="00507742" w:rsidP="008B3E9A"/>
    <w:p w14:paraId="49CC35DD" w14:textId="77777777" w:rsidR="002542AA" w:rsidRDefault="00507742" w:rsidP="008B3E9A">
      <w:r>
        <w:t>In 2018/19, cost was a barrier to collecting a prescription for 5.3 percent of adults and 2.0</w:t>
      </w:r>
      <w:r w:rsidR="008B3E9A">
        <w:t> </w:t>
      </w:r>
      <w:r>
        <w:t>percent of children</w:t>
      </w:r>
      <w:r w:rsidRPr="007D038A">
        <w:t>.</w:t>
      </w:r>
      <w:r>
        <w:t xml:space="preserve"> </w:t>
      </w:r>
      <w:r w:rsidRPr="007D038A">
        <w:t xml:space="preserve">The proportion </w:t>
      </w:r>
      <w:r>
        <w:t>of adults and children for whom</w:t>
      </w:r>
      <w:r w:rsidRPr="007D038A">
        <w:t xml:space="preserve"> cost </w:t>
      </w:r>
      <w:r>
        <w:t xml:space="preserve">was a </w:t>
      </w:r>
      <w:r w:rsidRPr="007D038A">
        <w:t xml:space="preserve">barrier to </w:t>
      </w:r>
      <w:r>
        <w:t>collecting a prescription has declined since 2011/12.</w:t>
      </w:r>
    </w:p>
    <w:p w14:paraId="3A3B47A9" w14:textId="77777777" w:rsidR="00507742" w:rsidRDefault="00507742" w:rsidP="008B3E9A">
      <w:pPr>
        <w:rPr>
          <w:rFonts w:eastAsia="Arial Unicode MS"/>
        </w:rPr>
      </w:pPr>
    </w:p>
    <w:p w14:paraId="0F38F936" w14:textId="7996A5B3" w:rsidR="00507742" w:rsidRPr="00F9449A" w:rsidRDefault="008B3E9A" w:rsidP="008B3E9A">
      <w:pPr>
        <w:pStyle w:val="Table"/>
      </w:pPr>
      <w:bookmarkStart w:id="202" w:name="_Ref57377025"/>
      <w:bookmarkStart w:id="203" w:name="_Toc57273377"/>
      <w:bookmarkStart w:id="204" w:name="_Toc64536295"/>
      <w:r>
        <w:t>Table </w:t>
      </w:r>
      <w:fldSimple w:instr=" SEQ Table \* ARABIC ">
        <w:r w:rsidR="003F39AB">
          <w:rPr>
            <w:noProof/>
          </w:rPr>
          <w:t>13</w:t>
        </w:r>
      </w:fldSimple>
      <w:bookmarkEnd w:id="202"/>
      <w:r w:rsidR="00507742" w:rsidRPr="00F9449A">
        <w:t>: Barriers to accessing health care, 2018/19</w:t>
      </w:r>
      <w:bookmarkEnd w:id="203"/>
      <w:bookmarkEnd w:id="204"/>
    </w:p>
    <w:tbl>
      <w:tblPr>
        <w:tblW w:w="8081"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4054"/>
        <w:gridCol w:w="1006"/>
        <w:gridCol w:w="1007"/>
        <w:gridCol w:w="1007"/>
        <w:gridCol w:w="1007"/>
      </w:tblGrid>
      <w:tr w:rsidR="00507742" w:rsidRPr="00F9449A" w14:paraId="794DC81C" w14:textId="77777777" w:rsidTr="008B3E9A">
        <w:trPr>
          <w:cantSplit/>
        </w:trPr>
        <w:tc>
          <w:tcPr>
            <w:tcW w:w="4054" w:type="dxa"/>
            <w:tcBorders>
              <w:top w:val="nil"/>
              <w:bottom w:val="nil"/>
              <w:right w:val="single" w:sz="4" w:space="0" w:color="A6A6A6" w:themeColor="background1" w:themeShade="A6"/>
            </w:tcBorders>
            <w:shd w:val="clear" w:color="auto" w:fill="D9D9D9" w:themeFill="background1" w:themeFillShade="D9"/>
          </w:tcPr>
          <w:p w14:paraId="17BD45CA" w14:textId="77777777" w:rsidR="00507742" w:rsidRPr="00F9449A" w:rsidRDefault="00507742" w:rsidP="00572CF6">
            <w:pPr>
              <w:pStyle w:val="TableText"/>
              <w:rPr>
                <w:b/>
              </w:rPr>
            </w:pPr>
            <w:r>
              <w:rPr>
                <w:b/>
              </w:rPr>
              <w:t>Type of barrier</w:t>
            </w:r>
          </w:p>
        </w:tc>
        <w:tc>
          <w:tcPr>
            <w:tcW w:w="1006" w:type="dxa"/>
            <w:tcBorders>
              <w:top w:val="nil"/>
              <w:left w:val="single" w:sz="4" w:space="0" w:color="A6A6A6" w:themeColor="background1" w:themeShade="A6"/>
              <w:bottom w:val="nil"/>
            </w:tcBorders>
            <w:shd w:val="clear" w:color="auto" w:fill="D9D9D9" w:themeFill="background1" w:themeFillShade="D9"/>
          </w:tcPr>
          <w:p w14:paraId="532B2090" w14:textId="77777777" w:rsidR="00507742" w:rsidRPr="00F9449A" w:rsidRDefault="00507742" w:rsidP="00572CF6">
            <w:pPr>
              <w:pStyle w:val="TableText"/>
              <w:jc w:val="center"/>
              <w:rPr>
                <w:b/>
              </w:rPr>
            </w:pPr>
            <w:r w:rsidRPr="00F9449A">
              <w:rPr>
                <w:b/>
              </w:rPr>
              <w:t>Adults</w:t>
            </w:r>
          </w:p>
        </w:tc>
        <w:tc>
          <w:tcPr>
            <w:tcW w:w="1007" w:type="dxa"/>
            <w:tcBorders>
              <w:top w:val="nil"/>
              <w:bottom w:val="nil"/>
              <w:right w:val="single" w:sz="4" w:space="0" w:color="A6A6A6" w:themeColor="background1" w:themeShade="A6"/>
            </w:tcBorders>
            <w:shd w:val="clear" w:color="auto" w:fill="D9D9D9" w:themeFill="background1" w:themeFillShade="D9"/>
          </w:tcPr>
          <w:p w14:paraId="388D0769" w14:textId="77777777" w:rsidR="00507742" w:rsidRPr="00F9449A" w:rsidRDefault="00507742" w:rsidP="00572CF6">
            <w:pPr>
              <w:pStyle w:val="TableText"/>
              <w:jc w:val="center"/>
              <w:rPr>
                <w:b/>
              </w:rPr>
            </w:pPr>
            <w:r w:rsidRPr="00F9449A">
              <w:rPr>
                <w:b/>
              </w:rPr>
              <w:t>Trend</w:t>
            </w:r>
          </w:p>
        </w:tc>
        <w:tc>
          <w:tcPr>
            <w:tcW w:w="1007" w:type="dxa"/>
            <w:tcBorders>
              <w:top w:val="nil"/>
              <w:left w:val="single" w:sz="4" w:space="0" w:color="A6A6A6" w:themeColor="background1" w:themeShade="A6"/>
              <w:bottom w:val="nil"/>
            </w:tcBorders>
            <w:shd w:val="clear" w:color="auto" w:fill="D9D9D9" w:themeFill="background1" w:themeFillShade="D9"/>
          </w:tcPr>
          <w:p w14:paraId="15620B7B" w14:textId="77777777" w:rsidR="00507742" w:rsidRPr="00F9449A" w:rsidRDefault="00507742" w:rsidP="00572CF6">
            <w:pPr>
              <w:pStyle w:val="TableText"/>
              <w:jc w:val="center"/>
              <w:rPr>
                <w:b/>
              </w:rPr>
            </w:pPr>
            <w:r w:rsidRPr="00F9449A">
              <w:rPr>
                <w:b/>
              </w:rPr>
              <w:t>Children</w:t>
            </w:r>
          </w:p>
        </w:tc>
        <w:tc>
          <w:tcPr>
            <w:tcW w:w="1007" w:type="dxa"/>
            <w:tcBorders>
              <w:top w:val="nil"/>
              <w:bottom w:val="nil"/>
            </w:tcBorders>
            <w:shd w:val="clear" w:color="auto" w:fill="D9D9D9" w:themeFill="background1" w:themeFillShade="D9"/>
          </w:tcPr>
          <w:p w14:paraId="6D5F3A55" w14:textId="77777777" w:rsidR="00507742" w:rsidRPr="00F9449A" w:rsidRDefault="00507742" w:rsidP="00572CF6">
            <w:pPr>
              <w:pStyle w:val="TableText"/>
              <w:jc w:val="center"/>
              <w:rPr>
                <w:b/>
              </w:rPr>
            </w:pPr>
            <w:r w:rsidRPr="00F9449A">
              <w:rPr>
                <w:b/>
              </w:rPr>
              <w:t>Trend</w:t>
            </w:r>
          </w:p>
        </w:tc>
      </w:tr>
      <w:tr w:rsidR="00507742" w:rsidRPr="00F9449A" w14:paraId="6F79E01C" w14:textId="77777777" w:rsidTr="008B3E9A">
        <w:trPr>
          <w:cantSplit/>
        </w:trPr>
        <w:tc>
          <w:tcPr>
            <w:tcW w:w="4054" w:type="dxa"/>
            <w:tcBorders>
              <w:top w:val="nil"/>
              <w:bottom w:val="single" w:sz="4" w:space="0" w:color="A6A6A6" w:themeColor="background1" w:themeShade="A6"/>
              <w:right w:val="single" w:sz="4" w:space="0" w:color="A6A6A6" w:themeColor="background1" w:themeShade="A6"/>
            </w:tcBorders>
          </w:tcPr>
          <w:p w14:paraId="3802D67B" w14:textId="77777777" w:rsidR="00507742" w:rsidRPr="00F9449A" w:rsidRDefault="00507742" w:rsidP="00572CF6">
            <w:pPr>
              <w:pStyle w:val="TableText"/>
            </w:pPr>
            <w:r w:rsidRPr="00F9449A">
              <w:t>Unable to get appointment with usual medical centre within 24 hours</w:t>
            </w:r>
          </w:p>
        </w:tc>
        <w:tc>
          <w:tcPr>
            <w:tcW w:w="1006" w:type="dxa"/>
            <w:tcBorders>
              <w:top w:val="nil"/>
              <w:left w:val="single" w:sz="4" w:space="0" w:color="A6A6A6" w:themeColor="background1" w:themeShade="A6"/>
              <w:bottom w:val="single" w:sz="4" w:space="0" w:color="A6A6A6" w:themeColor="background1" w:themeShade="A6"/>
            </w:tcBorders>
          </w:tcPr>
          <w:p w14:paraId="5FEAED58" w14:textId="77777777" w:rsidR="00507742" w:rsidRPr="00F9449A" w:rsidRDefault="00507742" w:rsidP="00572CF6">
            <w:pPr>
              <w:pStyle w:val="TableText"/>
              <w:jc w:val="center"/>
            </w:pPr>
            <w:r w:rsidRPr="00F9449A">
              <w:t>20.8%</w:t>
            </w:r>
          </w:p>
        </w:tc>
        <w:tc>
          <w:tcPr>
            <w:tcW w:w="1007" w:type="dxa"/>
            <w:tcBorders>
              <w:top w:val="nil"/>
              <w:bottom w:val="single" w:sz="4" w:space="0" w:color="A6A6A6" w:themeColor="background1" w:themeShade="A6"/>
              <w:right w:val="single" w:sz="4" w:space="0" w:color="A6A6A6" w:themeColor="background1" w:themeShade="A6"/>
            </w:tcBorders>
          </w:tcPr>
          <w:p w14:paraId="52A03FCE" w14:textId="77777777" w:rsidR="00507742" w:rsidRPr="00F9449A" w:rsidRDefault="00507742" w:rsidP="00572CF6">
            <w:pPr>
              <w:pStyle w:val="TableText"/>
              <w:jc w:val="center"/>
            </w:pPr>
            <w:r w:rsidRPr="00F9449A">
              <w:sym w:font="Wingdings" w:char="F0E9"/>
            </w:r>
          </w:p>
        </w:tc>
        <w:tc>
          <w:tcPr>
            <w:tcW w:w="1007" w:type="dxa"/>
            <w:tcBorders>
              <w:top w:val="nil"/>
              <w:left w:val="single" w:sz="4" w:space="0" w:color="A6A6A6" w:themeColor="background1" w:themeShade="A6"/>
              <w:bottom w:val="single" w:sz="4" w:space="0" w:color="A6A6A6" w:themeColor="background1" w:themeShade="A6"/>
            </w:tcBorders>
          </w:tcPr>
          <w:p w14:paraId="68BC9ED2" w14:textId="77777777" w:rsidR="00507742" w:rsidRPr="00F9449A" w:rsidRDefault="00507742" w:rsidP="00572CF6">
            <w:pPr>
              <w:pStyle w:val="TableText"/>
              <w:jc w:val="center"/>
            </w:pPr>
            <w:r w:rsidRPr="00F9449A">
              <w:t>16.3%</w:t>
            </w:r>
          </w:p>
        </w:tc>
        <w:tc>
          <w:tcPr>
            <w:tcW w:w="1007" w:type="dxa"/>
            <w:tcBorders>
              <w:top w:val="nil"/>
              <w:bottom w:val="single" w:sz="4" w:space="0" w:color="A6A6A6" w:themeColor="background1" w:themeShade="A6"/>
            </w:tcBorders>
          </w:tcPr>
          <w:p w14:paraId="2725C817" w14:textId="77777777" w:rsidR="00507742" w:rsidRPr="00F9449A" w:rsidRDefault="00507742" w:rsidP="00572CF6">
            <w:pPr>
              <w:pStyle w:val="TableText"/>
              <w:jc w:val="center"/>
            </w:pPr>
            <w:r w:rsidRPr="00F9449A">
              <w:sym w:font="Wingdings" w:char="F0E9"/>
            </w:r>
          </w:p>
        </w:tc>
      </w:tr>
      <w:tr w:rsidR="00507742" w:rsidRPr="00F9449A" w14:paraId="0EA9E66C" w14:textId="77777777" w:rsidTr="008B3E9A">
        <w:trPr>
          <w:cantSplit/>
        </w:trPr>
        <w:tc>
          <w:tcPr>
            <w:tcW w:w="405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197967F" w14:textId="77777777" w:rsidR="00507742" w:rsidRPr="00F9449A" w:rsidRDefault="00507742" w:rsidP="00572CF6">
            <w:pPr>
              <w:pStyle w:val="TableText"/>
            </w:pPr>
            <w:r w:rsidRPr="00F9449A">
              <w:t>Unmet need for GP due to cost</w:t>
            </w:r>
          </w:p>
        </w:tc>
        <w:tc>
          <w:tcPr>
            <w:tcW w:w="100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F755796" w14:textId="77777777" w:rsidR="00507742" w:rsidRPr="00F9449A" w:rsidRDefault="00507742" w:rsidP="00572CF6">
            <w:pPr>
              <w:pStyle w:val="TableText"/>
              <w:jc w:val="center"/>
            </w:pPr>
            <w:r w:rsidRPr="00F9449A">
              <w:t>13.4%</w:t>
            </w:r>
          </w:p>
        </w:tc>
        <w:tc>
          <w:tcPr>
            <w:tcW w:w="100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3ADD9F9" w14:textId="77777777" w:rsidR="00507742" w:rsidRPr="00F9449A" w:rsidRDefault="00507742" w:rsidP="00572CF6">
            <w:pPr>
              <w:pStyle w:val="TableText"/>
              <w:jc w:val="center"/>
              <w:rPr>
                <w:b/>
              </w:rPr>
            </w:pPr>
            <w:r w:rsidRPr="00F9449A">
              <w:rPr>
                <w:b/>
              </w:rPr>
              <w:t>=</w:t>
            </w:r>
          </w:p>
        </w:tc>
        <w:tc>
          <w:tcPr>
            <w:tcW w:w="100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F902668" w14:textId="77777777" w:rsidR="00507742" w:rsidRPr="00F9449A" w:rsidRDefault="00507742" w:rsidP="00572CF6">
            <w:pPr>
              <w:pStyle w:val="TableText"/>
              <w:jc w:val="center"/>
            </w:pPr>
            <w:r w:rsidRPr="00F9449A">
              <w:t>1.8%</w:t>
            </w:r>
          </w:p>
        </w:tc>
        <w:tc>
          <w:tcPr>
            <w:tcW w:w="1007" w:type="dxa"/>
            <w:tcBorders>
              <w:top w:val="single" w:sz="4" w:space="0" w:color="A6A6A6" w:themeColor="background1" w:themeShade="A6"/>
              <w:bottom w:val="single" w:sz="4" w:space="0" w:color="A6A6A6" w:themeColor="background1" w:themeShade="A6"/>
            </w:tcBorders>
          </w:tcPr>
          <w:p w14:paraId="081E54DA" w14:textId="77777777" w:rsidR="00507742" w:rsidRPr="00F9449A" w:rsidRDefault="00507742" w:rsidP="00572CF6">
            <w:pPr>
              <w:pStyle w:val="TableText"/>
              <w:jc w:val="center"/>
            </w:pPr>
            <w:r w:rsidRPr="00F9449A">
              <w:sym w:font="Wingdings" w:char="F0EA"/>
            </w:r>
          </w:p>
        </w:tc>
      </w:tr>
      <w:tr w:rsidR="00507742" w:rsidRPr="00F9449A" w14:paraId="7FFF72C3" w14:textId="77777777" w:rsidTr="008B3E9A">
        <w:trPr>
          <w:cantSplit/>
        </w:trPr>
        <w:tc>
          <w:tcPr>
            <w:tcW w:w="405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6F96BB1" w14:textId="77777777" w:rsidR="00507742" w:rsidRPr="00F9449A" w:rsidRDefault="00507742" w:rsidP="00572CF6">
            <w:pPr>
              <w:pStyle w:val="TableText"/>
            </w:pPr>
            <w:r w:rsidRPr="00F9449A">
              <w:t>Unmet need for GP due to lack of transport</w:t>
            </w:r>
          </w:p>
        </w:tc>
        <w:tc>
          <w:tcPr>
            <w:tcW w:w="100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9A53074" w14:textId="77777777" w:rsidR="00507742" w:rsidRPr="00F9449A" w:rsidRDefault="00507742" w:rsidP="00572CF6">
            <w:pPr>
              <w:pStyle w:val="TableText"/>
              <w:jc w:val="center"/>
            </w:pPr>
            <w:r w:rsidRPr="00F9449A">
              <w:t>2.8%</w:t>
            </w:r>
          </w:p>
        </w:tc>
        <w:tc>
          <w:tcPr>
            <w:tcW w:w="100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140B319" w14:textId="77777777" w:rsidR="00507742" w:rsidRPr="00F9449A" w:rsidRDefault="00507742" w:rsidP="00572CF6">
            <w:pPr>
              <w:pStyle w:val="TableText"/>
              <w:jc w:val="center"/>
            </w:pPr>
            <w:r w:rsidRPr="00F9449A">
              <w:sym w:font="Wingdings" w:char="F0EA"/>
            </w:r>
          </w:p>
        </w:tc>
        <w:tc>
          <w:tcPr>
            <w:tcW w:w="100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0A23A193" w14:textId="77777777" w:rsidR="00507742" w:rsidRPr="00F9449A" w:rsidRDefault="00507742" w:rsidP="00572CF6">
            <w:pPr>
              <w:pStyle w:val="TableText"/>
              <w:jc w:val="center"/>
            </w:pPr>
            <w:r w:rsidRPr="00F9449A">
              <w:t>2.3%</w:t>
            </w:r>
          </w:p>
        </w:tc>
        <w:tc>
          <w:tcPr>
            <w:tcW w:w="1007" w:type="dxa"/>
            <w:tcBorders>
              <w:top w:val="single" w:sz="4" w:space="0" w:color="A6A6A6" w:themeColor="background1" w:themeShade="A6"/>
              <w:bottom w:val="single" w:sz="4" w:space="0" w:color="A6A6A6" w:themeColor="background1" w:themeShade="A6"/>
            </w:tcBorders>
          </w:tcPr>
          <w:p w14:paraId="13FA2F90" w14:textId="77777777" w:rsidR="00507742" w:rsidRPr="00F9449A" w:rsidRDefault="00507742" w:rsidP="00572CF6">
            <w:pPr>
              <w:pStyle w:val="TableText"/>
              <w:jc w:val="center"/>
              <w:rPr>
                <w:b/>
              </w:rPr>
            </w:pPr>
            <w:r w:rsidRPr="00F9449A">
              <w:rPr>
                <w:b/>
              </w:rPr>
              <w:t>=</w:t>
            </w:r>
          </w:p>
        </w:tc>
      </w:tr>
      <w:tr w:rsidR="00507742" w:rsidRPr="00F9449A" w14:paraId="2FAAE623" w14:textId="77777777" w:rsidTr="008B3E9A">
        <w:trPr>
          <w:cantSplit/>
        </w:trPr>
        <w:tc>
          <w:tcPr>
            <w:tcW w:w="405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5E29FAD" w14:textId="77777777" w:rsidR="00507742" w:rsidRPr="00F9449A" w:rsidRDefault="00507742" w:rsidP="00572CF6">
            <w:pPr>
              <w:pStyle w:val="TableText"/>
            </w:pPr>
            <w:r w:rsidRPr="00F9449A">
              <w:t>Unmet need for GP due to lack of child care</w:t>
            </w:r>
          </w:p>
        </w:tc>
        <w:tc>
          <w:tcPr>
            <w:tcW w:w="100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21454A3" w14:textId="77777777" w:rsidR="00507742" w:rsidRPr="00F9449A" w:rsidRDefault="00507742" w:rsidP="00572CF6">
            <w:pPr>
              <w:pStyle w:val="TableText"/>
              <w:jc w:val="center"/>
            </w:pPr>
            <w:r w:rsidRPr="00F9449A">
              <w:t>NA</w:t>
            </w:r>
          </w:p>
        </w:tc>
        <w:tc>
          <w:tcPr>
            <w:tcW w:w="100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0FFD22C" w14:textId="77777777" w:rsidR="00507742" w:rsidRPr="00F9449A" w:rsidRDefault="00507742" w:rsidP="00572CF6">
            <w:pPr>
              <w:pStyle w:val="TableText"/>
              <w:jc w:val="center"/>
            </w:pPr>
            <w:r w:rsidRPr="00F9449A">
              <w:t>NA</w:t>
            </w:r>
          </w:p>
        </w:tc>
        <w:tc>
          <w:tcPr>
            <w:tcW w:w="100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12EBD79" w14:textId="77777777" w:rsidR="00507742" w:rsidRPr="00F9449A" w:rsidRDefault="00507742" w:rsidP="00572CF6">
            <w:pPr>
              <w:pStyle w:val="TableText"/>
              <w:jc w:val="center"/>
            </w:pPr>
            <w:r w:rsidRPr="00F9449A">
              <w:t>2.4%</w:t>
            </w:r>
          </w:p>
        </w:tc>
        <w:tc>
          <w:tcPr>
            <w:tcW w:w="1007" w:type="dxa"/>
            <w:tcBorders>
              <w:top w:val="single" w:sz="4" w:space="0" w:color="A6A6A6" w:themeColor="background1" w:themeShade="A6"/>
              <w:bottom w:val="single" w:sz="4" w:space="0" w:color="A6A6A6" w:themeColor="background1" w:themeShade="A6"/>
            </w:tcBorders>
          </w:tcPr>
          <w:p w14:paraId="69279C7A" w14:textId="77777777" w:rsidR="00507742" w:rsidRPr="00F9449A" w:rsidRDefault="00507742" w:rsidP="00572CF6">
            <w:pPr>
              <w:pStyle w:val="TableText"/>
              <w:jc w:val="center"/>
            </w:pPr>
            <w:r w:rsidRPr="00F9449A">
              <w:rPr>
                <w:b/>
              </w:rPr>
              <w:t>=</w:t>
            </w:r>
          </w:p>
        </w:tc>
      </w:tr>
      <w:tr w:rsidR="00507742" w:rsidRPr="00F9449A" w14:paraId="3C3FABAD" w14:textId="77777777" w:rsidTr="008B3E9A">
        <w:trPr>
          <w:cantSplit/>
        </w:trPr>
        <w:tc>
          <w:tcPr>
            <w:tcW w:w="405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A4BA32F" w14:textId="77777777" w:rsidR="00507742" w:rsidRPr="00F9449A" w:rsidRDefault="00507742" w:rsidP="00572CF6">
            <w:pPr>
              <w:pStyle w:val="TableText"/>
            </w:pPr>
            <w:r w:rsidRPr="00F9449A">
              <w:t>Unmet need for after-hours due to cost</w:t>
            </w:r>
          </w:p>
        </w:tc>
        <w:tc>
          <w:tcPr>
            <w:tcW w:w="100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2C00D14" w14:textId="77777777" w:rsidR="00507742" w:rsidRPr="00F9449A" w:rsidRDefault="00507742" w:rsidP="00572CF6">
            <w:pPr>
              <w:pStyle w:val="TableText"/>
              <w:jc w:val="center"/>
            </w:pPr>
            <w:r w:rsidRPr="00F9449A">
              <w:t>6.0%</w:t>
            </w:r>
          </w:p>
        </w:tc>
        <w:tc>
          <w:tcPr>
            <w:tcW w:w="100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2CC28B4A" w14:textId="77777777" w:rsidR="00507742" w:rsidRPr="00F9449A" w:rsidRDefault="00507742" w:rsidP="00572CF6">
            <w:pPr>
              <w:pStyle w:val="TableText"/>
              <w:jc w:val="center"/>
              <w:rPr>
                <w:b/>
              </w:rPr>
            </w:pPr>
            <w:r w:rsidRPr="00F9449A">
              <w:rPr>
                <w:b/>
              </w:rPr>
              <w:t>=</w:t>
            </w:r>
          </w:p>
        </w:tc>
        <w:tc>
          <w:tcPr>
            <w:tcW w:w="100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E665340" w14:textId="77777777" w:rsidR="00507742" w:rsidRPr="00F9449A" w:rsidRDefault="00507742" w:rsidP="00572CF6">
            <w:pPr>
              <w:pStyle w:val="TableText"/>
              <w:jc w:val="center"/>
            </w:pPr>
            <w:r w:rsidRPr="00F9449A">
              <w:t>2.0%</w:t>
            </w:r>
          </w:p>
        </w:tc>
        <w:tc>
          <w:tcPr>
            <w:tcW w:w="1007" w:type="dxa"/>
            <w:tcBorders>
              <w:top w:val="single" w:sz="4" w:space="0" w:color="A6A6A6" w:themeColor="background1" w:themeShade="A6"/>
              <w:bottom w:val="single" w:sz="4" w:space="0" w:color="A6A6A6" w:themeColor="background1" w:themeShade="A6"/>
            </w:tcBorders>
          </w:tcPr>
          <w:p w14:paraId="76948F05" w14:textId="77777777" w:rsidR="00507742" w:rsidRPr="00F9449A" w:rsidRDefault="00507742" w:rsidP="00572CF6">
            <w:pPr>
              <w:pStyle w:val="TableText"/>
              <w:jc w:val="center"/>
              <w:rPr>
                <w:b/>
              </w:rPr>
            </w:pPr>
            <w:r w:rsidRPr="00F9449A">
              <w:sym w:font="Wingdings" w:char="F0EA"/>
            </w:r>
          </w:p>
        </w:tc>
      </w:tr>
      <w:tr w:rsidR="00507742" w:rsidRPr="00F9449A" w14:paraId="778D4780" w14:textId="77777777" w:rsidTr="008B3E9A">
        <w:trPr>
          <w:cantSplit/>
        </w:trPr>
        <w:tc>
          <w:tcPr>
            <w:tcW w:w="405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71A9E53C" w14:textId="77777777" w:rsidR="00507742" w:rsidRPr="00F9449A" w:rsidRDefault="00507742" w:rsidP="00572CF6">
            <w:pPr>
              <w:pStyle w:val="TableText"/>
            </w:pPr>
            <w:r w:rsidRPr="00F9449A">
              <w:t>Unmet need for after-hours due to transport</w:t>
            </w:r>
          </w:p>
        </w:tc>
        <w:tc>
          <w:tcPr>
            <w:tcW w:w="100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DCC2363" w14:textId="77777777" w:rsidR="00507742" w:rsidRPr="00F9449A" w:rsidRDefault="00507742" w:rsidP="00572CF6">
            <w:pPr>
              <w:pStyle w:val="TableText"/>
              <w:jc w:val="center"/>
            </w:pPr>
            <w:r w:rsidRPr="00F9449A">
              <w:t>1.0%</w:t>
            </w:r>
          </w:p>
        </w:tc>
        <w:tc>
          <w:tcPr>
            <w:tcW w:w="100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3B7658B8" w14:textId="77777777" w:rsidR="00507742" w:rsidRPr="00F9449A" w:rsidRDefault="00507742" w:rsidP="00572CF6">
            <w:pPr>
              <w:pStyle w:val="TableText"/>
              <w:jc w:val="center"/>
            </w:pPr>
            <w:r w:rsidRPr="00F9449A">
              <w:sym w:font="Wingdings" w:char="F0EA"/>
            </w:r>
          </w:p>
        </w:tc>
        <w:tc>
          <w:tcPr>
            <w:tcW w:w="100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463656D2" w14:textId="77777777" w:rsidR="00507742" w:rsidRPr="00F9449A" w:rsidRDefault="00507742" w:rsidP="00572CF6">
            <w:pPr>
              <w:pStyle w:val="TableText"/>
              <w:jc w:val="center"/>
            </w:pPr>
            <w:r w:rsidRPr="00F9449A">
              <w:t>0.8%</w:t>
            </w:r>
          </w:p>
        </w:tc>
        <w:tc>
          <w:tcPr>
            <w:tcW w:w="1007" w:type="dxa"/>
            <w:tcBorders>
              <w:top w:val="single" w:sz="4" w:space="0" w:color="A6A6A6" w:themeColor="background1" w:themeShade="A6"/>
              <w:bottom w:val="single" w:sz="4" w:space="0" w:color="A6A6A6" w:themeColor="background1" w:themeShade="A6"/>
            </w:tcBorders>
          </w:tcPr>
          <w:p w14:paraId="2DAD972C" w14:textId="77777777" w:rsidR="00507742" w:rsidRPr="00F9449A" w:rsidRDefault="00507742" w:rsidP="00572CF6">
            <w:pPr>
              <w:pStyle w:val="TableText"/>
              <w:jc w:val="center"/>
              <w:rPr>
                <w:b/>
              </w:rPr>
            </w:pPr>
            <w:r w:rsidRPr="00F9449A">
              <w:sym w:font="Wingdings" w:char="F0EA"/>
            </w:r>
          </w:p>
        </w:tc>
      </w:tr>
      <w:tr w:rsidR="00507742" w:rsidRPr="00F9449A" w14:paraId="56FA81C3" w14:textId="77777777" w:rsidTr="008B3E9A">
        <w:trPr>
          <w:cantSplit/>
        </w:trPr>
        <w:tc>
          <w:tcPr>
            <w:tcW w:w="405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1FCF583" w14:textId="77777777" w:rsidR="00507742" w:rsidRPr="00F9449A" w:rsidRDefault="00507742" w:rsidP="00572CF6">
            <w:pPr>
              <w:pStyle w:val="TableText"/>
            </w:pPr>
            <w:r w:rsidRPr="00F9449A">
              <w:t>Unfilled prescription due to cost</w:t>
            </w:r>
          </w:p>
        </w:tc>
        <w:tc>
          <w:tcPr>
            <w:tcW w:w="100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60634761" w14:textId="77777777" w:rsidR="00507742" w:rsidRPr="00F9449A" w:rsidRDefault="00507742" w:rsidP="00572CF6">
            <w:pPr>
              <w:pStyle w:val="TableText"/>
              <w:jc w:val="center"/>
            </w:pPr>
            <w:r w:rsidRPr="00F9449A">
              <w:t>5.3%</w:t>
            </w:r>
          </w:p>
        </w:tc>
        <w:tc>
          <w:tcPr>
            <w:tcW w:w="100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5BB63532" w14:textId="77777777" w:rsidR="00507742" w:rsidRPr="00F9449A" w:rsidRDefault="00507742" w:rsidP="00572CF6">
            <w:pPr>
              <w:pStyle w:val="TableText"/>
              <w:jc w:val="center"/>
            </w:pPr>
            <w:r w:rsidRPr="00F9449A">
              <w:sym w:font="Wingdings" w:char="F0EA"/>
            </w:r>
          </w:p>
        </w:tc>
        <w:tc>
          <w:tcPr>
            <w:tcW w:w="100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7823B1A7" w14:textId="77777777" w:rsidR="00507742" w:rsidRPr="00F9449A" w:rsidRDefault="00507742" w:rsidP="00572CF6">
            <w:pPr>
              <w:pStyle w:val="TableText"/>
              <w:jc w:val="center"/>
            </w:pPr>
            <w:r w:rsidRPr="00F9449A">
              <w:t>2.0%</w:t>
            </w:r>
          </w:p>
        </w:tc>
        <w:tc>
          <w:tcPr>
            <w:tcW w:w="1007" w:type="dxa"/>
            <w:tcBorders>
              <w:top w:val="single" w:sz="4" w:space="0" w:color="A6A6A6" w:themeColor="background1" w:themeShade="A6"/>
              <w:bottom w:val="single" w:sz="4" w:space="0" w:color="A6A6A6" w:themeColor="background1" w:themeShade="A6"/>
            </w:tcBorders>
          </w:tcPr>
          <w:p w14:paraId="0C63427E" w14:textId="77777777" w:rsidR="00507742" w:rsidRPr="00F9449A" w:rsidRDefault="00507742" w:rsidP="00572CF6">
            <w:pPr>
              <w:pStyle w:val="TableText"/>
              <w:jc w:val="center"/>
            </w:pPr>
            <w:r w:rsidRPr="00F9449A">
              <w:sym w:font="Wingdings" w:char="F0EA"/>
            </w:r>
          </w:p>
        </w:tc>
      </w:tr>
      <w:tr w:rsidR="00507742" w:rsidRPr="00816588" w14:paraId="2057E9B2" w14:textId="77777777" w:rsidTr="008B3E9A">
        <w:trPr>
          <w:cantSplit/>
        </w:trPr>
        <w:tc>
          <w:tcPr>
            <w:tcW w:w="4054"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6350F333" w14:textId="77777777" w:rsidR="00507742" w:rsidRPr="00F9449A" w:rsidRDefault="00507742" w:rsidP="00572CF6">
            <w:pPr>
              <w:pStyle w:val="TableText"/>
            </w:pPr>
            <w:r w:rsidRPr="00F9449A">
              <w:t>Unmet need for dental health care due to cost</w:t>
            </w:r>
          </w:p>
        </w:tc>
        <w:tc>
          <w:tcPr>
            <w:tcW w:w="1006"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38ED1CE" w14:textId="77777777" w:rsidR="00507742" w:rsidRPr="00F9449A" w:rsidRDefault="00507742" w:rsidP="00572CF6">
            <w:pPr>
              <w:pStyle w:val="TableText"/>
              <w:jc w:val="center"/>
            </w:pPr>
            <w:r w:rsidRPr="00F9449A">
              <w:t>43.7%</w:t>
            </w:r>
          </w:p>
        </w:tc>
        <w:tc>
          <w:tcPr>
            <w:tcW w:w="1007"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0913A35B" w14:textId="77777777" w:rsidR="00507742" w:rsidRPr="00F9449A" w:rsidRDefault="00507742" w:rsidP="00572CF6">
            <w:pPr>
              <w:pStyle w:val="TableText"/>
              <w:jc w:val="center"/>
              <w:rPr>
                <w:b/>
              </w:rPr>
            </w:pPr>
            <w:r w:rsidRPr="00F9449A">
              <w:rPr>
                <w:b/>
              </w:rPr>
              <w:t>=</w:t>
            </w:r>
          </w:p>
        </w:tc>
        <w:tc>
          <w:tcPr>
            <w:tcW w:w="1007" w:type="dxa"/>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516E9387" w14:textId="77777777" w:rsidR="00507742" w:rsidRPr="00F9449A" w:rsidRDefault="00507742" w:rsidP="00572CF6">
            <w:pPr>
              <w:pStyle w:val="TableText"/>
              <w:jc w:val="center"/>
            </w:pPr>
            <w:r w:rsidRPr="00F9449A">
              <w:t>2.4%</w:t>
            </w:r>
          </w:p>
        </w:tc>
        <w:tc>
          <w:tcPr>
            <w:tcW w:w="1007" w:type="dxa"/>
            <w:tcBorders>
              <w:top w:val="single" w:sz="4" w:space="0" w:color="A6A6A6" w:themeColor="background1" w:themeShade="A6"/>
              <w:bottom w:val="single" w:sz="4" w:space="0" w:color="A6A6A6" w:themeColor="background1" w:themeShade="A6"/>
            </w:tcBorders>
          </w:tcPr>
          <w:p w14:paraId="1A1E8819" w14:textId="77777777" w:rsidR="00507742" w:rsidRPr="00F9449A" w:rsidRDefault="00507742" w:rsidP="00572CF6">
            <w:pPr>
              <w:pStyle w:val="TableText"/>
              <w:jc w:val="center"/>
            </w:pPr>
            <w:r w:rsidRPr="00F9449A">
              <w:t>NA</w:t>
            </w:r>
          </w:p>
        </w:tc>
      </w:tr>
    </w:tbl>
    <w:p w14:paraId="67AD177F" w14:textId="77777777" w:rsidR="00507742" w:rsidRPr="00816588" w:rsidRDefault="00507742" w:rsidP="00507742">
      <w:pPr>
        <w:spacing w:line="20" w:lineRule="atLeast"/>
        <w:ind w:left="1695"/>
        <w:rPr>
          <w:rFonts w:ascii="Arial Unicode MS" w:eastAsia="Arial Unicode MS" w:hAnsi="Arial Unicode MS" w:cs="Arial Unicode MS"/>
          <w:sz w:val="2"/>
          <w:szCs w:val="2"/>
        </w:rPr>
      </w:pPr>
    </w:p>
    <w:p w14:paraId="766B4810" w14:textId="77777777" w:rsidR="008B3E9A" w:rsidRDefault="00507742" w:rsidP="008B3E9A">
      <w:pPr>
        <w:pStyle w:val="Note"/>
      </w:pPr>
      <w:r>
        <w:t>Note</w:t>
      </w:r>
      <w:r w:rsidRPr="00816588">
        <w:t xml:space="preserve">: </w:t>
      </w:r>
      <w:r>
        <w:t>GP = general practitioner; NA = not applicable. A trend up or down indicates a statistically significant change compared with 2011/12.</w:t>
      </w:r>
    </w:p>
    <w:p w14:paraId="0CB8815B" w14:textId="1BEB405B" w:rsidR="00507742" w:rsidRPr="00CF60ED" w:rsidRDefault="009E77CA" w:rsidP="008B3E9A">
      <w:pPr>
        <w:pStyle w:val="Source"/>
        <w:rPr>
          <w:rFonts w:eastAsia="Arial Unicode MS" w:hAnsi="Arial Unicode MS" w:cs="Arial Unicode MS"/>
          <w:szCs w:val="16"/>
        </w:rPr>
      </w:pPr>
      <w:r>
        <w:t>Source: Ministry of Health (2019a)</w:t>
      </w:r>
    </w:p>
    <w:p w14:paraId="1D473722" w14:textId="77777777" w:rsidR="00570E0A" w:rsidRPr="00F52DD9" w:rsidRDefault="00570E0A" w:rsidP="008B3E9A">
      <w:pPr>
        <w:rPr>
          <w:rFonts w:eastAsia="Arial Unicode MS"/>
        </w:rPr>
      </w:pPr>
    </w:p>
    <w:p w14:paraId="501ADA3C" w14:textId="77777777" w:rsidR="002542AA" w:rsidRDefault="00507742" w:rsidP="001B33B9">
      <w:pPr>
        <w:keepNext/>
        <w:keepLines/>
      </w:pPr>
      <w:r>
        <w:lastRenderedPageBreak/>
        <w:t>Most barriers to accessing health care were more common in certain population groups. For example, Pacific children were 4.3 times as likely to experience unmet need for a GP due to cost and 5.1 times as likely to have an unfilled prescription due to cost, compared with non-Pacific children. Māori adults were 2.4 times as likely as</w:t>
      </w:r>
      <w:r w:rsidRPr="00676DC3">
        <w:t xml:space="preserve"> </w:t>
      </w:r>
      <w:r>
        <w:t>non-Māori adults, and Pacific adults were 2.7 times</w:t>
      </w:r>
      <w:r w:rsidRPr="00676DC3">
        <w:t xml:space="preserve"> </w:t>
      </w:r>
      <w:r>
        <w:t xml:space="preserve">as likely as non-Pacific adults, to have an unfilled prescription due to cost. </w:t>
      </w:r>
      <w:r w:rsidRPr="007D038A">
        <w:t xml:space="preserve">While unmet need for a general practitioner due to a lack of transport </w:t>
      </w:r>
      <w:r>
        <w:t xml:space="preserve">or child care </w:t>
      </w:r>
      <w:r w:rsidRPr="007D038A">
        <w:t xml:space="preserve">was </w:t>
      </w:r>
      <w:r>
        <w:t>uncommon overall, these barriers to accessing health care disproportionately affected Pacific peoples</w:t>
      </w:r>
      <w:r w:rsidRPr="007D038A">
        <w:t>.</w:t>
      </w:r>
    </w:p>
    <w:bookmarkEnd w:id="175"/>
    <w:p w14:paraId="2569D259" w14:textId="77777777" w:rsidR="00507742" w:rsidRDefault="00507742" w:rsidP="008B3E9A">
      <w:pPr>
        <w:spacing w:after="240"/>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0224DAB3" w14:textId="77777777" w:rsidTr="00572CF6">
        <w:trPr>
          <w:cantSplit/>
        </w:trPr>
        <w:tc>
          <w:tcPr>
            <w:tcW w:w="7973" w:type="dxa"/>
          </w:tcPr>
          <w:p w14:paraId="67B76830" w14:textId="77777777" w:rsidR="00507742" w:rsidRPr="00933A6B" w:rsidRDefault="00507742" w:rsidP="00B01F6E">
            <w:pPr>
              <w:pStyle w:val="TableText"/>
              <w:keepNext/>
              <w:ind w:right="-57"/>
              <w:rPr>
                <w:color w:val="0A6AB4"/>
                <w:sz w:val="24"/>
                <w:szCs w:val="24"/>
              </w:rPr>
            </w:pPr>
            <w:r w:rsidRPr="00EF74BE">
              <w:rPr>
                <w:color w:val="0A6AB4"/>
                <w:sz w:val="24"/>
                <w:szCs w:val="24"/>
              </w:rPr>
              <w:t xml:space="preserve">Childhood immunisation coverage </w:t>
            </w:r>
            <w:r>
              <w:rPr>
                <w:color w:val="0A6AB4"/>
                <w:sz w:val="24"/>
                <w:szCs w:val="24"/>
              </w:rPr>
              <w:t>is declinin</w:t>
            </w:r>
            <w:r w:rsidR="008B3E9A">
              <w:rPr>
                <w:color w:val="0A6AB4"/>
                <w:sz w:val="24"/>
                <w:szCs w:val="24"/>
              </w:rPr>
              <w:t>g, particularly for Māori</w:t>
            </w:r>
          </w:p>
        </w:tc>
      </w:tr>
    </w:tbl>
    <w:p w14:paraId="5AE6AFA9" w14:textId="77777777" w:rsidR="00507742" w:rsidRPr="007D038A" w:rsidRDefault="00507742" w:rsidP="00B01F6E">
      <w:pPr>
        <w:keepNext/>
      </w:pPr>
    </w:p>
    <w:p w14:paraId="699D6E76" w14:textId="77777777" w:rsidR="00F14C69" w:rsidRDefault="00F14C69" w:rsidP="00F14C69">
      <w:r w:rsidRPr="00D077EA">
        <w:t xml:space="preserve">Immunisation is one of the most effective and </w:t>
      </w:r>
      <w:r>
        <w:t xml:space="preserve">most </w:t>
      </w:r>
      <w:r w:rsidRPr="00D077EA">
        <w:t>cost-effective interventions to protect people against harmful infections that can cause serious complications</w:t>
      </w:r>
      <w:r>
        <w:t xml:space="preserve"> or</w:t>
      </w:r>
      <w:r w:rsidRPr="00D077EA">
        <w:t xml:space="preserve"> death. It provides protection by reducing the incidence of vaccine-preventable diseases and preventing the spread </w:t>
      </w:r>
      <w:r>
        <w:t xml:space="preserve">of those diseases </w:t>
      </w:r>
      <w:r w:rsidRPr="00D077EA">
        <w:t>to vulnerable people.</w:t>
      </w:r>
    </w:p>
    <w:p w14:paraId="3A31AA08" w14:textId="77777777" w:rsidR="00F14C69" w:rsidRDefault="00F14C69" w:rsidP="00B01F6E">
      <w:pPr>
        <w:keepNext/>
      </w:pPr>
    </w:p>
    <w:p w14:paraId="5EEDCDCC" w14:textId="57A39901" w:rsidR="00507742" w:rsidRDefault="00507742" w:rsidP="00B01F6E">
      <w:pPr>
        <w:keepNext/>
      </w:pPr>
      <w:r w:rsidRPr="007D038A">
        <w:t xml:space="preserve">Immunisation coverage is measured at </w:t>
      </w:r>
      <w:r w:rsidR="002542AA">
        <w:t>‘</w:t>
      </w:r>
      <w:r w:rsidRPr="007D038A">
        <w:t>milestone ages</w:t>
      </w:r>
      <w:r w:rsidR="002542AA">
        <w:t>’</w:t>
      </w:r>
      <w:r w:rsidRPr="007D038A">
        <w:t xml:space="preserve"> using data from the National Immunisation Register. The milestone ages are </w:t>
      </w:r>
      <w:r>
        <w:t>6</w:t>
      </w:r>
      <w:r w:rsidRPr="007D038A">
        <w:t xml:space="preserve"> months, </w:t>
      </w:r>
      <w:r>
        <w:t>8</w:t>
      </w:r>
      <w:r w:rsidRPr="007D038A">
        <w:t xml:space="preserve"> months, 12 months, 18</w:t>
      </w:r>
      <w:r>
        <w:t> </w:t>
      </w:r>
      <w:r w:rsidRPr="007D038A">
        <w:t xml:space="preserve">months, 24 months and </w:t>
      </w:r>
      <w:r>
        <w:t>5</w:t>
      </w:r>
      <w:r w:rsidRPr="007D038A">
        <w:t xml:space="preserve"> years.</w:t>
      </w:r>
      <w:r w:rsidRPr="00B56CBF">
        <w:t xml:space="preserve"> </w:t>
      </w:r>
      <w:r w:rsidRPr="007D038A">
        <w:t>The goal for childhood immunisation in New Zealand is to achieve coverage of 95 percent or higher.</w:t>
      </w:r>
    </w:p>
    <w:p w14:paraId="63FCEF10" w14:textId="77777777" w:rsidR="00507742" w:rsidRPr="007D038A" w:rsidRDefault="00507742" w:rsidP="008B3E9A"/>
    <w:p w14:paraId="796C1E7D" w14:textId="4B0C2971" w:rsidR="00507742" w:rsidRDefault="00507742" w:rsidP="008B3E9A">
      <w:r w:rsidRPr="007D038A">
        <w:t>Childhood immunisation coverage</w:t>
      </w:r>
      <w:r>
        <w:t xml:space="preserve"> in babies aged eight months</w:t>
      </w:r>
      <w:r w:rsidRPr="007D038A">
        <w:t xml:space="preserve"> has </w:t>
      </w:r>
      <w:r>
        <w:t>declined</w:t>
      </w:r>
      <w:r w:rsidRPr="007D038A">
        <w:t xml:space="preserve"> </w:t>
      </w:r>
      <w:r>
        <w:t>over the last five years, from 93 percent in 2016 to 90 percent in 2019</w:t>
      </w:r>
      <w:r w:rsidRPr="007D038A">
        <w:t xml:space="preserve"> </w:t>
      </w:r>
      <w:r w:rsidRPr="00AB4FE0">
        <w:t>(</w:t>
      </w:r>
      <w:r w:rsidRPr="007D038A">
        <w:t xml:space="preserve">Ministry of Health </w:t>
      </w:r>
      <w:r>
        <w:t>2020j</w:t>
      </w:r>
      <w:r w:rsidRPr="007D038A">
        <w:t xml:space="preserve">). </w:t>
      </w:r>
      <w:r>
        <w:t>Although the decline has occurred in most ethnic groups, it has been most pronounced for Māori (</w:t>
      </w:r>
      <w:r w:rsidR="008B3E9A">
        <w:fldChar w:fldCharType="begin"/>
      </w:r>
      <w:r w:rsidR="008B3E9A">
        <w:instrText xml:space="preserve"> REF _Ref57377128 \h </w:instrText>
      </w:r>
      <w:r w:rsidR="008B3E9A">
        <w:fldChar w:fldCharType="separate"/>
      </w:r>
      <w:r w:rsidR="003F39AB">
        <w:t xml:space="preserve">Figure </w:t>
      </w:r>
      <w:r w:rsidR="003F39AB">
        <w:rPr>
          <w:noProof/>
        </w:rPr>
        <w:t>20</w:t>
      </w:r>
      <w:r w:rsidR="008B3E9A">
        <w:fldChar w:fldCharType="end"/>
      </w:r>
      <w:r>
        <w:t>). Over this period the gap between Māori and European children has widened from 3 to 8 percent</w:t>
      </w:r>
      <w:r w:rsidR="004A712F">
        <w:t>age points</w:t>
      </w:r>
      <w:r>
        <w:t>.</w:t>
      </w:r>
    </w:p>
    <w:p w14:paraId="43DA8DE8" w14:textId="77777777" w:rsidR="00507742" w:rsidRDefault="00507742" w:rsidP="008B3E9A"/>
    <w:p w14:paraId="3282D7B9" w14:textId="274A6D5C" w:rsidR="002542AA" w:rsidRDefault="008B3E9A" w:rsidP="008B3E9A">
      <w:pPr>
        <w:pStyle w:val="Figure"/>
      </w:pPr>
      <w:bookmarkStart w:id="205" w:name="_Ref57377128"/>
      <w:bookmarkStart w:id="206" w:name="_Toc57295977"/>
      <w:bookmarkStart w:id="207" w:name="_Toc64536277"/>
      <w:r>
        <w:t xml:space="preserve">Figure </w:t>
      </w:r>
      <w:fldSimple w:instr=" SEQ Figure \* ARABIC ">
        <w:r w:rsidR="003F39AB">
          <w:rPr>
            <w:noProof/>
          </w:rPr>
          <w:t>20</w:t>
        </w:r>
      </w:fldSimple>
      <w:bookmarkEnd w:id="205"/>
      <w:r w:rsidR="00507742" w:rsidRPr="00816588">
        <w:t xml:space="preserve">: </w:t>
      </w:r>
      <w:r w:rsidR="00507742">
        <w:t>Immunisation rates at eight months of age, by ethnic group, 2016 to 2019</w:t>
      </w:r>
      <w:bookmarkEnd w:id="206"/>
      <w:bookmarkEnd w:id="207"/>
    </w:p>
    <w:p w14:paraId="609A90E6" w14:textId="3DB35EA1" w:rsidR="00507742" w:rsidRDefault="00EC60FD" w:rsidP="00F508B5">
      <w:r w:rsidRPr="001E65C0">
        <w:rPr>
          <w:noProof/>
          <w:lang w:eastAsia="en-NZ"/>
        </w:rPr>
        <w:drawing>
          <wp:inline distT="0" distB="0" distL="0" distR="0" wp14:anchorId="25421DDB" wp14:editId="2132C347">
            <wp:extent cx="5130165" cy="3129280"/>
            <wp:effectExtent l="0" t="0" r="0" b="0"/>
            <wp:docPr id="30" name="Picture 30" descr="This bar graph shows that 8 month immunisation rates are about 90% for the country as a whole and NZ Europeans, declining slightly with each year. The rates for Māori have declined from about 90% in 2016 to about 83% in 2019. The rates for Pacific peoples have decreased from about 95% in 2016 to about 90% in 2019. The rates for Asians have remained steady at about 95% all four years. The rates for the other ethnic group declined from about 85% in 2016 to about 8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30165" cy="3129280"/>
                    </a:xfrm>
                    <a:prstGeom prst="rect">
                      <a:avLst/>
                    </a:prstGeom>
                  </pic:spPr>
                </pic:pic>
              </a:graphicData>
            </a:graphic>
          </wp:inline>
        </w:drawing>
      </w:r>
    </w:p>
    <w:p w14:paraId="24B5A657" w14:textId="384901F9" w:rsidR="00507742" w:rsidRPr="00CF60ED" w:rsidRDefault="00507742" w:rsidP="00F508B5">
      <w:pPr>
        <w:pStyle w:val="Source"/>
        <w:rPr>
          <w:rFonts w:eastAsia="Arial Unicode MS" w:hAnsi="Arial Unicode MS" w:cs="Arial Unicode MS"/>
          <w:szCs w:val="16"/>
        </w:rPr>
      </w:pPr>
      <w:r>
        <w:t>Source</w:t>
      </w:r>
      <w:r w:rsidRPr="00816588">
        <w:t>:</w:t>
      </w:r>
      <w:r>
        <w:t xml:space="preserve"> Ministry of Health </w:t>
      </w:r>
      <w:r w:rsidR="009E77CA">
        <w:t>(</w:t>
      </w:r>
      <w:r>
        <w:t>2020j)</w:t>
      </w:r>
    </w:p>
    <w:p w14:paraId="67BB28D3" w14:textId="77777777" w:rsidR="008B3E9A" w:rsidRDefault="008B3E9A" w:rsidP="008B3E9A"/>
    <w:p w14:paraId="121A22F6" w14:textId="0923C9A0" w:rsidR="002542AA" w:rsidRDefault="00507742" w:rsidP="008B3E9A">
      <w:r>
        <w:lastRenderedPageBreak/>
        <w:t>Trends in immunisation coverage at age five years are better than at eight months, with rates stable over the last four years for all ethnic groups (</w:t>
      </w:r>
      <w:r w:rsidR="008B3E9A">
        <w:fldChar w:fldCharType="begin"/>
      </w:r>
      <w:r w:rsidR="008B3E9A">
        <w:instrText xml:space="preserve"> REF _Ref57377187 \h </w:instrText>
      </w:r>
      <w:r w:rsidR="008B3E9A">
        <w:fldChar w:fldCharType="separate"/>
      </w:r>
      <w:r w:rsidR="003F39AB">
        <w:t>Figure </w:t>
      </w:r>
      <w:r w:rsidR="003F39AB">
        <w:rPr>
          <w:noProof/>
        </w:rPr>
        <w:t>21</w:t>
      </w:r>
      <w:r w:rsidR="008B3E9A">
        <w:fldChar w:fldCharType="end"/>
      </w:r>
      <w:r>
        <w:t xml:space="preserve">). However, Māori </w:t>
      </w:r>
      <w:r w:rsidR="004A712F">
        <w:t xml:space="preserve">and the ‘Other’ ethnic group </w:t>
      </w:r>
      <w:r>
        <w:t>continue to have lower immunisation rates than other ethnic groups at age five years.</w:t>
      </w:r>
    </w:p>
    <w:p w14:paraId="0FBBF7F5" w14:textId="77777777" w:rsidR="00507742" w:rsidRDefault="00507742" w:rsidP="008B3E9A"/>
    <w:p w14:paraId="39243B82" w14:textId="3DB3011C" w:rsidR="002542AA" w:rsidRDefault="008B3E9A" w:rsidP="008B3E9A">
      <w:pPr>
        <w:pStyle w:val="Figure"/>
      </w:pPr>
      <w:bookmarkStart w:id="208" w:name="_Ref57377187"/>
      <w:bookmarkStart w:id="209" w:name="_Toc57295978"/>
      <w:bookmarkStart w:id="210" w:name="_Toc64536278"/>
      <w:r>
        <w:t>Figure </w:t>
      </w:r>
      <w:fldSimple w:instr=" SEQ Figure \* ARABIC ">
        <w:r w:rsidR="003F39AB">
          <w:rPr>
            <w:noProof/>
          </w:rPr>
          <w:t>21</w:t>
        </w:r>
      </w:fldSimple>
      <w:bookmarkEnd w:id="208"/>
      <w:r w:rsidR="00507742" w:rsidRPr="00816588">
        <w:t xml:space="preserve">: </w:t>
      </w:r>
      <w:r w:rsidR="00507742">
        <w:t>Immunisation rates at five years of age, by ethnic group, 2016 to 2019</w:t>
      </w:r>
      <w:bookmarkEnd w:id="209"/>
      <w:bookmarkEnd w:id="210"/>
    </w:p>
    <w:p w14:paraId="3E0BCB56" w14:textId="6AB7260A" w:rsidR="00507742" w:rsidRDefault="00EC60FD" w:rsidP="008B3E9A">
      <w:r w:rsidRPr="001E65C0">
        <w:rPr>
          <w:noProof/>
          <w:lang w:eastAsia="en-NZ"/>
        </w:rPr>
        <w:drawing>
          <wp:inline distT="0" distB="0" distL="0" distR="0" wp14:anchorId="0F3B4034" wp14:editId="3976A3E2">
            <wp:extent cx="5130165" cy="3129280"/>
            <wp:effectExtent l="0" t="0" r="0" b="0"/>
            <wp:docPr id="31" name="Picture 31" descr="This bar graph shows that the five year immunisation rate has increased slightly for the population as a whole and is just under 90% for the last four years. The rate for NZ Europeans has remained steady at about 90%. The rate for Māori has remained steady at about 85%. The rate for Pacific peoples has remained relatively steady at about 88%. The rate for Asians has increased slightly to about 90%. The rate for the other ethnic group has declined from about 80% in 2016 to about 75%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30165" cy="3129280"/>
                    </a:xfrm>
                    <a:prstGeom prst="rect">
                      <a:avLst/>
                    </a:prstGeom>
                  </pic:spPr>
                </pic:pic>
              </a:graphicData>
            </a:graphic>
          </wp:inline>
        </w:drawing>
      </w:r>
    </w:p>
    <w:p w14:paraId="232F2A9E" w14:textId="758FED05" w:rsidR="008B3E9A" w:rsidRPr="008B3E9A" w:rsidRDefault="00507742" w:rsidP="00147D71">
      <w:pPr>
        <w:pStyle w:val="Source"/>
        <w:rPr>
          <w:rFonts w:eastAsia="Arial Unicode MS"/>
        </w:rPr>
      </w:pPr>
      <w:r>
        <w:t>Source</w:t>
      </w:r>
      <w:r w:rsidRPr="00816588">
        <w:t>:</w:t>
      </w:r>
      <w:r>
        <w:t xml:space="preserve"> Ministry of Health </w:t>
      </w:r>
      <w:r w:rsidR="009E77CA">
        <w:t>(</w:t>
      </w:r>
      <w:r>
        <w:t>2020j)</w:t>
      </w:r>
      <w:r w:rsidR="00147D71" w:rsidRPr="008B3E9A">
        <w:rPr>
          <w:rFonts w:eastAsia="Arial Unicode MS"/>
        </w:rPr>
        <w:t xml:space="preserve"> </w:t>
      </w:r>
    </w:p>
    <w:p w14:paraId="758A4EAA" w14:textId="77777777" w:rsidR="00507742" w:rsidRDefault="00507742" w:rsidP="008B3E9A">
      <w:pPr>
        <w:spacing w:after="240"/>
        <w:rPr>
          <w:highlight w:val="yellow"/>
        </w:rPr>
      </w:pP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rsidRPr="001F6898" w14:paraId="44D9077E" w14:textId="77777777" w:rsidTr="00572CF6">
        <w:trPr>
          <w:cantSplit/>
        </w:trPr>
        <w:tc>
          <w:tcPr>
            <w:tcW w:w="7973" w:type="dxa"/>
          </w:tcPr>
          <w:p w14:paraId="55F8CCE3" w14:textId="77777777" w:rsidR="00507742" w:rsidRPr="001F6898" w:rsidRDefault="00507742" w:rsidP="005533E2">
            <w:pPr>
              <w:pStyle w:val="TableText"/>
              <w:ind w:right="-57"/>
              <w:rPr>
                <w:color w:val="0A6AB4"/>
                <w:sz w:val="24"/>
                <w:szCs w:val="24"/>
              </w:rPr>
            </w:pPr>
            <w:r w:rsidRPr="001F6898">
              <w:rPr>
                <w:color w:val="0A6AB4"/>
                <w:sz w:val="24"/>
                <w:szCs w:val="24"/>
              </w:rPr>
              <w:t>Breast screening</w:t>
            </w:r>
            <w:r>
              <w:rPr>
                <w:color w:val="0A6AB4"/>
                <w:sz w:val="24"/>
                <w:szCs w:val="24"/>
              </w:rPr>
              <w:t xml:space="preserve"> rates are highest for Pacific women</w:t>
            </w:r>
          </w:p>
        </w:tc>
      </w:tr>
    </w:tbl>
    <w:p w14:paraId="55013D3F" w14:textId="77777777" w:rsidR="00507742" w:rsidRPr="001F6898" w:rsidRDefault="00507742" w:rsidP="008B3E9A"/>
    <w:p w14:paraId="6C57A152" w14:textId="77777777" w:rsidR="00B55B2C" w:rsidRDefault="00B55B2C" w:rsidP="00B55B2C">
      <w:r w:rsidRPr="00EC2438">
        <w:t xml:space="preserve">In New Zealand, </w:t>
      </w:r>
      <w:r>
        <w:t xml:space="preserve">national </w:t>
      </w:r>
      <w:r w:rsidRPr="00EC2438">
        <w:t xml:space="preserve">screening </w:t>
      </w:r>
      <w:r>
        <w:t xml:space="preserve">already </w:t>
      </w:r>
      <w:r w:rsidRPr="00EC2438">
        <w:t xml:space="preserve">exists for </w:t>
      </w:r>
      <w:r>
        <w:t>two</w:t>
      </w:r>
      <w:r w:rsidRPr="00EC2438">
        <w:t xml:space="preserve"> cancers</w:t>
      </w:r>
      <w:r>
        <w:t xml:space="preserve"> (</w:t>
      </w:r>
      <w:r w:rsidRPr="00EC2438">
        <w:t>breast</w:t>
      </w:r>
      <w:r>
        <w:t xml:space="preserve"> and</w:t>
      </w:r>
      <w:r w:rsidRPr="00EC2438">
        <w:t xml:space="preserve"> cervical</w:t>
      </w:r>
      <w:r>
        <w:t xml:space="preserve">) and screening for bowel cancer is gradually being rolled out across the country. </w:t>
      </w:r>
      <w:r w:rsidRPr="00FF1BDA">
        <w:t xml:space="preserve">Screening aims to improve health outcomes by either detecting pre-cancerous lesions </w:t>
      </w:r>
      <w:r>
        <w:t>that</w:t>
      </w:r>
      <w:r w:rsidRPr="00FF1BDA">
        <w:t xml:space="preserve"> can be treated or detecting cancer at an early stage, when it can often be successfully treated. While it may achieve this outcome, screening also has the potential to increase inequities, particularly if screening uptake is low among </w:t>
      </w:r>
      <w:r>
        <w:t>Māori and other groups</w:t>
      </w:r>
      <w:r w:rsidRPr="00FF1BDA">
        <w:t>.</w:t>
      </w:r>
    </w:p>
    <w:p w14:paraId="13F46644" w14:textId="77777777" w:rsidR="00B55B2C" w:rsidRDefault="00B55B2C" w:rsidP="008B3E9A"/>
    <w:p w14:paraId="2B9776E0" w14:textId="5E7ACEB6" w:rsidR="00507742" w:rsidRDefault="00507742" w:rsidP="008B3E9A">
      <w:r w:rsidRPr="001F6898">
        <w:t xml:space="preserve">In 2019, </w:t>
      </w:r>
      <w:r>
        <w:t>71.6</w:t>
      </w:r>
      <w:r w:rsidRPr="001F6898">
        <w:t xml:space="preserve"> percent of </w:t>
      </w:r>
      <w:r>
        <w:t xml:space="preserve">eligible </w:t>
      </w:r>
      <w:r w:rsidRPr="001F6898">
        <w:t xml:space="preserve">women aged </w:t>
      </w:r>
      <w:r>
        <w:t>50</w:t>
      </w:r>
      <w:r w:rsidRPr="001F6898">
        <w:t>–69 years</w:t>
      </w:r>
      <w:r>
        <w:t xml:space="preserve"> had been screened for breast cancer in the past two years</w:t>
      </w:r>
      <w:r w:rsidRPr="001F6898">
        <w:t xml:space="preserve">, </w:t>
      </w:r>
      <w:r>
        <w:t>down slightly from 72.2 percent in 2015</w:t>
      </w:r>
      <w:r w:rsidR="00873B79">
        <w:t xml:space="preserve"> (Ministry of Health 2020k)</w:t>
      </w:r>
      <w:r>
        <w:t>. Over this period, b</w:t>
      </w:r>
      <w:r w:rsidRPr="001F6898">
        <w:t xml:space="preserve">reast screening rates </w:t>
      </w:r>
      <w:r>
        <w:t xml:space="preserve">improved </w:t>
      </w:r>
      <w:r w:rsidRPr="001F6898">
        <w:t xml:space="preserve">for Pacific women (from </w:t>
      </w:r>
      <w:r>
        <w:t>74.1</w:t>
      </w:r>
      <w:r w:rsidRPr="001F6898">
        <w:t xml:space="preserve"> to </w:t>
      </w:r>
      <w:r>
        <w:t>75.3</w:t>
      </w:r>
      <w:r w:rsidRPr="001F6898">
        <w:t xml:space="preserve"> percent)</w:t>
      </w:r>
      <w:r>
        <w:t>, to the point that they now have the highest breast screening rate (</w:t>
      </w:r>
      <w:r w:rsidR="008B3E9A">
        <w:fldChar w:fldCharType="begin"/>
      </w:r>
      <w:r w:rsidR="008B3E9A">
        <w:instrText xml:space="preserve"> REF _Ref57377241 \h </w:instrText>
      </w:r>
      <w:r w:rsidR="008B3E9A">
        <w:fldChar w:fldCharType="separate"/>
      </w:r>
      <w:r w:rsidR="003F39AB">
        <w:t>Figure </w:t>
      </w:r>
      <w:r w:rsidR="003F39AB">
        <w:rPr>
          <w:noProof/>
        </w:rPr>
        <w:t>22</w:t>
      </w:r>
      <w:r w:rsidR="008B3E9A">
        <w:fldChar w:fldCharType="end"/>
      </w:r>
      <w:r>
        <w:t>)</w:t>
      </w:r>
      <w:r w:rsidRPr="001F6898">
        <w:t xml:space="preserve">. </w:t>
      </w:r>
      <w:r>
        <w:t>Māori women have the lowest breast screening rates (63.6 percent in 2019</w:t>
      </w:r>
      <w:r w:rsidR="00AA1DFF">
        <w:t>, down from 64.8 percent in 2015</w:t>
      </w:r>
      <w:r>
        <w:t>).</w:t>
      </w:r>
    </w:p>
    <w:p w14:paraId="6CB832CF" w14:textId="77777777" w:rsidR="00507742" w:rsidRDefault="00507742" w:rsidP="008B3E9A"/>
    <w:p w14:paraId="71821B51" w14:textId="058E7BBF" w:rsidR="002542AA" w:rsidRDefault="008B3E9A" w:rsidP="008B3E9A">
      <w:pPr>
        <w:pStyle w:val="Figure"/>
      </w:pPr>
      <w:bookmarkStart w:id="211" w:name="_Ref57377241"/>
      <w:bookmarkStart w:id="212" w:name="_Toc57295979"/>
      <w:bookmarkStart w:id="213" w:name="_Toc64536279"/>
      <w:r>
        <w:lastRenderedPageBreak/>
        <w:t>Figure </w:t>
      </w:r>
      <w:fldSimple w:instr=" SEQ Figure \* ARABIC ">
        <w:r w:rsidR="003F39AB">
          <w:rPr>
            <w:noProof/>
          </w:rPr>
          <w:t>22</w:t>
        </w:r>
      </w:fldSimple>
      <w:bookmarkEnd w:id="211"/>
      <w:r w:rsidR="00507742" w:rsidRPr="00816588">
        <w:t xml:space="preserve">: </w:t>
      </w:r>
      <w:r w:rsidR="00507742">
        <w:t>Breast cancer screening rates among women aged 50</w:t>
      </w:r>
      <w:r w:rsidR="00507742" w:rsidRPr="00A54EC4">
        <w:t>–</w:t>
      </w:r>
      <w:r w:rsidR="00507742">
        <w:t>69 years, by ethnic group, 2015 to 2019</w:t>
      </w:r>
      <w:bookmarkEnd w:id="212"/>
      <w:bookmarkEnd w:id="213"/>
    </w:p>
    <w:p w14:paraId="275EF6D3" w14:textId="76069C49" w:rsidR="00507742" w:rsidRDefault="00EC60FD" w:rsidP="008B3E9A">
      <w:r w:rsidRPr="001E65C0">
        <w:rPr>
          <w:noProof/>
          <w:lang w:eastAsia="en-NZ"/>
        </w:rPr>
        <w:drawing>
          <wp:inline distT="0" distB="0" distL="0" distR="0" wp14:anchorId="76A69D78" wp14:editId="0CD99076">
            <wp:extent cx="5130165" cy="3129280"/>
            <wp:effectExtent l="0" t="0" r="0" b="0"/>
            <wp:docPr id="929" name="Picture 929" descr="This bar graph shows that the screening rate for Māori has been steady at about 64%, fluctuated a little more for Pacific peoples, between 70 and 75%, and steady at about 70% for the other ethnic group and the population as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30165" cy="3129280"/>
                    </a:xfrm>
                    <a:prstGeom prst="rect">
                      <a:avLst/>
                    </a:prstGeom>
                  </pic:spPr>
                </pic:pic>
              </a:graphicData>
            </a:graphic>
          </wp:inline>
        </w:drawing>
      </w:r>
    </w:p>
    <w:p w14:paraId="012FD4FF" w14:textId="2F5BFACD" w:rsidR="00507742" w:rsidRPr="00CF60ED" w:rsidRDefault="00507742" w:rsidP="008B3E9A">
      <w:pPr>
        <w:pStyle w:val="Source"/>
        <w:rPr>
          <w:rFonts w:eastAsia="Arial Unicode MS" w:hAnsi="Arial Unicode MS" w:cs="Arial Unicode MS"/>
          <w:szCs w:val="16"/>
        </w:rPr>
      </w:pPr>
      <w:r w:rsidRPr="009F61C7">
        <w:t>Source:</w:t>
      </w:r>
      <w:r w:rsidR="00AA1DFF">
        <w:t xml:space="preserve"> Ministry of Health </w:t>
      </w:r>
      <w:r w:rsidR="009E77CA">
        <w:t>(</w:t>
      </w:r>
      <w:r w:rsidR="00AA1DFF">
        <w:t>2020k</w:t>
      </w:r>
      <w:r w:rsidR="009E77CA">
        <w:t>)</w:t>
      </w:r>
    </w:p>
    <w:p w14:paraId="230AF409" w14:textId="77777777" w:rsidR="00507742" w:rsidRDefault="00507742" w:rsidP="008B3E9A">
      <w:pPr>
        <w:spacing w:after="240"/>
        <w:rPr>
          <w:highlight w:val="yellow"/>
        </w:rPr>
      </w:pPr>
    </w:p>
    <w:tbl>
      <w:tblPr>
        <w:tblW w:w="0" w:type="auto"/>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2B92A382" w14:textId="77777777" w:rsidTr="00572CF6">
        <w:trPr>
          <w:cantSplit/>
        </w:trPr>
        <w:tc>
          <w:tcPr>
            <w:tcW w:w="7973" w:type="dxa"/>
          </w:tcPr>
          <w:p w14:paraId="7640B5FD" w14:textId="77777777" w:rsidR="00507742" w:rsidRPr="00933A6B" w:rsidRDefault="00507742" w:rsidP="00B47184">
            <w:pPr>
              <w:pStyle w:val="TableText"/>
              <w:keepNext/>
              <w:ind w:right="-57"/>
              <w:rPr>
                <w:color w:val="0A6AB4"/>
                <w:sz w:val="24"/>
                <w:szCs w:val="24"/>
              </w:rPr>
            </w:pPr>
            <w:r>
              <w:rPr>
                <w:color w:val="0A6AB4"/>
                <w:sz w:val="24"/>
                <w:szCs w:val="24"/>
              </w:rPr>
              <w:t>Cervical screening rates are lowest for Māori and Asian women</w:t>
            </w:r>
          </w:p>
        </w:tc>
      </w:tr>
    </w:tbl>
    <w:p w14:paraId="3397865F" w14:textId="77777777" w:rsidR="00507742" w:rsidRDefault="00507742" w:rsidP="00B47184">
      <w:pPr>
        <w:keepNext/>
      </w:pPr>
    </w:p>
    <w:p w14:paraId="570AC3AD" w14:textId="3BCBF9F7" w:rsidR="00507742" w:rsidRDefault="00507742" w:rsidP="00B47184">
      <w:pPr>
        <w:keepNext/>
      </w:pPr>
      <w:r>
        <w:t>In 2019, 72.3 percent of women aged 25–69 years had been screened for cervical cancer in the past three years, down from 74.5 percent in 2015 (</w:t>
      </w:r>
      <w:r w:rsidR="008B3E9A">
        <w:fldChar w:fldCharType="begin"/>
      </w:r>
      <w:r w:rsidR="008B3E9A">
        <w:instrText xml:space="preserve"> REF _Ref57377284 \h </w:instrText>
      </w:r>
      <w:r w:rsidR="008B3E9A">
        <w:fldChar w:fldCharType="separate"/>
      </w:r>
      <w:r w:rsidR="003F39AB">
        <w:t>Figure </w:t>
      </w:r>
      <w:r w:rsidR="003F39AB">
        <w:rPr>
          <w:noProof/>
        </w:rPr>
        <w:t>23</w:t>
      </w:r>
      <w:r w:rsidR="008B3E9A">
        <w:fldChar w:fldCharType="end"/>
      </w:r>
      <w:r>
        <w:t>). Cervical screening rates declined most for Pacific women (from 75.5 to 67.6 percent). Māori women (64.1</w:t>
      </w:r>
      <w:r w:rsidR="008B3E9A">
        <w:t> </w:t>
      </w:r>
      <w:r>
        <w:t>percent) and Asian women (62.9 percent) continued to have the lowest screening rates in 2019</w:t>
      </w:r>
      <w:r w:rsidR="00873B79">
        <w:t xml:space="preserve"> (Ministry of Health 2020l)</w:t>
      </w:r>
      <w:r>
        <w:t>.</w:t>
      </w:r>
    </w:p>
    <w:p w14:paraId="5301A388" w14:textId="77777777" w:rsidR="008B3E9A" w:rsidRDefault="008B3E9A" w:rsidP="008B3E9A"/>
    <w:p w14:paraId="00EB7087" w14:textId="418056E6" w:rsidR="002542AA" w:rsidRDefault="008B3E9A" w:rsidP="008B3E9A">
      <w:pPr>
        <w:pStyle w:val="Figure"/>
      </w:pPr>
      <w:bookmarkStart w:id="214" w:name="_Ref57377284"/>
      <w:bookmarkStart w:id="215" w:name="_Toc57295980"/>
      <w:bookmarkStart w:id="216" w:name="_Toc64536280"/>
      <w:r>
        <w:lastRenderedPageBreak/>
        <w:t>Figure </w:t>
      </w:r>
      <w:fldSimple w:instr=" SEQ Figure \* ARABIC ">
        <w:r w:rsidR="003F39AB">
          <w:rPr>
            <w:noProof/>
          </w:rPr>
          <w:t>23</w:t>
        </w:r>
      </w:fldSimple>
      <w:bookmarkEnd w:id="214"/>
      <w:r w:rsidR="00507742" w:rsidRPr="00816588">
        <w:t xml:space="preserve">: </w:t>
      </w:r>
      <w:r w:rsidR="00507742">
        <w:t>Cervical cancer screening rates among women aged 25</w:t>
      </w:r>
      <w:r w:rsidR="00507742" w:rsidRPr="00A54EC4">
        <w:t>–</w:t>
      </w:r>
      <w:r w:rsidR="00507742">
        <w:t>69 years, by ethnic group, 2015 to 2019</w:t>
      </w:r>
      <w:bookmarkEnd w:id="215"/>
      <w:bookmarkEnd w:id="216"/>
    </w:p>
    <w:p w14:paraId="63488F88" w14:textId="50E0643A" w:rsidR="00507742" w:rsidRDefault="00EC60FD" w:rsidP="008B3E9A">
      <w:r w:rsidRPr="001E65C0">
        <w:rPr>
          <w:noProof/>
          <w:lang w:eastAsia="en-NZ"/>
        </w:rPr>
        <w:drawing>
          <wp:inline distT="0" distB="0" distL="0" distR="0" wp14:anchorId="4B71F0E4" wp14:editId="5C509E95">
            <wp:extent cx="5130165" cy="3129280"/>
            <wp:effectExtent l="0" t="0" r="0" b="0"/>
            <wp:docPr id="931" name="Picture 931" descr="This bar graph shows that cervical screening rates for Māori have declined from about 67% in 2015 to about 64% in 2019. For Pacific peoples, the rate has declined from about 75% in 2015 to about 68% in 2019. The rate for Asians has remained steady at about 60%. The rate for the other ethnic group has declined slightly from about 78% in 2015 to about 75% in 2019. For the total population the rate has declined slightly from about 74% in 2015 to about 70%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130165" cy="3129280"/>
                    </a:xfrm>
                    <a:prstGeom prst="rect">
                      <a:avLst/>
                    </a:prstGeom>
                  </pic:spPr>
                </pic:pic>
              </a:graphicData>
            </a:graphic>
          </wp:inline>
        </w:drawing>
      </w:r>
    </w:p>
    <w:p w14:paraId="71B73FDA" w14:textId="77777777" w:rsidR="008B3E9A" w:rsidRDefault="00507742" w:rsidP="008B3E9A">
      <w:pPr>
        <w:pStyle w:val="Note"/>
      </w:pPr>
      <w:r w:rsidRPr="00C370A6">
        <w:t>Notes: Coverage includes eligible women screened by the National Cervical Screening Programme in the previous 36 months. Populations are Stats NZ</w:t>
      </w:r>
      <w:r>
        <w:t xml:space="preserve"> </w:t>
      </w:r>
      <w:r w:rsidRPr="00C370A6">
        <w:t>2013 Census-based population projections and adjusted for hysterectomy prevalence.</w:t>
      </w:r>
    </w:p>
    <w:p w14:paraId="1E1985A2" w14:textId="6EBFB687" w:rsidR="00507742" w:rsidRDefault="00507742" w:rsidP="008B3E9A">
      <w:pPr>
        <w:pStyle w:val="Source"/>
        <w:spacing w:before="0"/>
      </w:pPr>
      <w:r w:rsidRPr="00F22EE0">
        <w:t xml:space="preserve">Source: </w:t>
      </w:r>
      <w:r>
        <w:t xml:space="preserve">Ministry of Health </w:t>
      </w:r>
      <w:r w:rsidR="009E77CA">
        <w:t>(</w:t>
      </w:r>
      <w:r w:rsidR="00AA1DFF">
        <w:t>2020l</w:t>
      </w:r>
      <w:r>
        <w:t>)</w:t>
      </w:r>
    </w:p>
    <w:p w14:paraId="4BCA4204" w14:textId="77777777" w:rsidR="00B55B2C" w:rsidRPr="00B55B2C" w:rsidRDefault="00B55B2C" w:rsidP="00B55B2C"/>
    <w:p w14:paraId="54286002" w14:textId="77777777" w:rsidR="008B3E9A" w:rsidRPr="008B3E9A" w:rsidRDefault="008B3E9A" w:rsidP="008B3E9A">
      <w:pPr>
        <w:rPr>
          <w:rFonts w:eastAsia="Arial Unicode MS"/>
        </w:rPr>
      </w:pPr>
    </w:p>
    <w:tbl>
      <w:tblPr>
        <w:tblW w:w="7973" w:type="dxa"/>
        <w:tblInd w:w="391" w:type="dxa"/>
        <w:tblBorders>
          <w:left w:val="single" w:sz="48" w:space="0" w:color="0A6AB4"/>
        </w:tblBorders>
        <w:tblLayout w:type="fixed"/>
        <w:tblCellMar>
          <w:left w:w="284" w:type="dxa"/>
        </w:tblCellMar>
        <w:tblLook w:val="04A0" w:firstRow="1" w:lastRow="0" w:firstColumn="1" w:lastColumn="0" w:noHBand="0" w:noVBand="1"/>
      </w:tblPr>
      <w:tblGrid>
        <w:gridCol w:w="7973"/>
      </w:tblGrid>
      <w:tr w:rsidR="00507742" w14:paraId="0A52CC35" w14:textId="77777777" w:rsidTr="00572CF6">
        <w:trPr>
          <w:cantSplit/>
        </w:trPr>
        <w:tc>
          <w:tcPr>
            <w:tcW w:w="7973" w:type="dxa"/>
          </w:tcPr>
          <w:p w14:paraId="64AADFA6" w14:textId="77777777" w:rsidR="00507742" w:rsidRPr="00933A6B" w:rsidRDefault="00507742" w:rsidP="00B47184">
            <w:pPr>
              <w:pStyle w:val="TableText"/>
              <w:keepNext/>
              <w:ind w:right="-57"/>
              <w:rPr>
                <w:color w:val="0A6AB4"/>
                <w:sz w:val="24"/>
                <w:szCs w:val="24"/>
              </w:rPr>
            </w:pPr>
            <w:r>
              <w:rPr>
                <w:color w:val="0A6AB4"/>
                <w:sz w:val="24"/>
                <w:szCs w:val="24"/>
              </w:rPr>
              <w:t>Pacific peoples and Māori are more likely to be hospitalised for conditions that could have been treated in the community</w:t>
            </w:r>
          </w:p>
        </w:tc>
      </w:tr>
    </w:tbl>
    <w:p w14:paraId="2570CC1F" w14:textId="77777777" w:rsidR="00507742" w:rsidRDefault="00507742" w:rsidP="00B47184">
      <w:pPr>
        <w:keepNext/>
      </w:pPr>
    </w:p>
    <w:p w14:paraId="735383F2" w14:textId="77777777" w:rsidR="002542AA" w:rsidRDefault="00507742" w:rsidP="00B47184">
      <w:pPr>
        <w:keepNext/>
      </w:pPr>
      <w:r w:rsidRPr="0060492E">
        <w:t>Ambulatory sensitive hospitalisation (ASH) rates measure the number of people who appear in hospital with conditions that could have been prevented or treated in out-of-hospital settings such as primary health care.</w:t>
      </w:r>
    </w:p>
    <w:p w14:paraId="65F9CE14" w14:textId="77777777" w:rsidR="00507742" w:rsidRDefault="00507742" w:rsidP="00B47184">
      <w:pPr>
        <w:keepNext/>
      </w:pPr>
    </w:p>
    <w:p w14:paraId="3B63B626" w14:textId="04FC1E14" w:rsidR="00507742" w:rsidRDefault="00507742" w:rsidP="00B47184">
      <w:pPr>
        <w:keepNext/>
      </w:pPr>
      <w:r>
        <w:t>Overall</w:t>
      </w:r>
      <w:r w:rsidR="004A712F">
        <w:t>,</w:t>
      </w:r>
      <w:r>
        <w:t xml:space="preserve"> ASH rates for children aged 0</w:t>
      </w:r>
      <w:r w:rsidRPr="00A54EC4">
        <w:t>–</w:t>
      </w:r>
      <w:r>
        <w:t>4 years and adults aged 45</w:t>
      </w:r>
      <w:r w:rsidRPr="00A54EC4">
        <w:t>–</w:t>
      </w:r>
      <w:r>
        <w:t>64 years have been stable from 2016 to 2019 (</w:t>
      </w:r>
      <w:r w:rsidR="008B3E9A">
        <w:fldChar w:fldCharType="begin"/>
      </w:r>
      <w:r w:rsidR="008B3E9A">
        <w:instrText xml:space="preserve"> REF _Ref57377349 \h </w:instrText>
      </w:r>
      <w:r w:rsidR="008B3E9A">
        <w:fldChar w:fldCharType="separate"/>
      </w:r>
      <w:r w:rsidR="003F39AB">
        <w:t>Figure </w:t>
      </w:r>
      <w:r w:rsidR="003F39AB">
        <w:rPr>
          <w:noProof/>
        </w:rPr>
        <w:t>24</w:t>
      </w:r>
      <w:r w:rsidR="008B3E9A">
        <w:fldChar w:fldCharType="end"/>
      </w:r>
      <w:r>
        <w:t xml:space="preserve"> and </w:t>
      </w:r>
      <w:r w:rsidR="008B3E9A">
        <w:fldChar w:fldCharType="begin"/>
      </w:r>
      <w:r w:rsidR="008B3E9A">
        <w:instrText xml:space="preserve"> REF _Ref57377381 \h </w:instrText>
      </w:r>
      <w:r w:rsidR="008B3E9A">
        <w:fldChar w:fldCharType="separate"/>
      </w:r>
      <w:r w:rsidR="003F39AB">
        <w:t>Figure </w:t>
      </w:r>
      <w:r w:rsidR="003F39AB">
        <w:rPr>
          <w:noProof/>
        </w:rPr>
        <w:t>25</w:t>
      </w:r>
      <w:r w:rsidR="008B3E9A">
        <w:fldChar w:fldCharType="end"/>
      </w:r>
      <w:r>
        <w:t xml:space="preserve">). The trend differs by ethnic group. ASH rates are slightly lower for the </w:t>
      </w:r>
      <w:r w:rsidR="002542AA">
        <w:t>‘</w:t>
      </w:r>
      <w:r>
        <w:t>Other</w:t>
      </w:r>
      <w:r w:rsidR="002542AA">
        <w:t>’</w:t>
      </w:r>
      <w:r>
        <w:t xml:space="preserve"> group, higher for Māori and substantially higher in Pacific peoples aged 0</w:t>
      </w:r>
      <w:r w:rsidRPr="00A54EC4">
        <w:t>–</w:t>
      </w:r>
      <w:r>
        <w:t>4 and 45</w:t>
      </w:r>
      <w:r w:rsidRPr="00A54EC4">
        <w:t>–</w:t>
      </w:r>
      <w:r>
        <w:t>64 years</w:t>
      </w:r>
      <w:r w:rsidR="00873B79">
        <w:t xml:space="preserve"> (Ministry of Health 2020a)</w:t>
      </w:r>
      <w:r>
        <w:t>.</w:t>
      </w:r>
    </w:p>
    <w:p w14:paraId="7B4FA452" w14:textId="77777777" w:rsidR="00507742" w:rsidRDefault="00507742" w:rsidP="00B47184">
      <w:pPr>
        <w:keepNext/>
      </w:pPr>
    </w:p>
    <w:p w14:paraId="395FD9CC" w14:textId="68EB7025" w:rsidR="00507742" w:rsidRDefault="00507742" w:rsidP="008B3E9A">
      <w:r w:rsidRPr="00F2704C">
        <w:t xml:space="preserve">The top </w:t>
      </w:r>
      <w:r>
        <w:t xml:space="preserve">five </w:t>
      </w:r>
      <w:r w:rsidRPr="00F2704C">
        <w:t>conditions leading to ASH at age 0</w:t>
      </w:r>
      <w:r w:rsidRPr="00A54EC4">
        <w:t>–</w:t>
      </w:r>
      <w:r w:rsidRPr="00F2704C">
        <w:t xml:space="preserve">4 years </w:t>
      </w:r>
      <w:r>
        <w:t>are</w:t>
      </w:r>
      <w:r w:rsidRPr="00F2704C">
        <w:t xml:space="preserve"> </w:t>
      </w:r>
      <w:r>
        <w:t xml:space="preserve">asthma, upper </w:t>
      </w:r>
      <w:r w:rsidRPr="00F2704C">
        <w:t xml:space="preserve">respiratory diseases, dental conditions, gastroenteritis and cellulitis. The top </w:t>
      </w:r>
      <w:r>
        <w:t xml:space="preserve">five </w:t>
      </w:r>
      <w:r w:rsidRPr="00F2704C">
        <w:t>conditions leading to ASH at age 45</w:t>
      </w:r>
      <w:r w:rsidRPr="00A54EC4">
        <w:t>–</w:t>
      </w:r>
      <w:r w:rsidRPr="00F2704C">
        <w:t xml:space="preserve">64 years are angina and chest pain, myocardial infarction, cellulitis, </w:t>
      </w:r>
      <w:r>
        <w:t>pneumonia</w:t>
      </w:r>
      <w:r w:rsidRPr="00F2704C">
        <w:t xml:space="preserve"> and COPD</w:t>
      </w:r>
      <w:r w:rsidR="00873B79">
        <w:t xml:space="preserve"> (Ministry of Health 2020m)</w:t>
      </w:r>
      <w:r w:rsidRPr="00F2704C">
        <w:t>.</w:t>
      </w:r>
    </w:p>
    <w:p w14:paraId="2D333244" w14:textId="77777777" w:rsidR="00507742" w:rsidRDefault="00507742" w:rsidP="008B3E9A"/>
    <w:p w14:paraId="201C154D" w14:textId="31A8F704" w:rsidR="002542AA" w:rsidRDefault="008B3E9A" w:rsidP="008B3E9A">
      <w:pPr>
        <w:pStyle w:val="Figure"/>
      </w:pPr>
      <w:bookmarkStart w:id="217" w:name="_Ref57377349"/>
      <w:bookmarkStart w:id="218" w:name="_Toc57295981"/>
      <w:bookmarkStart w:id="219" w:name="_Toc64536281"/>
      <w:r>
        <w:lastRenderedPageBreak/>
        <w:t>Figure </w:t>
      </w:r>
      <w:fldSimple w:instr=" SEQ Figure \* ARABIC ">
        <w:r w:rsidR="003F39AB">
          <w:rPr>
            <w:noProof/>
          </w:rPr>
          <w:t>24</w:t>
        </w:r>
      </w:fldSimple>
      <w:bookmarkEnd w:id="217"/>
      <w:r w:rsidR="00507742" w:rsidRPr="00816588">
        <w:t xml:space="preserve">: </w:t>
      </w:r>
      <w:r w:rsidR="00507742">
        <w:t>ASH rates for children aged 0–4 years, by ethnic group, 2016 to 2019</w:t>
      </w:r>
      <w:bookmarkEnd w:id="218"/>
      <w:bookmarkEnd w:id="219"/>
    </w:p>
    <w:p w14:paraId="7069E018" w14:textId="74AD621E" w:rsidR="00507742" w:rsidRDefault="00EC60FD" w:rsidP="008B3E9A">
      <w:r w:rsidRPr="001E65C0">
        <w:rPr>
          <w:noProof/>
          <w:lang w:eastAsia="en-NZ"/>
        </w:rPr>
        <w:drawing>
          <wp:inline distT="0" distB="0" distL="0" distR="0" wp14:anchorId="3A9A1C53" wp14:editId="44E97ADC">
            <wp:extent cx="5130165" cy="3129280"/>
            <wp:effectExtent l="0" t="0" r="0" b="0"/>
            <wp:docPr id="932" name="Picture 932" descr="This bar graph shows that ASH rate for Māori were about 7000 in 2016 and 2017 but increased to nearly 9000 in 2018 and were about 8000 in 2019. The rate for Pacific peoples was about 12000 all four years. The rate for other ethnic group was about 5500 all four years. The total rate was about 6500 all four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130165" cy="3129280"/>
                    </a:xfrm>
                    <a:prstGeom prst="rect">
                      <a:avLst/>
                    </a:prstGeom>
                  </pic:spPr>
                </pic:pic>
              </a:graphicData>
            </a:graphic>
          </wp:inline>
        </w:drawing>
      </w:r>
    </w:p>
    <w:p w14:paraId="28C6F09B" w14:textId="77777777" w:rsidR="00507742" w:rsidRPr="00CF60ED" w:rsidRDefault="00507742" w:rsidP="008B3E9A">
      <w:pPr>
        <w:pStyle w:val="Source"/>
        <w:rPr>
          <w:rFonts w:eastAsia="Arial Unicode MS" w:hAnsi="Arial Unicode MS" w:cs="Arial Unicode MS"/>
          <w:szCs w:val="16"/>
        </w:rPr>
      </w:pPr>
      <w:r w:rsidRPr="00A01F08">
        <w:t xml:space="preserve">Source: Ministry of Health </w:t>
      </w:r>
      <w:r>
        <w:t>(</w:t>
      </w:r>
      <w:r w:rsidRPr="00A01F08">
        <w:t>2020a</w:t>
      </w:r>
      <w:r>
        <w:t>)</w:t>
      </w:r>
    </w:p>
    <w:p w14:paraId="730935C2" w14:textId="77777777" w:rsidR="00507742" w:rsidRDefault="00507742" w:rsidP="008B3E9A"/>
    <w:p w14:paraId="4360504F" w14:textId="7DACEC66" w:rsidR="002542AA" w:rsidRDefault="008B3E9A" w:rsidP="008B3E9A">
      <w:pPr>
        <w:pStyle w:val="Figure"/>
      </w:pPr>
      <w:bookmarkStart w:id="220" w:name="_Ref57377381"/>
      <w:bookmarkStart w:id="221" w:name="_Toc57295982"/>
      <w:bookmarkStart w:id="222" w:name="_Toc64536282"/>
      <w:r>
        <w:t>Figure </w:t>
      </w:r>
      <w:fldSimple w:instr=" SEQ Figure \* ARABIC ">
        <w:r w:rsidR="003F39AB">
          <w:rPr>
            <w:noProof/>
          </w:rPr>
          <w:t>25</w:t>
        </w:r>
      </w:fldSimple>
      <w:bookmarkEnd w:id="220"/>
      <w:r w:rsidR="00507742" w:rsidRPr="00816588">
        <w:t xml:space="preserve">: </w:t>
      </w:r>
      <w:r w:rsidR="00507742">
        <w:t>ASH rates for adults aged 45–64 years, by ethnic group, 2016 to 2019</w:t>
      </w:r>
      <w:bookmarkEnd w:id="221"/>
      <w:bookmarkEnd w:id="222"/>
    </w:p>
    <w:p w14:paraId="60F5B1DA" w14:textId="77CB0E56" w:rsidR="00507742" w:rsidRDefault="00EC60FD" w:rsidP="008B3E9A">
      <w:r w:rsidRPr="001E65C0">
        <w:rPr>
          <w:noProof/>
          <w:lang w:eastAsia="en-NZ"/>
        </w:rPr>
        <w:drawing>
          <wp:inline distT="0" distB="0" distL="0" distR="0" wp14:anchorId="43F1EFDB" wp14:editId="73C78C13">
            <wp:extent cx="5130165" cy="3129280"/>
            <wp:effectExtent l="0" t="0" r="0" b="0"/>
            <wp:docPr id="933" name="Picture 933" descr="This graph shows that ASH rates for Māori have increased from just under 7000 in 2016 to about 7500 in 2019. The rate for Pacific peoples has been relatively steady around 8750. The rate for the other ethnic group has been steady around 3000 and the total rate was steady around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30165" cy="3129280"/>
                    </a:xfrm>
                    <a:prstGeom prst="rect">
                      <a:avLst/>
                    </a:prstGeom>
                  </pic:spPr>
                </pic:pic>
              </a:graphicData>
            </a:graphic>
          </wp:inline>
        </w:drawing>
      </w:r>
    </w:p>
    <w:p w14:paraId="4CB4D927" w14:textId="77777777" w:rsidR="00507742" w:rsidRPr="00CF60ED" w:rsidRDefault="00507742" w:rsidP="008B3E9A">
      <w:pPr>
        <w:pStyle w:val="Source"/>
        <w:rPr>
          <w:rFonts w:eastAsia="Arial Unicode MS" w:hAnsi="Arial Unicode MS" w:cs="Arial Unicode MS"/>
          <w:szCs w:val="16"/>
        </w:rPr>
      </w:pPr>
      <w:r w:rsidRPr="00A01F08">
        <w:t xml:space="preserve">Source: Ministry of Health </w:t>
      </w:r>
      <w:r>
        <w:t>(</w:t>
      </w:r>
      <w:r w:rsidRPr="00A01F08">
        <w:t>2020a</w:t>
      </w:r>
      <w:r>
        <w:t>)</w:t>
      </w:r>
    </w:p>
    <w:p w14:paraId="50FB88A8" w14:textId="77777777" w:rsidR="00507742" w:rsidRPr="006F050A" w:rsidRDefault="00507742" w:rsidP="008B3E9A">
      <w:pPr>
        <w:rPr>
          <w:highlight w:val="yellow"/>
        </w:rPr>
      </w:pPr>
    </w:p>
    <w:p w14:paraId="5CB6668D" w14:textId="77777777" w:rsidR="00507742" w:rsidRPr="007D038A" w:rsidRDefault="00507742" w:rsidP="006145D3">
      <w:pPr>
        <w:pStyle w:val="Heading1"/>
      </w:pPr>
      <w:bookmarkStart w:id="223" w:name="_Toc57295688"/>
      <w:bookmarkStart w:id="224" w:name="_Toc64536256"/>
      <w:bookmarkEnd w:id="149"/>
      <w:r w:rsidRPr="007D038A">
        <w:lastRenderedPageBreak/>
        <w:t>Technical notes |</w:t>
      </w:r>
      <w:r>
        <w:t xml:space="preserve"> </w:t>
      </w:r>
      <w:r w:rsidRPr="007D038A">
        <w:t>Ngā</w:t>
      </w:r>
      <w:r>
        <w:t> </w:t>
      </w:r>
      <w:r w:rsidRPr="007D038A">
        <w:t>tuhipoka hangarau</w:t>
      </w:r>
      <w:bookmarkEnd w:id="223"/>
      <w:bookmarkEnd w:id="224"/>
    </w:p>
    <w:p w14:paraId="13C5531A" w14:textId="0C7DDDD1" w:rsidR="00507742" w:rsidRPr="007D038A" w:rsidRDefault="00507742" w:rsidP="004A712F">
      <w:r w:rsidRPr="007D038A">
        <w:t xml:space="preserve">This report includes data from a wide range of sources, </w:t>
      </w:r>
      <w:r>
        <w:t>some</w:t>
      </w:r>
      <w:r w:rsidRPr="007D038A">
        <w:t xml:space="preserve"> of which are produced outside the Ministry of Health.</w:t>
      </w:r>
      <w:r w:rsidR="004A712F">
        <w:t xml:space="preserve"> </w:t>
      </w:r>
      <w:r w:rsidRPr="007D038A">
        <w:t xml:space="preserve">We have </w:t>
      </w:r>
      <w:r>
        <w:t>aimed</w:t>
      </w:r>
      <w:r w:rsidRPr="007D038A">
        <w:t xml:space="preserve"> to report data only when the data collection and analytical processes are robust. Notes are included if methodological information affects the interpretation of the data. We encourage you to refer to the original data source for further details.</w:t>
      </w:r>
    </w:p>
    <w:p w14:paraId="1411D774" w14:textId="77777777" w:rsidR="00507742" w:rsidRPr="007D038A" w:rsidRDefault="00507742" w:rsidP="006145D3">
      <w:pPr>
        <w:spacing w:before="200"/>
      </w:pPr>
      <w:r w:rsidRPr="007D038A">
        <w:t xml:space="preserve">All data reported is the latest available, although the time lag between the most recent data and the present can be substantial. Some data is provisional (such as the </w:t>
      </w:r>
      <w:r>
        <w:t>2017</w:t>
      </w:r>
      <w:r w:rsidRPr="007D038A">
        <w:t xml:space="preserve"> mortality data) and may change.</w:t>
      </w:r>
    </w:p>
    <w:p w14:paraId="0B8329CD" w14:textId="77777777" w:rsidR="00507742" w:rsidRPr="007D038A" w:rsidRDefault="00507742" w:rsidP="006145D3">
      <w:pPr>
        <w:spacing w:before="200"/>
      </w:pPr>
      <w:r w:rsidRPr="007D038A">
        <w:t>When possible, we have reported on statistically significant differences between</w:t>
      </w:r>
      <w:r>
        <w:t xml:space="preserve"> </w:t>
      </w:r>
      <w:r w:rsidRPr="007D038A">
        <w:t>population groups and, when</w:t>
      </w:r>
      <w:r>
        <w:t xml:space="preserve"> </w:t>
      </w:r>
      <w:r w:rsidRPr="007D038A">
        <w:t>relevant, trends over time.</w:t>
      </w:r>
      <w:r>
        <w:t xml:space="preserve"> </w:t>
      </w:r>
      <w:r w:rsidRPr="007D038A">
        <w:t>In many comparisons, the results are adjusted or standardised for factors that may influence (confound) the comparison, such as age and gender. Age</w:t>
      </w:r>
      <w:r>
        <w:t>-</w:t>
      </w:r>
      <w:r w:rsidRPr="007D038A">
        <w:t>standardisation is often used in this report to account for differences in age structure between population groups and over time.</w:t>
      </w:r>
    </w:p>
    <w:p w14:paraId="41E75AD7" w14:textId="77777777" w:rsidR="00507742" w:rsidRPr="007D038A" w:rsidRDefault="00507742" w:rsidP="006145D3">
      <w:pPr>
        <w:spacing w:before="200"/>
      </w:pPr>
      <w:r w:rsidRPr="007D038A">
        <w:t>Where age-standardised rates have been presented, Global Burden of Disease data has been age-standardised using a study-specific set of population weights that were originally derived from the World Health Organization world standard population and then refined over time, creating the GBD population. These rates will differ from other figures that have been calculated using different standard populations.</w:t>
      </w:r>
    </w:p>
    <w:p w14:paraId="6394BAE0" w14:textId="77777777" w:rsidR="00507742" w:rsidRPr="007D038A" w:rsidRDefault="00507742" w:rsidP="006145D3">
      <w:pPr>
        <w:spacing w:before="200"/>
      </w:pPr>
      <w:r w:rsidRPr="007D038A">
        <w:t xml:space="preserve">Ethnic comparisons were based on either prioritised ethnicity or total response </w:t>
      </w:r>
      <w:r w:rsidRPr="00C370A6">
        <w:t>ethnicity. With prioritised ethnicity, ethnic groups are mutually exclusive. That is, a</w:t>
      </w:r>
      <w:r w:rsidRPr="007D038A">
        <w:t xml:space="preserve"> person can appear in only one ethnic group. With total response ethnicity, a person is classified in all ethnic groups they identify with. This means that a person can appear in more than one ethnic group. For example, prioritised ethnicity is used for analysis based on administrative data (such as mortality data), while total response ethnicity is shown for </w:t>
      </w:r>
      <w:r>
        <w:t>New Zealand Health Survey data</w:t>
      </w:r>
      <w:r w:rsidRPr="007D038A">
        <w:t>.</w:t>
      </w:r>
    </w:p>
    <w:p w14:paraId="5BD21C3C" w14:textId="77777777" w:rsidR="00507742" w:rsidRDefault="00507742" w:rsidP="006145D3">
      <w:pPr>
        <w:spacing w:before="200"/>
      </w:pPr>
      <w:r w:rsidRPr="007D038A">
        <w:t>Selected results are presented by neighbourhood deprivation, as measured by the New Zealand Index of Deprivation 2013. This is an area-based measure of</w:t>
      </w:r>
      <w:r>
        <w:t xml:space="preserve"> </w:t>
      </w:r>
      <w:r w:rsidRPr="007D038A">
        <w:t>socioeconomic deprivation according to a combination of the following 2013 Census variables: income, benefit receipt, transport (access to car), household crowding,</w:t>
      </w:r>
      <w:r>
        <w:t xml:space="preserve"> </w:t>
      </w:r>
      <w:r w:rsidRPr="007D038A">
        <w:t>home ownership, employment status, qualifications, support</w:t>
      </w:r>
      <w:r>
        <w:t xml:space="preserve"> </w:t>
      </w:r>
      <w:r w:rsidRPr="007D038A">
        <w:t>(sole-parent</w:t>
      </w:r>
      <w:r>
        <w:t xml:space="preserve"> </w:t>
      </w:r>
      <w:r w:rsidRPr="007D038A">
        <w:t xml:space="preserve">families) and access to a telephone. In this report, </w:t>
      </w:r>
      <w:r w:rsidR="002542AA">
        <w:t>‘</w:t>
      </w:r>
      <w:r w:rsidRPr="007D038A">
        <w:t>most deprived areas</w:t>
      </w:r>
      <w:r w:rsidR="002542AA">
        <w:t>’</w:t>
      </w:r>
      <w:r w:rsidRPr="007D038A">
        <w:t xml:space="preserve"> refers to quintile 5 –</w:t>
      </w:r>
      <w:r>
        <w:t xml:space="preserve"> </w:t>
      </w:r>
      <w:r w:rsidRPr="007D038A">
        <w:t xml:space="preserve">the people living in the most socioeconomically deprived 20 percent of small areas in New Zealand. Conversely, </w:t>
      </w:r>
      <w:r w:rsidR="002542AA">
        <w:t>‘</w:t>
      </w:r>
      <w:r w:rsidRPr="007D038A">
        <w:t>least deprived areas</w:t>
      </w:r>
      <w:r w:rsidR="002542AA">
        <w:t>’</w:t>
      </w:r>
      <w:r w:rsidRPr="007D038A">
        <w:t xml:space="preserve"> refers to quintile 1, the people living in the least deprived 20 percent of small areas in New Zealand.</w:t>
      </w:r>
    </w:p>
    <w:p w14:paraId="2692031D" w14:textId="77777777" w:rsidR="00507742" w:rsidRDefault="00507742" w:rsidP="006145D3">
      <w:pPr>
        <w:spacing w:before="200"/>
      </w:pPr>
      <w:r w:rsidRPr="00F13BB0">
        <w:t>This report includes a range of population statistics from Stats NZ</w:t>
      </w:r>
      <w:r>
        <w:t>, as well as data from some of its household surveys</w:t>
      </w:r>
      <w:r w:rsidRPr="00F13BB0">
        <w:t>.</w:t>
      </w:r>
    </w:p>
    <w:p w14:paraId="4A8E36CB" w14:textId="77777777" w:rsidR="00507742" w:rsidRDefault="00507742" w:rsidP="006145D3">
      <w:pPr>
        <w:pStyle w:val="Heading1"/>
      </w:pPr>
      <w:bookmarkStart w:id="225" w:name="_TOC_250000"/>
      <w:bookmarkStart w:id="226" w:name="_Toc57295689"/>
      <w:bookmarkStart w:id="227" w:name="_Toc64536257"/>
      <w:r w:rsidRPr="007D038A">
        <w:lastRenderedPageBreak/>
        <w:t>References | Ngā</w:t>
      </w:r>
      <w:r>
        <w:t> </w:t>
      </w:r>
      <w:bookmarkEnd w:id="225"/>
      <w:r w:rsidRPr="007D038A">
        <w:t>tohutoro</w:t>
      </w:r>
      <w:bookmarkEnd w:id="226"/>
      <w:bookmarkEnd w:id="227"/>
    </w:p>
    <w:p w14:paraId="4CD8D99F" w14:textId="77777777" w:rsidR="00507742" w:rsidRPr="00912B44" w:rsidRDefault="00507742" w:rsidP="006E5487">
      <w:pPr>
        <w:pStyle w:val="References"/>
      </w:pPr>
      <w:r w:rsidRPr="00A01F08">
        <w:t>ESR</w:t>
      </w:r>
      <w:r>
        <w:t>.</w:t>
      </w:r>
      <w:r w:rsidRPr="00A01F08">
        <w:t xml:space="preserve"> 2020a. </w:t>
      </w:r>
      <w:r w:rsidRPr="00A01F08">
        <w:rPr>
          <w:i/>
        </w:rPr>
        <w:t xml:space="preserve">Measles and </w:t>
      </w:r>
      <w:r w:rsidR="006E5487">
        <w:rPr>
          <w:i/>
        </w:rPr>
        <w:t>M</w:t>
      </w:r>
      <w:r w:rsidRPr="00A01F08">
        <w:rPr>
          <w:i/>
        </w:rPr>
        <w:t xml:space="preserve">eningococcal </w:t>
      </w:r>
      <w:r w:rsidR="006E5487">
        <w:rPr>
          <w:i/>
        </w:rPr>
        <w:t>D</w:t>
      </w:r>
      <w:r w:rsidRPr="00A01F08">
        <w:rPr>
          <w:i/>
        </w:rPr>
        <w:t>isease, Customised Dataset</w:t>
      </w:r>
      <w:r w:rsidRPr="00A01F08">
        <w:t>. Wellington.</w:t>
      </w:r>
    </w:p>
    <w:p w14:paraId="3621745E" w14:textId="77777777" w:rsidR="00507742" w:rsidRPr="00912B44" w:rsidRDefault="00507742" w:rsidP="006E5487">
      <w:pPr>
        <w:pStyle w:val="References"/>
      </w:pPr>
      <w:r w:rsidRPr="00912B44">
        <w:t>ESR. 2020</w:t>
      </w:r>
      <w:r>
        <w:t>b</w:t>
      </w:r>
      <w:r w:rsidRPr="00912B44">
        <w:t xml:space="preserve">. </w:t>
      </w:r>
      <w:r w:rsidRPr="00912B44">
        <w:rPr>
          <w:i/>
        </w:rPr>
        <w:t>Measles Weekly Report Week 51: 14</w:t>
      </w:r>
      <w:r>
        <w:rPr>
          <w:i/>
        </w:rPr>
        <w:t>–</w:t>
      </w:r>
      <w:r w:rsidRPr="00912B44">
        <w:rPr>
          <w:i/>
        </w:rPr>
        <w:t>20 December 2019</w:t>
      </w:r>
      <w:r w:rsidRPr="00912B44">
        <w:t xml:space="preserve">. URL: </w:t>
      </w:r>
      <w:hyperlink r:id="rId57" w:history="1">
        <w:r w:rsidR="006E5487" w:rsidRPr="006E5487">
          <w:rPr>
            <w:rStyle w:val="Hyperlink"/>
          </w:rPr>
          <w:t>https://surv.esr.cri.nz/PDF_surveillance/MeaslesRpt/2019/WeeklyMeasles23122019.pdf</w:t>
        </w:r>
      </w:hyperlink>
      <w:r w:rsidRPr="00912B44">
        <w:t xml:space="preserve"> (accessed 15 October 2020).</w:t>
      </w:r>
    </w:p>
    <w:p w14:paraId="3C79F831" w14:textId="77777777" w:rsidR="00507742" w:rsidRPr="00912B44" w:rsidRDefault="00507742" w:rsidP="006E5487">
      <w:pPr>
        <w:pStyle w:val="References"/>
      </w:pPr>
      <w:r w:rsidRPr="00ED7558">
        <w:rPr>
          <w:lang w:val="nl-NL"/>
        </w:rPr>
        <w:t xml:space="preserve">Eyles H, Jiang Y, Blakely T, et al. 2018. </w:t>
      </w:r>
      <w:r w:rsidRPr="00912B44">
        <w:t xml:space="preserve">Five year trends in the serve size, energy, and sodium contents of New Zealand fast foods: 2012 to 2016. </w:t>
      </w:r>
      <w:r w:rsidRPr="00912B44">
        <w:rPr>
          <w:i/>
        </w:rPr>
        <w:t>Nutrition Journal</w:t>
      </w:r>
      <w:r w:rsidRPr="00912B44">
        <w:rPr>
          <w:rFonts w:ascii="Calibri"/>
          <w:i/>
        </w:rPr>
        <w:t xml:space="preserve"> </w:t>
      </w:r>
      <w:r w:rsidRPr="00912B44">
        <w:t>17(1): 65.</w:t>
      </w:r>
    </w:p>
    <w:p w14:paraId="2E333290" w14:textId="77777777" w:rsidR="00507742" w:rsidRPr="00912B44" w:rsidRDefault="00507742" w:rsidP="006E5487">
      <w:pPr>
        <w:pStyle w:val="References"/>
      </w:pPr>
      <w:r w:rsidRPr="00A01F08">
        <w:t xml:space="preserve">Global Burden of Disease Collaborative Network. 2020. </w:t>
      </w:r>
      <w:r w:rsidRPr="00A01F08">
        <w:rPr>
          <w:i/>
        </w:rPr>
        <w:t>Global Burden of Disease Study</w:t>
      </w:r>
      <w:r w:rsidRPr="00912B44">
        <w:rPr>
          <w:i/>
        </w:rPr>
        <w:t xml:space="preserve"> 2019 (GBD 2019) Results</w:t>
      </w:r>
      <w:r w:rsidRPr="00912B44">
        <w:t xml:space="preserve">. Seattle, </w:t>
      </w:r>
      <w:r>
        <w:t>WA</w:t>
      </w:r>
      <w:r w:rsidRPr="00912B44">
        <w:t xml:space="preserve">: Institute for Health Metrics and Evaluation. URL: </w:t>
      </w:r>
      <w:hyperlink r:id="rId58" w:history="1">
        <w:r w:rsidR="006E5487" w:rsidRPr="006E5487">
          <w:rPr>
            <w:rStyle w:val="Hyperlink"/>
          </w:rPr>
          <w:t>https://vizhub.healthdata.org/gbd-compare/</w:t>
        </w:r>
      </w:hyperlink>
      <w:r w:rsidR="006E5487">
        <w:t xml:space="preserve"> </w:t>
      </w:r>
      <w:r w:rsidRPr="00912B44">
        <w:t xml:space="preserve">(accessed </w:t>
      </w:r>
      <w:r>
        <w:t>23 November 2020).</w:t>
      </w:r>
    </w:p>
    <w:p w14:paraId="7D279214" w14:textId="77777777" w:rsidR="00507742" w:rsidRPr="00912B44" w:rsidRDefault="00507742" w:rsidP="006E5487">
      <w:pPr>
        <w:pStyle w:val="References"/>
      </w:pPr>
      <w:r w:rsidRPr="00912B44">
        <w:t xml:space="preserve">Grey C, Jackson R, Wells S, et al. 2018. Trends in ischaemic heart disease: patterns of hospitalisation and mortality rates differ by ethnicity (ANZACS-QI 21). </w:t>
      </w:r>
      <w:r w:rsidRPr="00912B44">
        <w:rPr>
          <w:i/>
        </w:rPr>
        <w:t>N</w:t>
      </w:r>
      <w:r>
        <w:rPr>
          <w:i/>
        </w:rPr>
        <w:t xml:space="preserve">ew </w:t>
      </w:r>
      <w:r w:rsidRPr="00912B44">
        <w:rPr>
          <w:i/>
        </w:rPr>
        <w:t>Z</w:t>
      </w:r>
      <w:r>
        <w:rPr>
          <w:i/>
        </w:rPr>
        <w:t>ealand</w:t>
      </w:r>
      <w:r w:rsidRPr="00912B44">
        <w:rPr>
          <w:i/>
        </w:rPr>
        <w:t xml:space="preserve"> Med</w:t>
      </w:r>
      <w:r>
        <w:rPr>
          <w:i/>
        </w:rPr>
        <w:t>ical</w:t>
      </w:r>
      <w:r w:rsidRPr="00912B44">
        <w:rPr>
          <w:i/>
        </w:rPr>
        <w:t xml:space="preserve"> J</w:t>
      </w:r>
      <w:r>
        <w:rPr>
          <w:i/>
        </w:rPr>
        <w:t>ournal</w:t>
      </w:r>
      <w:r w:rsidRPr="00912B44">
        <w:rPr>
          <w:rFonts w:ascii="Calibri" w:hAnsi="Calibri"/>
          <w:i/>
        </w:rPr>
        <w:t xml:space="preserve"> </w:t>
      </w:r>
      <w:r w:rsidRPr="00912B44">
        <w:t>131(1478): 21–31.</w:t>
      </w:r>
    </w:p>
    <w:p w14:paraId="721C0C50" w14:textId="77777777" w:rsidR="00507742" w:rsidRPr="00912B44" w:rsidRDefault="00507742" w:rsidP="006E5487">
      <w:pPr>
        <w:pStyle w:val="References"/>
      </w:pPr>
      <w:r w:rsidRPr="00912B44">
        <w:t xml:space="preserve">Institute for Clinical Systems Improvement. 2014. </w:t>
      </w:r>
      <w:r w:rsidRPr="00ED7558">
        <w:t xml:space="preserve">Going </w:t>
      </w:r>
      <w:r>
        <w:t>b</w:t>
      </w:r>
      <w:r w:rsidRPr="00ED7558">
        <w:t xml:space="preserve">eyond </w:t>
      </w:r>
      <w:r>
        <w:t>c</w:t>
      </w:r>
      <w:r w:rsidRPr="00ED7558">
        <w:t xml:space="preserve">linical </w:t>
      </w:r>
      <w:r>
        <w:t>w</w:t>
      </w:r>
      <w:r w:rsidRPr="00ED7558">
        <w:t xml:space="preserve">alls: </w:t>
      </w:r>
      <w:r>
        <w:t>s</w:t>
      </w:r>
      <w:r w:rsidRPr="00ED7558">
        <w:t>olving complex problems</w:t>
      </w:r>
      <w:r w:rsidRPr="00912B44">
        <w:t xml:space="preserve">. URL: </w:t>
      </w:r>
      <w:hyperlink r:id="rId59" w:history="1">
        <w:r w:rsidR="006E5487" w:rsidRPr="006E5487">
          <w:rPr>
            <w:rStyle w:val="Hyperlink"/>
          </w:rPr>
          <w:t>http://www.nrhi.org/uploads/going-beyond-clinical-walls-solving-complex-problems.pdf</w:t>
        </w:r>
      </w:hyperlink>
      <w:r w:rsidRPr="00912B44">
        <w:t xml:space="preserve"> (accessed 15 November 2019).</w:t>
      </w:r>
    </w:p>
    <w:p w14:paraId="39114D6D" w14:textId="77777777" w:rsidR="00507742" w:rsidRPr="00912B44" w:rsidRDefault="00507742" w:rsidP="006E5487">
      <w:pPr>
        <w:pStyle w:val="References"/>
      </w:pPr>
      <w:r w:rsidRPr="00ED7558">
        <w:rPr>
          <w:lang w:val="nl-NL"/>
        </w:rPr>
        <w:t xml:space="preserve">Kessler RC, Barker PR, Colpe LJ, et al. 2003. </w:t>
      </w:r>
      <w:r w:rsidRPr="00912B44">
        <w:t xml:space="preserve">Screening for serious mental illness in the general population. </w:t>
      </w:r>
      <w:r w:rsidRPr="00912B44">
        <w:rPr>
          <w:i/>
        </w:rPr>
        <w:t>Archives of General Psychiatry</w:t>
      </w:r>
      <w:r w:rsidRPr="00912B44">
        <w:t xml:space="preserve"> 60(2): 184–9.</w:t>
      </w:r>
    </w:p>
    <w:p w14:paraId="67D42BE2" w14:textId="77777777" w:rsidR="00507742" w:rsidRPr="00912B44" w:rsidRDefault="00507742" w:rsidP="006E5487">
      <w:pPr>
        <w:pStyle w:val="References"/>
      </w:pPr>
      <w:r w:rsidRPr="00912B44">
        <w:t>Ministry of Health. 2019</w:t>
      </w:r>
      <w:r>
        <w:t>a</w:t>
      </w:r>
      <w:r w:rsidRPr="00912B44">
        <w:t xml:space="preserve">. </w:t>
      </w:r>
      <w:r w:rsidRPr="00912B44">
        <w:rPr>
          <w:i/>
        </w:rPr>
        <w:t xml:space="preserve">Annual </w:t>
      </w:r>
      <w:r w:rsidR="006E5487">
        <w:rPr>
          <w:i/>
        </w:rPr>
        <w:t>U</w:t>
      </w:r>
      <w:r w:rsidRPr="00912B44">
        <w:rPr>
          <w:i/>
        </w:rPr>
        <w:t xml:space="preserve">pdate of </w:t>
      </w:r>
      <w:r w:rsidR="006E5487">
        <w:rPr>
          <w:i/>
        </w:rPr>
        <w:t>K</w:t>
      </w:r>
      <w:r w:rsidRPr="00912B44">
        <w:rPr>
          <w:i/>
        </w:rPr>
        <w:t xml:space="preserve">ey </w:t>
      </w:r>
      <w:r w:rsidR="006E5487">
        <w:rPr>
          <w:i/>
        </w:rPr>
        <w:t>R</w:t>
      </w:r>
      <w:r w:rsidRPr="00912B44">
        <w:rPr>
          <w:i/>
        </w:rPr>
        <w:t>esults 2018/19: New Zealand Health Survey</w:t>
      </w:r>
      <w:r w:rsidRPr="00912B44">
        <w:t xml:space="preserve">. URL: </w:t>
      </w:r>
      <w:hyperlink r:id="rId60" w:history="1">
        <w:r w:rsidR="006E5487" w:rsidRPr="006E5487">
          <w:rPr>
            <w:rStyle w:val="Hyperlink"/>
          </w:rPr>
          <w:t>https://www.health.govt.nz/publication/annual-update-key-results-2018-19-new-zealand-health-survey</w:t>
        </w:r>
      </w:hyperlink>
      <w:r w:rsidRPr="00912B44">
        <w:t xml:space="preserve"> (accessed </w:t>
      </w:r>
      <w:r>
        <w:t>23 November</w:t>
      </w:r>
      <w:r w:rsidRPr="00912B44">
        <w:t xml:space="preserve"> 2020).</w:t>
      </w:r>
    </w:p>
    <w:p w14:paraId="485E7AD6" w14:textId="3E7684B7" w:rsidR="00873B79" w:rsidRPr="00912B44" w:rsidRDefault="00873B79" w:rsidP="00873B79">
      <w:pPr>
        <w:pStyle w:val="References"/>
      </w:pPr>
      <w:r w:rsidRPr="00832DE3">
        <w:t>Ministry of Health. 2019</w:t>
      </w:r>
      <w:r>
        <w:t>b</w:t>
      </w:r>
      <w:r w:rsidRPr="00832DE3">
        <w:t xml:space="preserve">. </w:t>
      </w:r>
      <w:r>
        <w:rPr>
          <w:i/>
        </w:rPr>
        <w:t>Mortality 2017 data tables</w:t>
      </w:r>
      <w:r w:rsidRPr="00832DE3">
        <w:t xml:space="preserve">. </w:t>
      </w:r>
      <w:r w:rsidRPr="00912B44">
        <w:t xml:space="preserve">URL: </w:t>
      </w:r>
      <w:hyperlink r:id="rId61" w:history="1">
        <w:r w:rsidRPr="00DE0D9B">
          <w:rPr>
            <w:rStyle w:val="Hyperlink"/>
          </w:rPr>
          <w:t>https:</w:t>
        </w:r>
        <w:r w:rsidRPr="00FF5377">
          <w:rPr>
            <w:rStyle w:val="Hyperlink"/>
          </w:rPr>
          <w:t>//www.health.govt.nz/publication/mortality-2017-data-tables</w:t>
        </w:r>
      </w:hyperlink>
      <w:r w:rsidRPr="00912B44">
        <w:t xml:space="preserve"> (accessed </w:t>
      </w:r>
      <w:r>
        <w:t>30 November</w:t>
      </w:r>
      <w:r w:rsidRPr="00912B44">
        <w:t xml:space="preserve"> 2020).</w:t>
      </w:r>
    </w:p>
    <w:p w14:paraId="51A45C69" w14:textId="7C1E31EE" w:rsidR="00507742" w:rsidRPr="00912B44" w:rsidRDefault="00507742" w:rsidP="006E5487">
      <w:pPr>
        <w:pStyle w:val="References"/>
      </w:pPr>
      <w:r w:rsidRPr="00912B44">
        <w:t xml:space="preserve">Ministry of Health. </w:t>
      </w:r>
      <w:r w:rsidR="00873B79" w:rsidRPr="00912B44">
        <w:t>2019</w:t>
      </w:r>
      <w:r w:rsidR="00873B79">
        <w:t>c</w:t>
      </w:r>
      <w:r w:rsidRPr="00912B44">
        <w:t xml:space="preserve">. </w:t>
      </w:r>
      <w:r w:rsidRPr="00912B44">
        <w:rPr>
          <w:i/>
        </w:rPr>
        <w:t xml:space="preserve">Fetal and </w:t>
      </w:r>
      <w:r w:rsidR="006E5487">
        <w:rPr>
          <w:i/>
        </w:rPr>
        <w:t>I</w:t>
      </w:r>
      <w:r w:rsidRPr="00912B44">
        <w:rPr>
          <w:i/>
        </w:rPr>
        <w:t xml:space="preserve">nfant </w:t>
      </w:r>
      <w:r w:rsidR="006E5487">
        <w:rPr>
          <w:i/>
        </w:rPr>
        <w:t>D</w:t>
      </w:r>
      <w:r w:rsidRPr="00912B44">
        <w:rPr>
          <w:i/>
        </w:rPr>
        <w:t>eaths 2016</w:t>
      </w:r>
      <w:r w:rsidRPr="00912B44">
        <w:t xml:space="preserve">. URL: </w:t>
      </w:r>
      <w:hyperlink r:id="rId62" w:history="1">
        <w:r w:rsidRPr="001D2F62">
          <w:rPr>
            <w:rStyle w:val="Hyperlink"/>
          </w:rPr>
          <w:t xml:space="preserve">https://www.health.govt.nz/publication/fetal-and-infant-deaths-2016 </w:t>
        </w:r>
      </w:hyperlink>
      <w:r w:rsidRPr="00912B44">
        <w:t xml:space="preserve">(accessed </w:t>
      </w:r>
      <w:r>
        <w:t>23</w:t>
      </w:r>
      <w:r w:rsidR="006E5487">
        <w:t> </w:t>
      </w:r>
      <w:r>
        <w:t>November</w:t>
      </w:r>
      <w:r w:rsidRPr="00912B44">
        <w:t xml:space="preserve"> 2020).</w:t>
      </w:r>
    </w:p>
    <w:p w14:paraId="48EFEF1D" w14:textId="2E778126" w:rsidR="00507742" w:rsidRDefault="00507742" w:rsidP="006E5487">
      <w:pPr>
        <w:pStyle w:val="References"/>
      </w:pPr>
      <w:r w:rsidRPr="00912B44">
        <w:t xml:space="preserve">Ministry of Health. </w:t>
      </w:r>
      <w:r w:rsidR="00AA1DFF" w:rsidRPr="00912B44">
        <w:t>2019</w:t>
      </w:r>
      <w:r w:rsidR="00873B79">
        <w:t>d</w:t>
      </w:r>
      <w:r w:rsidRPr="00912B44">
        <w:t xml:space="preserve">. </w:t>
      </w:r>
      <w:r w:rsidRPr="00912B44">
        <w:rPr>
          <w:i/>
        </w:rPr>
        <w:t>Wai 2575 Māori Health Trends Report</w:t>
      </w:r>
      <w:r w:rsidRPr="00912B44">
        <w:t xml:space="preserve">. </w:t>
      </w:r>
      <w:r>
        <w:t xml:space="preserve">Wellington: Ministry of Health. </w:t>
      </w:r>
      <w:r w:rsidRPr="00912B44">
        <w:t xml:space="preserve">URL: </w:t>
      </w:r>
      <w:hyperlink r:id="rId63" w:history="1">
        <w:r w:rsidRPr="00841C8F">
          <w:rPr>
            <w:rStyle w:val="Hyperlink"/>
          </w:rPr>
          <w:t>https://www.health.govt.nz/publication/wai-2575-Māori-health-trends-report</w:t>
        </w:r>
      </w:hyperlink>
      <w:r w:rsidRPr="00912B44">
        <w:t xml:space="preserve"> (accessed </w:t>
      </w:r>
      <w:r>
        <w:t>23 November</w:t>
      </w:r>
      <w:r w:rsidRPr="00912B44">
        <w:t xml:space="preserve"> 2020).</w:t>
      </w:r>
    </w:p>
    <w:p w14:paraId="38F7AA64" w14:textId="77777777" w:rsidR="002542AA" w:rsidRDefault="00507742" w:rsidP="006E5487">
      <w:pPr>
        <w:pStyle w:val="References"/>
      </w:pPr>
      <w:r w:rsidRPr="00912B44">
        <w:t>Ministry of Health. 2020</w:t>
      </w:r>
      <w:r>
        <w:t>a</w:t>
      </w:r>
      <w:r w:rsidRPr="00912B44">
        <w:t xml:space="preserve">. </w:t>
      </w:r>
      <w:r w:rsidRPr="00912B44">
        <w:rPr>
          <w:i/>
        </w:rPr>
        <w:t>Annual Report for the year ended 30 June 2020</w:t>
      </w:r>
      <w:r w:rsidRPr="00912B44">
        <w:t>. Wellington: Ministry of Health.</w:t>
      </w:r>
    </w:p>
    <w:p w14:paraId="1050824B" w14:textId="77777777" w:rsidR="00507742" w:rsidRDefault="00507742" w:rsidP="006E5487">
      <w:pPr>
        <w:pStyle w:val="References"/>
      </w:pPr>
      <w:r w:rsidRPr="00912B44">
        <w:t>Ministry of Health. 2020</w:t>
      </w:r>
      <w:r>
        <w:t>b</w:t>
      </w:r>
      <w:r w:rsidRPr="00912B44">
        <w:t xml:space="preserve">. </w:t>
      </w:r>
      <w:r w:rsidRPr="00912B44">
        <w:rPr>
          <w:i/>
        </w:rPr>
        <w:t xml:space="preserve">Historical </w:t>
      </w:r>
      <w:r w:rsidR="006E5487">
        <w:rPr>
          <w:i/>
        </w:rPr>
        <w:t>M</w:t>
      </w:r>
      <w:r w:rsidRPr="00912B44">
        <w:rPr>
          <w:i/>
        </w:rPr>
        <w:t>ortality</w:t>
      </w:r>
      <w:r w:rsidRPr="00912B44">
        <w:t xml:space="preserve">. URL: </w:t>
      </w:r>
      <w:hyperlink r:id="rId64" w:history="1">
        <w:r w:rsidR="006E5487" w:rsidRPr="006E5487">
          <w:rPr>
            <w:rStyle w:val="Hyperlink"/>
          </w:rPr>
          <w:t>https://www.health.govt.nz/publication/historical-mortality</w:t>
        </w:r>
      </w:hyperlink>
      <w:r w:rsidRPr="00912B44">
        <w:t xml:space="preserve"> (accessed 21 October 2020).</w:t>
      </w:r>
    </w:p>
    <w:p w14:paraId="7BA3210E" w14:textId="77777777" w:rsidR="00507742" w:rsidRPr="00912B44" w:rsidRDefault="00507742" w:rsidP="006E5487">
      <w:pPr>
        <w:pStyle w:val="References"/>
      </w:pPr>
      <w:r w:rsidRPr="00912B44">
        <w:lastRenderedPageBreak/>
        <w:t>Ministry of Health. 2020</w:t>
      </w:r>
      <w:r>
        <w:t>c</w:t>
      </w:r>
      <w:r w:rsidRPr="00912B44">
        <w:t xml:space="preserve">. </w:t>
      </w:r>
      <w:r w:rsidRPr="00912B44">
        <w:rPr>
          <w:i/>
        </w:rPr>
        <w:t>Cancer: Historical summary 1948–2017</w:t>
      </w:r>
      <w:r w:rsidRPr="00912B44">
        <w:t xml:space="preserve">. URL: </w:t>
      </w:r>
      <w:hyperlink r:id="rId65" w:history="1">
        <w:r w:rsidR="006E5487" w:rsidRPr="006E5487">
          <w:rPr>
            <w:rStyle w:val="Hyperlink"/>
          </w:rPr>
          <w:t>https://www.health.govt.nz/publication/cancer-historical-summary-1948-2017</w:t>
        </w:r>
      </w:hyperlink>
      <w:r w:rsidRPr="00912B44">
        <w:t xml:space="preserve"> (accessed 16 October 2020).</w:t>
      </w:r>
    </w:p>
    <w:p w14:paraId="3C37FD90" w14:textId="77777777" w:rsidR="00507742" w:rsidRPr="00912B44" w:rsidRDefault="00507742" w:rsidP="006E5487">
      <w:pPr>
        <w:pStyle w:val="References"/>
      </w:pPr>
      <w:r w:rsidRPr="00912B44">
        <w:t>Ministry of Health. 2020</w:t>
      </w:r>
      <w:r>
        <w:t>d</w:t>
      </w:r>
      <w:r w:rsidRPr="00912B44">
        <w:t xml:space="preserve">. </w:t>
      </w:r>
      <w:r w:rsidRPr="00912B44">
        <w:rPr>
          <w:i/>
        </w:rPr>
        <w:t>Virtual Diabetes Register (VDR)</w:t>
      </w:r>
      <w:r w:rsidRPr="00912B44">
        <w:t xml:space="preserve">. URL: </w:t>
      </w:r>
      <w:hyperlink r:id="rId66" w:history="1">
        <w:r w:rsidR="006E5487" w:rsidRPr="006E5487">
          <w:rPr>
            <w:rStyle w:val="Hyperlink"/>
          </w:rPr>
          <w:t>https://www.health.govt.nz/our-work/diseases-and-conditions/diabetes/about-diabetes/virtual-diabetes-register-vdr</w:t>
        </w:r>
      </w:hyperlink>
      <w:r w:rsidRPr="00912B44">
        <w:t xml:space="preserve"> (accessed 21 October 2020).</w:t>
      </w:r>
    </w:p>
    <w:p w14:paraId="4B07514F" w14:textId="77777777" w:rsidR="00507742" w:rsidRPr="00912B44" w:rsidRDefault="00507742" w:rsidP="006E5487">
      <w:pPr>
        <w:pStyle w:val="References"/>
      </w:pPr>
      <w:r w:rsidRPr="00912B44">
        <w:t>Ministry of Health. 2020</w:t>
      </w:r>
      <w:r>
        <w:t>e</w:t>
      </w:r>
      <w:r w:rsidRPr="00912B44">
        <w:t xml:space="preserve">. </w:t>
      </w:r>
      <w:r w:rsidRPr="00912B44">
        <w:rPr>
          <w:i/>
        </w:rPr>
        <w:t xml:space="preserve">Mental </w:t>
      </w:r>
      <w:r w:rsidR="006E5487">
        <w:rPr>
          <w:i/>
        </w:rPr>
        <w:t>H</w:t>
      </w:r>
      <w:r w:rsidRPr="00912B44">
        <w:rPr>
          <w:i/>
        </w:rPr>
        <w:t>ealth 2016/17: New Zealand Health Survey</w:t>
      </w:r>
      <w:r w:rsidRPr="00912B44">
        <w:t xml:space="preserve">. URL: </w:t>
      </w:r>
      <w:hyperlink r:id="rId67" w:history="1">
        <w:r w:rsidR="006E5487" w:rsidRPr="006E5487">
          <w:rPr>
            <w:rStyle w:val="Hyperlink"/>
          </w:rPr>
          <w:t>https://www.health.govt.nz/publication/mental-health-2016-17-new-zealand-health-survey</w:t>
        </w:r>
      </w:hyperlink>
      <w:r w:rsidRPr="00912B44">
        <w:t xml:space="preserve"> (accessed 4 November 2020).</w:t>
      </w:r>
    </w:p>
    <w:p w14:paraId="72C70EED" w14:textId="6772F836" w:rsidR="00507742" w:rsidRPr="00912B44" w:rsidRDefault="00507742" w:rsidP="006E5487">
      <w:pPr>
        <w:pStyle w:val="References"/>
      </w:pPr>
      <w:r w:rsidRPr="00912B44">
        <w:t>Ministry of Health. 2020</w:t>
      </w:r>
      <w:r>
        <w:t>f</w:t>
      </w:r>
      <w:r w:rsidRPr="00912B44">
        <w:t xml:space="preserve">. </w:t>
      </w:r>
      <w:r w:rsidRPr="00912B44">
        <w:rPr>
          <w:i/>
        </w:rPr>
        <w:t>Immunisation Handbook 2020.</w:t>
      </w:r>
      <w:r w:rsidRPr="00912B44">
        <w:t xml:space="preserve"> </w:t>
      </w:r>
      <w:r>
        <w:t xml:space="preserve">Wellington: Ministry of Health. </w:t>
      </w:r>
      <w:r w:rsidRPr="00912B44">
        <w:t xml:space="preserve">URL: </w:t>
      </w:r>
      <w:hyperlink r:id="rId68" w:history="1">
        <w:r w:rsidRPr="00831092">
          <w:rPr>
            <w:rStyle w:val="Hyperlink"/>
          </w:rPr>
          <w:t>https://www.health.govt.nz/our-work/immunisation-handbook-2020</w:t>
        </w:r>
      </w:hyperlink>
      <w:r w:rsidR="00873B79" w:rsidRPr="00873B79">
        <w:rPr>
          <w:rStyle w:val="Hyperlink"/>
        </w:rPr>
        <w:t>/12-meningococcal-disease</w:t>
      </w:r>
      <w:r w:rsidRPr="00912B44">
        <w:t xml:space="preserve"> (accessed 15 October 2020).</w:t>
      </w:r>
    </w:p>
    <w:p w14:paraId="59948206" w14:textId="77777777" w:rsidR="00507742" w:rsidRPr="00912B44" w:rsidRDefault="00507742" w:rsidP="006E5487">
      <w:pPr>
        <w:pStyle w:val="References"/>
      </w:pPr>
      <w:r w:rsidRPr="00912B44">
        <w:t>Ministry of Health. 2020</w:t>
      </w:r>
      <w:r>
        <w:t>g</w:t>
      </w:r>
      <w:r w:rsidRPr="00912B44">
        <w:t xml:space="preserve">. </w:t>
      </w:r>
      <w:r w:rsidRPr="00912B44">
        <w:rPr>
          <w:i/>
        </w:rPr>
        <w:t xml:space="preserve">Reducing </w:t>
      </w:r>
      <w:r w:rsidR="006E5487">
        <w:rPr>
          <w:i/>
        </w:rPr>
        <w:t>R</w:t>
      </w:r>
      <w:r w:rsidRPr="00912B44">
        <w:rPr>
          <w:i/>
        </w:rPr>
        <w:t xml:space="preserve">heumatic </w:t>
      </w:r>
      <w:r w:rsidR="006E5487">
        <w:rPr>
          <w:i/>
        </w:rPr>
        <w:t>F</w:t>
      </w:r>
      <w:r w:rsidRPr="00912B44">
        <w:rPr>
          <w:i/>
        </w:rPr>
        <w:t>ever.</w:t>
      </w:r>
      <w:r w:rsidRPr="00912B44">
        <w:t xml:space="preserve"> URL: </w:t>
      </w:r>
      <w:hyperlink r:id="rId69" w:history="1">
        <w:r w:rsidR="006E5487" w:rsidRPr="006E5487">
          <w:rPr>
            <w:rStyle w:val="Hyperlink"/>
          </w:rPr>
          <w:t>https://www.health.govt.nz/our-work/diseases-and-conditions/rheumatic-fever/reducing-rheumatic-fever</w:t>
        </w:r>
      </w:hyperlink>
      <w:r w:rsidRPr="00912B44">
        <w:t xml:space="preserve"> (accessed 13 October 2020).</w:t>
      </w:r>
    </w:p>
    <w:p w14:paraId="314CF79F" w14:textId="77777777" w:rsidR="002542AA" w:rsidRDefault="00507742" w:rsidP="006E5487">
      <w:pPr>
        <w:pStyle w:val="References"/>
      </w:pPr>
      <w:r w:rsidRPr="00912B44">
        <w:t>Ministry of Health. 2020</w:t>
      </w:r>
      <w:r>
        <w:t>h</w:t>
      </w:r>
      <w:r w:rsidRPr="00912B44">
        <w:t xml:space="preserve">. </w:t>
      </w:r>
      <w:r w:rsidRPr="00912B44">
        <w:rPr>
          <w:i/>
        </w:rPr>
        <w:t>Annual Report on Drinking-water Quality</w:t>
      </w:r>
      <w:r w:rsidRPr="00912B44">
        <w:t>. Wellington: Ministry of Health.</w:t>
      </w:r>
    </w:p>
    <w:p w14:paraId="70C467A0" w14:textId="77777777" w:rsidR="00507742" w:rsidRPr="00912B44" w:rsidRDefault="00507742" w:rsidP="006E5487">
      <w:pPr>
        <w:pStyle w:val="References"/>
      </w:pPr>
      <w:r w:rsidRPr="00912B44">
        <w:t>Ministry of Health. 2020</w:t>
      </w:r>
      <w:r>
        <w:t>i</w:t>
      </w:r>
      <w:r w:rsidRPr="00912B44">
        <w:t xml:space="preserve">. </w:t>
      </w:r>
      <w:r w:rsidRPr="00912B44">
        <w:rPr>
          <w:i/>
        </w:rPr>
        <w:t xml:space="preserve">Biomedical </w:t>
      </w:r>
      <w:r w:rsidR="006E5487">
        <w:rPr>
          <w:i/>
        </w:rPr>
        <w:t>R</w:t>
      </w:r>
      <w:r w:rsidRPr="00912B44">
        <w:rPr>
          <w:i/>
        </w:rPr>
        <w:t>esults 2014/15: New Zealand Health Survey</w:t>
      </w:r>
      <w:r w:rsidRPr="00912B44">
        <w:t xml:space="preserve">. URL: </w:t>
      </w:r>
      <w:hyperlink r:id="rId70" w:history="1">
        <w:r w:rsidR="006E5487" w:rsidRPr="006E5487">
          <w:rPr>
            <w:rStyle w:val="Hyperlink"/>
          </w:rPr>
          <w:t>https://www.health.govt.nz/publication/biomedical-results-2014-15-new-zealand-health-survey</w:t>
        </w:r>
      </w:hyperlink>
      <w:r w:rsidRPr="00912B44">
        <w:t xml:space="preserve"> (accessed 16 October 2020).</w:t>
      </w:r>
    </w:p>
    <w:p w14:paraId="39C84F4D" w14:textId="77777777" w:rsidR="00507742" w:rsidRPr="00912B44" w:rsidRDefault="00507742" w:rsidP="006E5487">
      <w:pPr>
        <w:pStyle w:val="References"/>
      </w:pPr>
      <w:r w:rsidRPr="00912B44">
        <w:t>Ministry of Health. 2020</w:t>
      </w:r>
      <w:r>
        <w:t>j</w:t>
      </w:r>
      <w:r w:rsidRPr="00912B44">
        <w:t xml:space="preserve">. </w:t>
      </w:r>
      <w:r w:rsidRPr="00912B44">
        <w:rPr>
          <w:i/>
        </w:rPr>
        <w:t>National and DHB Immunisation Data</w:t>
      </w:r>
      <w:r w:rsidRPr="00912B44">
        <w:t xml:space="preserve">. URL: </w:t>
      </w:r>
      <w:hyperlink r:id="rId71" w:history="1">
        <w:r w:rsidR="006E5487" w:rsidRPr="006E5487">
          <w:rPr>
            <w:rStyle w:val="Hyperlink"/>
          </w:rPr>
          <w:t>https://www.health.govt.nz/our-work/preventative-health-wellness/immunisation/immunisation-coverage/national-and-dhb-immunisation-data</w:t>
        </w:r>
      </w:hyperlink>
      <w:r w:rsidRPr="00912B44">
        <w:t xml:space="preserve"> (accessed 21 October 2020).</w:t>
      </w:r>
    </w:p>
    <w:p w14:paraId="5496FF49" w14:textId="77777777" w:rsidR="00AA1DFF" w:rsidRDefault="00AA1DFF" w:rsidP="006E5487">
      <w:pPr>
        <w:pStyle w:val="References"/>
      </w:pPr>
      <w:r w:rsidRPr="007D038A">
        <w:t xml:space="preserve">Ministry of Health. </w:t>
      </w:r>
      <w:r>
        <w:t>2020k</w:t>
      </w:r>
      <w:r w:rsidRPr="007D038A">
        <w:t xml:space="preserve">. </w:t>
      </w:r>
      <w:r>
        <w:rPr>
          <w:i/>
        </w:rPr>
        <w:t>National Screening Unit</w:t>
      </w:r>
      <w:r w:rsidRPr="00C6726E">
        <w:rPr>
          <w:i/>
        </w:rPr>
        <w:t xml:space="preserve">, </w:t>
      </w:r>
      <w:r>
        <w:rPr>
          <w:i/>
        </w:rPr>
        <w:t>C</w:t>
      </w:r>
      <w:r w:rsidRPr="00C6726E">
        <w:rPr>
          <w:i/>
        </w:rPr>
        <w:t xml:space="preserve">ustomised </w:t>
      </w:r>
      <w:r>
        <w:rPr>
          <w:i/>
        </w:rPr>
        <w:t>D</w:t>
      </w:r>
      <w:r w:rsidRPr="00C6726E">
        <w:rPr>
          <w:i/>
        </w:rPr>
        <w:t>ataset</w:t>
      </w:r>
      <w:r w:rsidRPr="007D038A">
        <w:t>. Wellington.</w:t>
      </w:r>
    </w:p>
    <w:p w14:paraId="3FCC63D8" w14:textId="70E65EE7" w:rsidR="002542AA" w:rsidRDefault="00507742" w:rsidP="006E5487">
      <w:pPr>
        <w:pStyle w:val="References"/>
      </w:pPr>
      <w:r w:rsidRPr="00912B44">
        <w:t xml:space="preserve">Ministry of Health. </w:t>
      </w:r>
      <w:r w:rsidR="00AA1DFF" w:rsidRPr="00912B44">
        <w:t>2020</w:t>
      </w:r>
      <w:r w:rsidR="00AA1DFF">
        <w:t>l</w:t>
      </w:r>
      <w:r w:rsidRPr="00912B44">
        <w:t xml:space="preserve">. </w:t>
      </w:r>
      <w:r w:rsidRPr="00912B44">
        <w:rPr>
          <w:i/>
        </w:rPr>
        <w:t xml:space="preserve">National Cervical Screening Programme </w:t>
      </w:r>
      <w:r w:rsidR="006E5487">
        <w:rPr>
          <w:i/>
        </w:rPr>
        <w:t>C</w:t>
      </w:r>
      <w:r w:rsidRPr="00912B44">
        <w:rPr>
          <w:i/>
        </w:rPr>
        <w:t xml:space="preserve">overage </w:t>
      </w:r>
      <w:r w:rsidR="006E5487">
        <w:rPr>
          <w:i/>
        </w:rPr>
        <w:t>R</w:t>
      </w:r>
      <w:r w:rsidRPr="00912B44">
        <w:rPr>
          <w:i/>
        </w:rPr>
        <w:t>eport.</w:t>
      </w:r>
      <w:r w:rsidRPr="00912B44">
        <w:t xml:space="preserve"> URL: </w:t>
      </w:r>
      <w:hyperlink r:id="rId72" w:history="1">
        <w:r w:rsidR="006E5487" w:rsidRPr="006E5487">
          <w:rPr>
            <w:rStyle w:val="Hyperlink"/>
          </w:rPr>
          <w:t>https://minhealthnz.shinyapps.io/nsu-ncsp-coverage/</w:t>
        </w:r>
      </w:hyperlink>
      <w:r w:rsidRPr="00912B44">
        <w:t xml:space="preserve"> (accessed 21 October 2020).</w:t>
      </w:r>
    </w:p>
    <w:p w14:paraId="052E2DD8" w14:textId="09C4E527" w:rsidR="00F64346" w:rsidRDefault="00F64346" w:rsidP="006E5487">
      <w:pPr>
        <w:pStyle w:val="References"/>
      </w:pPr>
      <w:r w:rsidRPr="00912B44">
        <w:t>Ministry of Health. 2020</w:t>
      </w:r>
      <w:r>
        <w:t>m</w:t>
      </w:r>
      <w:r w:rsidRPr="00912B44">
        <w:t xml:space="preserve">. </w:t>
      </w:r>
      <w:r w:rsidRPr="00F64346">
        <w:rPr>
          <w:i/>
        </w:rPr>
        <w:t>Ambulatory sensitive (avoidable) hospital admissions</w:t>
      </w:r>
      <w:r w:rsidRPr="00912B44">
        <w:rPr>
          <w:i/>
        </w:rPr>
        <w:t>.</w:t>
      </w:r>
      <w:r w:rsidRPr="00912B44">
        <w:t xml:space="preserve"> URL: </w:t>
      </w:r>
      <w:hyperlink r:id="rId73" w:history="1">
        <w:r w:rsidR="009B582A" w:rsidRPr="00944E01">
          <w:rPr>
            <w:rStyle w:val="Hyperlink"/>
          </w:rPr>
          <w:t>https://nsfl.health.govt.nz/accountability/performance-and-monitoring/data-quarterly-reports-and-reporting/ambulatory-sensitive</w:t>
        </w:r>
      </w:hyperlink>
      <w:r w:rsidRPr="00912B44">
        <w:t xml:space="preserve"> (accessed </w:t>
      </w:r>
      <w:r>
        <w:t>18</w:t>
      </w:r>
      <w:r w:rsidRPr="00912B44">
        <w:t xml:space="preserve"> </w:t>
      </w:r>
      <w:r>
        <w:t>November</w:t>
      </w:r>
      <w:r w:rsidRPr="00912B44">
        <w:t xml:space="preserve"> 2020).</w:t>
      </w:r>
    </w:p>
    <w:p w14:paraId="1F1F2485" w14:textId="77777777" w:rsidR="00507742" w:rsidRDefault="00507742" w:rsidP="006E5487">
      <w:pPr>
        <w:pStyle w:val="References"/>
      </w:pPr>
      <w:r w:rsidRPr="00C74BF5">
        <w:t xml:space="preserve">Stats NZ. 2014. </w:t>
      </w:r>
      <w:r w:rsidRPr="00C74BF5">
        <w:rPr>
          <w:i/>
        </w:rPr>
        <w:t>Disability Survey: 2013</w:t>
      </w:r>
      <w:r w:rsidRPr="00C74BF5">
        <w:t xml:space="preserve">. URL: </w:t>
      </w:r>
      <w:hyperlink r:id="rId74" w:history="1">
        <w:r w:rsidR="006E5487" w:rsidRPr="006E5487">
          <w:rPr>
            <w:rStyle w:val="Hyperlink"/>
          </w:rPr>
          <w:t>stats.govt.nz/information-releases/disability-survey-2013</w:t>
        </w:r>
      </w:hyperlink>
      <w:r w:rsidRPr="005413B3">
        <w:t xml:space="preserve"> (accessed 17 November 2019).</w:t>
      </w:r>
    </w:p>
    <w:p w14:paraId="08C8CDFF" w14:textId="77777777" w:rsidR="00507742" w:rsidRPr="004327C1" w:rsidRDefault="00507742" w:rsidP="006E5487">
      <w:pPr>
        <w:pStyle w:val="References"/>
      </w:pPr>
      <w:r w:rsidRPr="004327C1">
        <w:t xml:space="preserve">Stats NZ. </w:t>
      </w:r>
      <w:r>
        <w:t>2019</w:t>
      </w:r>
      <w:r w:rsidRPr="004327C1">
        <w:t xml:space="preserve">. </w:t>
      </w:r>
      <w:r>
        <w:rPr>
          <w:i/>
        </w:rPr>
        <w:t xml:space="preserve">One in </w:t>
      </w:r>
      <w:r w:rsidR="006E5487">
        <w:rPr>
          <w:i/>
        </w:rPr>
        <w:t>F</w:t>
      </w:r>
      <w:r>
        <w:rPr>
          <w:i/>
        </w:rPr>
        <w:t xml:space="preserve">ive </w:t>
      </w:r>
      <w:r w:rsidR="006E5487">
        <w:rPr>
          <w:i/>
        </w:rPr>
        <w:t>H</w:t>
      </w:r>
      <w:r>
        <w:rPr>
          <w:i/>
        </w:rPr>
        <w:t xml:space="preserve">omes </w:t>
      </w:r>
      <w:r w:rsidR="006E5487">
        <w:rPr>
          <w:i/>
        </w:rPr>
        <w:t>D</w:t>
      </w:r>
      <w:r>
        <w:rPr>
          <w:i/>
        </w:rPr>
        <w:t>amp</w:t>
      </w:r>
      <w:r w:rsidRPr="004327C1">
        <w:rPr>
          <w:i/>
        </w:rPr>
        <w:t>.</w:t>
      </w:r>
      <w:r w:rsidRPr="004327C1">
        <w:t xml:space="preserve"> URL: </w:t>
      </w:r>
      <w:hyperlink r:id="rId75" w:history="1">
        <w:r w:rsidR="006E5487" w:rsidRPr="006E5487">
          <w:rPr>
            <w:rStyle w:val="Hyperlink"/>
          </w:rPr>
          <w:t>https://www.stats.govt.nz/news/one-in-five-homes-damp</w:t>
        </w:r>
      </w:hyperlink>
      <w:r w:rsidRPr="004327C1">
        <w:t xml:space="preserve"> (accessed 16 October 2020).</w:t>
      </w:r>
    </w:p>
    <w:p w14:paraId="1A9374A6" w14:textId="77777777" w:rsidR="002542AA" w:rsidRDefault="00507742" w:rsidP="006E5487">
      <w:pPr>
        <w:pStyle w:val="References"/>
      </w:pPr>
      <w:r w:rsidRPr="004327C1">
        <w:t xml:space="preserve">Stats NZ. 2020a. </w:t>
      </w:r>
      <w:r w:rsidRPr="00EA1C69">
        <w:rPr>
          <w:i/>
          <w:iCs/>
        </w:rPr>
        <w:t xml:space="preserve">National </w:t>
      </w:r>
      <w:r w:rsidR="006E5487">
        <w:rPr>
          <w:i/>
          <w:iCs/>
        </w:rPr>
        <w:t>P</w:t>
      </w:r>
      <w:r w:rsidRPr="00EA1C69">
        <w:rPr>
          <w:i/>
          <w:iCs/>
        </w:rPr>
        <w:t xml:space="preserve">opulation </w:t>
      </w:r>
      <w:r w:rsidR="006E5487">
        <w:rPr>
          <w:i/>
          <w:iCs/>
        </w:rPr>
        <w:t>E</w:t>
      </w:r>
      <w:r w:rsidRPr="00EA1C69">
        <w:rPr>
          <w:i/>
          <w:iCs/>
        </w:rPr>
        <w:t xml:space="preserve">stimates: At 31 December 2019 – Infoshare tables. </w:t>
      </w:r>
      <w:r w:rsidRPr="004327C1">
        <w:t xml:space="preserve">URL: </w:t>
      </w:r>
      <w:hyperlink r:id="rId76" w:history="1">
        <w:r w:rsidR="006E5487" w:rsidRPr="006E5487">
          <w:rPr>
            <w:rStyle w:val="Hyperlink"/>
          </w:rPr>
          <w:t>https://www.stats.govt.nz/information-releases/national-population-estimates-at-31-december-2019-infoshare-tables</w:t>
        </w:r>
      </w:hyperlink>
      <w:r w:rsidRPr="00EA1C69">
        <w:t xml:space="preserve"> </w:t>
      </w:r>
      <w:r w:rsidRPr="004327C1">
        <w:t xml:space="preserve">(accessed </w:t>
      </w:r>
      <w:r>
        <w:t>23 October</w:t>
      </w:r>
      <w:r w:rsidRPr="004327C1">
        <w:t xml:space="preserve"> 2020).</w:t>
      </w:r>
    </w:p>
    <w:p w14:paraId="25EEC2F2" w14:textId="77777777" w:rsidR="00507742" w:rsidRDefault="00507742" w:rsidP="006E5487">
      <w:pPr>
        <w:pStyle w:val="References"/>
      </w:pPr>
      <w:r w:rsidRPr="004327C1">
        <w:t>Stats NZ. 2020b</w:t>
      </w:r>
      <w:r>
        <w:t xml:space="preserve">. </w:t>
      </w:r>
      <w:r w:rsidRPr="004327C1">
        <w:rPr>
          <w:i/>
        </w:rPr>
        <w:t xml:space="preserve">Subnational </w:t>
      </w:r>
      <w:r w:rsidR="006E5487">
        <w:rPr>
          <w:i/>
        </w:rPr>
        <w:t>P</w:t>
      </w:r>
      <w:r w:rsidRPr="004327C1">
        <w:rPr>
          <w:i/>
        </w:rPr>
        <w:t xml:space="preserve">opulation </w:t>
      </w:r>
      <w:r w:rsidR="006E5487">
        <w:rPr>
          <w:i/>
        </w:rPr>
        <w:t>E</w:t>
      </w:r>
      <w:r w:rsidRPr="004327C1">
        <w:rPr>
          <w:i/>
        </w:rPr>
        <w:t xml:space="preserve">stimates (DHB, DHB constituency), by </w:t>
      </w:r>
      <w:r w:rsidR="006E5487">
        <w:rPr>
          <w:i/>
        </w:rPr>
        <w:t>A</w:t>
      </w:r>
      <w:r w:rsidRPr="004327C1">
        <w:rPr>
          <w:i/>
        </w:rPr>
        <w:t xml:space="preserve">ge </w:t>
      </w:r>
      <w:r w:rsidRPr="007F480F">
        <w:rPr>
          <w:i/>
        </w:rPr>
        <w:t xml:space="preserve">and </w:t>
      </w:r>
      <w:r w:rsidR="006E5487">
        <w:rPr>
          <w:i/>
        </w:rPr>
        <w:t>S</w:t>
      </w:r>
      <w:r w:rsidRPr="007F480F">
        <w:rPr>
          <w:i/>
        </w:rPr>
        <w:t>ex, at 30 June 1996</w:t>
      </w:r>
      <w:r w:rsidR="006E5487">
        <w:rPr>
          <w:i/>
        </w:rPr>
        <w:t>–</w:t>
      </w:r>
      <w:r w:rsidRPr="007F480F">
        <w:rPr>
          <w:i/>
        </w:rPr>
        <w:t>2019 (2020 boundaries)</w:t>
      </w:r>
      <w:r w:rsidRPr="007F480F">
        <w:t>. URL:</w:t>
      </w:r>
      <w:r>
        <w:t xml:space="preserve"> </w:t>
      </w:r>
      <w:hyperlink r:id="rId77" w:history="1">
        <w:r w:rsidR="006E5487" w:rsidRPr="006E5487">
          <w:rPr>
            <w:rStyle w:val="Hyperlink"/>
          </w:rPr>
          <w:t>http://nzdotstat.stats.govt.nz/wbos/Index.aspx?DataSetCode=TABLECODE7509</w:t>
        </w:r>
      </w:hyperlink>
      <w:r w:rsidRPr="004327C1">
        <w:t xml:space="preserve"> (accessed 3 November 2020).</w:t>
      </w:r>
    </w:p>
    <w:p w14:paraId="53B9920F" w14:textId="77777777" w:rsidR="006E5487" w:rsidRDefault="00507742" w:rsidP="006E5487">
      <w:pPr>
        <w:pStyle w:val="References"/>
      </w:pPr>
      <w:r w:rsidRPr="004327C1">
        <w:t>Stats NZ. 2020</w:t>
      </w:r>
      <w:r>
        <w:t>c</w:t>
      </w:r>
      <w:r w:rsidRPr="004327C1">
        <w:t xml:space="preserve">. </w:t>
      </w:r>
      <w:r w:rsidRPr="009F7730">
        <w:rPr>
          <w:i/>
        </w:rPr>
        <w:t xml:space="preserve">Estimated </w:t>
      </w:r>
      <w:r w:rsidR="006E5487">
        <w:rPr>
          <w:i/>
        </w:rPr>
        <w:t>R</w:t>
      </w:r>
      <w:r w:rsidRPr="009F7730">
        <w:rPr>
          <w:i/>
        </w:rPr>
        <w:t xml:space="preserve">esident </w:t>
      </w:r>
      <w:r w:rsidR="006E5487">
        <w:rPr>
          <w:i/>
        </w:rPr>
        <w:t>P</w:t>
      </w:r>
      <w:r w:rsidRPr="009F7730">
        <w:rPr>
          <w:i/>
        </w:rPr>
        <w:t>opulation (2018-base): At 30 June 2018</w:t>
      </w:r>
      <w:r w:rsidRPr="004327C1">
        <w:rPr>
          <w:i/>
        </w:rPr>
        <w:t>.</w:t>
      </w:r>
      <w:r w:rsidRPr="004327C1">
        <w:t xml:space="preserve"> URL: </w:t>
      </w:r>
      <w:hyperlink r:id="rId78" w:history="1">
        <w:r w:rsidR="006E5487" w:rsidRPr="006E5487">
          <w:rPr>
            <w:rStyle w:val="Hyperlink"/>
          </w:rPr>
          <w:t>https://www.stats.govt.nz/information-releases/estimated-resident-population-2018-base-at-30-june-2018</w:t>
        </w:r>
      </w:hyperlink>
      <w:r w:rsidRPr="004327C1">
        <w:t xml:space="preserve"> (accessed </w:t>
      </w:r>
      <w:r>
        <w:t>17</w:t>
      </w:r>
      <w:r w:rsidRPr="004327C1">
        <w:t xml:space="preserve"> November 2020).</w:t>
      </w:r>
    </w:p>
    <w:p w14:paraId="1125229E" w14:textId="77777777" w:rsidR="00507742" w:rsidRPr="004327C1" w:rsidRDefault="00507742" w:rsidP="006E5487">
      <w:pPr>
        <w:pStyle w:val="References"/>
      </w:pPr>
      <w:r w:rsidRPr="004327C1">
        <w:t>Stats NZ. 2020</w:t>
      </w:r>
      <w:r>
        <w:t xml:space="preserve">d. </w:t>
      </w:r>
      <w:r w:rsidRPr="004327C1">
        <w:rPr>
          <w:i/>
        </w:rPr>
        <w:t xml:space="preserve">Subnational </w:t>
      </w:r>
      <w:r w:rsidR="006E5487">
        <w:rPr>
          <w:i/>
        </w:rPr>
        <w:t>P</w:t>
      </w:r>
      <w:r w:rsidRPr="004327C1">
        <w:rPr>
          <w:i/>
        </w:rPr>
        <w:t xml:space="preserve">opulation </w:t>
      </w:r>
      <w:r w:rsidR="006E5487">
        <w:rPr>
          <w:i/>
        </w:rPr>
        <w:t>E</w:t>
      </w:r>
      <w:r w:rsidRPr="004327C1">
        <w:rPr>
          <w:i/>
        </w:rPr>
        <w:t>stimates (</w:t>
      </w:r>
      <w:r w:rsidR="006E5487">
        <w:rPr>
          <w:i/>
        </w:rPr>
        <w:t>U</w:t>
      </w:r>
      <w:r w:rsidRPr="004327C1">
        <w:rPr>
          <w:i/>
        </w:rPr>
        <w:t xml:space="preserve">rban </w:t>
      </w:r>
      <w:r w:rsidR="006E5487">
        <w:rPr>
          <w:i/>
        </w:rPr>
        <w:t>R</w:t>
      </w:r>
      <w:r w:rsidRPr="004327C1">
        <w:rPr>
          <w:i/>
        </w:rPr>
        <w:t xml:space="preserve">ural), by </w:t>
      </w:r>
      <w:r w:rsidR="006E5487">
        <w:rPr>
          <w:i/>
        </w:rPr>
        <w:t>A</w:t>
      </w:r>
      <w:r w:rsidRPr="004327C1">
        <w:rPr>
          <w:i/>
        </w:rPr>
        <w:t xml:space="preserve">ge and </w:t>
      </w:r>
      <w:r w:rsidR="006E5487">
        <w:rPr>
          <w:i/>
        </w:rPr>
        <w:t>S</w:t>
      </w:r>
      <w:r w:rsidRPr="004327C1">
        <w:rPr>
          <w:i/>
        </w:rPr>
        <w:t>ex, at 30</w:t>
      </w:r>
      <w:r w:rsidR="006E5487">
        <w:rPr>
          <w:i/>
        </w:rPr>
        <w:t> </w:t>
      </w:r>
      <w:r w:rsidRPr="004327C1">
        <w:rPr>
          <w:i/>
        </w:rPr>
        <w:t>June 1996</w:t>
      </w:r>
      <w:r w:rsidR="006E5487">
        <w:rPr>
          <w:i/>
        </w:rPr>
        <w:t>–</w:t>
      </w:r>
      <w:r w:rsidRPr="004327C1">
        <w:rPr>
          <w:i/>
        </w:rPr>
        <w:t>2020 (2020 boundaries)</w:t>
      </w:r>
      <w:r w:rsidRPr="004327C1">
        <w:t xml:space="preserve">. URL: </w:t>
      </w:r>
      <w:hyperlink r:id="rId79" w:history="1">
        <w:r w:rsidR="006E5487" w:rsidRPr="006E5487">
          <w:rPr>
            <w:rStyle w:val="Hyperlink"/>
          </w:rPr>
          <w:t>http://nzdotstat.stats.govt.nz/wbos/Index.aspx?DataSetCode=TABLECODE7981</w:t>
        </w:r>
      </w:hyperlink>
      <w:r w:rsidRPr="004327C1">
        <w:t xml:space="preserve"> (accessed 3 November 2020).</w:t>
      </w:r>
    </w:p>
    <w:p w14:paraId="58ADC0B8" w14:textId="77777777" w:rsidR="00507742" w:rsidRDefault="00507742" w:rsidP="006E5487">
      <w:pPr>
        <w:pStyle w:val="References"/>
      </w:pPr>
      <w:bookmarkStart w:id="228" w:name="_Hlk56495857"/>
      <w:r w:rsidRPr="004327C1">
        <w:t>Stats NZ. 2020e.</w:t>
      </w:r>
      <w:r w:rsidRPr="00912B44">
        <w:t xml:space="preserve"> </w:t>
      </w:r>
      <w:r w:rsidRPr="00912B44">
        <w:rPr>
          <w:i/>
        </w:rPr>
        <w:t xml:space="preserve">Wellbeing </w:t>
      </w:r>
      <w:r w:rsidR="006E5487">
        <w:rPr>
          <w:i/>
        </w:rPr>
        <w:t>D</w:t>
      </w:r>
      <w:r w:rsidRPr="00912B44">
        <w:rPr>
          <w:i/>
        </w:rPr>
        <w:t>ata for New Zealand</w:t>
      </w:r>
      <w:r w:rsidRPr="00912B44">
        <w:t xml:space="preserve">. URL: </w:t>
      </w:r>
      <w:hyperlink r:id="rId80" w:history="1">
        <w:r w:rsidR="006E5487" w:rsidRPr="006E5487">
          <w:rPr>
            <w:rStyle w:val="Hyperlink"/>
          </w:rPr>
          <w:t>https://wellbeingindicators.stats.govt.nz/en/life-satisfaction/</w:t>
        </w:r>
      </w:hyperlink>
      <w:r w:rsidRPr="00912B44">
        <w:t xml:space="preserve"> (accessed </w:t>
      </w:r>
      <w:r>
        <w:t>17</w:t>
      </w:r>
      <w:r w:rsidR="006E5487">
        <w:t> </w:t>
      </w:r>
      <w:r>
        <w:t>November</w:t>
      </w:r>
      <w:r w:rsidRPr="00912B44">
        <w:t xml:space="preserve"> 2020).</w:t>
      </w:r>
    </w:p>
    <w:p w14:paraId="1CC72AF6" w14:textId="77777777" w:rsidR="00507742" w:rsidRDefault="00507742" w:rsidP="006E5487">
      <w:pPr>
        <w:pStyle w:val="References"/>
      </w:pPr>
      <w:r w:rsidRPr="004327C1">
        <w:t xml:space="preserve">Stats NZ. 2020f. </w:t>
      </w:r>
      <w:r w:rsidRPr="004327C1">
        <w:rPr>
          <w:i/>
        </w:rPr>
        <w:t>Wellbeing</w:t>
      </w:r>
      <w:r w:rsidRPr="00912B44">
        <w:rPr>
          <w:i/>
        </w:rPr>
        <w:t xml:space="preserve"> </w:t>
      </w:r>
      <w:r w:rsidR="006E5487">
        <w:rPr>
          <w:i/>
        </w:rPr>
        <w:t>D</w:t>
      </w:r>
      <w:r w:rsidRPr="00912B44">
        <w:rPr>
          <w:i/>
        </w:rPr>
        <w:t>ata for New Zealand</w:t>
      </w:r>
      <w:r w:rsidRPr="00912B44">
        <w:t xml:space="preserve">. URL: </w:t>
      </w:r>
      <w:hyperlink r:id="rId81" w:history="1">
        <w:r w:rsidR="006E5487" w:rsidRPr="006E5487">
          <w:rPr>
            <w:rStyle w:val="Hyperlink"/>
          </w:rPr>
          <w:t>https://wellbeingindicators.stats.govt.nz/en/whanau-wellbeing/</w:t>
        </w:r>
      </w:hyperlink>
      <w:r w:rsidRPr="00912B44">
        <w:t xml:space="preserve"> (accessed </w:t>
      </w:r>
      <w:r>
        <w:t>17</w:t>
      </w:r>
      <w:r w:rsidR="006E5487">
        <w:t> </w:t>
      </w:r>
      <w:r>
        <w:t>November</w:t>
      </w:r>
      <w:r w:rsidRPr="00912B44">
        <w:t xml:space="preserve"> 2020).</w:t>
      </w:r>
    </w:p>
    <w:p w14:paraId="1FC7EA39" w14:textId="77777777" w:rsidR="00507742" w:rsidRPr="00912B44" w:rsidRDefault="00507742" w:rsidP="006E5487">
      <w:pPr>
        <w:pStyle w:val="References"/>
      </w:pPr>
      <w:r w:rsidRPr="004327C1">
        <w:t>Stats NZ. 2020</w:t>
      </w:r>
      <w:r>
        <w:t>g</w:t>
      </w:r>
      <w:r w:rsidRPr="004327C1">
        <w:t xml:space="preserve">. </w:t>
      </w:r>
      <w:r w:rsidRPr="004327C1">
        <w:rPr>
          <w:i/>
        </w:rPr>
        <w:t xml:space="preserve">Measuring </w:t>
      </w:r>
      <w:r w:rsidR="006E5487">
        <w:rPr>
          <w:i/>
        </w:rPr>
        <w:t>I</w:t>
      </w:r>
      <w:r w:rsidRPr="004327C1">
        <w:rPr>
          <w:i/>
        </w:rPr>
        <w:t xml:space="preserve">nequality for </w:t>
      </w:r>
      <w:r w:rsidR="006E5487">
        <w:rPr>
          <w:i/>
        </w:rPr>
        <w:t>D</w:t>
      </w:r>
      <w:r w:rsidRPr="004327C1">
        <w:rPr>
          <w:i/>
        </w:rPr>
        <w:t>isabled New Zealanders: 2018.</w:t>
      </w:r>
      <w:r w:rsidRPr="004327C1">
        <w:t xml:space="preserve"> URL: </w:t>
      </w:r>
      <w:hyperlink r:id="rId82" w:history="1">
        <w:r w:rsidR="006E5487" w:rsidRPr="006E5487">
          <w:rPr>
            <w:rStyle w:val="Hyperlink"/>
          </w:rPr>
          <w:t>https://www.stats.govt.nz/reports/measuring-inequality-for-disabled-new-zealanders-2018</w:t>
        </w:r>
      </w:hyperlink>
      <w:r w:rsidRPr="004327C1">
        <w:t xml:space="preserve"> (accessed 5 November 2020).</w:t>
      </w:r>
    </w:p>
    <w:p w14:paraId="537151CA" w14:textId="77777777" w:rsidR="00507742" w:rsidRPr="00912B44" w:rsidRDefault="00507742" w:rsidP="006E5487">
      <w:pPr>
        <w:pStyle w:val="References"/>
      </w:pPr>
      <w:r w:rsidRPr="004327C1">
        <w:t>Stats NZ. 2020</w:t>
      </w:r>
      <w:r>
        <w:t>h</w:t>
      </w:r>
      <w:r w:rsidRPr="004327C1">
        <w:t xml:space="preserve">. </w:t>
      </w:r>
      <w:r w:rsidRPr="004327C1">
        <w:rPr>
          <w:i/>
        </w:rPr>
        <w:t xml:space="preserve">Wellbeing </w:t>
      </w:r>
      <w:r w:rsidR="006E5487">
        <w:rPr>
          <w:i/>
        </w:rPr>
        <w:t>D</w:t>
      </w:r>
      <w:r w:rsidRPr="004327C1">
        <w:rPr>
          <w:i/>
        </w:rPr>
        <w:t>ata for New Zealand</w:t>
      </w:r>
      <w:r w:rsidRPr="004327C1">
        <w:t xml:space="preserve">. URL: </w:t>
      </w:r>
      <w:hyperlink r:id="rId83" w:history="1">
        <w:r w:rsidR="006E5487" w:rsidRPr="006E5487">
          <w:rPr>
            <w:rStyle w:val="Hyperlink"/>
          </w:rPr>
          <w:t>https://wellbeingindicators.stats.govt.nz/en/sense-of-belonging/</w:t>
        </w:r>
      </w:hyperlink>
      <w:r w:rsidRPr="00912B44">
        <w:t xml:space="preserve"> (accessed </w:t>
      </w:r>
      <w:r>
        <w:t>17</w:t>
      </w:r>
      <w:r w:rsidR="006E5487">
        <w:t> </w:t>
      </w:r>
      <w:r>
        <w:t>November</w:t>
      </w:r>
      <w:r w:rsidRPr="00912B44">
        <w:t xml:space="preserve"> 2020).</w:t>
      </w:r>
    </w:p>
    <w:bookmarkEnd w:id="228"/>
    <w:p w14:paraId="3D5B9E5B" w14:textId="77777777" w:rsidR="00507742" w:rsidRPr="004327C1" w:rsidRDefault="00507742" w:rsidP="006E5487">
      <w:pPr>
        <w:pStyle w:val="References"/>
      </w:pPr>
      <w:r w:rsidRPr="004327C1">
        <w:t>Stats NZ. 2020</w:t>
      </w:r>
      <w:r>
        <w:t>i</w:t>
      </w:r>
      <w:r w:rsidRPr="004327C1">
        <w:t xml:space="preserve">. </w:t>
      </w:r>
      <w:r w:rsidRPr="004327C1">
        <w:rPr>
          <w:i/>
        </w:rPr>
        <w:t xml:space="preserve">Child </w:t>
      </w:r>
      <w:r w:rsidR="006E5487">
        <w:rPr>
          <w:i/>
        </w:rPr>
        <w:t>P</w:t>
      </w:r>
      <w:r w:rsidRPr="004327C1">
        <w:rPr>
          <w:i/>
        </w:rPr>
        <w:t xml:space="preserve">overty </w:t>
      </w:r>
      <w:r w:rsidR="006E5487">
        <w:rPr>
          <w:i/>
        </w:rPr>
        <w:t>S</w:t>
      </w:r>
      <w:r w:rsidRPr="004327C1">
        <w:rPr>
          <w:i/>
        </w:rPr>
        <w:t>tatistics: Year ended June 2019</w:t>
      </w:r>
      <w:r w:rsidRPr="004327C1">
        <w:t xml:space="preserve">. URL: </w:t>
      </w:r>
      <w:hyperlink r:id="rId84" w:history="1">
        <w:r w:rsidR="006E5487" w:rsidRPr="006E5487">
          <w:rPr>
            <w:rStyle w:val="Hyperlink"/>
          </w:rPr>
          <w:t>https://www.stats.govt.nz/information-releases/child-poverty-statistics-year-ended-june-2019</w:t>
        </w:r>
      </w:hyperlink>
      <w:r w:rsidRPr="004327C1">
        <w:t xml:space="preserve"> (accessed 22 October 2020).</w:t>
      </w:r>
    </w:p>
    <w:p w14:paraId="7ED6D914" w14:textId="77777777" w:rsidR="00507742" w:rsidRPr="004327C1" w:rsidRDefault="00507742" w:rsidP="006E5487">
      <w:pPr>
        <w:pStyle w:val="References"/>
      </w:pPr>
      <w:r w:rsidRPr="004327C1">
        <w:t>Stats NZ. 2020</w:t>
      </w:r>
      <w:r>
        <w:t>j</w:t>
      </w:r>
      <w:r w:rsidRPr="004327C1">
        <w:t xml:space="preserve">. </w:t>
      </w:r>
      <w:r w:rsidRPr="004327C1">
        <w:rPr>
          <w:i/>
        </w:rPr>
        <w:t xml:space="preserve">More than 2 in 5 Māori and Pacific </w:t>
      </w:r>
      <w:r w:rsidR="006E5487">
        <w:rPr>
          <w:i/>
        </w:rPr>
        <w:t>P</w:t>
      </w:r>
      <w:r w:rsidRPr="004327C1">
        <w:rPr>
          <w:i/>
        </w:rPr>
        <w:t xml:space="preserve">eople </w:t>
      </w:r>
      <w:r w:rsidR="006E5487">
        <w:rPr>
          <w:i/>
        </w:rPr>
        <w:t>L</w:t>
      </w:r>
      <w:r w:rsidRPr="004327C1">
        <w:rPr>
          <w:i/>
        </w:rPr>
        <w:t xml:space="preserve">ive in a </w:t>
      </w:r>
      <w:r w:rsidR="006E5487">
        <w:rPr>
          <w:i/>
        </w:rPr>
        <w:t>D</w:t>
      </w:r>
      <w:r w:rsidRPr="004327C1">
        <w:rPr>
          <w:i/>
        </w:rPr>
        <w:t xml:space="preserve">amp </w:t>
      </w:r>
      <w:r w:rsidR="006E5487">
        <w:rPr>
          <w:i/>
        </w:rPr>
        <w:t>H</w:t>
      </w:r>
      <w:r w:rsidRPr="004327C1">
        <w:rPr>
          <w:i/>
        </w:rPr>
        <w:t>ouse – corrected.</w:t>
      </w:r>
      <w:r w:rsidRPr="004327C1">
        <w:t xml:space="preserve"> URL: </w:t>
      </w:r>
      <w:hyperlink r:id="rId85" w:history="1">
        <w:r w:rsidR="006E5487" w:rsidRPr="006E5487">
          <w:rPr>
            <w:rStyle w:val="Hyperlink"/>
          </w:rPr>
          <w:t>https://www.stats.govt.nz/news/more-than-2-in-5-Māori-and-pacific-people-live-in-a-damp-house-corrected</w:t>
        </w:r>
      </w:hyperlink>
      <w:r w:rsidRPr="004327C1">
        <w:t xml:space="preserve"> (accessed 16 October 2020).</w:t>
      </w:r>
    </w:p>
    <w:p w14:paraId="1352D42C" w14:textId="77777777" w:rsidR="00507742" w:rsidRPr="00912B44" w:rsidRDefault="00507742" w:rsidP="006E5487">
      <w:pPr>
        <w:pStyle w:val="References"/>
      </w:pPr>
      <w:r w:rsidRPr="004327C1">
        <w:t>Stats NZ. 2020</w:t>
      </w:r>
      <w:r>
        <w:t>k</w:t>
      </w:r>
      <w:r w:rsidRPr="004327C1">
        <w:t xml:space="preserve">. </w:t>
      </w:r>
      <w:r w:rsidRPr="004327C1">
        <w:rPr>
          <w:i/>
        </w:rPr>
        <w:t xml:space="preserve">Almost 1 in 9 people </w:t>
      </w:r>
      <w:r w:rsidR="006E5487">
        <w:rPr>
          <w:i/>
        </w:rPr>
        <w:t>L</w:t>
      </w:r>
      <w:r w:rsidRPr="004327C1">
        <w:rPr>
          <w:i/>
        </w:rPr>
        <w:t xml:space="preserve">ive in a </w:t>
      </w:r>
      <w:r w:rsidR="006E5487">
        <w:rPr>
          <w:i/>
        </w:rPr>
        <w:t>C</w:t>
      </w:r>
      <w:r w:rsidRPr="004327C1">
        <w:rPr>
          <w:i/>
        </w:rPr>
        <w:t xml:space="preserve">rowded </w:t>
      </w:r>
      <w:r w:rsidR="006E5487">
        <w:rPr>
          <w:i/>
        </w:rPr>
        <w:t>H</w:t>
      </w:r>
      <w:r w:rsidRPr="004327C1">
        <w:rPr>
          <w:i/>
        </w:rPr>
        <w:t>ouse.</w:t>
      </w:r>
      <w:r w:rsidRPr="004327C1">
        <w:t xml:space="preserve"> URL: </w:t>
      </w:r>
      <w:hyperlink r:id="rId86" w:history="1">
        <w:r w:rsidR="006E5487" w:rsidRPr="006E5487">
          <w:rPr>
            <w:rStyle w:val="Hyperlink"/>
          </w:rPr>
          <w:t>https://www.stats.govt.nz/news/almost-1-in-9-people-live-in-a-crowded-house</w:t>
        </w:r>
      </w:hyperlink>
      <w:r w:rsidRPr="004327C1">
        <w:t xml:space="preserve"> (accessed 16 October 2020).</w:t>
      </w:r>
    </w:p>
    <w:p w14:paraId="6BA251DB" w14:textId="6DE9C2B2" w:rsidR="00507742" w:rsidRPr="00912B44" w:rsidRDefault="00507742" w:rsidP="006E5487">
      <w:pPr>
        <w:pStyle w:val="References"/>
      </w:pPr>
      <w:r w:rsidRPr="00912B44">
        <w:t xml:space="preserve">Teng A, Atkinson J, Disney G, et al. 2016. Ethnic inequalities in cancer incidence and mortality: census-linked cohort studies with 87 million years of person-time follow-up. </w:t>
      </w:r>
      <w:r w:rsidRPr="00912B44">
        <w:rPr>
          <w:i/>
          <w:iCs/>
        </w:rPr>
        <w:t>BMC Cancer</w:t>
      </w:r>
      <w:r w:rsidRPr="00912B44">
        <w:t xml:space="preserve"> 16</w:t>
      </w:r>
      <w:r w:rsidR="00873B79">
        <w:t>(1)</w:t>
      </w:r>
      <w:r w:rsidRPr="00912B44">
        <w:t>:</w:t>
      </w:r>
      <w:r>
        <w:t xml:space="preserve"> </w:t>
      </w:r>
      <w:r w:rsidRPr="00912B44">
        <w:t>755.</w:t>
      </w:r>
    </w:p>
    <w:p w14:paraId="4D2B2F66" w14:textId="77777777" w:rsidR="002542AA" w:rsidRDefault="00507742" w:rsidP="006E5487">
      <w:pPr>
        <w:pStyle w:val="References"/>
      </w:pPr>
      <w:r w:rsidRPr="00912B44">
        <w:t xml:space="preserve">Walsh M, Grey C. 2019. The contribution of avoidable mortality to the life expectancy gap in Māori and Pacific populations in New Zealand – a decomposition analysis. </w:t>
      </w:r>
      <w:r w:rsidRPr="00912B44">
        <w:rPr>
          <w:i/>
        </w:rPr>
        <w:t>New Zealand Medical Journal</w:t>
      </w:r>
      <w:r w:rsidRPr="00912B44">
        <w:rPr>
          <w:rFonts w:ascii="Calibri" w:hAnsi="Calibri"/>
          <w:i/>
        </w:rPr>
        <w:t xml:space="preserve"> </w:t>
      </w:r>
      <w:r w:rsidRPr="00912B44">
        <w:t>132(1492): 46–60.</w:t>
      </w:r>
    </w:p>
    <w:p w14:paraId="0CC64B2D" w14:textId="307BB263" w:rsidR="002542AA" w:rsidRDefault="00507742" w:rsidP="006E5487">
      <w:pPr>
        <w:pStyle w:val="References"/>
      </w:pPr>
      <w:r w:rsidRPr="00912B44">
        <w:t xml:space="preserve">Walsh M, Wright K. 2020. Ethnic inequities in life expectancy attributable to smoking. </w:t>
      </w:r>
      <w:r w:rsidRPr="00912B44">
        <w:rPr>
          <w:i/>
        </w:rPr>
        <w:t>New Zealand Medical Journal</w:t>
      </w:r>
      <w:r w:rsidRPr="00912B44">
        <w:rPr>
          <w:rFonts w:ascii="Calibri" w:hAnsi="Calibri"/>
          <w:i/>
        </w:rPr>
        <w:t xml:space="preserve"> </w:t>
      </w:r>
      <w:r w:rsidRPr="00912B44">
        <w:t>133(1509)</w:t>
      </w:r>
      <w:r w:rsidR="00873B79">
        <w:t>: 28–38</w:t>
      </w:r>
      <w:r w:rsidRPr="00912B44">
        <w:t>.</w:t>
      </w:r>
    </w:p>
    <w:p w14:paraId="2E3EBF23" w14:textId="77777777" w:rsidR="0082081A" w:rsidRDefault="0082081A" w:rsidP="006E5487"/>
    <w:sectPr w:rsidR="0082081A" w:rsidSect="002B7BEC">
      <w:footerReference w:type="even" r:id="rId87"/>
      <w:footerReference w:type="default" r:id="rId88"/>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AF68B" w14:textId="77777777" w:rsidR="00786A0C" w:rsidRDefault="00786A0C">
      <w:r>
        <w:separator/>
      </w:r>
    </w:p>
    <w:p w14:paraId="69E0EF09" w14:textId="77777777" w:rsidR="00786A0C" w:rsidRDefault="00786A0C"/>
  </w:endnote>
  <w:endnote w:type="continuationSeparator" w:id="0">
    <w:p w14:paraId="1240FF27" w14:textId="77777777" w:rsidR="00786A0C" w:rsidRDefault="00786A0C">
      <w:r>
        <w:continuationSeparator/>
      </w:r>
    </w:p>
    <w:p w14:paraId="628929FF" w14:textId="77777777" w:rsidR="00786A0C" w:rsidRDefault="00786A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97A8F" w14:textId="77777777" w:rsidR="00B31B4D" w:rsidRPr="00581136" w:rsidRDefault="00B31B4D" w:rsidP="005A79E5">
    <w:pPr>
      <w:pStyle w:val="Footer"/>
      <w:pBdr>
        <w:bottom w:val="single" w:sz="4" w:space="1" w:color="auto"/>
      </w:pBdr>
      <w:tabs>
        <w:tab w:val="right" w:pos="9639"/>
      </w:tabs>
      <w:rPr>
        <w:b/>
      </w:rPr>
    </w:pPr>
    <w:r w:rsidRPr="00581136">
      <w:rPr>
        <w:b/>
      </w:rPr>
      <w:t>Released 20</w:t>
    </w:r>
    <w:r>
      <w:rPr>
        <w:b/>
      </w:rPr>
      <w:t>20</w:t>
    </w:r>
    <w:r w:rsidRPr="00581136">
      <w:rPr>
        <w:b/>
      </w:rPr>
      <w:tab/>
      <w:t>health.govt.nz</w:t>
    </w:r>
  </w:p>
  <w:p w14:paraId="32CFAFAB" w14:textId="77777777" w:rsidR="00B31B4D" w:rsidRPr="005A79E5" w:rsidRDefault="00B31B4D">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DA56E" w14:textId="77777777" w:rsidR="00B31B4D" w:rsidRPr="00571223" w:rsidRDefault="00B31B4D"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B31B4D" w14:paraId="77BE535F" w14:textId="77777777" w:rsidTr="006E2886">
      <w:trPr>
        <w:cantSplit/>
      </w:trPr>
      <w:tc>
        <w:tcPr>
          <w:tcW w:w="675" w:type="dxa"/>
          <w:vAlign w:val="center"/>
        </w:tcPr>
        <w:p w14:paraId="08995992" w14:textId="77777777" w:rsidR="00B31B4D" w:rsidRPr="00931466" w:rsidRDefault="00B31B4D"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D1ED2">
            <w:rPr>
              <w:rStyle w:val="PageNumber"/>
              <w:noProof/>
            </w:rPr>
            <w:t>xiv</w:t>
          </w:r>
          <w:r w:rsidRPr="00931466">
            <w:rPr>
              <w:rStyle w:val="PageNumber"/>
            </w:rPr>
            <w:fldChar w:fldCharType="end"/>
          </w:r>
        </w:p>
      </w:tc>
      <w:tc>
        <w:tcPr>
          <w:tcW w:w="9072" w:type="dxa"/>
          <w:vAlign w:val="center"/>
        </w:tcPr>
        <w:p w14:paraId="7E0DF008" w14:textId="77777777" w:rsidR="00B31B4D" w:rsidRDefault="00B31B4D" w:rsidP="00BF1CEB">
          <w:pPr>
            <w:pStyle w:val="RectoFooter"/>
            <w:jc w:val="left"/>
          </w:pPr>
          <w:r>
            <w:t>health and independence report 2019</w:t>
          </w:r>
        </w:p>
      </w:tc>
    </w:tr>
  </w:tbl>
  <w:p w14:paraId="5B915613" w14:textId="77777777" w:rsidR="00B31B4D" w:rsidRPr="00571223" w:rsidRDefault="00B31B4D" w:rsidP="00571223">
    <w:pPr>
      <w:pStyle w:val="Verso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B31B4D" w14:paraId="28788B26" w14:textId="77777777" w:rsidTr="006E2886">
      <w:trPr>
        <w:cantSplit/>
      </w:trPr>
      <w:tc>
        <w:tcPr>
          <w:tcW w:w="675" w:type="dxa"/>
          <w:vAlign w:val="center"/>
        </w:tcPr>
        <w:p w14:paraId="24168A54" w14:textId="77777777" w:rsidR="00B31B4D" w:rsidRPr="00931466" w:rsidRDefault="00B31B4D"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D1ED2">
            <w:rPr>
              <w:rStyle w:val="PageNumber"/>
              <w:noProof/>
            </w:rPr>
            <w:t>18</w:t>
          </w:r>
          <w:r w:rsidRPr="00931466">
            <w:rPr>
              <w:rStyle w:val="PageNumber"/>
            </w:rPr>
            <w:fldChar w:fldCharType="end"/>
          </w:r>
        </w:p>
      </w:tc>
      <w:tc>
        <w:tcPr>
          <w:tcW w:w="9072" w:type="dxa"/>
          <w:vAlign w:val="center"/>
        </w:tcPr>
        <w:p w14:paraId="0FC58B2A" w14:textId="77777777" w:rsidR="00B31B4D" w:rsidRDefault="00B31B4D" w:rsidP="00FB0A5B">
          <w:pPr>
            <w:pStyle w:val="RectoFooter"/>
            <w:ind w:left="-108"/>
            <w:jc w:val="left"/>
          </w:pPr>
          <w:r>
            <w:t>health and independence report 2019</w:t>
          </w:r>
        </w:p>
      </w:tc>
    </w:tr>
  </w:tbl>
  <w:p w14:paraId="337EEFD2" w14:textId="77777777" w:rsidR="00B31B4D" w:rsidRPr="00571223" w:rsidRDefault="00B31B4D"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B31B4D" w14:paraId="2287344F" w14:textId="77777777" w:rsidTr="006E2886">
      <w:trPr>
        <w:cantSplit/>
      </w:trPr>
      <w:tc>
        <w:tcPr>
          <w:tcW w:w="8080" w:type="dxa"/>
          <w:vAlign w:val="center"/>
        </w:tcPr>
        <w:p w14:paraId="0312A492" w14:textId="77777777" w:rsidR="00B31B4D" w:rsidRDefault="00B31B4D" w:rsidP="00507742">
          <w:pPr>
            <w:pStyle w:val="RectoFooter"/>
          </w:pPr>
          <w:r>
            <w:t>health and independence report 2019</w:t>
          </w:r>
        </w:p>
      </w:tc>
      <w:tc>
        <w:tcPr>
          <w:tcW w:w="709" w:type="dxa"/>
          <w:vAlign w:val="center"/>
        </w:tcPr>
        <w:p w14:paraId="7D40303B" w14:textId="77777777" w:rsidR="00B31B4D" w:rsidRPr="00931466" w:rsidRDefault="00B31B4D"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D1ED2">
            <w:rPr>
              <w:rStyle w:val="PageNumber"/>
              <w:noProof/>
            </w:rPr>
            <w:t>19</w:t>
          </w:r>
          <w:r w:rsidRPr="00931466">
            <w:rPr>
              <w:rStyle w:val="PageNumber"/>
            </w:rPr>
            <w:fldChar w:fldCharType="end"/>
          </w:r>
        </w:p>
      </w:tc>
    </w:tr>
  </w:tbl>
  <w:p w14:paraId="37EE8242" w14:textId="77777777" w:rsidR="00B31B4D" w:rsidRPr="00581EB8" w:rsidRDefault="00B31B4D"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5368C" w14:textId="77777777" w:rsidR="00B31B4D" w:rsidRDefault="00B31B4D"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6CA5C" w14:textId="77777777" w:rsidR="00B31B4D" w:rsidRDefault="00B31B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B31B4D" w14:paraId="0F4DE74E" w14:textId="77777777" w:rsidTr="006E2886">
      <w:trPr>
        <w:cantSplit/>
      </w:trPr>
      <w:tc>
        <w:tcPr>
          <w:tcW w:w="709" w:type="dxa"/>
          <w:vAlign w:val="center"/>
        </w:tcPr>
        <w:p w14:paraId="256659F1" w14:textId="77777777" w:rsidR="00B31B4D" w:rsidRPr="00931466" w:rsidRDefault="00B31B4D"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629528DF" w14:textId="77777777" w:rsidR="00B31B4D" w:rsidRDefault="00B31B4D" w:rsidP="006E2886">
          <w:pPr>
            <w:pStyle w:val="RectoFooter"/>
            <w:jc w:val="left"/>
          </w:pPr>
          <w:r>
            <w:t>[title]: [subhead]</w:t>
          </w:r>
        </w:p>
      </w:tc>
    </w:tr>
  </w:tbl>
  <w:p w14:paraId="3AAF4B37" w14:textId="77777777" w:rsidR="00B31B4D" w:rsidRPr="00571223" w:rsidRDefault="00B31B4D"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B31B4D" w14:paraId="1603D4AC" w14:textId="77777777" w:rsidTr="006B62E6">
      <w:trPr>
        <w:cantSplit/>
      </w:trPr>
      <w:tc>
        <w:tcPr>
          <w:tcW w:w="8080" w:type="dxa"/>
          <w:vAlign w:val="center"/>
        </w:tcPr>
        <w:p w14:paraId="06A52370" w14:textId="77777777" w:rsidR="00B31B4D" w:rsidRDefault="00B31B4D" w:rsidP="00507742">
          <w:pPr>
            <w:pStyle w:val="RectoFooter"/>
          </w:pPr>
          <w:r>
            <w:t>health and independence report 2019</w:t>
          </w:r>
        </w:p>
      </w:tc>
      <w:tc>
        <w:tcPr>
          <w:tcW w:w="709" w:type="dxa"/>
          <w:vAlign w:val="center"/>
        </w:tcPr>
        <w:p w14:paraId="084D3C02" w14:textId="77777777" w:rsidR="00B31B4D" w:rsidRPr="00931466" w:rsidRDefault="00B31B4D"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D1ED2">
            <w:rPr>
              <w:rStyle w:val="PageNumber"/>
              <w:noProof/>
            </w:rPr>
            <w:t>iii</w:t>
          </w:r>
          <w:r w:rsidRPr="00931466">
            <w:rPr>
              <w:rStyle w:val="PageNumber"/>
            </w:rPr>
            <w:fldChar w:fldCharType="end"/>
          </w:r>
        </w:p>
      </w:tc>
    </w:tr>
  </w:tbl>
  <w:p w14:paraId="2C0289F3" w14:textId="77777777" w:rsidR="00B31B4D" w:rsidRPr="00581EB8" w:rsidRDefault="00B31B4D"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43F87" w14:textId="77777777" w:rsidR="00B31B4D" w:rsidRPr="00571223" w:rsidRDefault="00B31B4D"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89" w:type="dxa"/>
      <w:tblLook w:val="04A0" w:firstRow="1" w:lastRow="0" w:firstColumn="1" w:lastColumn="0" w:noHBand="0" w:noVBand="1"/>
    </w:tblPr>
    <w:tblGrid>
      <w:gridCol w:w="8046"/>
      <w:gridCol w:w="567"/>
      <w:gridCol w:w="1276"/>
    </w:tblGrid>
    <w:tr w:rsidR="00B31B4D" w14:paraId="0FBCA7DB" w14:textId="77777777" w:rsidTr="007920E2">
      <w:tc>
        <w:tcPr>
          <w:tcW w:w="8046" w:type="dxa"/>
          <w:vAlign w:val="center"/>
        </w:tcPr>
        <w:p w14:paraId="7D549984" w14:textId="77777777" w:rsidR="00B31B4D" w:rsidRDefault="00B31B4D" w:rsidP="00926083">
          <w:pPr>
            <w:pStyle w:val="RectoFooter"/>
          </w:pPr>
          <w:r>
            <w:t>[TITLE]</w:t>
          </w:r>
        </w:p>
      </w:tc>
      <w:tc>
        <w:tcPr>
          <w:tcW w:w="567" w:type="dxa"/>
          <w:vAlign w:val="center"/>
        </w:tcPr>
        <w:p w14:paraId="3192548A" w14:textId="77777777" w:rsidR="00B31B4D" w:rsidRPr="00931466" w:rsidRDefault="00B31B4D"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c>
        <w:tcPr>
          <w:tcW w:w="1276" w:type="dxa"/>
          <w:shd w:val="clear" w:color="auto" w:fill="auto"/>
          <w:vAlign w:val="center"/>
        </w:tcPr>
        <w:p w14:paraId="55C20813" w14:textId="77777777" w:rsidR="00B31B4D" w:rsidRPr="00931466" w:rsidRDefault="00B31B4D" w:rsidP="00931466">
          <w:pPr>
            <w:pStyle w:val="Footer"/>
            <w:jc w:val="right"/>
            <w:rPr>
              <w:sz w:val="15"/>
              <w:szCs w:val="15"/>
            </w:rPr>
          </w:pPr>
        </w:p>
      </w:tc>
    </w:tr>
  </w:tbl>
  <w:p w14:paraId="53804610" w14:textId="77777777" w:rsidR="00B31B4D" w:rsidRPr="00581EB8" w:rsidRDefault="00B31B4D"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B31B4D" w14:paraId="2767BDA1" w14:textId="77777777" w:rsidTr="00D662F8">
      <w:trPr>
        <w:cantSplit/>
      </w:trPr>
      <w:tc>
        <w:tcPr>
          <w:tcW w:w="709" w:type="dxa"/>
          <w:vAlign w:val="center"/>
        </w:tcPr>
        <w:p w14:paraId="782D06BC" w14:textId="77777777" w:rsidR="00B31B4D" w:rsidRPr="00931466" w:rsidRDefault="00B31B4D"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D1ED2">
            <w:rPr>
              <w:rStyle w:val="PageNumber"/>
              <w:noProof/>
            </w:rPr>
            <w:t>vi</w:t>
          </w:r>
          <w:r w:rsidRPr="00931466">
            <w:rPr>
              <w:rStyle w:val="PageNumber"/>
            </w:rPr>
            <w:fldChar w:fldCharType="end"/>
          </w:r>
        </w:p>
      </w:tc>
      <w:tc>
        <w:tcPr>
          <w:tcW w:w="8080" w:type="dxa"/>
          <w:vAlign w:val="center"/>
        </w:tcPr>
        <w:p w14:paraId="726853E7" w14:textId="77777777" w:rsidR="00B31B4D" w:rsidRDefault="00B31B4D" w:rsidP="003B3DA7">
          <w:pPr>
            <w:pStyle w:val="RectoFooter"/>
            <w:jc w:val="left"/>
          </w:pPr>
          <w:r>
            <w:t>health and independence report 2019</w:t>
          </w:r>
        </w:p>
      </w:tc>
    </w:tr>
  </w:tbl>
  <w:p w14:paraId="51E294F1" w14:textId="77777777" w:rsidR="00B31B4D" w:rsidRPr="00571223" w:rsidRDefault="00B31B4D"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B31B4D" w14:paraId="25F3CB4D" w14:textId="77777777" w:rsidTr="006E2886">
      <w:trPr>
        <w:cantSplit/>
      </w:trPr>
      <w:tc>
        <w:tcPr>
          <w:tcW w:w="8080" w:type="dxa"/>
          <w:vAlign w:val="center"/>
        </w:tcPr>
        <w:p w14:paraId="3E3862D2" w14:textId="77777777" w:rsidR="00B31B4D" w:rsidRDefault="00B31B4D" w:rsidP="00507742">
          <w:pPr>
            <w:pStyle w:val="RectoFooter"/>
          </w:pPr>
          <w:r>
            <w:t>health and independence report 2019</w:t>
          </w:r>
        </w:p>
      </w:tc>
      <w:tc>
        <w:tcPr>
          <w:tcW w:w="709" w:type="dxa"/>
          <w:vAlign w:val="center"/>
        </w:tcPr>
        <w:p w14:paraId="1433E563" w14:textId="77777777" w:rsidR="00B31B4D" w:rsidRPr="00931466" w:rsidRDefault="00B31B4D"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D1ED2">
            <w:rPr>
              <w:rStyle w:val="PageNumber"/>
              <w:noProof/>
            </w:rPr>
            <w:t>v</w:t>
          </w:r>
          <w:r w:rsidRPr="00931466">
            <w:rPr>
              <w:rStyle w:val="PageNumber"/>
            </w:rPr>
            <w:fldChar w:fldCharType="end"/>
          </w:r>
        </w:p>
      </w:tc>
    </w:tr>
  </w:tbl>
  <w:p w14:paraId="14CB15A1" w14:textId="77777777" w:rsidR="00B31B4D" w:rsidRPr="00581EB8" w:rsidRDefault="00B31B4D"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B5971" w14:textId="77777777" w:rsidR="00786A0C" w:rsidRPr="00A26E6B" w:rsidRDefault="00786A0C" w:rsidP="00A26E6B"/>
  </w:footnote>
  <w:footnote w:type="continuationSeparator" w:id="0">
    <w:p w14:paraId="3EE895FF" w14:textId="77777777" w:rsidR="00786A0C" w:rsidRDefault="00786A0C">
      <w:r>
        <w:continuationSeparator/>
      </w:r>
    </w:p>
    <w:p w14:paraId="7BCF3BE3" w14:textId="77777777" w:rsidR="00786A0C" w:rsidRDefault="00786A0C"/>
  </w:footnote>
  <w:footnote w:id="1">
    <w:p w14:paraId="6468217D" w14:textId="77777777" w:rsidR="00B31B4D" w:rsidRDefault="00B31B4D" w:rsidP="00507742">
      <w:pPr>
        <w:pStyle w:val="FootnoteText"/>
      </w:pPr>
      <w:r w:rsidRPr="00FC5B48">
        <w:rPr>
          <w:rStyle w:val="FootnoteReference"/>
        </w:rPr>
        <w:footnoteRef/>
      </w:r>
      <w:r>
        <w:tab/>
        <w:t>In relation to burden of disease, the term ‘</w:t>
      </w:r>
      <w:r w:rsidRPr="00DF7998">
        <w:t>disability</w:t>
      </w:r>
      <w:r>
        <w:t>’</w:t>
      </w:r>
      <w:r w:rsidRPr="00DF7998">
        <w:t xml:space="preserve"> </w:t>
      </w:r>
      <w:r>
        <w:t>refers to any short-term or long-term health loss other than death.</w:t>
      </w:r>
    </w:p>
  </w:footnote>
  <w:footnote w:id="2">
    <w:p w14:paraId="09D9988C" w14:textId="77777777" w:rsidR="00B31B4D" w:rsidRDefault="00B31B4D" w:rsidP="004D3F6D">
      <w:pPr>
        <w:pStyle w:val="FootnoteText"/>
      </w:pPr>
      <w:r w:rsidRPr="004D3F6D">
        <w:rPr>
          <w:rStyle w:val="FootnoteReference"/>
        </w:rPr>
        <w:footnoteRef/>
      </w:r>
      <w:r>
        <w:tab/>
      </w:r>
      <w:r w:rsidRPr="007D038A">
        <w:t>Th</w:t>
      </w:r>
      <w:r>
        <w:t>is estimate comes from the</w:t>
      </w:r>
      <w:r w:rsidRPr="007D038A">
        <w:t xml:space="preserve"> Virtual Diabetes Register</w:t>
      </w:r>
      <w:r>
        <w:t xml:space="preserve">, which is based </w:t>
      </w:r>
      <w:r w:rsidRPr="007D038A">
        <w:t>on administrative data on the use of diabetes health services</w:t>
      </w:r>
      <w:r>
        <w:t xml:space="preserve"> and </w:t>
      </w:r>
      <w:r w:rsidRPr="002D4184">
        <w:t>does not identify type of diabetes.</w:t>
      </w:r>
    </w:p>
  </w:footnote>
  <w:footnote w:id="3">
    <w:p w14:paraId="7BBDE80E" w14:textId="77777777" w:rsidR="00B31B4D" w:rsidRDefault="00B31B4D" w:rsidP="00507742">
      <w:pPr>
        <w:pStyle w:val="FootnoteText"/>
      </w:pPr>
      <w:r w:rsidRPr="00E3718A">
        <w:rPr>
          <w:rStyle w:val="FootnoteReference"/>
        </w:rPr>
        <w:footnoteRef/>
      </w:r>
      <w:r>
        <w:tab/>
        <w:t>A person is defined as having asthma if they have</w:t>
      </w:r>
      <w:r w:rsidRPr="007C35B1">
        <w:t xml:space="preserve"> ever been told by a doctor they have asthma and </w:t>
      </w:r>
      <w:r>
        <w:t>are currently</w:t>
      </w:r>
      <w:r w:rsidRPr="007C35B1">
        <w:t xml:space="preserve"> taking treatments for asthma (inhalers, medicine, tablets or pills, or any other treatments).</w:t>
      </w:r>
    </w:p>
  </w:footnote>
  <w:footnote w:id="4">
    <w:p w14:paraId="3A2BBC67" w14:textId="3F471CE5" w:rsidR="00B31B4D" w:rsidRDefault="00B31B4D">
      <w:pPr>
        <w:pStyle w:val="FootnoteText"/>
      </w:pPr>
      <w:r>
        <w:rPr>
          <w:rStyle w:val="FootnoteReference"/>
        </w:rPr>
        <w:footnoteRef/>
      </w:r>
      <w:r>
        <w:t xml:space="preserve"> </w:t>
      </w:r>
      <w:r>
        <w:tab/>
        <w:t>The two measures used in this paragraph are selected from the 10 measures of child poverty specified in the Child Poverty Reduction Act, and reported on annually by Stats NZ.</w:t>
      </w:r>
    </w:p>
  </w:footnote>
  <w:footnote w:id="5">
    <w:p w14:paraId="3F7C5FF1" w14:textId="7ADBD9FB" w:rsidR="00B31B4D" w:rsidRDefault="00B31B4D" w:rsidP="00CD4873">
      <w:pPr>
        <w:pStyle w:val="FootnoteText"/>
      </w:pPr>
      <w:r>
        <w:rPr>
          <w:rStyle w:val="FootnoteReference"/>
        </w:rPr>
        <w:footnoteRef/>
      </w:r>
      <w:r>
        <w:t xml:space="preserve"> </w:t>
      </w:r>
      <w:r>
        <w:tab/>
        <w:t xml:space="preserve">The ASSIST is the </w:t>
      </w:r>
      <w:r w:rsidRPr="004705A1">
        <w:rPr>
          <w:b/>
          <w:bCs/>
        </w:rPr>
        <w:t>A</w:t>
      </w:r>
      <w:r>
        <w:t xml:space="preserve">lcohol, </w:t>
      </w:r>
      <w:r w:rsidRPr="004705A1">
        <w:rPr>
          <w:b/>
          <w:bCs/>
        </w:rPr>
        <w:t>S</w:t>
      </w:r>
      <w:r>
        <w:t xml:space="preserve">moking and </w:t>
      </w:r>
      <w:r w:rsidRPr="004705A1">
        <w:rPr>
          <w:b/>
          <w:bCs/>
        </w:rPr>
        <w:t>S</w:t>
      </w:r>
      <w:r>
        <w:t xml:space="preserve">ubstance </w:t>
      </w:r>
      <w:r w:rsidRPr="004705A1">
        <w:rPr>
          <w:b/>
          <w:bCs/>
        </w:rPr>
        <w:t>I</w:t>
      </w:r>
      <w:r>
        <w:t xml:space="preserve">nvolvement </w:t>
      </w:r>
      <w:r w:rsidRPr="004705A1">
        <w:rPr>
          <w:b/>
          <w:bCs/>
        </w:rPr>
        <w:t>S</w:t>
      </w:r>
      <w:r>
        <w:t xml:space="preserve">creening </w:t>
      </w:r>
      <w:r w:rsidRPr="004705A1">
        <w:rPr>
          <w:b/>
          <w:bCs/>
        </w:rPr>
        <w:t>T</w:t>
      </w:r>
      <w:r>
        <w:t>est. It is a simple method of screening for hazardous, harmful and dependent use of alcohol, tobacco and other psychoactive substances.</w:t>
      </w:r>
    </w:p>
  </w:footnote>
  <w:footnote w:id="6">
    <w:p w14:paraId="217967F6" w14:textId="77777777" w:rsidR="00B31B4D" w:rsidRDefault="00B31B4D" w:rsidP="009239BE">
      <w:pPr>
        <w:pStyle w:val="FootnoteText"/>
      </w:pPr>
      <w:r w:rsidRPr="009239BE">
        <w:rPr>
          <w:rStyle w:val="FootnoteReference"/>
        </w:rPr>
        <w:footnoteRef/>
      </w:r>
      <w:r>
        <w:tab/>
        <w:t>‘Physically active’ is defined as doing at least 30 minutes of moderate-intensity activity (or equivalent vigorous activity), for at least 10 minutes at a time, on five or more days of the week.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B31B4D" w14:paraId="2FAF6AE2" w14:textId="77777777" w:rsidTr="005A79E5">
      <w:trPr>
        <w:cantSplit/>
      </w:trPr>
      <w:tc>
        <w:tcPr>
          <w:tcW w:w="5210" w:type="dxa"/>
        </w:tcPr>
        <w:p w14:paraId="0FD0298E" w14:textId="77777777" w:rsidR="00B31B4D" w:rsidRDefault="00B31B4D" w:rsidP="008814E8">
          <w:pPr>
            <w:pStyle w:val="Header"/>
          </w:pPr>
          <w:r>
            <w:rPr>
              <w:noProof/>
              <w:lang w:eastAsia="en-NZ"/>
            </w:rPr>
            <w:drawing>
              <wp:inline distT="0" distB="0" distL="0" distR="0" wp14:anchorId="12E380D3" wp14:editId="50C6E64B">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3FD6D4D3" w14:textId="77777777" w:rsidR="00B31B4D" w:rsidRDefault="00B31B4D" w:rsidP="008814E8">
          <w:pPr>
            <w:pStyle w:val="Header"/>
            <w:jc w:val="right"/>
          </w:pPr>
          <w:r>
            <w:rPr>
              <w:noProof/>
              <w:lang w:eastAsia="en-NZ"/>
            </w:rPr>
            <w:drawing>
              <wp:inline distT="0" distB="0" distL="0" distR="0" wp14:anchorId="58A50B97" wp14:editId="1B9227F7">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7A43DD5" w14:textId="77777777" w:rsidR="00B31B4D" w:rsidRDefault="00B31B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A658A" w14:textId="77777777" w:rsidR="00B31B4D" w:rsidRDefault="00B31B4D"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252B4" w14:textId="77777777" w:rsidR="00B31B4D" w:rsidRDefault="00B31B4D"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584CC" w14:textId="77777777" w:rsidR="00B31B4D" w:rsidRDefault="00B31B4D"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95B66" w14:textId="77777777" w:rsidR="00B31B4D" w:rsidRDefault="00B31B4D"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0D64"/>
    <w:multiLevelType w:val="multilevel"/>
    <w:tmpl w:val="33B63C2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424"/>
        </w:tabs>
        <w:ind w:left="1066" w:hanging="357"/>
      </w:pPr>
      <w:rPr>
        <w:rFonts w:ascii="Symbol" w:hAnsi="Symbol" w:hint="default"/>
        <w:sz w:val="22"/>
        <w:vertAlign w:val="superscript"/>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 w15:restartNumberingAfterBreak="0">
    <w:nsid w:val="00D817C7"/>
    <w:multiLevelType w:val="multilevel"/>
    <w:tmpl w:val="F8300F5E"/>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623B1E"/>
    <w:multiLevelType w:val="hybridMultilevel"/>
    <w:tmpl w:val="4A3E8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64AE7"/>
    <w:multiLevelType w:val="hybridMultilevel"/>
    <w:tmpl w:val="7AF4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5" w15:restartNumberingAfterBreak="0">
    <w:nsid w:val="04F02849"/>
    <w:multiLevelType w:val="hybridMultilevel"/>
    <w:tmpl w:val="65340D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5954F30"/>
    <w:multiLevelType w:val="hybridMultilevel"/>
    <w:tmpl w:val="40485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6FA6483"/>
    <w:multiLevelType w:val="hybridMultilevel"/>
    <w:tmpl w:val="8394396E"/>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8" w15:restartNumberingAfterBreak="0">
    <w:nsid w:val="076735CD"/>
    <w:multiLevelType w:val="hybridMultilevel"/>
    <w:tmpl w:val="8C505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8142377"/>
    <w:multiLevelType w:val="hybridMultilevel"/>
    <w:tmpl w:val="C02C123E"/>
    <w:lvl w:ilvl="0" w:tplc="78E449E2">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0C8C07BC"/>
    <w:multiLevelType w:val="hybridMultilevel"/>
    <w:tmpl w:val="ABA8F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D8C5D5A"/>
    <w:multiLevelType w:val="multilevel"/>
    <w:tmpl w:val="2CD092E4"/>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2" w15:restartNumberingAfterBreak="0">
    <w:nsid w:val="12370A65"/>
    <w:multiLevelType w:val="multilevel"/>
    <w:tmpl w:val="14090029"/>
    <w:lvl w:ilvl="0">
      <w:start w:val="1"/>
      <w:numFmt w:val="decimal"/>
      <w:suff w:val="space"/>
      <w:lvlText w:val="Chapter %1"/>
      <w:lvlJc w:val="left"/>
      <w:pPr>
        <w:ind w:left="397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180A631C"/>
    <w:multiLevelType w:val="hybridMultilevel"/>
    <w:tmpl w:val="F00EF016"/>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4" w15:restartNumberingAfterBreak="0">
    <w:nsid w:val="1AD060F0"/>
    <w:multiLevelType w:val="multilevel"/>
    <w:tmpl w:val="8362BF2E"/>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5" w15:restartNumberingAfterBreak="0">
    <w:nsid w:val="1C39728D"/>
    <w:multiLevelType w:val="hybridMultilevel"/>
    <w:tmpl w:val="FD204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D905CD6"/>
    <w:multiLevelType w:val="hybridMultilevel"/>
    <w:tmpl w:val="B16E5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EA0626C"/>
    <w:multiLevelType w:val="multilevel"/>
    <w:tmpl w:val="1422C38A"/>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8" w15:restartNumberingAfterBreak="0">
    <w:nsid w:val="2F3E22D3"/>
    <w:multiLevelType w:val="multilevel"/>
    <w:tmpl w:val="758E542E"/>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9" w15:restartNumberingAfterBreak="0">
    <w:nsid w:val="34DB6753"/>
    <w:multiLevelType w:val="multilevel"/>
    <w:tmpl w:val="CFA0ECDC"/>
    <w:lvl w:ilvl="0">
      <w:start w:val="1"/>
      <w:numFmt w:val="decimal"/>
      <w:lvlText w:val="%1)"/>
      <w:lvlJc w:val="left"/>
      <w:pPr>
        <w:ind w:left="1494" w:hanging="360"/>
      </w:pPr>
      <w:rPr>
        <w:rFonts w:hint="default"/>
      </w:r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20" w15:restartNumberingAfterBreak="0">
    <w:nsid w:val="35C46315"/>
    <w:multiLevelType w:val="hybridMultilevel"/>
    <w:tmpl w:val="98C66A74"/>
    <w:lvl w:ilvl="0" w:tplc="B4C469B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1" w15:restartNumberingAfterBreak="0">
    <w:nsid w:val="36F214BA"/>
    <w:multiLevelType w:val="multilevel"/>
    <w:tmpl w:val="9C9A3D3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o"/>
      <w:lvlJc w:val="left"/>
      <w:pPr>
        <w:tabs>
          <w:tab w:val="num" w:pos="1785"/>
        </w:tabs>
        <w:ind w:left="1428" w:hanging="357"/>
      </w:pPr>
      <w:rPr>
        <w:rFonts w:ascii="Courier New" w:hAnsi="Courier New" w:cs="Courier New"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2" w15:restartNumberingAfterBreak="0">
    <w:nsid w:val="3BBE233B"/>
    <w:multiLevelType w:val="multilevel"/>
    <w:tmpl w:val="050295E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7264AA"/>
    <w:multiLevelType w:val="multilevel"/>
    <w:tmpl w:val="48462F1A"/>
    <w:lvl w:ilvl="0">
      <w:start w:val="1"/>
      <w:numFmt w:val="bullet"/>
      <w:lvlText w:val=""/>
      <w:lvlJc w:val="left"/>
      <w:pPr>
        <w:ind w:left="357" w:hanging="357"/>
      </w:pPr>
      <w:rPr>
        <w:rFonts w:ascii="Symbol" w:hAnsi="Symbol"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6" w15:restartNumberingAfterBreak="0">
    <w:nsid w:val="46A02079"/>
    <w:multiLevelType w:val="multilevel"/>
    <w:tmpl w:val="F910959A"/>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7" w15:restartNumberingAfterBreak="0">
    <w:nsid w:val="46D51594"/>
    <w:multiLevelType w:val="hybridMultilevel"/>
    <w:tmpl w:val="FDDA6236"/>
    <w:lvl w:ilvl="0" w:tplc="89305AF6">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F843D9E"/>
    <w:multiLevelType w:val="multilevel"/>
    <w:tmpl w:val="68EA507E"/>
    <w:lvl w:ilvl="0">
      <w:start w:val="1"/>
      <w:numFmt w:val="decimal"/>
      <w:suff w:val="nothing"/>
      <w:lvlText w:val="Chapter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F8D26E9"/>
    <w:multiLevelType w:val="hybridMultilevel"/>
    <w:tmpl w:val="FB3CB93A"/>
    <w:lvl w:ilvl="0" w:tplc="39B8B2EC">
      <w:start w:val="1"/>
      <w:numFmt w:val="bullet"/>
      <w:lvlText w:val=""/>
      <w:lvlJc w:val="left"/>
      <w:pPr>
        <w:tabs>
          <w:tab w:val="num" w:pos="284"/>
        </w:tabs>
        <w:ind w:left="284" w:hanging="284"/>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B51688"/>
    <w:multiLevelType w:val="hybridMultilevel"/>
    <w:tmpl w:val="204EC29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0FC17C7"/>
    <w:multiLevelType w:val="hybridMultilevel"/>
    <w:tmpl w:val="A13AAA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55167D45"/>
    <w:multiLevelType w:val="hybridMultilevel"/>
    <w:tmpl w:val="3A80A0FC"/>
    <w:lvl w:ilvl="0" w:tplc="0E74F91C">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3" w15:restartNumberingAfterBreak="0">
    <w:nsid w:val="55E73FA0"/>
    <w:multiLevelType w:val="multilevel"/>
    <w:tmpl w:val="1AAA43B4"/>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4" w15:restartNumberingAfterBreak="0">
    <w:nsid w:val="59BE1EDB"/>
    <w:multiLevelType w:val="hybridMultilevel"/>
    <w:tmpl w:val="BBB6D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B441916"/>
    <w:multiLevelType w:val="multilevel"/>
    <w:tmpl w:val="33189EF0"/>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6" w15:restartNumberingAfterBreak="0">
    <w:nsid w:val="5C44586F"/>
    <w:multiLevelType w:val="multilevel"/>
    <w:tmpl w:val="DE3893F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7" w15:restartNumberingAfterBreak="0">
    <w:nsid w:val="5D8323CD"/>
    <w:multiLevelType w:val="multilevel"/>
    <w:tmpl w:val="419A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3834E8"/>
    <w:multiLevelType w:val="hybridMultilevel"/>
    <w:tmpl w:val="E8DC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82320D"/>
    <w:multiLevelType w:val="hybridMultilevel"/>
    <w:tmpl w:val="C0029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00F2C85"/>
    <w:multiLevelType w:val="hybridMultilevel"/>
    <w:tmpl w:val="6A54B99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1272775"/>
    <w:multiLevelType w:val="hybridMultilevel"/>
    <w:tmpl w:val="FE12A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8EA6977"/>
    <w:multiLevelType w:val="multilevel"/>
    <w:tmpl w:val="8848D1A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3"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44" w15:restartNumberingAfterBreak="0">
    <w:nsid w:val="7EE56D14"/>
    <w:multiLevelType w:val="multilevel"/>
    <w:tmpl w:val="D98A295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num w:numId="1">
    <w:abstractNumId w:val="43"/>
  </w:num>
  <w:num w:numId="2">
    <w:abstractNumId w:val="23"/>
  </w:num>
  <w:num w:numId="3">
    <w:abstractNumId w:val="24"/>
  </w:num>
  <w:num w:numId="4">
    <w:abstractNumId w:val="4"/>
  </w:num>
  <w:num w:numId="5">
    <w:abstractNumId w:val="1"/>
  </w:num>
  <w:num w:numId="6">
    <w:abstractNumId w:val="29"/>
  </w:num>
  <w:num w:numId="7">
    <w:abstractNumId w:val="37"/>
  </w:num>
  <w:num w:numId="8">
    <w:abstractNumId w:val="3"/>
  </w:num>
  <w:num w:numId="9">
    <w:abstractNumId w:val="38"/>
  </w:num>
  <w:num w:numId="10">
    <w:abstractNumId w:val="31"/>
  </w:num>
  <w:num w:numId="11">
    <w:abstractNumId w:val="17"/>
  </w:num>
  <w:num w:numId="12">
    <w:abstractNumId w:val="22"/>
  </w:num>
  <w:num w:numId="13">
    <w:abstractNumId w:val="0"/>
  </w:num>
  <w:num w:numId="14">
    <w:abstractNumId w:val="14"/>
  </w:num>
  <w:num w:numId="15">
    <w:abstractNumId w:val="20"/>
  </w:num>
  <w:num w:numId="16">
    <w:abstractNumId w:val="32"/>
  </w:num>
  <w:num w:numId="17">
    <w:abstractNumId w:val="9"/>
  </w:num>
  <w:num w:numId="18">
    <w:abstractNumId w:val="16"/>
  </w:num>
  <w:num w:numId="19">
    <w:abstractNumId w:val="10"/>
  </w:num>
  <w:num w:numId="20">
    <w:abstractNumId w:val="7"/>
  </w:num>
  <w:num w:numId="21">
    <w:abstractNumId w:val="41"/>
  </w:num>
  <w:num w:numId="22">
    <w:abstractNumId w:val="15"/>
  </w:num>
  <w:num w:numId="23">
    <w:abstractNumId w:val="39"/>
  </w:num>
  <w:num w:numId="24">
    <w:abstractNumId w:val="2"/>
  </w:num>
  <w:num w:numId="25">
    <w:abstractNumId w:val="8"/>
  </w:num>
  <w:num w:numId="26">
    <w:abstractNumId w:val="6"/>
  </w:num>
  <w:num w:numId="27">
    <w:abstractNumId w:val="34"/>
  </w:num>
  <w:num w:numId="28">
    <w:abstractNumId w:val="40"/>
  </w:num>
  <w:num w:numId="29">
    <w:abstractNumId w:val="19"/>
  </w:num>
  <w:num w:numId="30">
    <w:abstractNumId w:val="12"/>
  </w:num>
  <w:num w:numId="31">
    <w:abstractNumId w:val="30"/>
  </w:num>
  <w:num w:numId="32">
    <w:abstractNumId w:val="21"/>
  </w:num>
  <w:num w:numId="33">
    <w:abstractNumId w:val="44"/>
  </w:num>
  <w:num w:numId="34">
    <w:abstractNumId w:val="18"/>
  </w:num>
  <w:num w:numId="35">
    <w:abstractNumId w:val="36"/>
  </w:num>
  <w:num w:numId="36">
    <w:abstractNumId w:val="33"/>
  </w:num>
  <w:num w:numId="37">
    <w:abstractNumId w:val="42"/>
  </w:num>
  <w:num w:numId="38">
    <w:abstractNumId w:val="35"/>
  </w:num>
  <w:num w:numId="39">
    <w:abstractNumId w:val="25"/>
  </w:num>
  <w:num w:numId="40">
    <w:abstractNumId w:val="26"/>
  </w:num>
  <w:num w:numId="41">
    <w:abstractNumId w:val="11"/>
  </w:num>
  <w:num w:numId="42">
    <w:abstractNumId w:val="28"/>
  </w:num>
  <w:num w:numId="43">
    <w:abstractNumId w:val="5"/>
  </w:num>
  <w:num w:numId="44">
    <w:abstractNumId w:val="13"/>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4715"/>
    <w:rsid w:val="000054E4"/>
    <w:rsid w:val="00005BB5"/>
    <w:rsid w:val="00025A6F"/>
    <w:rsid w:val="0002618D"/>
    <w:rsid w:val="00026990"/>
    <w:rsid w:val="00030B26"/>
    <w:rsid w:val="00030E84"/>
    <w:rsid w:val="00032C0A"/>
    <w:rsid w:val="00035257"/>
    <w:rsid w:val="00035D68"/>
    <w:rsid w:val="00036027"/>
    <w:rsid w:val="000419A9"/>
    <w:rsid w:val="00045613"/>
    <w:rsid w:val="00047899"/>
    <w:rsid w:val="0005117D"/>
    <w:rsid w:val="00053921"/>
    <w:rsid w:val="00054B44"/>
    <w:rsid w:val="0006006B"/>
    <w:rsid w:val="0006228D"/>
    <w:rsid w:val="00064A72"/>
    <w:rsid w:val="00072BD6"/>
    <w:rsid w:val="00075B78"/>
    <w:rsid w:val="000763E9"/>
    <w:rsid w:val="00076D07"/>
    <w:rsid w:val="00082CD6"/>
    <w:rsid w:val="0008437D"/>
    <w:rsid w:val="00085AFE"/>
    <w:rsid w:val="0009361A"/>
    <w:rsid w:val="00094800"/>
    <w:rsid w:val="000A0158"/>
    <w:rsid w:val="000A373D"/>
    <w:rsid w:val="000A41ED"/>
    <w:rsid w:val="000B0730"/>
    <w:rsid w:val="000D19F4"/>
    <w:rsid w:val="000D58DD"/>
    <w:rsid w:val="000E7313"/>
    <w:rsid w:val="000F1F42"/>
    <w:rsid w:val="000F2848"/>
    <w:rsid w:val="000F2AE2"/>
    <w:rsid w:val="000F2BFF"/>
    <w:rsid w:val="00102063"/>
    <w:rsid w:val="0010541C"/>
    <w:rsid w:val="00105770"/>
    <w:rsid w:val="00106EE5"/>
    <w:rsid w:val="00106F93"/>
    <w:rsid w:val="001112E8"/>
    <w:rsid w:val="00111D50"/>
    <w:rsid w:val="00113B8E"/>
    <w:rsid w:val="00117F59"/>
    <w:rsid w:val="0012053C"/>
    <w:rsid w:val="00122363"/>
    <w:rsid w:val="00125D45"/>
    <w:rsid w:val="001342C7"/>
    <w:rsid w:val="0013585C"/>
    <w:rsid w:val="00142261"/>
    <w:rsid w:val="00142954"/>
    <w:rsid w:val="00145F4C"/>
    <w:rsid w:val="001460E0"/>
    <w:rsid w:val="001472F0"/>
    <w:rsid w:val="00147D71"/>
    <w:rsid w:val="00147F71"/>
    <w:rsid w:val="00150A6E"/>
    <w:rsid w:val="0016304B"/>
    <w:rsid w:val="0016318F"/>
    <w:rsid w:val="0016468A"/>
    <w:rsid w:val="0017070E"/>
    <w:rsid w:val="00174F02"/>
    <w:rsid w:val="00182AF1"/>
    <w:rsid w:val="0018376C"/>
    <w:rsid w:val="0018662D"/>
    <w:rsid w:val="00197427"/>
    <w:rsid w:val="001A21B4"/>
    <w:rsid w:val="001A5CF5"/>
    <w:rsid w:val="001B1AAE"/>
    <w:rsid w:val="001B33B9"/>
    <w:rsid w:val="001B39D2"/>
    <w:rsid w:val="001B4BF8"/>
    <w:rsid w:val="001B5BE5"/>
    <w:rsid w:val="001B7B14"/>
    <w:rsid w:val="001C0979"/>
    <w:rsid w:val="001C1363"/>
    <w:rsid w:val="001C3351"/>
    <w:rsid w:val="001C4326"/>
    <w:rsid w:val="001C665E"/>
    <w:rsid w:val="001D3541"/>
    <w:rsid w:val="001D3E4E"/>
    <w:rsid w:val="001E033B"/>
    <w:rsid w:val="001E254A"/>
    <w:rsid w:val="001E7386"/>
    <w:rsid w:val="001F45A7"/>
    <w:rsid w:val="001F5E27"/>
    <w:rsid w:val="0020027C"/>
    <w:rsid w:val="00201A01"/>
    <w:rsid w:val="0020754B"/>
    <w:rsid w:val="002104D3"/>
    <w:rsid w:val="00213A33"/>
    <w:rsid w:val="0021763B"/>
    <w:rsid w:val="00223C63"/>
    <w:rsid w:val="00227F46"/>
    <w:rsid w:val="00232E9F"/>
    <w:rsid w:val="002414C0"/>
    <w:rsid w:val="00242A9B"/>
    <w:rsid w:val="00245748"/>
    <w:rsid w:val="00246692"/>
    <w:rsid w:val="00246DB1"/>
    <w:rsid w:val="002476B5"/>
    <w:rsid w:val="002520CC"/>
    <w:rsid w:val="00253ECF"/>
    <w:rsid w:val="00254044"/>
    <w:rsid w:val="002542AA"/>
    <w:rsid w:val="002546A1"/>
    <w:rsid w:val="002575E8"/>
    <w:rsid w:val="00257EF1"/>
    <w:rsid w:val="002628F4"/>
    <w:rsid w:val="00275D08"/>
    <w:rsid w:val="002839AF"/>
    <w:rsid w:val="002858E3"/>
    <w:rsid w:val="00290E64"/>
    <w:rsid w:val="0029190A"/>
    <w:rsid w:val="00292C5A"/>
    <w:rsid w:val="00295227"/>
    <w:rsid w:val="00295241"/>
    <w:rsid w:val="002A1E25"/>
    <w:rsid w:val="002A4DFC"/>
    <w:rsid w:val="002B031D"/>
    <w:rsid w:val="002B047D"/>
    <w:rsid w:val="002B732B"/>
    <w:rsid w:val="002B76A7"/>
    <w:rsid w:val="002B7BEC"/>
    <w:rsid w:val="002C2219"/>
    <w:rsid w:val="002C2552"/>
    <w:rsid w:val="002C380A"/>
    <w:rsid w:val="002C6044"/>
    <w:rsid w:val="002D0DF2"/>
    <w:rsid w:val="002D23BD"/>
    <w:rsid w:val="002D5CC3"/>
    <w:rsid w:val="002E0B47"/>
    <w:rsid w:val="002F3A0D"/>
    <w:rsid w:val="002F4685"/>
    <w:rsid w:val="002F7213"/>
    <w:rsid w:val="0030382F"/>
    <w:rsid w:val="0030408D"/>
    <w:rsid w:val="003060E4"/>
    <w:rsid w:val="003075E5"/>
    <w:rsid w:val="003130DD"/>
    <w:rsid w:val="003160E7"/>
    <w:rsid w:val="0031739E"/>
    <w:rsid w:val="00317DA3"/>
    <w:rsid w:val="003212F4"/>
    <w:rsid w:val="00321381"/>
    <w:rsid w:val="003235C6"/>
    <w:rsid w:val="0032753F"/>
    <w:rsid w:val="003309CA"/>
    <w:rsid w:val="003325AB"/>
    <w:rsid w:val="003332D1"/>
    <w:rsid w:val="0033412B"/>
    <w:rsid w:val="0033448B"/>
    <w:rsid w:val="00341161"/>
    <w:rsid w:val="00341AEF"/>
    <w:rsid w:val="00343365"/>
    <w:rsid w:val="003445F4"/>
    <w:rsid w:val="00353501"/>
    <w:rsid w:val="00353734"/>
    <w:rsid w:val="003538D4"/>
    <w:rsid w:val="00355708"/>
    <w:rsid w:val="003606F8"/>
    <w:rsid w:val="003648EF"/>
    <w:rsid w:val="003673E6"/>
    <w:rsid w:val="00377264"/>
    <w:rsid w:val="003779D2"/>
    <w:rsid w:val="00383581"/>
    <w:rsid w:val="00385E38"/>
    <w:rsid w:val="00396623"/>
    <w:rsid w:val="003A26A5"/>
    <w:rsid w:val="003A3761"/>
    <w:rsid w:val="003A512D"/>
    <w:rsid w:val="003A5FEA"/>
    <w:rsid w:val="003A60AF"/>
    <w:rsid w:val="003A710B"/>
    <w:rsid w:val="003B1D10"/>
    <w:rsid w:val="003B3DA7"/>
    <w:rsid w:val="003B3ED7"/>
    <w:rsid w:val="003B60AE"/>
    <w:rsid w:val="003B73BB"/>
    <w:rsid w:val="003C0E88"/>
    <w:rsid w:val="003C310C"/>
    <w:rsid w:val="003C76D4"/>
    <w:rsid w:val="003D137D"/>
    <w:rsid w:val="003D2CC5"/>
    <w:rsid w:val="003D3E5C"/>
    <w:rsid w:val="003E04C1"/>
    <w:rsid w:val="003E0887"/>
    <w:rsid w:val="003E43D5"/>
    <w:rsid w:val="003E74C8"/>
    <w:rsid w:val="003E74E2"/>
    <w:rsid w:val="003E7C46"/>
    <w:rsid w:val="003F0F10"/>
    <w:rsid w:val="003F2106"/>
    <w:rsid w:val="003F39AB"/>
    <w:rsid w:val="003F52A7"/>
    <w:rsid w:val="003F7013"/>
    <w:rsid w:val="003F7F6A"/>
    <w:rsid w:val="0040240C"/>
    <w:rsid w:val="004104BA"/>
    <w:rsid w:val="00410C25"/>
    <w:rsid w:val="00413021"/>
    <w:rsid w:val="00414C35"/>
    <w:rsid w:val="004171B7"/>
    <w:rsid w:val="00420330"/>
    <w:rsid w:val="004301C6"/>
    <w:rsid w:val="004302C9"/>
    <w:rsid w:val="004335A1"/>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761C4"/>
    <w:rsid w:val="00476B21"/>
    <w:rsid w:val="00480896"/>
    <w:rsid w:val="004827C1"/>
    <w:rsid w:val="004852AB"/>
    <w:rsid w:val="00487C04"/>
    <w:rsid w:val="004907E1"/>
    <w:rsid w:val="00494C8E"/>
    <w:rsid w:val="004A035B"/>
    <w:rsid w:val="004A2108"/>
    <w:rsid w:val="004A38D7"/>
    <w:rsid w:val="004A712F"/>
    <w:rsid w:val="004A778C"/>
    <w:rsid w:val="004B14DD"/>
    <w:rsid w:val="004B48C7"/>
    <w:rsid w:val="004C2E6A"/>
    <w:rsid w:val="004C3A5C"/>
    <w:rsid w:val="004C4BE6"/>
    <w:rsid w:val="004C64B8"/>
    <w:rsid w:val="004D2A2D"/>
    <w:rsid w:val="004D3F6D"/>
    <w:rsid w:val="004D479F"/>
    <w:rsid w:val="004D6689"/>
    <w:rsid w:val="004E1D1D"/>
    <w:rsid w:val="004E68C6"/>
    <w:rsid w:val="004E7AC8"/>
    <w:rsid w:val="004F05F4"/>
    <w:rsid w:val="004F0C94"/>
    <w:rsid w:val="004F288A"/>
    <w:rsid w:val="00501288"/>
    <w:rsid w:val="005019AE"/>
    <w:rsid w:val="00503749"/>
    <w:rsid w:val="00503D59"/>
    <w:rsid w:val="00504CB2"/>
    <w:rsid w:val="00504CF4"/>
    <w:rsid w:val="0050635B"/>
    <w:rsid w:val="005075B3"/>
    <w:rsid w:val="00507742"/>
    <w:rsid w:val="00507A4A"/>
    <w:rsid w:val="00514E95"/>
    <w:rsid w:val="005151C2"/>
    <w:rsid w:val="005275E8"/>
    <w:rsid w:val="005309FE"/>
    <w:rsid w:val="0053199F"/>
    <w:rsid w:val="00531E12"/>
    <w:rsid w:val="00533B90"/>
    <w:rsid w:val="005350DD"/>
    <w:rsid w:val="00537167"/>
    <w:rsid w:val="005410F8"/>
    <w:rsid w:val="005448EC"/>
    <w:rsid w:val="00545963"/>
    <w:rsid w:val="0054633C"/>
    <w:rsid w:val="00550256"/>
    <w:rsid w:val="00553165"/>
    <w:rsid w:val="005533E2"/>
    <w:rsid w:val="00553958"/>
    <w:rsid w:val="00556BB7"/>
    <w:rsid w:val="0055763D"/>
    <w:rsid w:val="00561516"/>
    <w:rsid w:val="005617BE"/>
    <w:rsid w:val="005621F2"/>
    <w:rsid w:val="00567B58"/>
    <w:rsid w:val="00570E0A"/>
    <w:rsid w:val="00571223"/>
    <w:rsid w:val="00572CF6"/>
    <w:rsid w:val="005763E0"/>
    <w:rsid w:val="00581136"/>
    <w:rsid w:val="005811B6"/>
    <w:rsid w:val="00581EB8"/>
    <w:rsid w:val="005839E7"/>
    <w:rsid w:val="0058437F"/>
    <w:rsid w:val="005A27CA"/>
    <w:rsid w:val="005A43BD"/>
    <w:rsid w:val="005A79E5"/>
    <w:rsid w:val="005B26D1"/>
    <w:rsid w:val="005C1FE5"/>
    <w:rsid w:val="005D034C"/>
    <w:rsid w:val="005E226E"/>
    <w:rsid w:val="005E2636"/>
    <w:rsid w:val="005E4258"/>
    <w:rsid w:val="005F1721"/>
    <w:rsid w:val="006015D7"/>
    <w:rsid w:val="00601B21"/>
    <w:rsid w:val="006041F0"/>
    <w:rsid w:val="00605C6D"/>
    <w:rsid w:val="0060743C"/>
    <w:rsid w:val="00611CB3"/>
    <w:rsid w:val="006120CA"/>
    <w:rsid w:val="0061443A"/>
    <w:rsid w:val="006145D3"/>
    <w:rsid w:val="00624174"/>
    <w:rsid w:val="00626CF8"/>
    <w:rsid w:val="006314AF"/>
    <w:rsid w:val="00634003"/>
    <w:rsid w:val="00634ED8"/>
    <w:rsid w:val="00636D7D"/>
    <w:rsid w:val="00637408"/>
    <w:rsid w:val="006402DF"/>
    <w:rsid w:val="00642868"/>
    <w:rsid w:val="00647AFE"/>
    <w:rsid w:val="00650417"/>
    <w:rsid w:val="006512BC"/>
    <w:rsid w:val="00653A5A"/>
    <w:rsid w:val="006554AC"/>
    <w:rsid w:val="00656E89"/>
    <w:rsid w:val="00656F28"/>
    <w:rsid w:val="006575F4"/>
    <w:rsid w:val="006579E6"/>
    <w:rsid w:val="00660682"/>
    <w:rsid w:val="00660F74"/>
    <w:rsid w:val="00663EDC"/>
    <w:rsid w:val="00671078"/>
    <w:rsid w:val="00675378"/>
    <w:rsid w:val="006758CA"/>
    <w:rsid w:val="00680A04"/>
    <w:rsid w:val="00685107"/>
    <w:rsid w:val="00686D80"/>
    <w:rsid w:val="00694895"/>
    <w:rsid w:val="00697E2E"/>
    <w:rsid w:val="006A25A2"/>
    <w:rsid w:val="006A3B87"/>
    <w:rsid w:val="006A6B3A"/>
    <w:rsid w:val="006B0A88"/>
    <w:rsid w:val="006B0E73"/>
    <w:rsid w:val="006B1E3D"/>
    <w:rsid w:val="006B4A4D"/>
    <w:rsid w:val="006B5695"/>
    <w:rsid w:val="006B597B"/>
    <w:rsid w:val="006B62E6"/>
    <w:rsid w:val="006B7B2E"/>
    <w:rsid w:val="006C3C53"/>
    <w:rsid w:val="006C78EB"/>
    <w:rsid w:val="006C7F66"/>
    <w:rsid w:val="006D1660"/>
    <w:rsid w:val="006D41BC"/>
    <w:rsid w:val="006D63E5"/>
    <w:rsid w:val="006D6F85"/>
    <w:rsid w:val="006E1753"/>
    <w:rsid w:val="006E2886"/>
    <w:rsid w:val="006E3911"/>
    <w:rsid w:val="006E5487"/>
    <w:rsid w:val="006E69F4"/>
    <w:rsid w:val="006F00A3"/>
    <w:rsid w:val="006F1B67"/>
    <w:rsid w:val="006F4D9C"/>
    <w:rsid w:val="0070091D"/>
    <w:rsid w:val="00701607"/>
    <w:rsid w:val="00702854"/>
    <w:rsid w:val="00716F6C"/>
    <w:rsid w:val="00717057"/>
    <w:rsid w:val="0071741C"/>
    <w:rsid w:val="00742B90"/>
    <w:rsid w:val="0074434D"/>
    <w:rsid w:val="00752E53"/>
    <w:rsid w:val="007570C4"/>
    <w:rsid w:val="007605B8"/>
    <w:rsid w:val="00771B1E"/>
    <w:rsid w:val="00773C95"/>
    <w:rsid w:val="0078171E"/>
    <w:rsid w:val="0078658E"/>
    <w:rsid w:val="00786A0C"/>
    <w:rsid w:val="00790C76"/>
    <w:rsid w:val="00790E86"/>
    <w:rsid w:val="007920E2"/>
    <w:rsid w:val="0079566E"/>
    <w:rsid w:val="00795B34"/>
    <w:rsid w:val="007A067F"/>
    <w:rsid w:val="007A4FF6"/>
    <w:rsid w:val="007B1277"/>
    <w:rsid w:val="007B1770"/>
    <w:rsid w:val="007B4D3E"/>
    <w:rsid w:val="007B7C70"/>
    <w:rsid w:val="007B7DEB"/>
    <w:rsid w:val="007C0449"/>
    <w:rsid w:val="007C1E6B"/>
    <w:rsid w:val="007C43B6"/>
    <w:rsid w:val="007D2151"/>
    <w:rsid w:val="007D3B90"/>
    <w:rsid w:val="007D42CC"/>
    <w:rsid w:val="007D4A6C"/>
    <w:rsid w:val="007D5DE4"/>
    <w:rsid w:val="007D7C3A"/>
    <w:rsid w:val="007E0777"/>
    <w:rsid w:val="007E1341"/>
    <w:rsid w:val="007E1B41"/>
    <w:rsid w:val="007E1EC4"/>
    <w:rsid w:val="007E30B9"/>
    <w:rsid w:val="007E74F1"/>
    <w:rsid w:val="007F0F0C"/>
    <w:rsid w:val="007F1288"/>
    <w:rsid w:val="007F3E11"/>
    <w:rsid w:val="00800A8A"/>
    <w:rsid w:val="0080155C"/>
    <w:rsid w:val="008052E1"/>
    <w:rsid w:val="00806B69"/>
    <w:rsid w:val="00811EEB"/>
    <w:rsid w:val="0082081A"/>
    <w:rsid w:val="00822F2C"/>
    <w:rsid w:val="00823DEE"/>
    <w:rsid w:val="008305E8"/>
    <w:rsid w:val="00836165"/>
    <w:rsid w:val="008365B2"/>
    <w:rsid w:val="00843424"/>
    <w:rsid w:val="008438A0"/>
    <w:rsid w:val="0084640C"/>
    <w:rsid w:val="0084744D"/>
    <w:rsid w:val="00855228"/>
    <w:rsid w:val="00856088"/>
    <w:rsid w:val="00860826"/>
    <w:rsid w:val="00860E21"/>
    <w:rsid w:val="00863117"/>
    <w:rsid w:val="0086388B"/>
    <w:rsid w:val="008642E5"/>
    <w:rsid w:val="00864488"/>
    <w:rsid w:val="00870A36"/>
    <w:rsid w:val="00872D93"/>
    <w:rsid w:val="00873B79"/>
    <w:rsid w:val="00880470"/>
    <w:rsid w:val="00880D94"/>
    <w:rsid w:val="008814E8"/>
    <w:rsid w:val="00885AE8"/>
    <w:rsid w:val="00886F64"/>
    <w:rsid w:val="008924DE"/>
    <w:rsid w:val="008924ED"/>
    <w:rsid w:val="00893BFC"/>
    <w:rsid w:val="008956B2"/>
    <w:rsid w:val="00896A5E"/>
    <w:rsid w:val="008A3755"/>
    <w:rsid w:val="008B19DC"/>
    <w:rsid w:val="008B264F"/>
    <w:rsid w:val="008B3545"/>
    <w:rsid w:val="008B3E9A"/>
    <w:rsid w:val="008B6F83"/>
    <w:rsid w:val="008B7FD8"/>
    <w:rsid w:val="008C2973"/>
    <w:rsid w:val="008C6324"/>
    <w:rsid w:val="008C64C4"/>
    <w:rsid w:val="008D1ED2"/>
    <w:rsid w:val="008D2CDD"/>
    <w:rsid w:val="008D74D5"/>
    <w:rsid w:val="008D7C9F"/>
    <w:rsid w:val="008E04BA"/>
    <w:rsid w:val="008E0ED1"/>
    <w:rsid w:val="008E2083"/>
    <w:rsid w:val="008E3A07"/>
    <w:rsid w:val="008E537B"/>
    <w:rsid w:val="008F0B9A"/>
    <w:rsid w:val="008F29BE"/>
    <w:rsid w:val="008F4AE5"/>
    <w:rsid w:val="008F51EB"/>
    <w:rsid w:val="00900197"/>
    <w:rsid w:val="00902F55"/>
    <w:rsid w:val="0090582B"/>
    <w:rsid w:val="009060C0"/>
    <w:rsid w:val="009133F5"/>
    <w:rsid w:val="0091756F"/>
    <w:rsid w:val="00920A27"/>
    <w:rsid w:val="00921216"/>
    <w:rsid w:val="009216CC"/>
    <w:rsid w:val="00922E41"/>
    <w:rsid w:val="009239BE"/>
    <w:rsid w:val="00925892"/>
    <w:rsid w:val="00926083"/>
    <w:rsid w:val="00926D08"/>
    <w:rsid w:val="00927CA7"/>
    <w:rsid w:val="00930D08"/>
    <w:rsid w:val="00931466"/>
    <w:rsid w:val="00932D69"/>
    <w:rsid w:val="009354FD"/>
    <w:rsid w:val="00935589"/>
    <w:rsid w:val="00936155"/>
    <w:rsid w:val="00937408"/>
    <w:rsid w:val="009427FA"/>
    <w:rsid w:val="00944647"/>
    <w:rsid w:val="009469E2"/>
    <w:rsid w:val="0095565C"/>
    <w:rsid w:val="00963A88"/>
    <w:rsid w:val="00964AB6"/>
    <w:rsid w:val="00966F9A"/>
    <w:rsid w:val="00977B8A"/>
    <w:rsid w:val="00982971"/>
    <w:rsid w:val="009845AD"/>
    <w:rsid w:val="00984835"/>
    <w:rsid w:val="009902A7"/>
    <w:rsid w:val="00993034"/>
    <w:rsid w:val="009933EF"/>
    <w:rsid w:val="00995BA0"/>
    <w:rsid w:val="00997736"/>
    <w:rsid w:val="009A418B"/>
    <w:rsid w:val="009A426F"/>
    <w:rsid w:val="009A42D5"/>
    <w:rsid w:val="009A4473"/>
    <w:rsid w:val="009B05C9"/>
    <w:rsid w:val="009B286C"/>
    <w:rsid w:val="009B29CA"/>
    <w:rsid w:val="009B582A"/>
    <w:rsid w:val="009C151C"/>
    <w:rsid w:val="009C440A"/>
    <w:rsid w:val="009D5125"/>
    <w:rsid w:val="009D5459"/>
    <w:rsid w:val="009D60B8"/>
    <w:rsid w:val="009D7D4B"/>
    <w:rsid w:val="009E36ED"/>
    <w:rsid w:val="009E3B47"/>
    <w:rsid w:val="009E3C8C"/>
    <w:rsid w:val="009E6B77"/>
    <w:rsid w:val="009E77CA"/>
    <w:rsid w:val="009E7C35"/>
    <w:rsid w:val="009F0DC6"/>
    <w:rsid w:val="009F4372"/>
    <w:rsid w:val="009F460A"/>
    <w:rsid w:val="009F4773"/>
    <w:rsid w:val="00A043FB"/>
    <w:rsid w:val="00A06BE4"/>
    <w:rsid w:val="00A0729C"/>
    <w:rsid w:val="00A073CF"/>
    <w:rsid w:val="00A07779"/>
    <w:rsid w:val="00A1166A"/>
    <w:rsid w:val="00A124D4"/>
    <w:rsid w:val="00A20B2E"/>
    <w:rsid w:val="00A222E8"/>
    <w:rsid w:val="00A24F33"/>
    <w:rsid w:val="00A25069"/>
    <w:rsid w:val="00A26E6B"/>
    <w:rsid w:val="00A3068F"/>
    <w:rsid w:val="00A3145B"/>
    <w:rsid w:val="00A31656"/>
    <w:rsid w:val="00A31BA5"/>
    <w:rsid w:val="00A339D0"/>
    <w:rsid w:val="00A3415C"/>
    <w:rsid w:val="00A41002"/>
    <w:rsid w:val="00A4201A"/>
    <w:rsid w:val="00A5465D"/>
    <w:rsid w:val="00A553CE"/>
    <w:rsid w:val="00A5677A"/>
    <w:rsid w:val="00A56DCC"/>
    <w:rsid w:val="00A625E8"/>
    <w:rsid w:val="00A63DFF"/>
    <w:rsid w:val="00A64496"/>
    <w:rsid w:val="00A6490D"/>
    <w:rsid w:val="00A67033"/>
    <w:rsid w:val="00A7239E"/>
    <w:rsid w:val="00A7415D"/>
    <w:rsid w:val="00A75193"/>
    <w:rsid w:val="00A760BE"/>
    <w:rsid w:val="00A761E6"/>
    <w:rsid w:val="00A80363"/>
    <w:rsid w:val="00A80939"/>
    <w:rsid w:val="00A83E9D"/>
    <w:rsid w:val="00A87BA3"/>
    <w:rsid w:val="00A87C05"/>
    <w:rsid w:val="00A9169D"/>
    <w:rsid w:val="00A922EF"/>
    <w:rsid w:val="00A93598"/>
    <w:rsid w:val="00A97A3A"/>
    <w:rsid w:val="00AA1DFF"/>
    <w:rsid w:val="00AA240C"/>
    <w:rsid w:val="00AA5D47"/>
    <w:rsid w:val="00AA7140"/>
    <w:rsid w:val="00AB0332"/>
    <w:rsid w:val="00AB57EF"/>
    <w:rsid w:val="00AC101C"/>
    <w:rsid w:val="00AD4CF1"/>
    <w:rsid w:val="00AD5988"/>
    <w:rsid w:val="00AD6293"/>
    <w:rsid w:val="00AE0DD9"/>
    <w:rsid w:val="00AE1643"/>
    <w:rsid w:val="00AE16AF"/>
    <w:rsid w:val="00AE7E18"/>
    <w:rsid w:val="00AF372E"/>
    <w:rsid w:val="00AF7800"/>
    <w:rsid w:val="00B00CF5"/>
    <w:rsid w:val="00B01F6E"/>
    <w:rsid w:val="00B072E0"/>
    <w:rsid w:val="00B1007E"/>
    <w:rsid w:val="00B13D41"/>
    <w:rsid w:val="00B176CB"/>
    <w:rsid w:val="00B22579"/>
    <w:rsid w:val="00B253F6"/>
    <w:rsid w:val="00B26675"/>
    <w:rsid w:val="00B305DB"/>
    <w:rsid w:val="00B31B4D"/>
    <w:rsid w:val="00B332F8"/>
    <w:rsid w:val="00B3492B"/>
    <w:rsid w:val="00B41D00"/>
    <w:rsid w:val="00B42482"/>
    <w:rsid w:val="00B4646F"/>
    <w:rsid w:val="00B47184"/>
    <w:rsid w:val="00B55B2C"/>
    <w:rsid w:val="00B55C7D"/>
    <w:rsid w:val="00B63038"/>
    <w:rsid w:val="00B634FD"/>
    <w:rsid w:val="00B64BD8"/>
    <w:rsid w:val="00B701D1"/>
    <w:rsid w:val="00B73AF2"/>
    <w:rsid w:val="00B73D79"/>
    <w:rsid w:val="00B7551A"/>
    <w:rsid w:val="00B75540"/>
    <w:rsid w:val="00B773F1"/>
    <w:rsid w:val="00B85260"/>
    <w:rsid w:val="00B86AB1"/>
    <w:rsid w:val="00B87726"/>
    <w:rsid w:val="00B91B22"/>
    <w:rsid w:val="00B9480F"/>
    <w:rsid w:val="00BA6C89"/>
    <w:rsid w:val="00BA742D"/>
    <w:rsid w:val="00BA7EBA"/>
    <w:rsid w:val="00BB2A06"/>
    <w:rsid w:val="00BB2CBB"/>
    <w:rsid w:val="00BB4198"/>
    <w:rsid w:val="00BC03EE"/>
    <w:rsid w:val="00BC59F1"/>
    <w:rsid w:val="00BC7828"/>
    <w:rsid w:val="00BD488E"/>
    <w:rsid w:val="00BF1CEB"/>
    <w:rsid w:val="00BF3DE1"/>
    <w:rsid w:val="00BF4843"/>
    <w:rsid w:val="00BF5205"/>
    <w:rsid w:val="00C05132"/>
    <w:rsid w:val="00C05433"/>
    <w:rsid w:val="00C12508"/>
    <w:rsid w:val="00C17752"/>
    <w:rsid w:val="00C23728"/>
    <w:rsid w:val="00C250DA"/>
    <w:rsid w:val="00C3026C"/>
    <w:rsid w:val="00C313A9"/>
    <w:rsid w:val="00C347C8"/>
    <w:rsid w:val="00C358E4"/>
    <w:rsid w:val="00C418EE"/>
    <w:rsid w:val="00C441CF"/>
    <w:rsid w:val="00C45AA2"/>
    <w:rsid w:val="00C4792C"/>
    <w:rsid w:val="00C539D3"/>
    <w:rsid w:val="00C55BEF"/>
    <w:rsid w:val="00C57C00"/>
    <w:rsid w:val="00C601AF"/>
    <w:rsid w:val="00C61A63"/>
    <w:rsid w:val="00C66296"/>
    <w:rsid w:val="00C73882"/>
    <w:rsid w:val="00C7394D"/>
    <w:rsid w:val="00C756B7"/>
    <w:rsid w:val="00C77282"/>
    <w:rsid w:val="00C8242F"/>
    <w:rsid w:val="00C84DE5"/>
    <w:rsid w:val="00C86248"/>
    <w:rsid w:val="00C90B31"/>
    <w:rsid w:val="00C92FF3"/>
    <w:rsid w:val="00C97BF7"/>
    <w:rsid w:val="00CA0D6F"/>
    <w:rsid w:val="00CA4C33"/>
    <w:rsid w:val="00CA6F4A"/>
    <w:rsid w:val="00CB3483"/>
    <w:rsid w:val="00CB6427"/>
    <w:rsid w:val="00CC0FBE"/>
    <w:rsid w:val="00CD04E3"/>
    <w:rsid w:val="00CD077C"/>
    <w:rsid w:val="00CD2119"/>
    <w:rsid w:val="00CD237A"/>
    <w:rsid w:val="00CD36AC"/>
    <w:rsid w:val="00CD4873"/>
    <w:rsid w:val="00CD606C"/>
    <w:rsid w:val="00CE13A3"/>
    <w:rsid w:val="00CE36BC"/>
    <w:rsid w:val="00CE7557"/>
    <w:rsid w:val="00CF1747"/>
    <w:rsid w:val="00CF60ED"/>
    <w:rsid w:val="00CF6605"/>
    <w:rsid w:val="00D02EF4"/>
    <w:rsid w:val="00D036E7"/>
    <w:rsid w:val="00D05D74"/>
    <w:rsid w:val="00D1365A"/>
    <w:rsid w:val="00D20A0C"/>
    <w:rsid w:val="00D20C59"/>
    <w:rsid w:val="00D23323"/>
    <w:rsid w:val="00D2392A"/>
    <w:rsid w:val="00D25FFE"/>
    <w:rsid w:val="00D27922"/>
    <w:rsid w:val="00D27A64"/>
    <w:rsid w:val="00D37D80"/>
    <w:rsid w:val="00D442F3"/>
    <w:rsid w:val="00D44483"/>
    <w:rsid w:val="00D4476F"/>
    <w:rsid w:val="00D5022D"/>
    <w:rsid w:val="00D50573"/>
    <w:rsid w:val="00D54D50"/>
    <w:rsid w:val="00D560B4"/>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A0232"/>
    <w:rsid w:val="00DA1DCE"/>
    <w:rsid w:val="00DA7F9E"/>
    <w:rsid w:val="00DB39CF"/>
    <w:rsid w:val="00DB7256"/>
    <w:rsid w:val="00DC0401"/>
    <w:rsid w:val="00DC20BD"/>
    <w:rsid w:val="00DD0BCD"/>
    <w:rsid w:val="00DD3B36"/>
    <w:rsid w:val="00DD447A"/>
    <w:rsid w:val="00DD58C5"/>
    <w:rsid w:val="00DE0D9B"/>
    <w:rsid w:val="00DE3782"/>
    <w:rsid w:val="00DE3B20"/>
    <w:rsid w:val="00DE6C94"/>
    <w:rsid w:val="00DE6FD7"/>
    <w:rsid w:val="00DF0C7C"/>
    <w:rsid w:val="00E00264"/>
    <w:rsid w:val="00E0784F"/>
    <w:rsid w:val="00E10B18"/>
    <w:rsid w:val="00E119D5"/>
    <w:rsid w:val="00E12D39"/>
    <w:rsid w:val="00E143AA"/>
    <w:rsid w:val="00E23271"/>
    <w:rsid w:val="00E24F80"/>
    <w:rsid w:val="00E259F3"/>
    <w:rsid w:val="00E30985"/>
    <w:rsid w:val="00E33238"/>
    <w:rsid w:val="00E33934"/>
    <w:rsid w:val="00E34D69"/>
    <w:rsid w:val="00E3718A"/>
    <w:rsid w:val="00E376B7"/>
    <w:rsid w:val="00E40E2A"/>
    <w:rsid w:val="00E42F5D"/>
    <w:rsid w:val="00E43DC0"/>
    <w:rsid w:val="00E4486C"/>
    <w:rsid w:val="00E460B6"/>
    <w:rsid w:val="00E511D5"/>
    <w:rsid w:val="00E53A9F"/>
    <w:rsid w:val="00E57349"/>
    <w:rsid w:val="00E60249"/>
    <w:rsid w:val="00E62238"/>
    <w:rsid w:val="00E65269"/>
    <w:rsid w:val="00E70B43"/>
    <w:rsid w:val="00E70B97"/>
    <w:rsid w:val="00E71C71"/>
    <w:rsid w:val="00E76D66"/>
    <w:rsid w:val="00EA04C7"/>
    <w:rsid w:val="00EA4A5B"/>
    <w:rsid w:val="00EA796A"/>
    <w:rsid w:val="00EB05B7"/>
    <w:rsid w:val="00EB1856"/>
    <w:rsid w:val="00EC0C84"/>
    <w:rsid w:val="00EC50CE"/>
    <w:rsid w:val="00EC5B34"/>
    <w:rsid w:val="00EC60FD"/>
    <w:rsid w:val="00ED021E"/>
    <w:rsid w:val="00ED323C"/>
    <w:rsid w:val="00EE2D5C"/>
    <w:rsid w:val="00EE4ADE"/>
    <w:rsid w:val="00EE4DE8"/>
    <w:rsid w:val="00EE5CB7"/>
    <w:rsid w:val="00F000BF"/>
    <w:rsid w:val="00F024FE"/>
    <w:rsid w:val="00F05AD4"/>
    <w:rsid w:val="00F103BE"/>
    <w:rsid w:val="00F10EB6"/>
    <w:rsid w:val="00F13F07"/>
    <w:rsid w:val="00F140B2"/>
    <w:rsid w:val="00F14C69"/>
    <w:rsid w:val="00F16595"/>
    <w:rsid w:val="00F25970"/>
    <w:rsid w:val="00F2613F"/>
    <w:rsid w:val="00F3075B"/>
    <w:rsid w:val="00F311A7"/>
    <w:rsid w:val="00F311A9"/>
    <w:rsid w:val="00F31343"/>
    <w:rsid w:val="00F31DFF"/>
    <w:rsid w:val="00F37381"/>
    <w:rsid w:val="00F508B5"/>
    <w:rsid w:val="00F5180D"/>
    <w:rsid w:val="00F54E74"/>
    <w:rsid w:val="00F57A2D"/>
    <w:rsid w:val="00F61CFE"/>
    <w:rsid w:val="00F63781"/>
    <w:rsid w:val="00F64346"/>
    <w:rsid w:val="00F657F9"/>
    <w:rsid w:val="00F67496"/>
    <w:rsid w:val="00F72C5D"/>
    <w:rsid w:val="00F7421E"/>
    <w:rsid w:val="00F801BA"/>
    <w:rsid w:val="00F807AD"/>
    <w:rsid w:val="00F9366A"/>
    <w:rsid w:val="00F9449E"/>
    <w:rsid w:val="00F946C9"/>
    <w:rsid w:val="00FA0EA5"/>
    <w:rsid w:val="00FA68C7"/>
    <w:rsid w:val="00FA74EE"/>
    <w:rsid w:val="00FB0A5B"/>
    <w:rsid w:val="00FB1B8E"/>
    <w:rsid w:val="00FB2530"/>
    <w:rsid w:val="00FC33F9"/>
    <w:rsid w:val="00FC3711"/>
    <w:rsid w:val="00FC46E7"/>
    <w:rsid w:val="00FC481F"/>
    <w:rsid w:val="00FC5B48"/>
    <w:rsid w:val="00FC5D25"/>
    <w:rsid w:val="00FD0D7E"/>
    <w:rsid w:val="00FD16C4"/>
    <w:rsid w:val="00FD1BE2"/>
    <w:rsid w:val="00FD362F"/>
    <w:rsid w:val="00FD47FE"/>
    <w:rsid w:val="00FD4FFB"/>
    <w:rsid w:val="00FE022F"/>
    <w:rsid w:val="00FE6E13"/>
    <w:rsid w:val="00FE7D38"/>
    <w:rsid w:val="00FF15F6"/>
    <w:rsid w:val="00FF4687"/>
    <w:rsid w:val="00FF527C"/>
    <w:rsid w:val="00FF5377"/>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A41ADAC"/>
  <w15:docId w15:val="{70F1ABF1-F9A9-4E45-A37A-63F634C10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9"/>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9"/>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9"/>
    <w:qFormat/>
    <w:rsid w:val="00030E84"/>
    <w:pPr>
      <w:keepNext/>
      <w:spacing w:before="240" w:after="120"/>
      <w:outlineLvl w:val="3"/>
    </w:pPr>
    <w:rPr>
      <w:color w:val="0A6AB4"/>
      <w:sz w:val="28"/>
    </w:rPr>
  </w:style>
  <w:style w:type="paragraph" w:styleId="Heading5">
    <w:name w:val="heading 5"/>
    <w:basedOn w:val="Normal"/>
    <w:next w:val="Normal"/>
    <w:link w:val="Heading5Char"/>
    <w:uiPriority w:val="9"/>
    <w:qFormat/>
    <w:rsid w:val="00B00CF5"/>
    <w:pPr>
      <w:keepNext/>
      <w:spacing w:before="120" w:after="120"/>
      <w:outlineLvl w:val="4"/>
    </w:pPr>
    <w:rPr>
      <w:color w:val="0A6AB4"/>
      <w:sz w:val="24"/>
    </w:rPr>
  </w:style>
  <w:style w:type="paragraph" w:styleId="Heading6">
    <w:name w:val="heading 6"/>
    <w:basedOn w:val="Normal"/>
    <w:next w:val="Normal"/>
    <w:link w:val="Heading6Char"/>
    <w:uiPriority w:val="9"/>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27FA"/>
    <w:rPr>
      <w:rFonts w:ascii="Segoe UI" w:hAnsi="Segoe UI"/>
      <w:b/>
      <w:color w:val="23305D"/>
      <w:spacing w:val="-10"/>
      <w:sz w:val="72"/>
      <w:lang w:eastAsia="en-GB"/>
    </w:rPr>
  </w:style>
  <w:style w:type="character" w:customStyle="1" w:styleId="Heading2Char">
    <w:name w:val="Heading 2 Char"/>
    <w:link w:val="Heading2"/>
    <w:rsid w:val="00030E84"/>
    <w:rPr>
      <w:rFonts w:ascii="Segoe UI" w:hAnsi="Segoe UI"/>
      <w:b/>
      <w:color w:val="0A6AB4"/>
      <w:spacing w:val="-5"/>
      <w:sz w:val="48"/>
      <w:lang w:eastAsia="en-GB"/>
    </w:rPr>
  </w:style>
  <w:style w:type="character" w:customStyle="1" w:styleId="Heading3Char">
    <w:name w:val="Heading 3 Char"/>
    <w:link w:val="Heading3"/>
    <w:uiPriority w:val="9"/>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qFormat/>
    <w:rsid w:val="003B3DA7"/>
    <w:pPr>
      <w:tabs>
        <w:tab w:val="right" w:pos="8080"/>
      </w:tabs>
      <w:spacing w:before="120"/>
      <w:ind w:left="1134" w:right="567" w:hanging="1134"/>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701607"/>
    <w:pPr>
      <w:spacing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paragraph" w:styleId="Caption">
    <w:name w:val="caption"/>
    <w:basedOn w:val="Normal"/>
    <w:next w:val="Normal"/>
    <w:unhideWhenUsed/>
    <w:qFormat/>
    <w:rsid w:val="00572CF6"/>
    <w:pPr>
      <w:spacing w:after="200"/>
    </w:pPr>
    <w:rPr>
      <w:b/>
      <w:bCs/>
      <w:color w:val="4F81BD" w:themeColor="accent1"/>
      <w:sz w:val="18"/>
      <w:szCs w:val="18"/>
    </w:rPr>
  </w:style>
  <w:style w:type="paragraph" w:customStyle="1" w:styleId="TextBox">
    <w:name w:val="TextBox"/>
    <w:basedOn w:val="Normal"/>
    <w:qFormat/>
    <w:rsid w:val="00507742"/>
    <w:pPr>
      <w:spacing w:before="60" w:after="60"/>
      <w:ind w:left="57" w:right="57"/>
    </w:pPr>
  </w:style>
  <w:style w:type="table" w:styleId="TableGrid">
    <w:name w:val="Table Grid"/>
    <w:basedOn w:val="TableNormal"/>
    <w:uiPriority w:val="39"/>
    <w:rsid w:val="00507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4E68C6"/>
    <w:rPr>
      <w:rFonts w:cs="Segoe UI"/>
      <w:sz w:val="18"/>
      <w:szCs w:val="18"/>
    </w:rPr>
  </w:style>
  <w:style w:type="character" w:customStyle="1" w:styleId="BalloonTextChar">
    <w:name w:val="Balloon Text Char"/>
    <w:basedOn w:val="DefaultParagraphFont"/>
    <w:link w:val="BalloonText"/>
    <w:semiHidden/>
    <w:rsid w:val="004E68C6"/>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CE7557"/>
    <w:rPr>
      <w:sz w:val="16"/>
      <w:szCs w:val="16"/>
    </w:rPr>
  </w:style>
  <w:style w:type="paragraph" w:styleId="CommentText">
    <w:name w:val="annotation text"/>
    <w:basedOn w:val="Normal"/>
    <w:link w:val="CommentTextChar"/>
    <w:uiPriority w:val="99"/>
    <w:semiHidden/>
    <w:unhideWhenUsed/>
    <w:rsid w:val="00CE7557"/>
    <w:rPr>
      <w:sz w:val="20"/>
    </w:rPr>
  </w:style>
  <w:style w:type="character" w:customStyle="1" w:styleId="CommentTextChar">
    <w:name w:val="Comment Text Char"/>
    <w:basedOn w:val="DefaultParagraphFont"/>
    <w:link w:val="CommentText"/>
    <w:uiPriority w:val="99"/>
    <w:semiHidden/>
    <w:rsid w:val="00CE7557"/>
    <w:rPr>
      <w:rFonts w:ascii="Segoe UI" w:hAnsi="Segoe UI"/>
      <w:lang w:eastAsia="en-GB"/>
    </w:rPr>
  </w:style>
  <w:style w:type="paragraph" w:styleId="CommentSubject">
    <w:name w:val="annotation subject"/>
    <w:basedOn w:val="CommentText"/>
    <w:next w:val="CommentText"/>
    <w:link w:val="CommentSubjectChar"/>
    <w:semiHidden/>
    <w:unhideWhenUsed/>
    <w:rsid w:val="00CE7557"/>
    <w:rPr>
      <w:b/>
      <w:bCs/>
    </w:rPr>
  </w:style>
  <w:style w:type="character" w:customStyle="1" w:styleId="CommentSubjectChar">
    <w:name w:val="Comment Subject Char"/>
    <w:basedOn w:val="CommentTextChar"/>
    <w:link w:val="CommentSubject"/>
    <w:semiHidden/>
    <w:rsid w:val="00CE7557"/>
    <w:rPr>
      <w:rFonts w:ascii="Segoe UI" w:hAnsi="Segoe UI"/>
      <w:b/>
      <w:bCs/>
      <w:lang w:eastAsia="en-GB"/>
    </w:rPr>
  </w:style>
  <w:style w:type="character" w:customStyle="1" w:styleId="UnresolvedMention1">
    <w:name w:val="Unresolved Mention1"/>
    <w:basedOn w:val="DefaultParagraphFont"/>
    <w:uiPriority w:val="99"/>
    <w:semiHidden/>
    <w:unhideWhenUsed/>
    <w:rsid w:val="009B29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footer" Target="footer8.xml"/><Relationship Id="rId39" Type="http://schemas.openxmlformats.org/officeDocument/2006/relationships/image" Target="media/image14.png"/><Relationship Id="rId21" Type="http://schemas.openxmlformats.org/officeDocument/2006/relationships/footer" Target="footer5.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yperlink" Target="https://www.health.govt.nz/publication/wai-2575-M&#257;ori-health-trends-report" TargetMode="External"/><Relationship Id="rId68" Type="http://schemas.openxmlformats.org/officeDocument/2006/relationships/hyperlink" Target="https://www.health.govt.nz/our-work/immunisation-handbook-2020" TargetMode="External"/><Relationship Id="rId76" Type="http://schemas.openxmlformats.org/officeDocument/2006/relationships/hyperlink" Target="https://www.stats.govt.nz/information-releases/national-population-estimates-at-31-december-2019-infoshare-tables" TargetMode="External"/><Relationship Id="rId84" Type="http://schemas.openxmlformats.org/officeDocument/2006/relationships/hyperlink" Target="https://www.stats.govt.nz/information-releases/child-poverty-statistics-year-ended-june-2019" TargetMode="Externa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health.govt.nz/our-work/preventative-health-wellness/immunisation/immunisation-coverage/national-and-dhb-immunisation-data"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11.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yperlink" Target="https://vizhub.healthdata.org/gbd-compare/" TargetMode="External"/><Relationship Id="rId66" Type="http://schemas.openxmlformats.org/officeDocument/2006/relationships/hyperlink" Target="https://www.health.govt.nz/our-work/diseases-and-conditions/diabetes/about-diabetes/virtual-diabetes-register-vdr" TargetMode="External"/><Relationship Id="rId74" Type="http://schemas.openxmlformats.org/officeDocument/2006/relationships/hyperlink" Target="http://www.stats.govt.nz/information-releases/disability-survey-2013" TargetMode="External"/><Relationship Id="rId79" Type="http://schemas.openxmlformats.org/officeDocument/2006/relationships/hyperlink" Target="http://nzdotstat.stats.govt.nz/wbos/Index.aspx?DataSetCode=TABLECODE7981" TargetMode="External"/><Relationship Id="rId87"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hyperlink" Target="https://www.health.govt.nz/publication/mortality-2017-data-tables" TargetMode="External"/><Relationship Id="rId82" Type="http://schemas.openxmlformats.org/officeDocument/2006/relationships/hyperlink" Target="https://www.stats.govt.nz/reports/measuring-inequality-for-disabled-new-zealanders-2018" TargetMode="External"/><Relationship Id="rId90" Type="http://schemas.openxmlformats.org/officeDocument/2006/relationships/theme" Target="theme/theme1.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t.nz" TargetMode="Externa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hyperlink" Target="https://www.health.govt.nz/publication/historical-mortality" TargetMode="External"/><Relationship Id="rId69" Type="http://schemas.openxmlformats.org/officeDocument/2006/relationships/hyperlink" Target="https://www.health.govt.nz/our-work/diseases-and-conditions/rheumatic-fever/reducing-rheumatic-fever" TargetMode="External"/><Relationship Id="rId77" Type="http://schemas.openxmlformats.org/officeDocument/2006/relationships/hyperlink" Target="http://nzdotstat.stats.govt.nz/wbos/Index.aspx?DataSetCode=TABLECODE7509" TargetMode="Externa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hyperlink" Target="https://minhealthnz.shinyapps.io/nsu-ncsp-coverage/" TargetMode="External"/><Relationship Id="rId80" Type="http://schemas.openxmlformats.org/officeDocument/2006/relationships/hyperlink" Target="https://wellbeingindicators.stats.govt.nz/en/life-satisfaction/" TargetMode="External"/><Relationship Id="rId85" Type="http://schemas.openxmlformats.org/officeDocument/2006/relationships/hyperlink" Target="https://www.stats.govt.nz/news/more-than-2-in-5-M&#257;ori-and-pacific-people-live-in-a-damp-house-corrected"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www.nrhi.org/uploads/going-beyond-clinical-walls-solving-complex-problems.pdf" TargetMode="External"/><Relationship Id="rId67" Type="http://schemas.openxmlformats.org/officeDocument/2006/relationships/hyperlink" Target="https://www.health.govt.nz/publication/mental-health-2016-17-new-zealand-health-survey" TargetMode="External"/><Relationship Id="rId20" Type="http://schemas.openxmlformats.org/officeDocument/2006/relationships/footer" Target="footer4.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hyperlink" Target="https://www.health.govt.nz/publication/fetal-and-infant-deaths-2016" TargetMode="External"/><Relationship Id="rId70" Type="http://schemas.openxmlformats.org/officeDocument/2006/relationships/hyperlink" Target="https://www.health.govt.nz/publication/biomedical-results-2014-15-new-zealand-health-survey" TargetMode="External"/><Relationship Id="rId75" Type="http://schemas.openxmlformats.org/officeDocument/2006/relationships/hyperlink" Target="https://www.stats.govt.nz/news/one-in-five-homes-damp" TargetMode="External"/><Relationship Id="rId83" Type="http://schemas.openxmlformats.org/officeDocument/2006/relationships/hyperlink" Target="https://wellbeingindicators.stats.govt.nz/en/sense-of-belonging/" TargetMode="External"/><Relationship Id="rId88"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yperlink" Target="https://surv.esr.cri.nz/PDF_surveillance/MeaslesRpt/2019/WeeklyMeasles23122019.pdf" TargetMode="External"/><Relationship Id="rId10" Type="http://schemas.openxmlformats.org/officeDocument/2006/relationships/endnotes" Target="endnotes.xml"/><Relationship Id="rId31" Type="http://schemas.openxmlformats.org/officeDocument/2006/relationships/image" Target="media/image6.jpeg"/><Relationship Id="rId44" Type="http://schemas.openxmlformats.org/officeDocument/2006/relationships/image" Target="media/image19.emf"/><Relationship Id="rId52" Type="http://schemas.openxmlformats.org/officeDocument/2006/relationships/image" Target="media/image27.png"/><Relationship Id="rId60" Type="http://schemas.openxmlformats.org/officeDocument/2006/relationships/hyperlink" Target="https://www.health.govt.nz/publication/annual-update-key-results-2018-19-new-zealand-health-survey" TargetMode="External"/><Relationship Id="rId65" Type="http://schemas.openxmlformats.org/officeDocument/2006/relationships/hyperlink" Target="https://www.health.govt.nz/publication/cancer-historical-summary-1948-2017" TargetMode="External"/><Relationship Id="rId73" Type="http://schemas.openxmlformats.org/officeDocument/2006/relationships/hyperlink" Target="https://nsfl.health.govt.nz/accountability/performance-and-monitoring/data-quarterly-reports-and-reporting/ambulatory-sensitive" TargetMode="External"/><Relationship Id="rId78" Type="http://schemas.openxmlformats.org/officeDocument/2006/relationships/hyperlink" Target="https://www.stats.govt.nz/information-releases/estimated-resident-population-2018-base-at-30-june-2018" TargetMode="External"/><Relationship Id="rId81" Type="http://schemas.openxmlformats.org/officeDocument/2006/relationships/hyperlink" Target="https://wellbeingindicators.stats.govt.nz/en/whanau-wellbeing/" TargetMode="External"/><Relationship Id="rId86" Type="http://schemas.openxmlformats.org/officeDocument/2006/relationships/hyperlink" Target="https://www.stats.govt.nz/news/almost-1-in-9-people-live-in-a-crowded-ho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4F869651CBED4AB058FE7F9F3ED0A7" ma:contentTypeVersion="12" ma:contentTypeDescription="Create a new document." ma:contentTypeScope="" ma:versionID="78fb08c3f9ed1acfc8b60216ee3b6090">
  <xsd:schema xmlns:xsd="http://www.w3.org/2001/XMLSchema" xmlns:xs="http://www.w3.org/2001/XMLSchema" xmlns:p="http://schemas.microsoft.com/office/2006/metadata/properties" xmlns:ns3="4aea5d07-0eb0-44bf-96eb-22637babf967" xmlns:ns4="2ffa5dc2-4451-4ee2-b115-33f870a805e6" targetNamespace="http://schemas.microsoft.com/office/2006/metadata/properties" ma:root="true" ma:fieldsID="ff2e8f7da96e48ed77233c9bd7f181d7" ns3:_="" ns4:_="">
    <xsd:import namespace="4aea5d07-0eb0-44bf-96eb-22637babf967"/>
    <xsd:import namespace="2ffa5dc2-4451-4ee2-b115-33f870a805e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a5d07-0eb0-44bf-96eb-22637babf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fa5dc2-4451-4ee2-b115-33f870a805e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6D5D3-AD6F-4957-9E34-A9E06AC53616}">
  <ds:schemaRefs>
    <ds:schemaRef ds:uri="http://schemas.microsoft.com/sharepoint/v3/contenttype/forms"/>
  </ds:schemaRefs>
</ds:datastoreItem>
</file>

<file path=customXml/itemProps2.xml><?xml version="1.0" encoding="utf-8"?>
<ds:datastoreItem xmlns:ds="http://schemas.openxmlformats.org/officeDocument/2006/customXml" ds:itemID="{3B52D7EA-78F2-4EC0-9EC4-D3374D3D7C73}">
  <ds:schemaRefs>
    <ds:schemaRef ds:uri="http://schemas.microsoft.com/office/infopath/2007/PartnerControls"/>
    <ds:schemaRef ds:uri="http://purl.org/dc/elements/1.1/"/>
    <ds:schemaRef ds:uri="http://schemas.microsoft.com/office/2006/metadata/properties"/>
    <ds:schemaRef ds:uri="4aea5d07-0eb0-44bf-96eb-22637babf967"/>
    <ds:schemaRef ds:uri="http://purl.org/dc/terms/"/>
    <ds:schemaRef ds:uri="http://schemas.openxmlformats.org/package/2006/metadata/core-properties"/>
    <ds:schemaRef ds:uri="http://schemas.microsoft.com/office/2006/documentManagement/types"/>
    <ds:schemaRef ds:uri="2ffa5dc2-4451-4ee2-b115-33f870a805e6"/>
    <ds:schemaRef ds:uri="http://www.w3.org/XML/1998/namespace"/>
    <ds:schemaRef ds:uri="http://purl.org/dc/dcmitype/"/>
  </ds:schemaRefs>
</ds:datastoreItem>
</file>

<file path=customXml/itemProps3.xml><?xml version="1.0" encoding="utf-8"?>
<ds:datastoreItem xmlns:ds="http://schemas.openxmlformats.org/officeDocument/2006/customXml" ds:itemID="{351A943A-79C7-4947-AA50-F2E635CE3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a5d07-0eb0-44bf-96eb-22637babf967"/>
    <ds:schemaRef ds:uri="2ffa5dc2-4451-4ee2-b115-33f870a80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FBE5A8-A472-4F14-9E7A-A78F2411D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67</Pages>
  <Words>17218</Words>
  <Characters>98146</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Health and Independence Report 2019</vt:lpstr>
    </vt:vector>
  </TitlesOfParts>
  <Company>Microsoft</Company>
  <LinksUpToDate>false</LinksUpToDate>
  <CharactersWithSpaces>115134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Independence Report 2019</dc:title>
  <dc:creator>Ministry of Health</dc:creator>
  <cp:lastModifiedBy>Geneva Ruppert-Wise</cp:lastModifiedBy>
  <cp:revision>3</cp:revision>
  <cp:lastPrinted>2021-02-24T22:40:00Z</cp:lastPrinted>
  <dcterms:created xsi:type="dcterms:W3CDTF">2021-02-24T22:40:00Z</dcterms:created>
  <dcterms:modified xsi:type="dcterms:W3CDTF">2021-02-24T22:41:00Z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0x010100FA4F869651CBED4AB058FE7F9F3ED0A7</vt:lpwstr>
  </property>
</Properties>
</file>