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3162A" w:rsidP="00D54D50">
      <w:pPr>
        <w:pStyle w:val="Title"/>
      </w:pPr>
      <w:r>
        <w:t>Haematopoietic</w:t>
      </w:r>
      <w:r w:rsidR="00AE451C">
        <w:t xml:space="preserve"> Stem C</w:t>
      </w:r>
      <w:bookmarkStart w:id="0" w:name="_GoBack"/>
      <w:bookmarkEnd w:id="0"/>
      <w:r w:rsidR="00AE451C">
        <w:t>ell Transplant (Bone Marrow Transplant) Services in New Zealand</w:t>
      </w:r>
    </w:p>
    <w:p w:rsidR="00455CC9" w:rsidRDefault="007C08F7" w:rsidP="00455CC9">
      <w:pPr>
        <w:pStyle w:val="Year"/>
      </w:pPr>
      <w:r>
        <w:t xml:space="preserve">Update document </w:t>
      </w:r>
      <w:r w:rsidR="00AE451C">
        <w:t>2018</w:t>
      </w: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AE451C">
        <w:t>2018</w:t>
      </w:r>
      <w:r w:rsidR="00442C1C">
        <w:t xml:space="preserve">. </w:t>
      </w:r>
      <w:r w:rsidR="0013162A">
        <w:rPr>
          <w:i/>
        </w:rPr>
        <w:t>Haematopoietic</w:t>
      </w:r>
      <w:r w:rsidR="00AE451C">
        <w:rPr>
          <w:i/>
        </w:rPr>
        <w:t xml:space="preserve"> Stem Cell Transplant (Bone Marrow Transplant) Services in New Zealand</w:t>
      </w:r>
      <w:r w:rsidR="00AA2379">
        <w:rPr>
          <w:i/>
        </w:rPr>
        <w:t xml:space="preserve">: </w:t>
      </w:r>
      <w:r w:rsidR="00AE451C">
        <w:rPr>
          <w:i/>
        </w:rPr>
        <w:t>Update document</w:t>
      </w:r>
      <w:r w:rsidR="007C08F7">
        <w:rPr>
          <w:i/>
        </w:rPr>
        <w:t xml:space="preserve"> 2018</w:t>
      </w:r>
      <w:r w:rsidR="00442C1C">
        <w:t>. Wellington: Ministry of Health.</w:t>
      </w:r>
    </w:p>
    <w:p w:rsidR="00C86248" w:rsidRDefault="00C86248">
      <w:pPr>
        <w:pStyle w:val="Imprint"/>
      </w:pPr>
      <w:r>
        <w:t xml:space="preserve">Published in </w:t>
      </w:r>
      <w:r w:rsidR="007C08F7">
        <w:t>August</w:t>
      </w:r>
      <w:r w:rsidR="00AE451C">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D804A1" w:rsidRPr="00D804A1">
        <w:rPr>
          <w:rFonts w:eastAsia="Arial" w:cs="Arial"/>
          <w:color w:val="000000"/>
          <w:szCs w:val="22"/>
        </w:rPr>
        <w:t>978-1-98-853980-5</w:t>
      </w:r>
      <w:r w:rsidR="00442C1C" w:rsidRPr="00D804A1">
        <w:t xml:space="preserve"> </w:t>
      </w:r>
      <w:r>
        <w:t>(</w:t>
      </w:r>
      <w:r w:rsidR="00442C1C">
        <w:t>online</w:t>
      </w:r>
      <w:proofErr w:type="gramStart"/>
      <w:r>
        <w:t>)</w:t>
      </w:r>
      <w:proofErr w:type="gramEnd"/>
      <w:r w:rsidR="00082CD6">
        <w:br/>
      </w:r>
      <w:r w:rsidR="00082CD6" w:rsidRPr="009C0F2D">
        <w:t xml:space="preserve">HP </w:t>
      </w:r>
      <w:r w:rsidR="00D804A1">
        <w:t>6909</w:t>
      </w:r>
    </w:p>
    <w:p w:rsidR="00C86248" w:rsidRDefault="008E3A07">
      <w:pPr>
        <w:pStyle w:val="Imprint"/>
        <w:rPr>
          <w:rStyle w:val="Hyperlink"/>
          <w:rFonts w:eastAsia="MS Gothic"/>
          <w:lang w:val="en-GB"/>
        </w:rPr>
      </w:pPr>
      <w:r>
        <w:t>This document is available at www.health.govt.nz</w:t>
      </w:r>
    </w:p>
    <w:p w:rsidR="00C86248" w:rsidRDefault="008C64C4">
      <w:pPr>
        <w:jc w:val="center"/>
      </w:pPr>
      <w:r>
        <w:rPr>
          <w:noProof/>
          <w:lang w:eastAsia="en-NZ"/>
        </w:rPr>
        <w:drawing>
          <wp:inline distT="0" distB="0" distL="0" distR="0" wp14:anchorId="0550E7E4" wp14:editId="0BDCCD0E">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30B3408B" wp14:editId="67BFDFA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27217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72171">
        <w:rPr>
          <w:noProof/>
        </w:rPr>
        <w:t>Executive summary</w:t>
      </w:r>
      <w:r w:rsidR="00272171">
        <w:rPr>
          <w:noProof/>
        </w:rPr>
        <w:tab/>
      </w:r>
      <w:r w:rsidR="00272171">
        <w:rPr>
          <w:noProof/>
        </w:rPr>
        <w:fldChar w:fldCharType="begin"/>
      </w:r>
      <w:r w:rsidR="00272171">
        <w:rPr>
          <w:noProof/>
        </w:rPr>
        <w:instrText xml:space="preserve"> PAGEREF _Toc518415533 \h </w:instrText>
      </w:r>
      <w:r w:rsidR="00272171">
        <w:rPr>
          <w:noProof/>
        </w:rPr>
      </w:r>
      <w:r w:rsidR="00272171">
        <w:rPr>
          <w:noProof/>
        </w:rPr>
        <w:fldChar w:fldCharType="separate"/>
      </w:r>
      <w:r w:rsidR="002B65F9">
        <w:rPr>
          <w:noProof/>
        </w:rPr>
        <w:t>iv</w:t>
      </w:r>
      <w:r w:rsidR="00272171">
        <w:rPr>
          <w:noProof/>
        </w:rPr>
        <w:fldChar w:fldCharType="end"/>
      </w:r>
    </w:p>
    <w:p w:rsidR="00272171" w:rsidRDefault="00272171">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_Toc518415534 \h </w:instrText>
      </w:r>
      <w:r>
        <w:rPr>
          <w:noProof/>
        </w:rPr>
      </w:r>
      <w:r>
        <w:rPr>
          <w:noProof/>
        </w:rPr>
        <w:fldChar w:fldCharType="separate"/>
      </w:r>
      <w:r w:rsidR="002B65F9">
        <w:rPr>
          <w:noProof/>
        </w:rPr>
        <w:t>1</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_Toc518415535 \h </w:instrText>
      </w:r>
      <w:r>
        <w:rPr>
          <w:noProof/>
        </w:rPr>
      </w:r>
      <w:r>
        <w:rPr>
          <w:noProof/>
        </w:rPr>
        <w:fldChar w:fldCharType="separate"/>
      </w:r>
      <w:r w:rsidR="002B65F9">
        <w:rPr>
          <w:noProof/>
        </w:rPr>
        <w:t>1</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Authors</w:t>
      </w:r>
      <w:r>
        <w:rPr>
          <w:noProof/>
        </w:rPr>
        <w:tab/>
      </w:r>
      <w:r>
        <w:rPr>
          <w:noProof/>
        </w:rPr>
        <w:fldChar w:fldCharType="begin"/>
      </w:r>
      <w:r>
        <w:rPr>
          <w:noProof/>
        </w:rPr>
        <w:instrText xml:space="preserve"> PAGEREF _Toc518415536 \h </w:instrText>
      </w:r>
      <w:r>
        <w:rPr>
          <w:noProof/>
        </w:rPr>
      </w:r>
      <w:r>
        <w:rPr>
          <w:noProof/>
        </w:rPr>
        <w:fldChar w:fldCharType="separate"/>
      </w:r>
      <w:r w:rsidR="002B65F9">
        <w:rPr>
          <w:noProof/>
        </w:rPr>
        <w:t>1</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Audience</w:t>
      </w:r>
      <w:r>
        <w:rPr>
          <w:noProof/>
        </w:rPr>
        <w:tab/>
      </w:r>
      <w:r>
        <w:rPr>
          <w:noProof/>
        </w:rPr>
        <w:fldChar w:fldCharType="begin"/>
      </w:r>
      <w:r>
        <w:rPr>
          <w:noProof/>
        </w:rPr>
        <w:instrText xml:space="preserve"> PAGEREF _Toc518415537 \h </w:instrText>
      </w:r>
      <w:r>
        <w:rPr>
          <w:noProof/>
        </w:rPr>
      </w:r>
      <w:r>
        <w:rPr>
          <w:noProof/>
        </w:rPr>
        <w:fldChar w:fldCharType="separate"/>
      </w:r>
      <w:r w:rsidR="002B65F9">
        <w:rPr>
          <w:noProof/>
        </w:rPr>
        <w:t>1</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_Toc518415538 \h </w:instrText>
      </w:r>
      <w:r>
        <w:rPr>
          <w:noProof/>
        </w:rPr>
      </w:r>
      <w:r>
        <w:rPr>
          <w:noProof/>
        </w:rPr>
        <w:fldChar w:fldCharType="separate"/>
      </w:r>
      <w:r w:rsidR="002B65F9">
        <w:rPr>
          <w:noProof/>
        </w:rPr>
        <w:t>1</w:t>
      </w:r>
      <w:r>
        <w:rPr>
          <w:noProof/>
        </w:rPr>
        <w:fldChar w:fldCharType="end"/>
      </w:r>
    </w:p>
    <w:p w:rsidR="00272171" w:rsidRDefault="00272171">
      <w:pPr>
        <w:pStyle w:val="TOC1"/>
        <w:rPr>
          <w:rFonts w:asciiTheme="minorHAnsi" w:eastAsiaTheme="minorEastAsia" w:hAnsiTheme="minorHAnsi" w:cstheme="minorBidi"/>
          <w:b w:val="0"/>
          <w:noProof/>
          <w:szCs w:val="22"/>
          <w:lang w:eastAsia="en-NZ"/>
        </w:rPr>
      </w:pPr>
      <w:r>
        <w:rPr>
          <w:noProof/>
        </w:rPr>
        <w:t>Overview of bone marrow transplant advances</w:t>
      </w:r>
      <w:r>
        <w:rPr>
          <w:noProof/>
        </w:rPr>
        <w:tab/>
      </w:r>
      <w:r>
        <w:rPr>
          <w:noProof/>
        </w:rPr>
        <w:fldChar w:fldCharType="begin"/>
      </w:r>
      <w:r>
        <w:rPr>
          <w:noProof/>
        </w:rPr>
        <w:instrText xml:space="preserve"> PAGEREF _Toc518415539 \h </w:instrText>
      </w:r>
      <w:r>
        <w:rPr>
          <w:noProof/>
        </w:rPr>
      </w:r>
      <w:r>
        <w:rPr>
          <w:noProof/>
        </w:rPr>
        <w:fldChar w:fldCharType="separate"/>
      </w:r>
      <w:r w:rsidR="002B65F9">
        <w:rPr>
          <w:noProof/>
        </w:rPr>
        <w:t>2</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Changes</w:t>
      </w:r>
      <w:r>
        <w:rPr>
          <w:noProof/>
        </w:rPr>
        <w:tab/>
      </w:r>
      <w:r>
        <w:rPr>
          <w:noProof/>
        </w:rPr>
        <w:fldChar w:fldCharType="begin"/>
      </w:r>
      <w:r>
        <w:rPr>
          <w:noProof/>
        </w:rPr>
        <w:instrText xml:space="preserve"> PAGEREF _Toc518415540 \h </w:instrText>
      </w:r>
      <w:r>
        <w:rPr>
          <w:noProof/>
        </w:rPr>
      </w:r>
      <w:r>
        <w:rPr>
          <w:noProof/>
        </w:rPr>
        <w:fldChar w:fldCharType="separate"/>
      </w:r>
      <w:r w:rsidR="002B65F9">
        <w:rPr>
          <w:noProof/>
        </w:rPr>
        <w:t>2</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sidRPr="0067580E">
        <w:rPr>
          <w:noProof/>
          <w:lang w:val="en"/>
        </w:rPr>
        <w:t>Future developments in BMT therapies</w:t>
      </w:r>
      <w:r>
        <w:rPr>
          <w:noProof/>
        </w:rPr>
        <w:tab/>
      </w:r>
      <w:r>
        <w:rPr>
          <w:noProof/>
        </w:rPr>
        <w:fldChar w:fldCharType="begin"/>
      </w:r>
      <w:r>
        <w:rPr>
          <w:noProof/>
        </w:rPr>
        <w:instrText xml:space="preserve"> PAGEREF _Toc518415541 \h </w:instrText>
      </w:r>
      <w:r>
        <w:rPr>
          <w:noProof/>
        </w:rPr>
      </w:r>
      <w:r>
        <w:rPr>
          <w:noProof/>
        </w:rPr>
        <w:fldChar w:fldCharType="separate"/>
      </w:r>
      <w:r w:rsidR="002B65F9">
        <w:rPr>
          <w:noProof/>
        </w:rPr>
        <w:t>2</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Actuals vs forecast to 2016</w:t>
      </w:r>
      <w:r>
        <w:rPr>
          <w:noProof/>
        </w:rPr>
        <w:tab/>
      </w:r>
      <w:r>
        <w:rPr>
          <w:noProof/>
        </w:rPr>
        <w:fldChar w:fldCharType="begin"/>
      </w:r>
      <w:r>
        <w:rPr>
          <w:noProof/>
        </w:rPr>
        <w:instrText xml:space="preserve"> PAGEREF _Toc518415542 \h </w:instrText>
      </w:r>
      <w:r>
        <w:rPr>
          <w:noProof/>
        </w:rPr>
      </w:r>
      <w:r>
        <w:rPr>
          <w:noProof/>
        </w:rPr>
        <w:fldChar w:fldCharType="separate"/>
      </w:r>
      <w:r w:rsidR="002B65F9">
        <w:rPr>
          <w:noProof/>
        </w:rPr>
        <w:t>3</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Growth in demand</w:t>
      </w:r>
      <w:r>
        <w:rPr>
          <w:noProof/>
        </w:rPr>
        <w:tab/>
      </w:r>
      <w:r>
        <w:rPr>
          <w:noProof/>
        </w:rPr>
        <w:fldChar w:fldCharType="begin"/>
      </w:r>
      <w:r>
        <w:rPr>
          <w:noProof/>
        </w:rPr>
        <w:instrText xml:space="preserve"> PAGEREF _Toc518415543 \h </w:instrText>
      </w:r>
      <w:r>
        <w:rPr>
          <w:noProof/>
        </w:rPr>
      </w:r>
      <w:r>
        <w:rPr>
          <w:noProof/>
        </w:rPr>
        <w:fldChar w:fldCharType="separate"/>
      </w:r>
      <w:r w:rsidR="002B65F9">
        <w:rPr>
          <w:noProof/>
        </w:rPr>
        <w:t>4</w:t>
      </w:r>
      <w:r>
        <w:rPr>
          <w:noProof/>
        </w:rPr>
        <w:fldChar w:fldCharType="end"/>
      </w:r>
    </w:p>
    <w:p w:rsidR="00272171" w:rsidRDefault="00272171">
      <w:pPr>
        <w:pStyle w:val="TOC2"/>
        <w:rPr>
          <w:rFonts w:asciiTheme="minorHAnsi" w:eastAsiaTheme="minorEastAsia" w:hAnsiTheme="minorHAnsi" w:cstheme="minorBidi"/>
          <w:noProof/>
          <w:szCs w:val="22"/>
          <w:lang w:eastAsia="en-NZ"/>
        </w:rPr>
      </w:pPr>
      <w:r>
        <w:rPr>
          <w:noProof/>
        </w:rPr>
        <w:t>Projected treatment rates for New Zealand</w:t>
      </w:r>
      <w:r>
        <w:rPr>
          <w:noProof/>
        </w:rPr>
        <w:tab/>
      </w:r>
      <w:r>
        <w:rPr>
          <w:noProof/>
        </w:rPr>
        <w:fldChar w:fldCharType="begin"/>
      </w:r>
      <w:r>
        <w:rPr>
          <w:noProof/>
        </w:rPr>
        <w:instrText xml:space="preserve"> PAGEREF _Toc518415544 \h </w:instrText>
      </w:r>
      <w:r>
        <w:rPr>
          <w:noProof/>
        </w:rPr>
      </w:r>
      <w:r>
        <w:rPr>
          <w:noProof/>
        </w:rPr>
        <w:fldChar w:fldCharType="separate"/>
      </w:r>
      <w:r w:rsidR="002B65F9">
        <w:rPr>
          <w:noProof/>
        </w:rPr>
        <w:t>4</w:t>
      </w:r>
      <w:r>
        <w:rPr>
          <w:noProof/>
        </w:rPr>
        <w:fldChar w:fldCharType="end"/>
      </w:r>
    </w:p>
    <w:p w:rsidR="00C86248" w:rsidRDefault="00C86248">
      <w:r>
        <w:rPr>
          <w:b/>
        </w:rPr>
        <w:fldChar w:fldCharType="end"/>
      </w:r>
    </w:p>
    <w:p w:rsidR="003A5FEA" w:rsidRDefault="003A5FEA" w:rsidP="003A5FEA">
      <w:pPr>
        <w:pStyle w:val="TOC1"/>
      </w:pPr>
      <w:r>
        <w:t xml:space="preserve">List of </w:t>
      </w:r>
      <w:r w:rsidR="00272171">
        <w:t>f</w:t>
      </w:r>
      <w:r>
        <w:t>igures</w:t>
      </w:r>
    </w:p>
    <w:p w:rsidR="00272171"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272171">
        <w:rPr>
          <w:noProof/>
        </w:rPr>
        <w:t>Figure 1:</w:t>
      </w:r>
      <w:r w:rsidR="00272171">
        <w:rPr>
          <w:noProof/>
        </w:rPr>
        <w:tab/>
        <w:t>Total forecasted New Zealand BMT transplant activity 2000–2010</w:t>
      </w:r>
      <w:r w:rsidR="00272171">
        <w:rPr>
          <w:noProof/>
        </w:rPr>
        <w:tab/>
      </w:r>
      <w:r w:rsidR="00272171">
        <w:rPr>
          <w:noProof/>
        </w:rPr>
        <w:fldChar w:fldCharType="begin"/>
      </w:r>
      <w:r w:rsidR="00272171">
        <w:rPr>
          <w:noProof/>
        </w:rPr>
        <w:instrText xml:space="preserve"> PAGEREF _Toc518415545 \h </w:instrText>
      </w:r>
      <w:r w:rsidR="00272171">
        <w:rPr>
          <w:noProof/>
        </w:rPr>
      </w:r>
      <w:r w:rsidR="00272171">
        <w:rPr>
          <w:noProof/>
        </w:rPr>
        <w:fldChar w:fldCharType="separate"/>
      </w:r>
      <w:r w:rsidR="002B65F9">
        <w:rPr>
          <w:noProof/>
        </w:rPr>
        <w:t>3</w:t>
      </w:r>
      <w:r w:rsidR="00272171">
        <w:rPr>
          <w:noProof/>
        </w:rPr>
        <w:fldChar w:fldCharType="end"/>
      </w:r>
    </w:p>
    <w:p w:rsidR="00272171" w:rsidRDefault="00272171">
      <w:pPr>
        <w:pStyle w:val="TOC3"/>
        <w:rPr>
          <w:rFonts w:asciiTheme="minorHAnsi" w:eastAsiaTheme="minorEastAsia" w:hAnsiTheme="minorHAnsi" w:cstheme="minorBidi"/>
          <w:noProof/>
          <w:szCs w:val="22"/>
          <w:lang w:eastAsia="en-NZ"/>
        </w:rPr>
      </w:pPr>
      <w:r>
        <w:rPr>
          <w:noProof/>
        </w:rPr>
        <w:t>Figure 2:</w:t>
      </w:r>
      <w:r>
        <w:rPr>
          <w:noProof/>
        </w:rPr>
        <w:tab/>
        <w:t>Total actual New Zealand BMT transplant activity 2002–2016</w:t>
      </w:r>
      <w:r>
        <w:rPr>
          <w:noProof/>
        </w:rPr>
        <w:tab/>
      </w:r>
      <w:r>
        <w:rPr>
          <w:noProof/>
        </w:rPr>
        <w:fldChar w:fldCharType="begin"/>
      </w:r>
      <w:r>
        <w:rPr>
          <w:noProof/>
        </w:rPr>
        <w:instrText xml:space="preserve"> PAGEREF _Toc518415546 \h </w:instrText>
      </w:r>
      <w:r>
        <w:rPr>
          <w:noProof/>
        </w:rPr>
      </w:r>
      <w:r>
        <w:rPr>
          <w:noProof/>
        </w:rPr>
        <w:fldChar w:fldCharType="separate"/>
      </w:r>
      <w:r w:rsidR="002B65F9">
        <w:rPr>
          <w:noProof/>
        </w:rPr>
        <w:t>3</w:t>
      </w:r>
      <w:r>
        <w:rPr>
          <w:noProof/>
        </w:rPr>
        <w:fldChar w:fldCharType="end"/>
      </w:r>
    </w:p>
    <w:p w:rsidR="00272171" w:rsidRDefault="00272171">
      <w:pPr>
        <w:pStyle w:val="TOC3"/>
        <w:rPr>
          <w:rFonts w:asciiTheme="minorHAnsi" w:eastAsiaTheme="minorEastAsia" w:hAnsiTheme="minorHAnsi" w:cstheme="minorBidi"/>
          <w:noProof/>
          <w:szCs w:val="22"/>
          <w:lang w:eastAsia="en-NZ"/>
        </w:rPr>
      </w:pPr>
      <w:r>
        <w:rPr>
          <w:noProof/>
        </w:rPr>
        <w:t>Figure 3:</w:t>
      </w:r>
      <w:r>
        <w:rPr>
          <w:noProof/>
        </w:rPr>
        <w:tab/>
        <w:t>Projected rates of allogeneic BMT to 2025</w:t>
      </w:r>
      <w:r>
        <w:rPr>
          <w:noProof/>
        </w:rPr>
        <w:tab/>
      </w:r>
      <w:r>
        <w:rPr>
          <w:noProof/>
        </w:rPr>
        <w:fldChar w:fldCharType="begin"/>
      </w:r>
      <w:r>
        <w:rPr>
          <w:noProof/>
        </w:rPr>
        <w:instrText xml:space="preserve"> PAGEREF _Toc518415547 \h </w:instrText>
      </w:r>
      <w:r>
        <w:rPr>
          <w:noProof/>
        </w:rPr>
      </w:r>
      <w:r>
        <w:rPr>
          <w:noProof/>
        </w:rPr>
        <w:fldChar w:fldCharType="separate"/>
      </w:r>
      <w:r w:rsidR="002B65F9">
        <w:rPr>
          <w:noProof/>
        </w:rPr>
        <w:t>5</w:t>
      </w:r>
      <w:r>
        <w:rPr>
          <w:noProof/>
        </w:rPr>
        <w:fldChar w:fldCharType="end"/>
      </w:r>
    </w:p>
    <w:p w:rsidR="00272171" w:rsidRDefault="00272171">
      <w:pPr>
        <w:pStyle w:val="TOC3"/>
        <w:rPr>
          <w:rFonts w:asciiTheme="minorHAnsi" w:eastAsiaTheme="minorEastAsia" w:hAnsiTheme="minorHAnsi" w:cstheme="minorBidi"/>
          <w:noProof/>
          <w:szCs w:val="22"/>
          <w:lang w:eastAsia="en-NZ"/>
        </w:rPr>
      </w:pPr>
      <w:r>
        <w:rPr>
          <w:noProof/>
        </w:rPr>
        <w:t>Figure 4:</w:t>
      </w:r>
      <w:r>
        <w:rPr>
          <w:noProof/>
        </w:rPr>
        <w:tab/>
        <w:t>Projected rates of autologous BMT to 2025</w:t>
      </w:r>
      <w:r>
        <w:rPr>
          <w:noProof/>
        </w:rPr>
        <w:tab/>
      </w:r>
      <w:r>
        <w:rPr>
          <w:noProof/>
        </w:rPr>
        <w:fldChar w:fldCharType="begin"/>
      </w:r>
      <w:r>
        <w:rPr>
          <w:noProof/>
        </w:rPr>
        <w:instrText xml:space="preserve"> PAGEREF _Toc518415548 \h </w:instrText>
      </w:r>
      <w:r>
        <w:rPr>
          <w:noProof/>
        </w:rPr>
      </w:r>
      <w:r>
        <w:rPr>
          <w:noProof/>
        </w:rPr>
        <w:fldChar w:fldCharType="separate"/>
      </w:r>
      <w:r w:rsidR="002B65F9">
        <w:rPr>
          <w:noProof/>
        </w:rPr>
        <w:t>5</w:t>
      </w:r>
      <w:r>
        <w:rPr>
          <w:noProof/>
        </w:rPr>
        <w:fldChar w:fldCharType="end"/>
      </w:r>
    </w:p>
    <w:p w:rsidR="00455CC9" w:rsidRDefault="003A5FEA" w:rsidP="0086388B">
      <w:r>
        <w:fldChar w:fldCharType="end"/>
      </w:r>
    </w:p>
    <w:p w:rsidR="00AE451C" w:rsidRDefault="00AE451C" w:rsidP="00AE451C">
      <w:pPr>
        <w:pStyle w:val="Heading1"/>
      </w:pPr>
      <w:bookmarkStart w:id="3" w:name="_Toc518415533"/>
      <w:r>
        <w:lastRenderedPageBreak/>
        <w:t>Executive summary</w:t>
      </w:r>
      <w:bookmarkEnd w:id="3"/>
    </w:p>
    <w:p w:rsidR="00AE451C" w:rsidRDefault="00AE451C" w:rsidP="00AE451C">
      <w:r>
        <w:t>Haematopo</w:t>
      </w:r>
      <w:r w:rsidR="003E26FF">
        <w:t>i</w:t>
      </w:r>
      <w:r>
        <w:t>etic stem cell transplants (historically referred to as b</w:t>
      </w:r>
      <w:r w:rsidRPr="004B525B">
        <w:t xml:space="preserve">one </w:t>
      </w:r>
      <w:r>
        <w:t>m</w:t>
      </w:r>
      <w:r w:rsidRPr="004B525B">
        <w:t xml:space="preserve">arrow </w:t>
      </w:r>
      <w:r>
        <w:t>t</w:t>
      </w:r>
      <w:r w:rsidRPr="004B525B">
        <w:t>ransplan</w:t>
      </w:r>
      <w:r>
        <w:t>ts</w:t>
      </w:r>
      <w:r w:rsidR="00AA2379">
        <w:t>,</w:t>
      </w:r>
      <w:r>
        <w:t xml:space="preserve"> BMTs) in New Zealand are provided by five </w:t>
      </w:r>
      <w:r w:rsidR="00AA2379">
        <w:t>d</w:t>
      </w:r>
      <w:r>
        <w:t xml:space="preserve">istrict </w:t>
      </w:r>
      <w:r w:rsidR="00AA2379">
        <w:t>h</w:t>
      </w:r>
      <w:r>
        <w:t xml:space="preserve">ealth </w:t>
      </w:r>
      <w:r w:rsidR="00AA2379">
        <w:t>b</w:t>
      </w:r>
      <w:r w:rsidRPr="004B525B">
        <w:t>oards</w:t>
      </w:r>
      <w:r>
        <w:t xml:space="preserve"> (DHBs): </w:t>
      </w:r>
      <w:r w:rsidRPr="004B525B">
        <w:t xml:space="preserve">Auckland, Waikato, </w:t>
      </w:r>
      <w:proofErr w:type="spellStart"/>
      <w:r w:rsidRPr="004B525B">
        <w:t>MidCentral</w:t>
      </w:r>
      <w:proofErr w:type="spellEnd"/>
      <w:r w:rsidRPr="004B525B">
        <w:t xml:space="preserve">, Capital </w:t>
      </w:r>
      <w:r w:rsidR="00AA2379">
        <w:t>&amp;</w:t>
      </w:r>
      <w:r w:rsidRPr="004B525B">
        <w:t xml:space="preserve"> Coast and C</w:t>
      </w:r>
      <w:r>
        <w:t>anterbury.</w:t>
      </w:r>
    </w:p>
    <w:p w:rsidR="00AE451C" w:rsidRDefault="00AE451C" w:rsidP="00AE451C"/>
    <w:p w:rsidR="00AE451C" w:rsidRPr="004B525B" w:rsidRDefault="00AE451C" w:rsidP="00AE451C">
      <w:r>
        <w:t>There</w:t>
      </w:r>
      <w:r w:rsidRPr="004B525B">
        <w:t xml:space="preserve"> has bee</w:t>
      </w:r>
      <w:r w:rsidRPr="00AE451C">
        <w:t>n</w:t>
      </w:r>
      <w:r w:rsidRPr="004B525B">
        <w:t xml:space="preserve"> significant growth in demand for BMT services</w:t>
      </w:r>
      <w:r>
        <w:t xml:space="preserve"> in New Zealand</w:t>
      </w:r>
      <w:r w:rsidR="00AA2379">
        <w:t>,</w:t>
      </w:r>
      <w:r>
        <w:t xml:space="preserve"> which is in keeping with the increased demand seen internationally. This was previously</w:t>
      </w:r>
      <w:r w:rsidRPr="004B525B">
        <w:t xml:space="preserve"> most evident at Auckland DHB</w:t>
      </w:r>
      <w:r>
        <w:t xml:space="preserve"> but is now evident at the other New Zealand BMT centres</w:t>
      </w:r>
      <w:r w:rsidRPr="004B525B">
        <w:t>.</w:t>
      </w:r>
    </w:p>
    <w:p w:rsidR="00AE451C" w:rsidRPr="004B525B" w:rsidRDefault="00AE451C" w:rsidP="00AE451C"/>
    <w:p w:rsidR="00AE451C" w:rsidRPr="004B525B" w:rsidRDefault="00AE451C" w:rsidP="00AE451C">
      <w:r w:rsidRPr="004B525B">
        <w:t xml:space="preserve">This </w:t>
      </w:r>
      <w:r>
        <w:t xml:space="preserve">companion document (the BMT Update Document 2018) updates </w:t>
      </w:r>
      <w:r w:rsidRPr="00873CEA">
        <w:rPr>
          <w:i/>
        </w:rPr>
        <w:t>The Bone Marrow Transplant Services in New Zealand for Adults – Service Improvement Plan 2011</w:t>
      </w:r>
      <w:r>
        <w:t>. The BMT Update Document updates the projected demand forecasts in the 2011 document and</w:t>
      </w:r>
      <w:r w:rsidRPr="004B525B">
        <w:t xml:space="preserve"> has been developed to assist DHBs </w:t>
      </w:r>
      <w:r>
        <w:t xml:space="preserve">to develop the capacity for </w:t>
      </w:r>
      <w:r w:rsidRPr="004B525B">
        <w:t xml:space="preserve">BMT services </w:t>
      </w:r>
      <w:r>
        <w:t>to 2025</w:t>
      </w:r>
      <w:r w:rsidRPr="004B525B">
        <w:t>.</w:t>
      </w:r>
    </w:p>
    <w:p w:rsidR="00AE451C" w:rsidRPr="004B525B" w:rsidRDefault="00AE451C" w:rsidP="00AE451C"/>
    <w:p w:rsidR="00AE451C" w:rsidRDefault="00AE451C" w:rsidP="00AE451C">
      <w:r w:rsidRPr="004B525B">
        <w:t xml:space="preserve">The </w:t>
      </w:r>
      <w:r>
        <w:t>p</w:t>
      </w:r>
      <w:r w:rsidRPr="004B525B">
        <w:t xml:space="preserve">lan recommends that the current configuration of </w:t>
      </w:r>
      <w:r>
        <w:t xml:space="preserve">adult </w:t>
      </w:r>
      <w:r w:rsidRPr="004B525B">
        <w:t xml:space="preserve">BMT services </w:t>
      </w:r>
      <w:r w:rsidR="0043067E">
        <w:t>be</w:t>
      </w:r>
      <w:r w:rsidRPr="004B525B">
        <w:t xml:space="preserve"> continued in New Zealand</w:t>
      </w:r>
      <w:r>
        <w:t>; t</w:t>
      </w:r>
      <w:r w:rsidRPr="004B525B">
        <w:t xml:space="preserve">hat is, that autologous BMT </w:t>
      </w:r>
      <w:r>
        <w:t xml:space="preserve">services </w:t>
      </w:r>
      <w:r w:rsidRPr="004B525B">
        <w:t>co</w:t>
      </w:r>
      <w:r>
        <w:t>ntinue</w:t>
      </w:r>
      <w:r w:rsidRPr="004B525B">
        <w:t xml:space="preserve"> </w:t>
      </w:r>
      <w:r>
        <w:t xml:space="preserve">to be provided </w:t>
      </w:r>
      <w:r w:rsidRPr="004B525B">
        <w:t xml:space="preserve">at Auckland, Waikato, </w:t>
      </w:r>
      <w:proofErr w:type="spellStart"/>
      <w:r w:rsidRPr="004B525B">
        <w:t>MidCentral</w:t>
      </w:r>
      <w:proofErr w:type="spellEnd"/>
      <w:r w:rsidRPr="004B525B">
        <w:t xml:space="preserve">, Capital </w:t>
      </w:r>
      <w:r w:rsidR="0043067E">
        <w:t>&amp;</w:t>
      </w:r>
      <w:r w:rsidRPr="004B525B">
        <w:t xml:space="preserve"> Coast </w:t>
      </w:r>
      <w:r>
        <w:t xml:space="preserve">and </w:t>
      </w:r>
      <w:r w:rsidRPr="004B525B">
        <w:t xml:space="preserve">Canterbury </w:t>
      </w:r>
      <w:r>
        <w:t>DHBs</w:t>
      </w:r>
      <w:r w:rsidRPr="004B525B">
        <w:t xml:space="preserve"> and allogeneic BMT</w:t>
      </w:r>
      <w:r>
        <w:t xml:space="preserve"> services</w:t>
      </w:r>
      <w:r w:rsidRPr="004B525B">
        <w:t xml:space="preserve"> at Auckland, Capital </w:t>
      </w:r>
      <w:r w:rsidR="0043067E">
        <w:t>&amp;</w:t>
      </w:r>
      <w:r w:rsidRPr="004B525B">
        <w:t xml:space="preserve"> Coast and Canterbury </w:t>
      </w:r>
      <w:r>
        <w:t>DHBs.</w:t>
      </w:r>
    </w:p>
    <w:p w:rsidR="00AE451C" w:rsidRDefault="00AE451C" w:rsidP="00AE451C"/>
    <w:p w:rsidR="00AE451C" w:rsidRDefault="00AE451C" w:rsidP="00AE451C">
      <w:r>
        <w:t xml:space="preserve">Paediatric BMT services are predominantly provided at </w:t>
      </w:r>
      <w:proofErr w:type="spellStart"/>
      <w:r>
        <w:t>Starship</w:t>
      </w:r>
      <w:proofErr w:type="spellEnd"/>
      <w:r>
        <w:t xml:space="preserve"> Children’s Hospital</w:t>
      </w:r>
      <w:r w:rsidR="0043067E">
        <w:t>,</w:t>
      </w:r>
      <w:r>
        <w:t xml:space="preserve"> with occasional autologous BMT procedures done in Canterbury as deemed clinically appropriate.</w:t>
      </w:r>
    </w:p>
    <w:p w:rsidR="00AE451C" w:rsidRPr="00C67916" w:rsidRDefault="00AE451C" w:rsidP="00AE451C"/>
    <w:p w:rsidR="00AE451C" w:rsidRDefault="00AE451C" w:rsidP="00AE451C">
      <w:pPr>
        <w:pStyle w:val="Box"/>
        <w:rPr>
          <w:szCs w:val="24"/>
        </w:rPr>
      </w:pPr>
      <w:r w:rsidRPr="00945A9F">
        <w:t xml:space="preserve">The </w:t>
      </w:r>
      <w:r w:rsidR="0043067E">
        <w:t>u</w:t>
      </w:r>
      <w:r>
        <w:t>pdate</w:t>
      </w:r>
      <w:r w:rsidR="0043067E">
        <w:t xml:space="preserve"> d</w:t>
      </w:r>
      <w:r w:rsidRPr="00945A9F">
        <w:t xml:space="preserve">ocument to the </w:t>
      </w:r>
      <w:r w:rsidRPr="00945A9F">
        <w:rPr>
          <w:i/>
        </w:rPr>
        <w:t>Bone Marrow Transplant Services in New Zealand for Adults</w:t>
      </w:r>
      <w:r>
        <w:rPr>
          <w:i/>
        </w:rPr>
        <w:t xml:space="preserve"> </w:t>
      </w:r>
      <w:r w:rsidR="003E26FF">
        <w:rPr>
          <w:i/>
        </w:rPr>
        <w:t>–</w:t>
      </w:r>
      <w:r w:rsidRPr="00945A9F">
        <w:rPr>
          <w:i/>
        </w:rPr>
        <w:t xml:space="preserve"> Service Improvement Plan </w:t>
      </w:r>
      <w:r>
        <w:rPr>
          <w:i/>
        </w:rPr>
        <w:t>2018</w:t>
      </w:r>
      <w:r>
        <w:rPr>
          <w:szCs w:val="24"/>
        </w:rPr>
        <w:t xml:space="preserve"> h</w:t>
      </w:r>
      <w:r w:rsidRPr="00945A9F">
        <w:rPr>
          <w:szCs w:val="24"/>
        </w:rPr>
        <w:t xml:space="preserve">as been developed by the Ministry of Health and the </w:t>
      </w:r>
      <w:r>
        <w:rPr>
          <w:szCs w:val="24"/>
        </w:rPr>
        <w:t xml:space="preserve">National </w:t>
      </w:r>
      <w:r w:rsidRPr="00945A9F">
        <w:rPr>
          <w:szCs w:val="24"/>
        </w:rPr>
        <w:t>Haematology Work Group (</w:t>
      </w:r>
      <w:r>
        <w:rPr>
          <w:szCs w:val="24"/>
        </w:rPr>
        <w:t>N</w:t>
      </w:r>
      <w:r w:rsidRPr="00945A9F">
        <w:rPr>
          <w:szCs w:val="24"/>
        </w:rPr>
        <w:t>HWG)</w:t>
      </w:r>
      <w:r>
        <w:rPr>
          <w:szCs w:val="24"/>
        </w:rPr>
        <w:t>.</w:t>
      </w:r>
    </w:p>
    <w:p w:rsidR="00AE451C" w:rsidRDefault="00AE451C" w:rsidP="00AE451C">
      <w:pPr>
        <w:pStyle w:val="Box"/>
        <w:rPr>
          <w:color w:val="000000"/>
          <w:szCs w:val="24"/>
          <w:lang w:val="en-GB"/>
        </w:rPr>
      </w:pPr>
      <w:r w:rsidRPr="00D36CC1">
        <w:rPr>
          <w:color w:val="000000"/>
          <w:szCs w:val="24"/>
          <w:lang w:val="en-GB"/>
        </w:rPr>
        <w:t>The 2011 plan was endorsed with the proviso that if clinical indications or eligibility are reviewed and amended</w:t>
      </w:r>
      <w:r w:rsidR="0043067E">
        <w:rPr>
          <w:color w:val="000000"/>
          <w:szCs w:val="24"/>
          <w:lang w:val="en-GB"/>
        </w:rPr>
        <w:t>,</w:t>
      </w:r>
      <w:r w:rsidRPr="00D36CC1">
        <w:rPr>
          <w:color w:val="000000"/>
          <w:szCs w:val="24"/>
          <w:lang w:val="en-GB"/>
        </w:rPr>
        <w:t xml:space="preserve"> then the plan will need to be updated accordingly. This </w:t>
      </w:r>
      <w:r>
        <w:rPr>
          <w:color w:val="000000"/>
          <w:szCs w:val="24"/>
          <w:lang w:val="en-GB"/>
        </w:rPr>
        <w:t>update</w:t>
      </w:r>
      <w:r w:rsidRPr="00D36CC1">
        <w:rPr>
          <w:color w:val="000000"/>
          <w:szCs w:val="24"/>
          <w:lang w:val="en-GB"/>
        </w:rPr>
        <w:t xml:space="preserve"> document provides an update on projected demand for BMT services in New Zealand.</w:t>
      </w:r>
    </w:p>
    <w:p w:rsidR="00AE451C" w:rsidRPr="00362C3B" w:rsidRDefault="00AE451C" w:rsidP="00AE451C">
      <w:pPr>
        <w:pStyle w:val="Box"/>
        <w:rPr>
          <w:color w:val="000000"/>
          <w:szCs w:val="24"/>
          <w:lang w:val="en-GB"/>
        </w:rPr>
      </w:pPr>
      <w:r>
        <w:rPr>
          <w:color w:val="000000"/>
          <w:szCs w:val="24"/>
          <w:lang w:val="en-GB"/>
        </w:rPr>
        <w:t>The NHWG recommends that DHBs discuss the implications of these projected demands with their local and regional haematology teams to plan for current and future BMT service delivery</w:t>
      </w:r>
      <w:r w:rsidR="003E26FF">
        <w:rPr>
          <w:color w:val="000000"/>
          <w:szCs w:val="24"/>
          <w:lang w:val="en-GB"/>
        </w:rPr>
        <w:t>.</w:t>
      </w:r>
    </w:p>
    <w:p w:rsidR="00AE451C" w:rsidRDefault="00AE451C"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3E26FF" w:rsidRDefault="003E26FF" w:rsidP="003E26FF">
      <w:pPr>
        <w:pStyle w:val="Heading1"/>
      </w:pPr>
      <w:bookmarkStart w:id="4" w:name="_Toc405792993"/>
      <w:bookmarkStart w:id="5" w:name="_Toc405793226"/>
      <w:bookmarkStart w:id="6" w:name="_Toc507582547"/>
      <w:bookmarkStart w:id="7" w:name="_Toc518415534"/>
      <w:r>
        <w:t>Introduction</w:t>
      </w:r>
      <w:bookmarkEnd w:id="4"/>
      <w:bookmarkEnd w:id="5"/>
      <w:bookmarkEnd w:id="6"/>
      <w:bookmarkEnd w:id="7"/>
    </w:p>
    <w:p w:rsidR="003E26FF" w:rsidRPr="004B525B" w:rsidRDefault="003E26FF" w:rsidP="003E26FF">
      <w:pPr>
        <w:pStyle w:val="Heading2"/>
      </w:pPr>
      <w:bookmarkStart w:id="8" w:name="_Toc507582548"/>
      <w:bookmarkStart w:id="9" w:name="_Toc518415535"/>
      <w:r w:rsidRPr="004B525B">
        <w:t>Purpose</w:t>
      </w:r>
      <w:bookmarkEnd w:id="8"/>
      <w:bookmarkEnd w:id="9"/>
    </w:p>
    <w:p w:rsidR="003E26FF" w:rsidRPr="004B525B" w:rsidRDefault="003E26FF" w:rsidP="003E26FF">
      <w:r>
        <w:t xml:space="preserve">This document provides </w:t>
      </w:r>
      <w:r w:rsidRPr="004B525B">
        <w:t xml:space="preserve">an overview of current </w:t>
      </w:r>
      <w:r>
        <w:t>BMT</w:t>
      </w:r>
      <w:r w:rsidRPr="004B525B">
        <w:t xml:space="preserve"> services in New Zealand, </w:t>
      </w:r>
      <w:r>
        <w:t>focusing on</w:t>
      </w:r>
      <w:r w:rsidRPr="004B525B">
        <w:t xml:space="preserve"> </w:t>
      </w:r>
      <w:r>
        <w:t>projected growth and demand.</w:t>
      </w:r>
    </w:p>
    <w:p w:rsidR="003E26FF" w:rsidRPr="004B525B" w:rsidRDefault="003E26FF" w:rsidP="003E26FF"/>
    <w:p w:rsidR="003E26FF" w:rsidRPr="004B525B" w:rsidRDefault="003E26FF" w:rsidP="003E26FF">
      <w:pPr>
        <w:pStyle w:val="Heading2"/>
      </w:pPr>
      <w:bookmarkStart w:id="10" w:name="_Toc507582549"/>
      <w:bookmarkStart w:id="11" w:name="_Toc518415536"/>
      <w:r w:rsidRPr="004B525B">
        <w:t>Authors</w:t>
      </w:r>
      <w:bookmarkEnd w:id="10"/>
      <w:bookmarkEnd w:id="11"/>
    </w:p>
    <w:p w:rsidR="003E26FF" w:rsidRDefault="003E26FF" w:rsidP="003E26FF">
      <w:r w:rsidRPr="001F6F68">
        <w:t xml:space="preserve">This document has been developed by the Ministry of Health and the </w:t>
      </w:r>
      <w:r>
        <w:t>N</w:t>
      </w:r>
      <w:smartTag w:uri="urn:schemas-microsoft-com:office:smarttags" w:element="stockticker">
        <w:r w:rsidRPr="001F6F68">
          <w:t>HWG</w:t>
        </w:r>
      </w:smartTag>
      <w:r w:rsidRPr="001F6F68">
        <w:t>, an adviso</w:t>
      </w:r>
      <w:r>
        <w:t>ry group to the National Cancer Programme.</w:t>
      </w:r>
    </w:p>
    <w:p w:rsidR="003E26FF" w:rsidRPr="004B525B" w:rsidRDefault="003E26FF" w:rsidP="003E26FF"/>
    <w:p w:rsidR="003E26FF" w:rsidRPr="004B525B" w:rsidRDefault="003E26FF" w:rsidP="003E26FF">
      <w:pPr>
        <w:pStyle w:val="Heading2"/>
      </w:pPr>
      <w:bookmarkStart w:id="12" w:name="_Toc507582550"/>
      <w:bookmarkStart w:id="13" w:name="_Toc518415537"/>
      <w:r w:rsidRPr="004B525B">
        <w:t>Audience</w:t>
      </w:r>
      <w:bookmarkEnd w:id="12"/>
      <w:bookmarkEnd w:id="13"/>
    </w:p>
    <w:p w:rsidR="003E26FF" w:rsidRPr="004B525B" w:rsidRDefault="003E26FF" w:rsidP="003E26FF">
      <w:r w:rsidRPr="004B525B">
        <w:t xml:space="preserve">This document has been </w:t>
      </w:r>
      <w:r>
        <w:t>updated</w:t>
      </w:r>
      <w:r w:rsidRPr="004B525B">
        <w:t xml:space="preserve"> for </w:t>
      </w:r>
      <w:r>
        <w:t>DHBs,</w:t>
      </w:r>
      <w:r w:rsidRPr="004B525B">
        <w:t xml:space="preserve"> to guide service planning.</w:t>
      </w:r>
      <w:r>
        <w:t xml:space="preserve"> It is relevant to</w:t>
      </w:r>
      <w:r w:rsidRPr="004B525B">
        <w:t>:</w:t>
      </w:r>
    </w:p>
    <w:p w:rsidR="003E26FF" w:rsidRPr="004B525B" w:rsidRDefault="003E26FF" w:rsidP="003E26FF">
      <w:pPr>
        <w:pStyle w:val="Bullet"/>
      </w:pPr>
      <w:r w:rsidRPr="004B525B">
        <w:t xml:space="preserve">DHB </w:t>
      </w:r>
      <w:r>
        <w:t>c</w:t>
      </w:r>
      <w:r w:rsidRPr="004B525B">
        <w:t xml:space="preserve">hief </w:t>
      </w:r>
      <w:r>
        <w:t>e</w:t>
      </w:r>
      <w:r w:rsidRPr="004B525B">
        <w:t xml:space="preserve">xecutive </w:t>
      </w:r>
      <w:r>
        <w:t>o</w:t>
      </w:r>
      <w:r w:rsidRPr="004B525B">
        <w:t>fficers</w:t>
      </w:r>
    </w:p>
    <w:p w:rsidR="003E26FF" w:rsidRDefault="003E26FF" w:rsidP="003E26FF">
      <w:pPr>
        <w:pStyle w:val="Bullet"/>
      </w:pPr>
      <w:r w:rsidRPr="004B525B">
        <w:t>DHB clinicians</w:t>
      </w:r>
    </w:p>
    <w:p w:rsidR="003E26FF" w:rsidRPr="004B525B" w:rsidRDefault="003E26FF" w:rsidP="003E26FF">
      <w:pPr>
        <w:pStyle w:val="Bullet"/>
      </w:pPr>
      <w:r w:rsidRPr="004B525B">
        <w:t>DHB planners and funders</w:t>
      </w:r>
    </w:p>
    <w:p w:rsidR="003E26FF" w:rsidRPr="004B525B" w:rsidRDefault="003E26FF" w:rsidP="003E26FF">
      <w:pPr>
        <w:pStyle w:val="Bullet"/>
      </w:pPr>
      <w:r>
        <w:t>regional cancer n</w:t>
      </w:r>
      <w:r w:rsidRPr="004B525B">
        <w:t>etworks</w:t>
      </w:r>
    </w:p>
    <w:p w:rsidR="003E26FF" w:rsidRDefault="003E26FF" w:rsidP="003E26FF">
      <w:pPr>
        <w:pStyle w:val="Bullet"/>
      </w:pPr>
      <w:r w:rsidRPr="004B525B">
        <w:t>Ministry of Health.</w:t>
      </w:r>
    </w:p>
    <w:p w:rsidR="003E26FF" w:rsidRPr="004B525B" w:rsidRDefault="003E26FF" w:rsidP="003E26FF"/>
    <w:p w:rsidR="003E26FF" w:rsidRPr="004B525B" w:rsidRDefault="003E26FF" w:rsidP="003E26FF">
      <w:pPr>
        <w:pStyle w:val="Heading2"/>
      </w:pPr>
      <w:bookmarkStart w:id="14" w:name="_Toc507582551"/>
      <w:bookmarkStart w:id="15" w:name="_Toc518415538"/>
      <w:r w:rsidRPr="004B525B">
        <w:t>Scope</w:t>
      </w:r>
      <w:bookmarkEnd w:id="14"/>
      <w:bookmarkEnd w:id="15"/>
    </w:p>
    <w:p w:rsidR="003E26FF" w:rsidRDefault="003E26FF" w:rsidP="003E26FF">
      <w:r w:rsidRPr="004B525B">
        <w:t xml:space="preserve">This </w:t>
      </w:r>
      <w:r>
        <w:t>document projects demand up to 2025 for all BMT services in New Zealand</w:t>
      </w:r>
      <w:r w:rsidR="0043067E">
        <w:t>,</w:t>
      </w:r>
      <w:r>
        <w:t xml:space="preserve"> including both adult and paediatric populations (at </w:t>
      </w:r>
      <w:proofErr w:type="spellStart"/>
      <w:r>
        <w:t>Starship</w:t>
      </w:r>
      <w:proofErr w:type="spellEnd"/>
      <w:r>
        <w:t xml:space="preserve"> Children’s Hospital). The 2011 document did not include paediatrics.</w:t>
      </w:r>
    </w:p>
    <w:p w:rsidR="003E26FF" w:rsidRPr="004B525B" w:rsidRDefault="003E26FF" w:rsidP="003E26FF"/>
    <w:p w:rsidR="003E26FF" w:rsidRPr="004B525B" w:rsidRDefault="003E26FF" w:rsidP="003E26FF">
      <w:pPr>
        <w:pStyle w:val="Heading1"/>
      </w:pPr>
      <w:bookmarkStart w:id="16" w:name="_Toc507582552"/>
      <w:bookmarkStart w:id="17" w:name="_Toc518415539"/>
      <w:r w:rsidRPr="004B525B">
        <w:t xml:space="preserve">Overview of </w:t>
      </w:r>
      <w:r>
        <w:t>b</w:t>
      </w:r>
      <w:r w:rsidRPr="004B525B">
        <w:t xml:space="preserve">one </w:t>
      </w:r>
      <w:r>
        <w:t>m</w:t>
      </w:r>
      <w:r w:rsidRPr="004B525B">
        <w:t xml:space="preserve">arrow </w:t>
      </w:r>
      <w:r>
        <w:t>t</w:t>
      </w:r>
      <w:r w:rsidRPr="004B525B">
        <w:t>ransplant</w:t>
      </w:r>
      <w:r>
        <w:t xml:space="preserve"> advances</w:t>
      </w:r>
      <w:bookmarkEnd w:id="16"/>
      <w:bookmarkEnd w:id="17"/>
    </w:p>
    <w:p w:rsidR="003E26FF" w:rsidRPr="004B525B" w:rsidRDefault="003E26FF" w:rsidP="003E26FF">
      <w:pPr>
        <w:pStyle w:val="Heading2"/>
      </w:pPr>
      <w:bookmarkStart w:id="18" w:name="_Toc507582553"/>
      <w:bookmarkStart w:id="19" w:name="_Toc518415540"/>
      <w:r>
        <w:t>Changes</w:t>
      </w:r>
      <w:bookmarkEnd w:id="18"/>
      <w:bookmarkEnd w:id="19"/>
    </w:p>
    <w:p w:rsidR="003E26FF" w:rsidRDefault="003E26FF" w:rsidP="003E26FF">
      <w:pPr>
        <w:rPr>
          <w:lang w:val="en"/>
        </w:rPr>
      </w:pPr>
      <w:r>
        <w:rPr>
          <w:lang w:val="en"/>
        </w:rPr>
        <w:t>Since the BMT plan was first published in 2011</w:t>
      </w:r>
      <w:r w:rsidR="0043067E">
        <w:rPr>
          <w:lang w:val="en"/>
        </w:rPr>
        <w:t>,</w:t>
      </w:r>
      <w:r>
        <w:rPr>
          <w:lang w:val="en"/>
        </w:rPr>
        <w:t xml:space="preserve"> there have been significant advances in the BMT field that have increased the number of patients eligible for BMT. This is primarily on the basis of being able to deliver BMT more safely to an older population by reducing the toxicity of the procedure and an increase in donor availability with the use of </w:t>
      </w:r>
      <w:proofErr w:type="spellStart"/>
      <w:r>
        <w:rPr>
          <w:lang w:val="en"/>
        </w:rPr>
        <w:t>haploidentical</w:t>
      </w:r>
      <w:proofErr w:type="spellEnd"/>
      <w:r>
        <w:rPr>
          <w:lang w:val="en"/>
        </w:rPr>
        <w:t xml:space="preserve"> (half match) family members.</w:t>
      </w:r>
    </w:p>
    <w:p w:rsidR="003E26FF" w:rsidRDefault="003E26FF" w:rsidP="003E26FF">
      <w:pPr>
        <w:rPr>
          <w:lang w:val="en"/>
        </w:rPr>
      </w:pPr>
    </w:p>
    <w:p w:rsidR="003E26FF" w:rsidRDefault="003E26FF" w:rsidP="003E26FF">
      <w:pPr>
        <w:rPr>
          <w:lang w:val="en"/>
        </w:rPr>
      </w:pPr>
      <w:r>
        <w:rPr>
          <w:lang w:val="en"/>
        </w:rPr>
        <w:t xml:space="preserve">International BMT practice </w:t>
      </w:r>
      <w:proofErr w:type="spellStart"/>
      <w:r>
        <w:rPr>
          <w:lang w:val="en"/>
        </w:rPr>
        <w:t>recognises</w:t>
      </w:r>
      <w:proofErr w:type="spellEnd"/>
      <w:r>
        <w:rPr>
          <w:lang w:val="en"/>
        </w:rPr>
        <w:t xml:space="preserve"> that the upper age limit for BMT should not be based on chronological age but focus on biological age and comorbidities as the basis for eligibility for a BMT. This is reflected in the increasing number of patients over 65 years of age being transplanted both in New Zealand and overseas.</w:t>
      </w:r>
    </w:p>
    <w:p w:rsidR="003E26FF" w:rsidRDefault="003E26FF" w:rsidP="003E26FF">
      <w:pPr>
        <w:rPr>
          <w:lang w:val="en"/>
        </w:rPr>
      </w:pPr>
    </w:p>
    <w:p w:rsidR="003E26FF" w:rsidRDefault="003E26FF" w:rsidP="003E26FF">
      <w:pPr>
        <w:rPr>
          <w:lang w:val="en"/>
        </w:rPr>
      </w:pPr>
      <w:r>
        <w:rPr>
          <w:lang w:val="en"/>
        </w:rPr>
        <w:t>Disease indications for BMT remain largely unchanged from 2011</w:t>
      </w:r>
      <w:r w:rsidR="0043067E">
        <w:rPr>
          <w:lang w:val="en"/>
        </w:rPr>
        <w:t>,</w:t>
      </w:r>
      <w:r>
        <w:rPr>
          <w:lang w:val="en"/>
        </w:rPr>
        <w:t xml:space="preserve"> with recent international publications referring to both disease and patient selection criteria in this area referenced as follows:</w:t>
      </w:r>
    </w:p>
    <w:p w:rsidR="003E26FF" w:rsidRDefault="003E26FF" w:rsidP="003E26FF">
      <w:pPr>
        <w:pStyle w:val="Letter"/>
        <w:rPr>
          <w:lang w:val="en" w:eastAsia="en-US"/>
        </w:rPr>
      </w:pPr>
      <w:r w:rsidRPr="00746107">
        <w:rPr>
          <w:lang w:val="en" w:eastAsia="en-US"/>
        </w:rPr>
        <w:t xml:space="preserve">N </w:t>
      </w:r>
      <w:proofErr w:type="spellStart"/>
      <w:r w:rsidRPr="00746107">
        <w:rPr>
          <w:lang w:val="en" w:eastAsia="en-US"/>
        </w:rPr>
        <w:t>Majhail</w:t>
      </w:r>
      <w:proofErr w:type="spellEnd"/>
      <w:r>
        <w:rPr>
          <w:lang w:val="en" w:eastAsia="en-US"/>
        </w:rPr>
        <w:t>,</w:t>
      </w:r>
      <w:r w:rsidRPr="00746107">
        <w:rPr>
          <w:lang w:val="en" w:eastAsia="en-US"/>
        </w:rPr>
        <w:t xml:space="preserve"> et al. </w:t>
      </w:r>
      <w:r>
        <w:rPr>
          <w:lang w:val="en" w:eastAsia="en-US"/>
        </w:rPr>
        <w:t xml:space="preserve">2015. </w:t>
      </w:r>
      <w:r w:rsidRPr="00746107">
        <w:rPr>
          <w:lang w:val="en" w:eastAsia="en-US"/>
        </w:rPr>
        <w:t xml:space="preserve">Indications for </w:t>
      </w:r>
      <w:r>
        <w:rPr>
          <w:lang w:val="en" w:eastAsia="en-US"/>
        </w:rPr>
        <w:t>a</w:t>
      </w:r>
      <w:r w:rsidRPr="00746107">
        <w:rPr>
          <w:lang w:val="en" w:eastAsia="en-US"/>
        </w:rPr>
        <w:t xml:space="preserve">utologous and </w:t>
      </w:r>
      <w:r>
        <w:rPr>
          <w:lang w:val="en" w:eastAsia="en-US"/>
        </w:rPr>
        <w:t>a</w:t>
      </w:r>
      <w:r w:rsidRPr="00746107">
        <w:rPr>
          <w:lang w:val="en" w:eastAsia="en-US"/>
        </w:rPr>
        <w:t xml:space="preserve">llogeneic </w:t>
      </w:r>
      <w:r>
        <w:rPr>
          <w:lang w:val="en" w:eastAsia="en-US"/>
        </w:rPr>
        <w:t>h</w:t>
      </w:r>
      <w:r w:rsidRPr="00746107">
        <w:rPr>
          <w:lang w:val="en" w:eastAsia="en-US"/>
        </w:rPr>
        <w:t xml:space="preserve">ematopoietic </w:t>
      </w:r>
      <w:r>
        <w:rPr>
          <w:lang w:val="en" w:eastAsia="en-US"/>
        </w:rPr>
        <w:t>c</w:t>
      </w:r>
      <w:r w:rsidRPr="00746107">
        <w:rPr>
          <w:lang w:val="en" w:eastAsia="en-US"/>
        </w:rPr>
        <w:t xml:space="preserve">ell </w:t>
      </w:r>
      <w:r>
        <w:rPr>
          <w:lang w:val="en" w:eastAsia="en-US"/>
        </w:rPr>
        <w:t>t</w:t>
      </w:r>
      <w:r w:rsidRPr="00746107">
        <w:rPr>
          <w:lang w:val="en" w:eastAsia="en-US"/>
        </w:rPr>
        <w:t xml:space="preserve">ransplantation: </w:t>
      </w:r>
      <w:r>
        <w:rPr>
          <w:lang w:val="en" w:eastAsia="en-US"/>
        </w:rPr>
        <w:t>g</w:t>
      </w:r>
      <w:r w:rsidRPr="00746107">
        <w:rPr>
          <w:lang w:val="en" w:eastAsia="en-US"/>
        </w:rPr>
        <w:t xml:space="preserve">uidelines from the American Society for Blood and Marrow Transplantation. </w:t>
      </w:r>
      <w:r w:rsidRPr="003E26FF">
        <w:rPr>
          <w:i/>
          <w:lang w:val="en" w:eastAsia="en-US"/>
        </w:rPr>
        <w:t>Biology of Blood and Marrow Transplantation</w:t>
      </w:r>
      <w:r w:rsidRPr="00746107">
        <w:rPr>
          <w:lang w:val="en" w:eastAsia="en-US"/>
        </w:rPr>
        <w:t xml:space="preserve"> 21(11): 1863</w:t>
      </w:r>
      <w:r>
        <w:rPr>
          <w:lang w:val="en" w:eastAsia="en-US"/>
        </w:rPr>
        <w:t>–</w:t>
      </w:r>
      <w:r w:rsidRPr="00746107">
        <w:rPr>
          <w:lang w:val="en" w:eastAsia="en-US"/>
        </w:rPr>
        <w:t>9.</w:t>
      </w:r>
    </w:p>
    <w:p w:rsidR="003E26FF" w:rsidRPr="00D36CC1" w:rsidRDefault="003E26FF" w:rsidP="003E26FF">
      <w:pPr>
        <w:pStyle w:val="Letter"/>
        <w:rPr>
          <w:lang w:val="en" w:eastAsia="en-US"/>
        </w:rPr>
      </w:pPr>
      <w:r w:rsidRPr="00746107">
        <w:rPr>
          <w:lang w:val="en" w:eastAsia="en-US"/>
        </w:rPr>
        <w:t xml:space="preserve">A </w:t>
      </w:r>
      <w:proofErr w:type="spellStart"/>
      <w:r w:rsidRPr="00746107">
        <w:rPr>
          <w:lang w:val="en" w:eastAsia="en-US"/>
        </w:rPr>
        <w:t>Sureda</w:t>
      </w:r>
      <w:proofErr w:type="spellEnd"/>
      <w:r>
        <w:rPr>
          <w:lang w:val="en" w:eastAsia="en-US"/>
        </w:rPr>
        <w:t>,</w:t>
      </w:r>
      <w:r w:rsidRPr="00746107">
        <w:rPr>
          <w:lang w:val="en" w:eastAsia="en-US"/>
        </w:rPr>
        <w:t xml:space="preserve"> et al. </w:t>
      </w:r>
      <w:r>
        <w:rPr>
          <w:lang w:val="en" w:eastAsia="en-US"/>
        </w:rPr>
        <w:t xml:space="preserve">2015. </w:t>
      </w:r>
      <w:r w:rsidRPr="00746107">
        <w:rPr>
          <w:lang w:val="en-US" w:eastAsia="en-US"/>
        </w:rPr>
        <w:t xml:space="preserve">Indications for </w:t>
      </w:r>
      <w:proofErr w:type="spellStart"/>
      <w:r w:rsidRPr="00746107">
        <w:rPr>
          <w:lang w:val="en-US" w:eastAsia="en-US"/>
        </w:rPr>
        <w:t>allo</w:t>
      </w:r>
      <w:proofErr w:type="spellEnd"/>
      <w:r>
        <w:rPr>
          <w:lang w:val="en-US" w:eastAsia="en-US"/>
        </w:rPr>
        <w:t xml:space="preserve"> </w:t>
      </w:r>
      <w:r w:rsidRPr="00746107">
        <w:rPr>
          <w:lang w:val="en-US" w:eastAsia="en-US"/>
        </w:rPr>
        <w:t>and auto</w:t>
      </w:r>
      <w:r>
        <w:rPr>
          <w:lang w:val="en-US" w:eastAsia="en-US"/>
        </w:rPr>
        <w:t xml:space="preserve"> </w:t>
      </w:r>
      <w:r w:rsidRPr="00746107">
        <w:rPr>
          <w:lang w:val="en-US" w:eastAsia="en-US"/>
        </w:rPr>
        <w:t xml:space="preserve">SCT for </w:t>
      </w:r>
      <w:proofErr w:type="spellStart"/>
      <w:r w:rsidRPr="00746107">
        <w:rPr>
          <w:lang w:val="en-US" w:eastAsia="en-US"/>
        </w:rPr>
        <w:t>haematological</w:t>
      </w:r>
      <w:proofErr w:type="spellEnd"/>
      <w:r w:rsidRPr="00746107">
        <w:rPr>
          <w:lang w:val="en-US" w:eastAsia="en-US"/>
        </w:rPr>
        <w:t xml:space="preserve"> diseases, solid </w:t>
      </w:r>
      <w:proofErr w:type="spellStart"/>
      <w:r w:rsidRPr="00746107">
        <w:rPr>
          <w:lang w:val="en-US" w:eastAsia="en-US"/>
        </w:rPr>
        <w:t>tumours</w:t>
      </w:r>
      <w:proofErr w:type="spellEnd"/>
      <w:r w:rsidRPr="00746107">
        <w:rPr>
          <w:lang w:val="en-US" w:eastAsia="en-US"/>
        </w:rPr>
        <w:t xml:space="preserve"> and immune disorders: current practice in Europe, 2015</w:t>
      </w:r>
      <w:r w:rsidRPr="000251B9">
        <w:rPr>
          <w:lang w:val="en-US" w:eastAsia="en-US"/>
        </w:rPr>
        <w:t xml:space="preserve">. </w:t>
      </w:r>
      <w:r w:rsidRPr="003E26FF">
        <w:rPr>
          <w:i/>
          <w:lang w:val="en-US" w:eastAsia="en-US"/>
        </w:rPr>
        <w:t>Bone Marrow Transplantation</w:t>
      </w:r>
      <w:r w:rsidRPr="000251B9">
        <w:rPr>
          <w:lang w:val="en-US" w:eastAsia="en-US"/>
        </w:rPr>
        <w:t xml:space="preserve"> 50</w:t>
      </w:r>
      <w:r>
        <w:rPr>
          <w:lang w:val="en-US" w:eastAsia="en-US"/>
        </w:rPr>
        <w:t>:</w:t>
      </w:r>
      <w:r w:rsidRPr="000251B9">
        <w:rPr>
          <w:lang w:val="en-US" w:eastAsia="en-US"/>
        </w:rPr>
        <w:t xml:space="preserve"> 1037</w:t>
      </w:r>
      <w:r>
        <w:rPr>
          <w:lang w:val="en-US" w:eastAsia="en-US"/>
        </w:rPr>
        <w:t>–</w:t>
      </w:r>
      <w:r w:rsidRPr="000251B9">
        <w:rPr>
          <w:lang w:val="en-US" w:eastAsia="en-US"/>
        </w:rPr>
        <w:t>56.</w:t>
      </w:r>
    </w:p>
    <w:p w:rsidR="003E26FF" w:rsidRPr="00746107" w:rsidRDefault="003E26FF" w:rsidP="003E26FF">
      <w:pPr>
        <w:pStyle w:val="Letter"/>
        <w:rPr>
          <w:lang w:val="en" w:eastAsia="en-US"/>
        </w:rPr>
      </w:pPr>
      <w:r w:rsidRPr="00746107">
        <w:rPr>
          <w:lang w:val="en" w:eastAsia="en-US"/>
        </w:rPr>
        <w:t xml:space="preserve">S </w:t>
      </w:r>
      <w:proofErr w:type="spellStart"/>
      <w:r w:rsidRPr="00746107">
        <w:rPr>
          <w:lang w:val="en" w:eastAsia="en-US"/>
        </w:rPr>
        <w:t>Okamato</w:t>
      </w:r>
      <w:proofErr w:type="spellEnd"/>
      <w:r w:rsidRPr="00746107">
        <w:rPr>
          <w:lang w:val="en" w:eastAsia="en-US"/>
        </w:rPr>
        <w:t xml:space="preserve">. </w:t>
      </w:r>
      <w:r>
        <w:rPr>
          <w:lang w:val="en" w:eastAsia="en-US"/>
        </w:rPr>
        <w:t xml:space="preserve">2017. </w:t>
      </w:r>
      <w:r w:rsidRPr="00746107">
        <w:rPr>
          <w:lang w:val="en" w:eastAsia="en-US"/>
        </w:rPr>
        <w:t xml:space="preserve">Current indication for hematopoietic cell transplantation in adults. </w:t>
      </w:r>
      <w:hyperlink r:id="rId18" w:tooltip="Go to Hematology/Oncology and Stem Cell Therapy on ScienceDirect" w:history="1">
        <w:r w:rsidRPr="003E26FF">
          <w:rPr>
            <w:i/>
            <w:lang w:val="en" w:eastAsia="en-NZ"/>
          </w:rPr>
          <w:t>Hematology/Oncology and Stem Cell Therapy</w:t>
        </w:r>
      </w:hyperlink>
      <w:r w:rsidRPr="00746107">
        <w:rPr>
          <w:lang w:val="en" w:eastAsia="en-US"/>
        </w:rPr>
        <w:t xml:space="preserve"> </w:t>
      </w:r>
      <w:r w:rsidRPr="00746107">
        <w:rPr>
          <w:lang w:val="en" w:eastAsia="en-NZ"/>
        </w:rPr>
        <w:t>10(4):</w:t>
      </w:r>
      <w:r>
        <w:rPr>
          <w:lang w:val="en" w:eastAsia="en-NZ"/>
        </w:rPr>
        <w:t xml:space="preserve"> </w:t>
      </w:r>
      <w:r w:rsidRPr="00746107">
        <w:rPr>
          <w:lang w:val="en" w:eastAsia="en-NZ"/>
        </w:rPr>
        <w:t>178</w:t>
      </w:r>
      <w:r>
        <w:rPr>
          <w:lang w:val="en" w:eastAsia="en-NZ"/>
        </w:rPr>
        <w:t>–</w:t>
      </w:r>
      <w:r w:rsidRPr="00746107">
        <w:rPr>
          <w:lang w:val="en" w:eastAsia="en-NZ"/>
        </w:rPr>
        <w:t>83.</w:t>
      </w:r>
    </w:p>
    <w:p w:rsidR="003E26FF" w:rsidRDefault="003E26FF" w:rsidP="003E26FF">
      <w:pPr>
        <w:rPr>
          <w:lang w:val="en"/>
        </w:rPr>
      </w:pPr>
    </w:p>
    <w:p w:rsidR="003E26FF" w:rsidRDefault="003E26FF" w:rsidP="003E26FF">
      <w:pPr>
        <w:rPr>
          <w:lang w:val="en"/>
        </w:rPr>
      </w:pPr>
      <w:r>
        <w:rPr>
          <w:lang w:val="en"/>
        </w:rPr>
        <w:t>These advances have resulted in significant growth and demand for BMT services internationally.  This has been replicated in New Zealand</w:t>
      </w:r>
      <w:r w:rsidR="0043067E">
        <w:rPr>
          <w:lang w:val="en"/>
        </w:rPr>
        <w:t>,</w:t>
      </w:r>
      <w:r>
        <w:rPr>
          <w:lang w:val="en"/>
        </w:rPr>
        <w:t xml:space="preserve"> where transplant numbers have increased from 118 to 305 per annum between 2002 and 2016.</w:t>
      </w:r>
    </w:p>
    <w:p w:rsidR="003E26FF" w:rsidRDefault="003E26FF" w:rsidP="003E26FF">
      <w:pPr>
        <w:rPr>
          <w:lang w:val="en"/>
        </w:rPr>
      </w:pPr>
    </w:p>
    <w:p w:rsidR="003E26FF" w:rsidRDefault="003E26FF" w:rsidP="003E26FF">
      <w:pPr>
        <w:pStyle w:val="Heading2"/>
        <w:rPr>
          <w:lang w:val="en"/>
        </w:rPr>
      </w:pPr>
      <w:bookmarkStart w:id="20" w:name="_Toc518415541"/>
      <w:r w:rsidRPr="00082956">
        <w:rPr>
          <w:lang w:val="en"/>
        </w:rPr>
        <w:t xml:space="preserve">Future </w:t>
      </w:r>
      <w:r>
        <w:rPr>
          <w:lang w:val="en"/>
        </w:rPr>
        <w:t>developments in BMT therapies</w:t>
      </w:r>
      <w:bookmarkEnd w:id="20"/>
    </w:p>
    <w:p w:rsidR="003E26FF" w:rsidRDefault="003E26FF" w:rsidP="003E26FF">
      <w:r w:rsidRPr="003E26FF">
        <w:t>Cellular therapies including Chimeric A</w:t>
      </w:r>
      <w:r>
        <w:t>ntigen Receptor T cells (CAR-T c</w:t>
      </w:r>
      <w:r w:rsidRPr="003E26FF">
        <w:t>ells) are an</w:t>
      </w:r>
      <w:r>
        <w:t xml:space="preserve"> exciting novel therapy for the treatment of haematological malignancies. These have potential significant resource and cost implications. The NHWG view further developments in this field as being under the guidance of the national BMT plan with reference to clinical indication recommendations and service delivery specifications.</w:t>
      </w:r>
    </w:p>
    <w:p w:rsidR="003E26FF" w:rsidRDefault="003E26FF" w:rsidP="003E26FF"/>
    <w:p w:rsidR="003E26FF" w:rsidRPr="00082956" w:rsidRDefault="003E26FF" w:rsidP="003E26FF">
      <w:pPr>
        <w:rPr>
          <w:rFonts w:cs="Arial"/>
          <w:szCs w:val="24"/>
        </w:rPr>
      </w:pPr>
      <w:r>
        <w:t>It is recognised that autologous BMT procedures for the treatment of autoimmune disease</w:t>
      </w:r>
      <w:r w:rsidR="0043067E">
        <w:t>,</w:t>
      </w:r>
      <w:r>
        <w:t xml:space="preserve"> such as </w:t>
      </w:r>
      <w:r w:rsidR="0043067E">
        <w:t>multiple sclerosis and s</w:t>
      </w:r>
      <w:r w:rsidRPr="0043067E">
        <w:t>cleroderma</w:t>
      </w:r>
      <w:r w:rsidR="0043067E">
        <w:t>,</w:t>
      </w:r>
      <w:r>
        <w:t xml:space="preserve"> are becoming more validated and internationally accepted. The NHWG intends to liaise with neurology and r</w:t>
      </w:r>
      <w:r w:rsidRPr="00082956">
        <w:rPr>
          <w:rFonts w:cs="Arial"/>
          <w:szCs w:val="24"/>
        </w:rPr>
        <w:t>heumatology services to review the evidence around these indications</w:t>
      </w:r>
      <w:r w:rsidR="0043067E">
        <w:rPr>
          <w:rFonts w:cs="Arial"/>
          <w:szCs w:val="24"/>
        </w:rPr>
        <w:t xml:space="preserve"> and</w:t>
      </w:r>
      <w:r w:rsidRPr="00082956">
        <w:rPr>
          <w:rFonts w:cs="Arial"/>
          <w:szCs w:val="24"/>
        </w:rPr>
        <w:t xml:space="preserve"> the resourcing impact of any inc</w:t>
      </w:r>
      <w:r w:rsidR="0043067E">
        <w:rPr>
          <w:rFonts w:cs="Arial"/>
          <w:szCs w:val="24"/>
        </w:rPr>
        <w:t>rease in autologous BMT numbers</w:t>
      </w:r>
      <w:r w:rsidRPr="00082956">
        <w:rPr>
          <w:rFonts w:cs="Arial"/>
          <w:szCs w:val="24"/>
        </w:rPr>
        <w:t xml:space="preserve"> and to develop service delivery specifications.</w:t>
      </w:r>
    </w:p>
    <w:p w:rsidR="003E26FF" w:rsidRPr="00082956" w:rsidRDefault="003E26FF" w:rsidP="003E26FF">
      <w:pPr>
        <w:rPr>
          <w:lang w:val="en"/>
        </w:rPr>
      </w:pPr>
    </w:p>
    <w:p w:rsidR="003E26FF" w:rsidRDefault="003E26FF" w:rsidP="003E26FF">
      <w:r>
        <w:rPr>
          <w:b/>
        </w:rPr>
        <w:t>Survivorship / late effects</w:t>
      </w:r>
      <w:r>
        <w:t>: BMT survivors are at risk of developing treatment</w:t>
      </w:r>
      <w:r w:rsidR="0043067E">
        <w:t>-</w:t>
      </w:r>
      <w:r>
        <w:t>related complications that may continue to present year after treatment (</w:t>
      </w:r>
      <w:proofErr w:type="spellStart"/>
      <w:r>
        <w:t>eg</w:t>
      </w:r>
      <w:proofErr w:type="spellEnd"/>
      <w:r>
        <w:t xml:space="preserve">, graft versus host disease (GHVD), second malignancies, cardiac disease, </w:t>
      </w:r>
      <w:proofErr w:type="gramStart"/>
      <w:r>
        <w:t>radiation</w:t>
      </w:r>
      <w:proofErr w:type="gramEnd"/>
      <w:r>
        <w:t>-induced hypothyroidism). These complications have surfaced as significant causes of increased morbidity and mortality. Long</w:t>
      </w:r>
      <w:r w:rsidR="0043067E">
        <w:t>-</w:t>
      </w:r>
      <w:r>
        <w:t>term patient follow</w:t>
      </w:r>
      <w:r w:rsidR="0043067E">
        <w:t>-</w:t>
      </w:r>
      <w:r>
        <w:t>up and screening for some of these entities is advised in the hope that early detection may lead to better management. As such, BMT survivorship / late</w:t>
      </w:r>
      <w:r w:rsidR="0043067E">
        <w:t>-</w:t>
      </w:r>
      <w:r>
        <w:t>effect program</w:t>
      </w:r>
      <w:r w:rsidR="0043067E">
        <w:t>me</w:t>
      </w:r>
      <w:r>
        <w:t xml:space="preserve">s are an essential component to patient care and need to be considered with BMT service planning. Comprehensive joint consensus guidelines from the European Group for Blood and Marrow Transplantation (EBMT), the </w:t>
      </w:r>
      <w:proofErr w:type="spellStart"/>
      <w:r>
        <w:t>Center</w:t>
      </w:r>
      <w:proofErr w:type="spellEnd"/>
      <w:r>
        <w:t xml:space="preserve"> for International Blood and Marrow Transplant Research (CIBMTR), and the American Society of Blood and Marrow Transplantation (ASBMT) were published in 2006 and updated in 2012 and recommend appropriate screening studies to monitor for the long-term complications of BMT.</w:t>
      </w:r>
    </w:p>
    <w:p w:rsidR="003E26FF" w:rsidRPr="00082956" w:rsidRDefault="003E26FF" w:rsidP="003E26FF">
      <w:pPr>
        <w:rPr>
          <w:lang w:val="en"/>
        </w:rPr>
      </w:pPr>
    </w:p>
    <w:p w:rsidR="003E26FF" w:rsidRPr="004B525B" w:rsidRDefault="003E26FF" w:rsidP="003E26FF">
      <w:pPr>
        <w:pStyle w:val="Heading2"/>
      </w:pPr>
      <w:bookmarkStart w:id="21" w:name="_Toc507582554"/>
      <w:bookmarkStart w:id="22" w:name="_Toc518415542"/>
      <w:r>
        <w:t xml:space="preserve">Actuals </w:t>
      </w:r>
      <w:proofErr w:type="spellStart"/>
      <w:r>
        <w:t>vs</w:t>
      </w:r>
      <w:proofErr w:type="spellEnd"/>
      <w:r>
        <w:t xml:space="preserve"> forecast to 2016</w:t>
      </w:r>
      <w:bookmarkEnd w:id="21"/>
      <w:bookmarkEnd w:id="22"/>
    </w:p>
    <w:p w:rsidR="003E26FF" w:rsidRPr="00657C08" w:rsidRDefault="003E26FF" w:rsidP="003E26FF">
      <w:pPr>
        <w:pStyle w:val="Figure"/>
      </w:pPr>
      <w:bookmarkStart w:id="23" w:name="_Toc507582531"/>
      <w:bookmarkStart w:id="24" w:name="_Toc518415545"/>
      <w:r>
        <w:t xml:space="preserve">Figure 1: </w:t>
      </w:r>
      <w:r w:rsidRPr="00657C08">
        <w:t>Total</w:t>
      </w:r>
      <w:r>
        <w:t xml:space="preserve"> forecasted</w:t>
      </w:r>
      <w:r w:rsidRPr="00657C08">
        <w:t xml:space="preserve"> New Zealand BMT transplant activity 2000–2010</w:t>
      </w:r>
      <w:bookmarkEnd w:id="23"/>
      <w:bookmarkEnd w:id="24"/>
    </w:p>
    <w:p w:rsidR="003E26FF" w:rsidRPr="002B1B56" w:rsidRDefault="003E26FF" w:rsidP="003E26FF">
      <w:r>
        <w:rPr>
          <w:noProof/>
          <w:lang w:eastAsia="en-NZ"/>
        </w:rPr>
        <w:drawing>
          <wp:inline distT="0" distB="0" distL="0" distR="0" wp14:anchorId="30A8B0D8" wp14:editId="52951A25">
            <wp:extent cx="5935287" cy="2335877"/>
            <wp:effectExtent l="0" t="0" r="8890" b="7620"/>
            <wp:docPr id="6" name="Picture 6" title="Figure 1: Total forecasted New Zealand BMT transplant activity 200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grayscl/>
                      <a:extLst>
                        <a:ext uri="{28A0092B-C50C-407E-A947-70E740481C1C}">
                          <a14:useLocalDpi xmlns:a14="http://schemas.microsoft.com/office/drawing/2010/main" val="0"/>
                        </a:ext>
                      </a:extLst>
                    </a:blip>
                    <a:srcRect l="764" t="13679" b="3300"/>
                    <a:stretch/>
                  </pic:blipFill>
                  <pic:spPr bwMode="auto">
                    <a:xfrm>
                      <a:off x="0" y="0"/>
                      <a:ext cx="5931641" cy="2334442"/>
                    </a:xfrm>
                    <a:prstGeom prst="rect">
                      <a:avLst/>
                    </a:prstGeom>
                    <a:noFill/>
                    <a:ln>
                      <a:noFill/>
                    </a:ln>
                    <a:extLst>
                      <a:ext uri="{53640926-AAD7-44D8-BBD7-CCE9431645EC}">
                        <a14:shadowObscured xmlns:a14="http://schemas.microsoft.com/office/drawing/2010/main"/>
                      </a:ext>
                    </a:extLst>
                  </pic:spPr>
                </pic:pic>
              </a:graphicData>
            </a:graphic>
          </wp:inline>
        </w:drawing>
      </w:r>
    </w:p>
    <w:p w:rsidR="003E26FF" w:rsidRPr="004B525B" w:rsidRDefault="003E26FF" w:rsidP="003E26FF"/>
    <w:p w:rsidR="003E26FF" w:rsidRPr="00657C08" w:rsidRDefault="003E26FF" w:rsidP="003E26FF">
      <w:pPr>
        <w:pStyle w:val="Figure"/>
      </w:pPr>
      <w:bookmarkStart w:id="25" w:name="_Toc507582532"/>
      <w:bookmarkStart w:id="26" w:name="_Toc518415546"/>
      <w:r>
        <w:t xml:space="preserve">Figure 2: </w:t>
      </w:r>
      <w:r w:rsidRPr="00657C08">
        <w:t>Total</w:t>
      </w:r>
      <w:r>
        <w:t xml:space="preserve"> actual</w:t>
      </w:r>
      <w:r w:rsidRPr="00657C08">
        <w:t xml:space="preserve"> New Zealand BMT transplant activity 200</w:t>
      </w:r>
      <w:r>
        <w:t>2</w:t>
      </w:r>
      <w:r w:rsidRPr="00657C08">
        <w:t>–201</w:t>
      </w:r>
      <w:r>
        <w:t>6</w:t>
      </w:r>
      <w:bookmarkEnd w:id="25"/>
      <w:bookmarkEnd w:id="26"/>
    </w:p>
    <w:p w:rsidR="000E1CEF" w:rsidRDefault="000E1CEF" w:rsidP="000E1CEF">
      <w:r>
        <w:rPr>
          <w:noProof/>
          <w:lang w:eastAsia="en-NZ"/>
        </w:rPr>
        <w:drawing>
          <wp:inline distT="0" distB="0" distL="0" distR="0" wp14:anchorId="64B858E1">
            <wp:extent cx="5029200" cy="3320611"/>
            <wp:effectExtent l="0" t="0" r="0" b="0"/>
            <wp:docPr id="13" name="Picture 13" title="Figure 2: Total actual New Zealand BMT transplant activity 200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t="6239" r="7563"/>
                    <a:stretch/>
                  </pic:blipFill>
                  <pic:spPr bwMode="auto">
                    <a:xfrm>
                      <a:off x="0" y="0"/>
                      <a:ext cx="5031401" cy="3322064"/>
                    </a:xfrm>
                    <a:prstGeom prst="rect">
                      <a:avLst/>
                    </a:prstGeom>
                    <a:noFill/>
                    <a:ln>
                      <a:noFill/>
                    </a:ln>
                    <a:extLst>
                      <a:ext uri="{53640926-AAD7-44D8-BBD7-CCE9431645EC}">
                        <a14:shadowObscured xmlns:a14="http://schemas.microsoft.com/office/drawing/2010/main"/>
                      </a:ext>
                    </a:extLst>
                  </pic:spPr>
                </pic:pic>
              </a:graphicData>
            </a:graphic>
          </wp:inline>
        </w:drawing>
      </w:r>
    </w:p>
    <w:p w:rsidR="000E1CEF" w:rsidRPr="004B525B" w:rsidRDefault="000E1CEF" w:rsidP="000E1CEF"/>
    <w:p w:rsidR="003E26FF" w:rsidRPr="00DD0814" w:rsidRDefault="003E26FF" w:rsidP="000E1CEF">
      <w:pPr>
        <w:pStyle w:val="Heading2"/>
      </w:pPr>
      <w:bookmarkStart w:id="27" w:name="_Toc507582555"/>
      <w:bookmarkStart w:id="28" w:name="_Toc518415543"/>
      <w:r>
        <w:t>Growth in demand</w:t>
      </w:r>
      <w:bookmarkEnd w:id="27"/>
      <w:bookmarkEnd w:id="28"/>
    </w:p>
    <w:p w:rsidR="003E26FF" w:rsidRPr="004B525B" w:rsidRDefault="003E26FF" w:rsidP="000E1CEF">
      <w:r>
        <w:t xml:space="preserve">Demand for BMT in </w:t>
      </w:r>
      <w:smartTag w:uri="urn:schemas-microsoft-com:office:smarttags" w:element="country-region">
        <w:smartTag w:uri="urn:schemas-microsoft-com:office:smarttags" w:element="place">
          <w:r>
            <w:t>New Zealand</w:t>
          </w:r>
        </w:smartTag>
      </w:smartTag>
      <w:r>
        <w:t xml:space="preserve"> is growing </w:t>
      </w:r>
      <w:r w:rsidRPr="004B525B">
        <w:t>due to a number of factors</w:t>
      </w:r>
      <w:r>
        <w:t>, including</w:t>
      </w:r>
      <w:r w:rsidRPr="004B525B">
        <w:t>:</w:t>
      </w:r>
    </w:p>
    <w:p w:rsidR="003E26FF" w:rsidRDefault="003E26FF" w:rsidP="000E1CEF">
      <w:pPr>
        <w:pStyle w:val="Bullet"/>
      </w:pPr>
      <w:r w:rsidRPr="004B525B">
        <w:t>wider application of transplantation for haematological malignancies</w:t>
      </w:r>
      <w:r w:rsidR="0043067E">
        <w:t>,</w:t>
      </w:r>
      <w:r w:rsidRPr="004B525B">
        <w:t xml:space="preserve"> </w:t>
      </w:r>
      <w:r w:rsidR="0043067E">
        <w:t xml:space="preserve">including </w:t>
      </w:r>
      <w:r>
        <w:t xml:space="preserve">acute leukaemia, </w:t>
      </w:r>
      <w:proofErr w:type="spellStart"/>
      <w:r>
        <w:t>myeloproliferative</w:t>
      </w:r>
      <w:proofErr w:type="spellEnd"/>
      <w:r>
        <w:t xml:space="preserve"> disease, multiple myeloma and lymphoma</w:t>
      </w:r>
    </w:p>
    <w:p w:rsidR="003E26FF" w:rsidRDefault="0043067E" w:rsidP="000E1CEF">
      <w:pPr>
        <w:pStyle w:val="Bullet"/>
      </w:pPr>
      <w:r>
        <w:t xml:space="preserve">an </w:t>
      </w:r>
      <w:r w:rsidR="003E26FF" w:rsidRPr="004B525B">
        <w:t>increase in the population eligible for BMT</w:t>
      </w:r>
      <w:r w:rsidR="003E26FF">
        <w:t>,</w:t>
      </w:r>
      <w:r w:rsidR="003E26FF" w:rsidRPr="004B525B">
        <w:t xml:space="preserve"> due to reduced </w:t>
      </w:r>
      <w:r w:rsidR="003E26FF">
        <w:t>treatment</w:t>
      </w:r>
      <w:r>
        <w:t>-</w:t>
      </w:r>
      <w:r w:rsidR="003E26FF">
        <w:t xml:space="preserve">related </w:t>
      </w:r>
      <w:r w:rsidR="003E26FF" w:rsidRPr="004B525B">
        <w:t xml:space="preserve">toxicities </w:t>
      </w:r>
      <w:r w:rsidR="003E26FF">
        <w:t>(</w:t>
      </w:r>
      <w:r w:rsidR="003E26FF" w:rsidRPr="004B525B">
        <w:t xml:space="preserve">allowing older patients or those with more significant co-morbidities to </w:t>
      </w:r>
      <w:r w:rsidR="003E26FF">
        <w:t xml:space="preserve">undergo </w:t>
      </w:r>
      <w:r w:rsidR="003E26FF" w:rsidRPr="004B525B">
        <w:t>BMT</w:t>
      </w:r>
      <w:r w:rsidR="003E26FF">
        <w:t>)</w:t>
      </w:r>
    </w:p>
    <w:p w:rsidR="003E26FF" w:rsidRPr="00101542" w:rsidRDefault="003E26FF" w:rsidP="000E1CEF">
      <w:pPr>
        <w:pStyle w:val="Bullet"/>
      </w:pPr>
      <w:proofErr w:type="gramStart"/>
      <w:r w:rsidRPr="004B525B">
        <w:t>greater</w:t>
      </w:r>
      <w:proofErr w:type="gramEnd"/>
      <w:r w:rsidRPr="004B525B">
        <w:t xml:space="preserve"> use of </w:t>
      </w:r>
      <w:r>
        <w:t>alternative donor sources</w:t>
      </w:r>
      <w:r w:rsidR="0043067E">
        <w:t>,</w:t>
      </w:r>
      <w:r>
        <w:t xml:space="preserve"> including </w:t>
      </w:r>
      <w:r w:rsidR="0043067E">
        <w:t>m</w:t>
      </w:r>
      <w:r>
        <w:t xml:space="preserve">atched </w:t>
      </w:r>
      <w:r w:rsidR="0043067E">
        <w:t>u</w:t>
      </w:r>
      <w:r>
        <w:t xml:space="preserve">nrelated </w:t>
      </w:r>
      <w:r w:rsidR="0043067E">
        <w:t xml:space="preserve">donors (MUDs), </w:t>
      </w:r>
      <w:proofErr w:type="spellStart"/>
      <w:r w:rsidR="0043067E">
        <w:t>haploidentical</w:t>
      </w:r>
      <w:proofErr w:type="spellEnd"/>
      <w:r w:rsidR="0043067E">
        <w:t xml:space="preserve"> d</w:t>
      </w:r>
      <w:r>
        <w:t>onors (</w:t>
      </w:r>
      <w:r w:rsidR="0043067E">
        <w:t>half match family members) and co</w:t>
      </w:r>
      <w:r>
        <w:t>rd B</w:t>
      </w:r>
      <w:r w:rsidR="0043067E">
        <w:t>lood d</w:t>
      </w:r>
      <w:r>
        <w:t>onors (predominantly in paediatric service)</w:t>
      </w:r>
      <w:r w:rsidRPr="004B525B">
        <w:t>.</w:t>
      </w:r>
    </w:p>
    <w:p w:rsidR="003E26FF" w:rsidRDefault="003E26FF" w:rsidP="000E1CEF"/>
    <w:p w:rsidR="003E26FF" w:rsidRPr="004374C8" w:rsidRDefault="003E26FF" w:rsidP="000E1CEF">
      <w:pPr>
        <w:pStyle w:val="Heading2"/>
      </w:pPr>
      <w:bookmarkStart w:id="29" w:name="_Toc507582556"/>
      <w:bookmarkStart w:id="30" w:name="_Toc518415544"/>
      <w:r>
        <w:t>Projected</w:t>
      </w:r>
      <w:r w:rsidRPr="004374C8">
        <w:t xml:space="preserve"> treatment rates for New Zealand</w:t>
      </w:r>
      <w:bookmarkEnd w:id="29"/>
      <w:bookmarkEnd w:id="30"/>
    </w:p>
    <w:p w:rsidR="003E26FF" w:rsidRPr="00CF6C4A" w:rsidRDefault="003E26FF" w:rsidP="000E1CEF">
      <w:r w:rsidRPr="00CF6C4A">
        <w:t>The forecasted demand to 2025 assumes:</w:t>
      </w:r>
    </w:p>
    <w:p w:rsidR="003E26FF" w:rsidRPr="00CF6C4A" w:rsidRDefault="000E1CEF" w:rsidP="000E1CEF">
      <w:pPr>
        <w:pStyle w:val="Bullet"/>
      </w:pPr>
      <w:r>
        <w:t>c</w:t>
      </w:r>
      <w:r w:rsidR="003E26FF" w:rsidRPr="00CF6C4A">
        <w:t>linical indications remain unchanged</w:t>
      </w:r>
      <w:r>
        <w:t>;</w:t>
      </w:r>
      <w:r w:rsidR="003E26FF">
        <w:t xml:space="preserve"> </w:t>
      </w:r>
      <w:r>
        <w:t>t</w:t>
      </w:r>
      <w:r w:rsidR="003E26FF">
        <w:t>he forecast will be updated should there be changes in the existing clinical indications treated</w:t>
      </w:r>
    </w:p>
    <w:p w:rsidR="003E26FF" w:rsidRDefault="000E1CEF" w:rsidP="000E1CEF">
      <w:pPr>
        <w:pStyle w:val="Bullet"/>
      </w:pPr>
      <w:r>
        <w:t>p</w:t>
      </w:r>
      <w:r w:rsidR="003E26FF" w:rsidRPr="00CF6C4A">
        <w:t>atient cohort</w:t>
      </w:r>
      <w:r w:rsidR="003E26FF">
        <w:t xml:space="preserve"> numbers</w:t>
      </w:r>
      <w:r w:rsidR="003E26FF" w:rsidRPr="00CF6C4A">
        <w:t xml:space="preserve"> across indications have increased due to treatment advances</w:t>
      </w:r>
      <w:r>
        <w:t>.</w:t>
      </w:r>
    </w:p>
    <w:p w:rsidR="000E1CEF" w:rsidRPr="00CF6C4A" w:rsidRDefault="000E1CEF" w:rsidP="000E1CEF"/>
    <w:p w:rsidR="003E26FF" w:rsidRPr="004A1837" w:rsidRDefault="003E26FF" w:rsidP="000E1CEF">
      <w:pPr>
        <w:pStyle w:val="Heading3"/>
      </w:pPr>
      <w:r>
        <w:t>Projecte</w:t>
      </w:r>
      <w:r w:rsidRPr="004A1837">
        <w:t xml:space="preserve">d </w:t>
      </w:r>
      <w:r>
        <w:t>a</w:t>
      </w:r>
      <w:r w:rsidRPr="004A1837">
        <w:t>llogeneic BMT volumes</w:t>
      </w:r>
    </w:p>
    <w:p w:rsidR="003E26FF" w:rsidRDefault="003E26FF" w:rsidP="000E1CEF">
      <w:r w:rsidRPr="00CF6C4A">
        <w:t xml:space="preserve">The forecast ranges of BMT cases for </w:t>
      </w:r>
      <w:proofErr w:type="spellStart"/>
      <w:r w:rsidRPr="00CF6C4A">
        <w:t>allogenic</w:t>
      </w:r>
      <w:proofErr w:type="spellEnd"/>
      <w:r w:rsidRPr="00CF6C4A">
        <w:t xml:space="preserve"> and autologous transplants in </w:t>
      </w:r>
      <w:r w:rsidR="0043067E">
        <w:t>f</w:t>
      </w:r>
      <w:r>
        <w:t>igures</w:t>
      </w:r>
      <w:r w:rsidRPr="00CF6C4A">
        <w:t xml:space="preserve"> </w:t>
      </w:r>
      <w:r>
        <w:t>3</w:t>
      </w:r>
      <w:r w:rsidRPr="00CF6C4A">
        <w:t xml:space="preserve"> and </w:t>
      </w:r>
      <w:r>
        <w:t>4</w:t>
      </w:r>
      <w:r w:rsidRPr="00CF6C4A">
        <w:t xml:space="preserve"> represent an opinion based on the Stat</w:t>
      </w:r>
      <w:r>
        <w:t>i</w:t>
      </w:r>
      <w:r w:rsidRPr="00CF6C4A">
        <w:t>s</w:t>
      </w:r>
      <w:r>
        <w:t>tics New Zealand</w:t>
      </w:r>
      <w:r w:rsidRPr="00CF6C4A">
        <w:t xml:space="preserve"> population growth projection, historical cases trends in National Minimum Dataset and related forecasting assumptions and knowledge of status quo that we currently have.</w:t>
      </w:r>
    </w:p>
    <w:p w:rsidR="003E26FF" w:rsidRDefault="003E26FF" w:rsidP="000E1CEF"/>
    <w:p w:rsidR="003E26FF" w:rsidRDefault="003E26FF" w:rsidP="000E1CEF">
      <w:r w:rsidRPr="00CF6C4A">
        <w:t xml:space="preserve">The actual situations of case numbers may be inside or outside the </w:t>
      </w:r>
      <w:r w:rsidR="0043067E" w:rsidRPr="00CF6C4A">
        <w:t>fo</w:t>
      </w:r>
      <w:r w:rsidR="0043067E">
        <w:t>recast</w:t>
      </w:r>
      <w:r w:rsidR="0043067E" w:rsidRPr="00CF6C4A">
        <w:t xml:space="preserve"> </w:t>
      </w:r>
      <w:r w:rsidRPr="00CF6C4A">
        <w:t>range</w:t>
      </w:r>
      <w:r>
        <w:t>. Please exercise caution</w:t>
      </w:r>
      <w:r w:rsidRPr="00CF6C4A">
        <w:t xml:space="preserve"> wh</w:t>
      </w:r>
      <w:r>
        <w:t>en</w:t>
      </w:r>
      <w:r w:rsidRPr="00CF6C4A">
        <w:t xml:space="preserve"> interpreting the forecast results.</w:t>
      </w:r>
    </w:p>
    <w:p w:rsidR="003E26FF" w:rsidRDefault="003E26FF" w:rsidP="000E1CEF"/>
    <w:p w:rsidR="003E26FF" w:rsidRDefault="003E26FF" w:rsidP="000E1CEF">
      <w:r>
        <w:t>Five</w:t>
      </w:r>
      <w:r w:rsidRPr="00CF6C4A">
        <w:t xml:space="preserve"> scenarios are provided in each range. The ranges are values between </w:t>
      </w:r>
      <w:r>
        <w:t>low growth</w:t>
      </w:r>
      <w:r w:rsidRPr="00CF6C4A">
        <w:t xml:space="preserve"> and </w:t>
      </w:r>
      <w:r>
        <w:t>high growth</w:t>
      </w:r>
      <w:r w:rsidRPr="00CF6C4A">
        <w:t xml:space="preserve"> scenarios. The </w:t>
      </w:r>
      <w:r>
        <w:t>high growth</w:t>
      </w:r>
      <w:r w:rsidRPr="00CF6C4A">
        <w:t xml:space="preserve"> scenarios assume the population grows relatively </w:t>
      </w:r>
      <w:r w:rsidR="0043067E">
        <w:t>quickly</w:t>
      </w:r>
      <w:r w:rsidRPr="00CF6C4A">
        <w:t xml:space="preserve"> and the incident rate of BMT procedures grows at a similar rate to 2013</w:t>
      </w:r>
      <w:r w:rsidR="000E1CEF">
        <w:t>–</w:t>
      </w:r>
      <w:r w:rsidRPr="00CF6C4A">
        <w:t>2016 on a straight line basis</w:t>
      </w:r>
      <w:r>
        <w:t>.</w:t>
      </w:r>
      <w:r w:rsidR="0043067E">
        <w:t xml:space="preserve"> </w:t>
      </w:r>
      <w:r>
        <w:t>T</w:t>
      </w:r>
      <w:r w:rsidRPr="00CF6C4A">
        <w:t xml:space="preserve">he </w:t>
      </w:r>
      <w:r>
        <w:t>low growth</w:t>
      </w:r>
      <w:r w:rsidRPr="00CF6C4A">
        <w:t xml:space="preserve"> scenario assumes the population grows relatively slow</w:t>
      </w:r>
      <w:r w:rsidR="0043067E">
        <w:t>ly</w:t>
      </w:r>
      <w:r w:rsidRPr="00CF6C4A">
        <w:t xml:space="preserve"> and the incident rate will gradually drop from the 2016 incident rate level to 2013 incident rate level.</w:t>
      </w:r>
    </w:p>
    <w:p w:rsidR="003E26FF" w:rsidRDefault="003E26FF" w:rsidP="000E1CEF"/>
    <w:p w:rsidR="003E26FF" w:rsidRPr="00192713" w:rsidRDefault="003E26FF" w:rsidP="00093C01">
      <w:pPr>
        <w:pStyle w:val="Figure"/>
      </w:pPr>
      <w:bookmarkStart w:id="31" w:name="_Toc507582533"/>
      <w:bookmarkStart w:id="32" w:name="_Toc518415547"/>
      <w:r>
        <w:t>Figure 3:</w:t>
      </w:r>
      <w:r w:rsidR="00093C01">
        <w:t xml:space="preserve"> </w:t>
      </w:r>
      <w:r w:rsidRPr="00657C08">
        <w:t xml:space="preserve">Projected rates of allogeneic BMT to </w:t>
      </w:r>
      <w:r>
        <w:t>2025</w:t>
      </w:r>
      <w:bookmarkEnd w:id="31"/>
      <w:bookmarkEnd w:id="32"/>
    </w:p>
    <w:p w:rsidR="003E26FF" w:rsidRDefault="003E26FF" w:rsidP="00093C01">
      <w:r>
        <w:rPr>
          <w:noProof/>
          <w:lang w:eastAsia="en-NZ"/>
        </w:rPr>
        <w:drawing>
          <wp:inline distT="0" distB="0" distL="0" distR="0" wp14:anchorId="782A8109" wp14:editId="11A540AA">
            <wp:extent cx="5785286" cy="3533343"/>
            <wp:effectExtent l="0" t="0" r="6350" b="0"/>
            <wp:docPr id="4" name="Picture 4" title="Figure 3: Projected rates of allogeneic BMT to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grayscl/>
                      <a:extLst>
                        <a:ext uri="{28A0092B-C50C-407E-A947-70E740481C1C}">
                          <a14:useLocalDpi xmlns:a14="http://schemas.microsoft.com/office/drawing/2010/main" val="0"/>
                        </a:ext>
                      </a:extLst>
                    </a:blip>
                    <a:srcRect l="839" t="8306" r="1818" b="991"/>
                    <a:stretch/>
                  </pic:blipFill>
                  <pic:spPr bwMode="auto">
                    <a:xfrm>
                      <a:off x="0" y="0"/>
                      <a:ext cx="5785657" cy="3533570"/>
                    </a:xfrm>
                    <a:prstGeom prst="rect">
                      <a:avLst/>
                    </a:prstGeom>
                    <a:noFill/>
                    <a:ln>
                      <a:noFill/>
                    </a:ln>
                    <a:extLst>
                      <a:ext uri="{53640926-AAD7-44D8-BBD7-CCE9431645EC}">
                        <a14:shadowObscured xmlns:a14="http://schemas.microsoft.com/office/drawing/2010/main"/>
                      </a:ext>
                    </a:extLst>
                  </pic:spPr>
                </pic:pic>
              </a:graphicData>
            </a:graphic>
          </wp:inline>
        </w:drawing>
      </w:r>
    </w:p>
    <w:p w:rsidR="00093C01" w:rsidRDefault="00093C01" w:rsidP="00093C01"/>
    <w:p w:rsidR="003E26FF" w:rsidRPr="00657C08" w:rsidRDefault="003E26FF" w:rsidP="00093C01">
      <w:pPr>
        <w:pStyle w:val="Figure"/>
      </w:pPr>
      <w:bookmarkStart w:id="33" w:name="_Toc507582534"/>
      <w:bookmarkStart w:id="34" w:name="_Toc518415548"/>
      <w:r w:rsidRPr="004B525B">
        <w:t xml:space="preserve">Figure </w:t>
      </w:r>
      <w:r>
        <w:t>4:</w:t>
      </w:r>
      <w:r w:rsidR="00093C01">
        <w:t xml:space="preserve"> </w:t>
      </w:r>
      <w:r w:rsidRPr="00657C08">
        <w:t>Projected</w:t>
      </w:r>
      <w:r>
        <w:t xml:space="preserve"> rates of autologous BMT to 2025</w:t>
      </w:r>
      <w:bookmarkEnd w:id="33"/>
      <w:bookmarkEnd w:id="34"/>
    </w:p>
    <w:p w:rsidR="003E26FF" w:rsidRDefault="003E26FF" w:rsidP="003E26FF">
      <w:r>
        <w:rPr>
          <w:noProof/>
          <w:lang w:eastAsia="en-NZ"/>
        </w:rPr>
        <w:drawing>
          <wp:inline distT="0" distB="0" distL="0" distR="0">
            <wp:extent cx="5735781" cy="3599411"/>
            <wp:effectExtent l="0" t="0" r="0" b="1270"/>
            <wp:docPr id="1" name="Picture 1" title="Figure 4: Projected rates of autologous BMT to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l="980" t="5575" r="2381" b="1446"/>
                    <a:stretch/>
                  </pic:blipFill>
                  <pic:spPr bwMode="auto">
                    <a:xfrm>
                      <a:off x="0" y="0"/>
                      <a:ext cx="5743848" cy="3604473"/>
                    </a:xfrm>
                    <a:prstGeom prst="rect">
                      <a:avLst/>
                    </a:prstGeom>
                    <a:noFill/>
                    <a:ln>
                      <a:noFill/>
                    </a:ln>
                    <a:extLst>
                      <a:ext uri="{53640926-AAD7-44D8-BBD7-CCE9431645EC}">
                        <a14:shadowObscured xmlns:a14="http://schemas.microsoft.com/office/drawing/2010/main"/>
                      </a:ext>
                    </a:extLst>
                  </pic:spPr>
                </pic:pic>
              </a:graphicData>
            </a:graphic>
          </wp:inline>
        </w:drawing>
      </w:r>
    </w:p>
    <w:p w:rsidR="00093C01" w:rsidRPr="00687810" w:rsidRDefault="00093C01" w:rsidP="00093C01"/>
    <w:sectPr w:rsidR="00093C01" w:rsidRPr="00687810" w:rsidSect="009D5125">
      <w:headerReference w:type="default" r:id="rId23"/>
      <w:footerReference w:type="default" r:id="rId2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F9" w:rsidRDefault="002B65F9">
      <w:pPr>
        <w:spacing w:line="240" w:lineRule="auto"/>
      </w:pPr>
      <w:r>
        <w:separator/>
      </w:r>
    </w:p>
    <w:p w:rsidR="002B65F9" w:rsidRDefault="002B65F9"/>
  </w:endnote>
  <w:endnote w:type="continuationSeparator" w:id="0">
    <w:p w:rsidR="002B65F9" w:rsidRDefault="002B65F9">
      <w:pPr>
        <w:spacing w:line="240" w:lineRule="auto"/>
      </w:pPr>
      <w:r>
        <w:continuationSeparator/>
      </w:r>
    </w:p>
    <w:p w:rsidR="002B65F9" w:rsidRDefault="002B6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Pr="00581136" w:rsidRDefault="002B65F9"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Pr="00275D08" w:rsidRDefault="002B65F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D6CAB">
      <w:rPr>
        <w:rStyle w:val="PageNumber"/>
        <w:noProof/>
      </w:rPr>
      <w:t>4</w:t>
    </w:r>
    <w:r w:rsidRPr="00FC46E7">
      <w:rPr>
        <w:rStyle w:val="PageNumber"/>
      </w:rPr>
      <w:fldChar w:fldCharType="end"/>
    </w:r>
    <w:r>
      <w:tab/>
      <w:t>Haematopoietic Stem Cell Transplant (Bone Marrow Transplant) Services in New Zealand: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rsidP="00533B90">
    <w:pPr>
      <w:pStyle w:val="RectoFooter"/>
    </w:pPr>
    <w:r>
      <w:tab/>
      <w:t>Haematopoietic Stem Cell Transplant (Bone Marrow Transplant) Services in New Zealand: 2018</w:t>
    </w:r>
    <w:r>
      <w:tab/>
    </w:r>
    <w:r>
      <w:rPr>
        <w:rStyle w:val="PageNumber"/>
      </w:rPr>
      <w:fldChar w:fldCharType="begin"/>
    </w:r>
    <w:r>
      <w:rPr>
        <w:rStyle w:val="PageNumber"/>
      </w:rPr>
      <w:instrText xml:space="preserve"> PAGE </w:instrText>
    </w:r>
    <w:r>
      <w:rPr>
        <w:rStyle w:val="PageNumber"/>
      </w:rPr>
      <w:fldChar w:fldCharType="separate"/>
    </w:r>
    <w:r w:rsidR="001D6CAB">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rsidP="009E3C8C">
    <w:pPr>
      <w:pStyle w:val="RectoFooter"/>
    </w:pPr>
    <w:r>
      <w:tab/>
      <w:t>Haematopoietic Stem Cell Transplant (Bone Marrow Transplant) Services in New Zealand: 2018</w:t>
    </w:r>
    <w:r>
      <w:tab/>
    </w:r>
    <w:r>
      <w:rPr>
        <w:rStyle w:val="PageNumber"/>
      </w:rPr>
      <w:fldChar w:fldCharType="begin"/>
    </w:r>
    <w:r>
      <w:rPr>
        <w:rStyle w:val="PageNumber"/>
      </w:rPr>
      <w:instrText xml:space="preserve"> PAGE </w:instrText>
    </w:r>
    <w:r>
      <w:rPr>
        <w:rStyle w:val="PageNumber"/>
      </w:rPr>
      <w:fldChar w:fldCharType="separate"/>
    </w:r>
    <w:r w:rsidR="001D6CAB">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F9" w:rsidRPr="00A26E6B" w:rsidRDefault="002B65F9" w:rsidP="00A26E6B"/>
  </w:footnote>
  <w:footnote w:type="continuationSeparator" w:id="0">
    <w:p w:rsidR="002B65F9" w:rsidRDefault="002B65F9">
      <w:pPr>
        <w:spacing w:line="240" w:lineRule="auto"/>
      </w:pPr>
      <w:r>
        <w:continuationSeparator/>
      </w:r>
    </w:p>
    <w:p w:rsidR="002B65F9" w:rsidRDefault="002B6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rsidP="009216CC">
    <w:pPr>
      <w:pStyle w:val="Header"/>
      <w:ind w:left="-1559"/>
    </w:pPr>
    <w:r>
      <w:rPr>
        <w:noProof/>
        <w:lang w:eastAsia="en-NZ"/>
      </w:rPr>
      <w:drawing>
        <wp:inline distT="0" distB="0" distL="0" distR="0" wp14:anchorId="059F51F1" wp14:editId="4C174D8A">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9" w:rsidRDefault="002B6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3DC7796"/>
    <w:multiLevelType w:val="multilevel"/>
    <w:tmpl w:val="5D1A217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0">
    <w:nsid w:val="33BA335D"/>
    <w:multiLevelType w:val="hybridMultilevel"/>
    <w:tmpl w:val="5D0AC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BFA61BC"/>
    <w:multiLevelType w:val="hybridMultilevel"/>
    <w:tmpl w:val="27DEBF4A"/>
    <w:lvl w:ilvl="0" w:tplc="D9461182">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6">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9">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5"/>
  </w:num>
  <w:num w:numId="3">
    <w:abstractNumId w:val="11"/>
  </w:num>
  <w:num w:numId="4">
    <w:abstractNumId w:val="12"/>
  </w:num>
  <w:num w:numId="5">
    <w:abstractNumId w:val="1"/>
  </w:num>
  <w:num w:numId="6">
    <w:abstractNumId w:val="19"/>
  </w:num>
  <w:num w:numId="7">
    <w:abstractNumId w:val="9"/>
  </w:num>
  <w:num w:numId="8">
    <w:abstractNumId w:val="3"/>
  </w:num>
  <w:num w:numId="9">
    <w:abstractNumId w:val="17"/>
  </w:num>
  <w:num w:numId="10">
    <w:abstractNumId w:val="2"/>
  </w:num>
  <w:num w:numId="11">
    <w:abstractNumId w:val="16"/>
  </w:num>
  <w:num w:numId="12">
    <w:abstractNumId w:val="4"/>
  </w:num>
  <w:num w:numId="13">
    <w:abstractNumId w:val="6"/>
  </w:num>
  <w:num w:numId="14">
    <w:abstractNumId w:val="5"/>
  </w:num>
  <w:num w:numId="15">
    <w:abstractNumId w:val="7"/>
  </w:num>
  <w:num w:numId="16">
    <w:abstractNumId w:val="13"/>
  </w:num>
  <w:num w:numId="17">
    <w:abstractNumId w:val="8"/>
  </w:num>
  <w:num w:numId="18">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19">
    <w:abstractNumId w:val="10"/>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5A6F"/>
    <w:rsid w:val="00030B26"/>
    <w:rsid w:val="00032C0A"/>
    <w:rsid w:val="00035257"/>
    <w:rsid w:val="0006228D"/>
    <w:rsid w:val="00072BD6"/>
    <w:rsid w:val="00075B78"/>
    <w:rsid w:val="00082CD6"/>
    <w:rsid w:val="00085AFE"/>
    <w:rsid w:val="00093C01"/>
    <w:rsid w:val="00094800"/>
    <w:rsid w:val="000B0730"/>
    <w:rsid w:val="000C53CF"/>
    <w:rsid w:val="000E1CEF"/>
    <w:rsid w:val="000F2AE2"/>
    <w:rsid w:val="00102063"/>
    <w:rsid w:val="0010541C"/>
    <w:rsid w:val="00106F93"/>
    <w:rsid w:val="00111D50"/>
    <w:rsid w:val="00113B8E"/>
    <w:rsid w:val="00122363"/>
    <w:rsid w:val="0013162A"/>
    <w:rsid w:val="001342C7"/>
    <w:rsid w:val="0013585C"/>
    <w:rsid w:val="00142954"/>
    <w:rsid w:val="001460E0"/>
    <w:rsid w:val="00147F71"/>
    <w:rsid w:val="00150A6E"/>
    <w:rsid w:val="0016468A"/>
    <w:rsid w:val="001A21B4"/>
    <w:rsid w:val="001A5CF5"/>
    <w:rsid w:val="001B39D2"/>
    <w:rsid w:val="001B4BF8"/>
    <w:rsid w:val="001C4326"/>
    <w:rsid w:val="001D3541"/>
    <w:rsid w:val="001D6CAB"/>
    <w:rsid w:val="001F45A7"/>
    <w:rsid w:val="00201A01"/>
    <w:rsid w:val="002104D3"/>
    <w:rsid w:val="00213A33"/>
    <w:rsid w:val="0021763B"/>
    <w:rsid w:val="00223B8A"/>
    <w:rsid w:val="00246DB1"/>
    <w:rsid w:val="002476B5"/>
    <w:rsid w:val="00253ECF"/>
    <w:rsid w:val="002546A1"/>
    <w:rsid w:val="00272171"/>
    <w:rsid w:val="00275D08"/>
    <w:rsid w:val="002858E3"/>
    <w:rsid w:val="0029190A"/>
    <w:rsid w:val="00292C5A"/>
    <w:rsid w:val="00295241"/>
    <w:rsid w:val="002A4DFC"/>
    <w:rsid w:val="002B047D"/>
    <w:rsid w:val="002B65F9"/>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26FF"/>
    <w:rsid w:val="003E7C46"/>
    <w:rsid w:val="003F2106"/>
    <w:rsid w:val="003F52A7"/>
    <w:rsid w:val="0040240C"/>
    <w:rsid w:val="00413021"/>
    <w:rsid w:val="0043067E"/>
    <w:rsid w:val="00440BE0"/>
    <w:rsid w:val="00442C1C"/>
    <w:rsid w:val="0044584B"/>
    <w:rsid w:val="00447CB7"/>
    <w:rsid w:val="00455CC9"/>
    <w:rsid w:val="00460826"/>
    <w:rsid w:val="00460EA7"/>
    <w:rsid w:val="0046195B"/>
    <w:rsid w:val="0046596D"/>
    <w:rsid w:val="00487C04"/>
    <w:rsid w:val="004907E1"/>
    <w:rsid w:val="004A035B"/>
    <w:rsid w:val="004A2108"/>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1E9"/>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0DAA"/>
    <w:rsid w:val="0071741C"/>
    <w:rsid w:val="00742B90"/>
    <w:rsid w:val="0074434D"/>
    <w:rsid w:val="00771B1E"/>
    <w:rsid w:val="00773C95"/>
    <w:rsid w:val="0078171E"/>
    <w:rsid w:val="0079566E"/>
    <w:rsid w:val="00795B34"/>
    <w:rsid w:val="007B1770"/>
    <w:rsid w:val="007B4D3E"/>
    <w:rsid w:val="007B7C70"/>
    <w:rsid w:val="007C08F7"/>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379"/>
    <w:rsid w:val="00AA240C"/>
    <w:rsid w:val="00AC101C"/>
    <w:rsid w:val="00AD4CF1"/>
    <w:rsid w:val="00AD5988"/>
    <w:rsid w:val="00AE451C"/>
    <w:rsid w:val="00AF1BE3"/>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F3DE1"/>
    <w:rsid w:val="00BF4843"/>
    <w:rsid w:val="00BF5205"/>
    <w:rsid w:val="00C12508"/>
    <w:rsid w:val="00C2299E"/>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04A1"/>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1BFD36D9-940D-4B4A-88D0-A69F4E22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spacing w:before="120" w:after="120"/>
      <w:outlineLvl w:val="1"/>
    </w:pPr>
    <w:rPr>
      <w:b/>
      <w:sz w:val="40"/>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AE451C"/>
    <w:pPr>
      <w:pBdr>
        <w:bottom w:val="single" w:sz="48" w:space="6" w:color="auto"/>
      </w:pBdr>
      <w:ind w:right="1418"/>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AE451C"/>
    <w:pPr>
      <w:pBdr>
        <w:bottom w:val="single" w:sz="48" w:space="6" w:color="auto"/>
      </w:pBdr>
      <w:ind w:right="1418"/>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AE451C"/>
    <w:rPr>
      <w:rFonts w:ascii="Georgia" w:hAnsi="Georgia"/>
      <w:b/>
      <w:sz w:val="64"/>
      <w:lang w:eastAsia="en-GB"/>
    </w:rPr>
  </w:style>
  <w:style w:type="paragraph" w:styleId="BalloonText">
    <w:name w:val="Balloon Text"/>
    <w:basedOn w:val="Normal"/>
    <w:link w:val="BalloonTextChar"/>
    <w:uiPriority w:val="99"/>
    <w:semiHidden/>
    <w:unhideWhenUsed/>
    <w:rsid w:val="00F140B2"/>
    <w:pPr>
      <w:spacing w:line="240" w:lineRule="auto"/>
    </w:pPr>
    <w:rPr>
      <w:rFonts w:ascii="Tahoma" w:hAnsi="Tahoma" w:cs="Tahoma"/>
      <w:sz w:val="16"/>
      <w:szCs w:val="16"/>
    </w:rPr>
  </w:style>
  <w:style w:type="paragraph" w:customStyle="1" w:styleId="Number">
    <w:name w:val="Number"/>
    <w:basedOn w:val="Normal"/>
    <w:rsid w:val="00F140B2"/>
    <w:pPr>
      <w:numPr>
        <w:numId w:val="17"/>
      </w:numPr>
      <w:spacing w:before="180"/>
    </w:pPr>
    <w:rPr>
      <w:szCs w:val="24"/>
    </w:rPr>
  </w:style>
  <w:style w:type="character" w:customStyle="1" w:styleId="BalloonTextChar">
    <w:name w:val="Balloon Text Char"/>
    <w:basedOn w:val="DefaultParagraphFont"/>
    <w:link w:val="BalloonText"/>
    <w:uiPriority w:val="99"/>
    <w:semiHidden/>
    <w:rsid w:val="00F140B2"/>
    <w:rPr>
      <w:rFonts w:ascii="Tahoma" w:hAnsi="Tahoma" w:cs="Tahoma"/>
      <w:sz w:val="16"/>
      <w:szCs w:val="16"/>
      <w:lang w:eastAsia="en-GB"/>
    </w:rPr>
  </w:style>
  <w:style w:type="paragraph" w:customStyle="1" w:styleId="Letter">
    <w:name w:val="Letter"/>
    <w:basedOn w:val="Normal"/>
    <w:qFormat/>
    <w:rsid w:val="003E26FF"/>
    <w:pPr>
      <w:numPr>
        <w:ilvl w:val="1"/>
        <w:numId w:val="17"/>
      </w:numPr>
      <w:spacing w:before="12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3E26FF"/>
    <w:pPr>
      <w:spacing w:line="240" w:lineRule="auto"/>
      <w:ind w:left="7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ciencedirect.com/science/journal/165838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00E8-52EA-45EB-A78A-64D7C992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TotalTime>
  <Pages>9</Pages>
  <Words>1484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Haematopoietic Stem Cell Transplant (Bone Marrow Transplant) Services in New Zealand: Update document 2018</dc:title>
  <dc:creator>Ministry of Health</dc:creator>
  <cp:lastModifiedBy>Jane Adam</cp:lastModifiedBy>
  <cp:revision>3</cp:revision>
  <cp:lastPrinted>2018-08-03T02:18:00Z</cp:lastPrinted>
  <dcterms:created xsi:type="dcterms:W3CDTF">2018-08-03T02:18:00Z</dcterms:created>
  <dcterms:modified xsi:type="dcterms:W3CDTF">2018-08-03T02:24:00Z</dcterms:modified>
</cp:coreProperties>
</file>