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DE" w:rsidRDefault="005065F0" w:rsidP="00D54D50">
      <w:pPr>
        <w:pStyle w:val="Title"/>
      </w:pPr>
      <w:r>
        <w:t>A Guide to Community Engagement with People with Disabilities</w:t>
      </w:r>
    </w:p>
    <w:p w:rsidR="001F07DE" w:rsidRDefault="001F07DE"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F6A2E" w:rsidRDefault="00AF6A2E" w:rsidP="00AF6A2E">
      <w:pPr>
        <w:pStyle w:val="Imprint"/>
        <w:spacing w:after="1800"/>
        <w:jc w:val="left"/>
      </w:pPr>
      <w:r>
        <w:lastRenderedPageBreak/>
        <w:t xml:space="preserve">The Ministry of Health would like to thank Balance NZ, Disabled Persons Assembly, the Association of Blind Citizens of New Zealand </w:t>
      </w:r>
      <w:proofErr w:type="spellStart"/>
      <w:r>
        <w:t>Inc</w:t>
      </w:r>
      <w:proofErr w:type="spellEnd"/>
      <w:r>
        <w:t xml:space="preserve"> (Blind Citizens NZ), Deaf </w:t>
      </w:r>
      <w:proofErr w:type="spellStart"/>
      <w:r>
        <w:t>Aotearoa</w:t>
      </w:r>
      <w:proofErr w:type="spellEnd"/>
      <w:r>
        <w:t xml:space="preserve"> New Zealand, </w:t>
      </w:r>
      <w:proofErr w:type="spellStart"/>
      <w:r>
        <w:t>Kāpō</w:t>
      </w:r>
      <w:proofErr w:type="spellEnd"/>
      <w:r>
        <w:t xml:space="preserve"> Māori </w:t>
      </w:r>
      <w:proofErr w:type="spellStart"/>
      <w:r>
        <w:t>Aotearoa</w:t>
      </w:r>
      <w:proofErr w:type="spellEnd"/>
      <w:r>
        <w:t xml:space="preserve"> New Zealand (</w:t>
      </w:r>
      <w:proofErr w:type="spellStart"/>
      <w:r>
        <w:t>Ngāti</w:t>
      </w:r>
      <w:proofErr w:type="spellEnd"/>
      <w:r>
        <w:t xml:space="preserve"> </w:t>
      </w:r>
      <w:proofErr w:type="spellStart"/>
      <w:r>
        <w:t>Kāpō</w:t>
      </w:r>
      <w:proofErr w:type="spellEnd"/>
      <w:r>
        <w:t>)</w:t>
      </w:r>
      <w:r w:rsidR="003C6289">
        <w:t xml:space="preserve">, </w:t>
      </w:r>
      <w:proofErr w:type="spellStart"/>
      <w:r w:rsidR="003C6289">
        <w:t>Deafblind</w:t>
      </w:r>
      <w:proofErr w:type="spellEnd"/>
      <w:r w:rsidR="003C6289">
        <w:t xml:space="preserve"> (NZ) Incorporated</w:t>
      </w:r>
      <w:r>
        <w:t xml:space="preserve"> and People First New Zealand </w:t>
      </w:r>
      <w:proofErr w:type="spellStart"/>
      <w:r>
        <w:t>Ngā</w:t>
      </w:r>
      <w:proofErr w:type="spellEnd"/>
      <w:r>
        <w:t xml:space="preserve"> </w:t>
      </w:r>
      <w:proofErr w:type="spellStart"/>
      <w:r>
        <w:t>Tāngata</w:t>
      </w:r>
      <w:proofErr w:type="spellEnd"/>
      <w:r>
        <w:t xml:space="preserve"> </w:t>
      </w:r>
      <w:proofErr w:type="spellStart"/>
      <w:r>
        <w:t>Tuatahi</w:t>
      </w:r>
      <w:proofErr w:type="spellEnd"/>
      <w:r>
        <w:t xml:space="preserve"> for their active involvement in, and support for, the development of this guide.</w:t>
      </w:r>
    </w:p>
    <w:p w:rsidR="001F07DE" w:rsidRDefault="00A80363">
      <w:pPr>
        <w:pStyle w:val="Imprint"/>
      </w:pPr>
      <w:r>
        <w:t xml:space="preserve">Citation: </w:t>
      </w:r>
      <w:r w:rsidR="00442C1C">
        <w:t xml:space="preserve">Ministry of Health. </w:t>
      </w:r>
      <w:r w:rsidR="005065F0">
        <w:t>201</w:t>
      </w:r>
      <w:r w:rsidR="00E81E75">
        <w:t>7</w:t>
      </w:r>
      <w:r w:rsidR="00442C1C">
        <w:t xml:space="preserve">. </w:t>
      </w:r>
      <w:r w:rsidR="005065F0">
        <w:rPr>
          <w:i/>
        </w:rPr>
        <w:t>A Guide to Community Engagement with People with Disabilities</w:t>
      </w:r>
      <w:r w:rsidR="00E81E75">
        <w:t xml:space="preserve"> (2nd</w:t>
      </w:r>
      <w:r w:rsidR="00442C1C">
        <w:t xml:space="preserve"> </w:t>
      </w:r>
      <w:proofErr w:type="spellStart"/>
      <w:r w:rsidR="00E81E75">
        <w:t>edn</w:t>
      </w:r>
      <w:proofErr w:type="spellEnd"/>
      <w:r w:rsidR="00E81E75">
        <w:t xml:space="preserve">). </w:t>
      </w:r>
      <w:r w:rsidR="00442C1C">
        <w:t>Wellington: Ministry of Health.</w:t>
      </w:r>
    </w:p>
    <w:p w:rsidR="001F07DE" w:rsidRDefault="00E81E75">
      <w:pPr>
        <w:pStyle w:val="Imprint"/>
      </w:pPr>
      <w:r>
        <w:t>First p</w:t>
      </w:r>
      <w:r w:rsidR="00C86248">
        <w:t xml:space="preserve">ublished in </w:t>
      </w:r>
      <w:r w:rsidR="00741457">
        <w:t>May</w:t>
      </w:r>
      <w:r w:rsidR="00E85506">
        <w:t xml:space="preserve"> </w:t>
      </w:r>
      <w:r w:rsidR="005065F0">
        <w:t>2016</w:t>
      </w:r>
      <w:r>
        <w:t>, 2nd edition April 2017</w:t>
      </w:r>
      <w:r w:rsidR="005019AE">
        <w:br/>
      </w:r>
      <w:r w:rsidR="00C86248">
        <w:t>by the</w:t>
      </w:r>
      <w:r w:rsidR="00442C1C">
        <w:t xml:space="preserve"> </w:t>
      </w:r>
      <w:r w:rsidR="00C86248">
        <w:t>Ministry of Health</w:t>
      </w:r>
      <w:r w:rsidR="00C86248">
        <w:br/>
        <w:t>PO Box 5013, Wellington</w:t>
      </w:r>
      <w:r w:rsidR="00A80363">
        <w:t xml:space="preserve"> 614</w:t>
      </w:r>
      <w:r w:rsidR="00A5422E">
        <w:t>0</w:t>
      </w:r>
      <w:r w:rsidR="00C86248">
        <w:t>, New Zealand</w:t>
      </w:r>
    </w:p>
    <w:p w:rsidR="001F07DE" w:rsidRDefault="00D863D0" w:rsidP="00082CD6">
      <w:pPr>
        <w:pStyle w:val="Imprint"/>
      </w:pPr>
      <w:r>
        <w:t>ISBN</w:t>
      </w:r>
      <w:r w:rsidR="00442C1C">
        <w:t xml:space="preserve"> </w:t>
      </w:r>
      <w:r w:rsidR="00E81E75" w:rsidRPr="00E81E75">
        <w:rPr>
          <w:lang w:val="en-US"/>
        </w:rPr>
        <w:t>978-1-98-850242-7</w:t>
      </w:r>
      <w:r w:rsidR="00E81E75" w:rsidRPr="00E81E75">
        <w:t xml:space="preserve"> </w:t>
      </w:r>
      <w:r>
        <w:t>(</w:t>
      </w:r>
      <w:r w:rsidR="00442C1C">
        <w:t>online</w:t>
      </w:r>
      <w:proofErr w:type="gramStart"/>
      <w:r>
        <w:t>)</w:t>
      </w:r>
      <w:proofErr w:type="gramEnd"/>
      <w:r w:rsidR="00082CD6">
        <w:br/>
      </w:r>
      <w:r w:rsidR="00082CD6" w:rsidRPr="009C0F2D">
        <w:t xml:space="preserve">HP </w:t>
      </w:r>
      <w:r w:rsidR="00E85506">
        <w:t>6361</w:t>
      </w:r>
    </w:p>
    <w:p w:rsidR="001F07DE" w:rsidRDefault="00C86248">
      <w:pPr>
        <w:pStyle w:val="Imprint"/>
      </w:pPr>
      <w:r>
        <w:t xml:space="preserve">This document is available </w:t>
      </w:r>
      <w:r w:rsidR="0071741C">
        <w:t xml:space="preserve">at </w:t>
      </w:r>
      <w:r>
        <w:t>h</w:t>
      </w:r>
      <w:r w:rsidR="00A80363">
        <w:t>ealth</w:t>
      </w:r>
      <w:r>
        <w:t>.govt.nz</w:t>
      </w:r>
    </w:p>
    <w:p w:rsidR="001F07DE" w:rsidRDefault="008C64C4">
      <w:pPr>
        <w:jc w:val="center"/>
      </w:pPr>
      <w:r>
        <w:rPr>
          <w:noProof/>
          <w:lang w:eastAsia="en-NZ"/>
        </w:rPr>
        <w:drawing>
          <wp:inline distT="0" distB="0" distL="0" distR="0" wp14:anchorId="595D5914" wp14:editId="6D2F2CE8">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1F07DE"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5DAAC8D" wp14:editId="711A893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1F07DE" w:rsidRDefault="00C86248">
      <w:pPr>
        <w:pStyle w:val="IntroHead"/>
      </w:pPr>
      <w:bookmarkStart w:id="0" w:name="_Toc405792991"/>
      <w:bookmarkStart w:id="1" w:name="_Toc405793224"/>
      <w:r>
        <w:lastRenderedPageBreak/>
        <w:t>Contents</w:t>
      </w:r>
      <w:bookmarkEnd w:id="0"/>
      <w:bookmarkEnd w:id="1"/>
    </w:p>
    <w:p w:rsidR="007B53B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bookmarkStart w:id="2" w:name="_GoBack"/>
      <w:bookmarkEnd w:id="2"/>
      <w:r w:rsidR="007B53B3">
        <w:rPr>
          <w:noProof/>
        </w:rPr>
        <w:t>Introduction</w:t>
      </w:r>
      <w:r w:rsidR="007B53B3">
        <w:rPr>
          <w:noProof/>
        </w:rPr>
        <w:tab/>
      </w:r>
      <w:r w:rsidR="007B53B3">
        <w:rPr>
          <w:noProof/>
        </w:rPr>
        <w:fldChar w:fldCharType="begin"/>
      </w:r>
      <w:r w:rsidR="007B53B3">
        <w:rPr>
          <w:noProof/>
        </w:rPr>
        <w:instrText xml:space="preserve"> PAGEREF _Toc479687363 \h </w:instrText>
      </w:r>
      <w:r w:rsidR="007B53B3">
        <w:rPr>
          <w:noProof/>
        </w:rPr>
      </w:r>
      <w:r w:rsidR="007B53B3">
        <w:rPr>
          <w:noProof/>
        </w:rPr>
        <w:fldChar w:fldCharType="separate"/>
      </w:r>
      <w:r w:rsidR="008A337B">
        <w:rPr>
          <w:noProof/>
        </w:rPr>
        <w:t>1</w:t>
      </w:r>
      <w:r w:rsidR="007B53B3">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Why equal participation is important</w:t>
      </w:r>
      <w:r>
        <w:rPr>
          <w:noProof/>
        </w:rPr>
        <w:tab/>
      </w:r>
      <w:r>
        <w:rPr>
          <w:noProof/>
        </w:rPr>
        <w:fldChar w:fldCharType="begin"/>
      </w:r>
      <w:r>
        <w:rPr>
          <w:noProof/>
        </w:rPr>
        <w:instrText xml:space="preserve"> PAGEREF _Toc479687364 \h </w:instrText>
      </w:r>
      <w:r>
        <w:rPr>
          <w:noProof/>
        </w:rPr>
      </w:r>
      <w:r>
        <w:rPr>
          <w:noProof/>
        </w:rPr>
        <w:fldChar w:fldCharType="separate"/>
      </w:r>
      <w:r w:rsidR="008A337B">
        <w:rPr>
          <w:noProof/>
        </w:rPr>
        <w:t>3</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Equal participation of people with disabilities</w:t>
      </w:r>
      <w:r>
        <w:rPr>
          <w:noProof/>
        </w:rPr>
        <w:tab/>
      </w:r>
      <w:r>
        <w:rPr>
          <w:noProof/>
        </w:rPr>
        <w:fldChar w:fldCharType="begin"/>
      </w:r>
      <w:r>
        <w:rPr>
          <w:noProof/>
        </w:rPr>
        <w:instrText xml:space="preserve"> PAGEREF _Toc479687365 \h </w:instrText>
      </w:r>
      <w:r>
        <w:rPr>
          <w:noProof/>
        </w:rPr>
      </w:r>
      <w:r>
        <w:rPr>
          <w:noProof/>
        </w:rPr>
        <w:fldChar w:fldCharType="separate"/>
      </w:r>
      <w:r w:rsidR="008A337B">
        <w:rPr>
          <w:noProof/>
        </w:rPr>
        <w:t>3</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Building an inclusive society with strong community relationships</w:t>
      </w:r>
      <w:r>
        <w:rPr>
          <w:noProof/>
        </w:rPr>
        <w:tab/>
      </w:r>
      <w:r>
        <w:rPr>
          <w:noProof/>
        </w:rPr>
        <w:fldChar w:fldCharType="begin"/>
      </w:r>
      <w:r>
        <w:rPr>
          <w:noProof/>
        </w:rPr>
        <w:instrText xml:space="preserve"> PAGEREF _Toc479687366 \h </w:instrText>
      </w:r>
      <w:r>
        <w:rPr>
          <w:noProof/>
        </w:rPr>
      </w:r>
      <w:r>
        <w:rPr>
          <w:noProof/>
        </w:rPr>
        <w:fldChar w:fldCharType="separate"/>
      </w:r>
      <w:r w:rsidR="008A337B">
        <w:rPr>
          <w:noProof/>
        </w:rPr>
        <w:t>3</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Engagement planning</w:t>
      </w:r>
      <w:r>
        <w:rPr>
          <w:noProof/>
        </w:rPr>
        <w:tab/>
      </w:r>
      <w:r>
        <w:rPr>
          <w:noProof/>
        </w:rPr>
        <w:fldChar w:fldCharType="begin"/>
      </w:r>
      <w:r>
        <w:rPr>
          <w:noProof/>
        </w:rPr>
        <w:instrText xml:space="preserve"> PAGEREF _Toc479687367 \h </w:instrText>
      </w:r>
      <w:r>
        <w:rPr>
          <w:noProof/>
        </w:rPr>
      </w:r>
      <w:r>
        <w:rPr>
          <w:noProof/>
        </w:rPr>
        <w:fldChar w:fldCharType="separate"/>
      </w:r>
      <w:r w:rsidR="008A337B">
        <w:rPr>
          <w:noProof/>
        </w:rPr>
        <w:t>5</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Before engaging with people with disabilities</w:t>
      </w:r>
      <w:r>
        <w:rPr>
          <w:noProof/>
        </w:rPr>
        <w:tab/>
      </w:r>
      <w:r>
        <w:rPr>
          <w:noProof/>
        </w:rPr>
        <w:fldChar w:fldCharType="begin"/>
      </w:r>
      <w:r>
        <w:rPr>
          <w:noProof/>
        </w:rPr>
        <w:instrText xml:space="preserve"> PAGEREF _Toc479687368 \h </w:instrText>
      </w:r>
      <w:r>
        <w:rPr>
          <w:noProof/>
        </w:rPr>
      </w:r>
      <w:r>
        <w:rPr>
          <w:noProof/>
        </w:rPr>
        <w:fldChar w:fldCharType="separate"/>
      </w:r>
      <w:r w:rsidR="008A337B">
        <w:rPr>
          <w:noProof/>
        </w:rPr>
        <w:t>5</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Types of engagement</w:t>
      </w:r>
      <w:r>
        <w:rPr>
          <w:noProof/>
        </w:rPr>
        <w:tab/>
      </w:r>
      <w:r>
        <w:rPr>
          <w:noProof/>
        </w:rPr>
        <w:fldChar w:fldCharType="begin"/>
      </w:r>
      <w:r>
        <w:rPr>
          <w:noProof/>
        </w:rPr>
        <w:instrText xml:space="preserve"> PAGEREF _Toc479687369 \h </w:instrText>
      </w:r>
      <w:r>
        <w:rPr>
          <w:noProof/>
        </w:rPr>
      </w:r>
      <w:r>
        <w:rPr>
          <w:noProof/>
        </w:rPr>
        <w:fldChar w:fldCharType="separate"/>
      </w:r>
      <w:r w:rsidR="008A337B">
        <w:rPr>
          <w:noProof/>
        </w:rPr>
        <w:t>5</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Who to engage with</w:t>
      </w:r>
      <w:r>
        <w:rPr>
          <w:noProof/>
        </w:rPr>
        <w:tab/>
      </w:r>
      <w:r>
        <w:rPr>
          <w:noProof/>
        </w:rPr>
        <w:fldChar w:fldCharType="begin"/>
      </w:r>
      <w:r>
        <w:rPr>
          <w:noProof/>
        </w:rPr>
        <w:instrText xml:space="preserve"> PAGEREF _Toc479687370 \h </w:instrText>
      </w:r>
      <w:r>
        <w:rPr>
          <w:noProof/>
        </w:rPr>
      </w:r>
      <w:r>
        <w:rPr>
          <w:noProof/>
        </w:rPr>
        <w:fldChar w:fldCharType="separate"/>
      </w:r>
      <w:r w:rsidR="008A337B">
        <w:rPr>
          <w:noProof/>
        </w:rPr>
        <w:t>6</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Early planning</w:t>
      </w:r>
      <w:r>
        <w:rPr>
          <w:noProof/>
        </w:rPr>
        <w:tab/>
      </w:r>
      <w:r>
        <w:rPr>
          <w:noProof/>
        </w:rPr>
        <w:fldChar w:fldCharType="begin"/>
      </w:r>
      <w:r>
        <w:rPr>
          <w:noProof/>
        </w:rPr>
        <w:instrText xml:space="preserve"> PAGEREF _Toc479687371 \h </w:instrText>
      </w:r>
      <w:r>
        <w:rPr>
          <w:noProof/>
        </w:rPr>
      </w:r>
      <w:r>
        <w:rPr>
          <w:noProof/>
        </w:rPr>
        <w:fldChar w:fldCharType="separate"/>
      </w:r>
      <w:r w:rsidR="008A337B">
        <w:rPr>
          <w:noProof/>
        </w:rPr>
        <w:t>6</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Communication considerations</w:t>
      </w:r>
      <w:r>
        <w:rPr>
          <w:noProof/>
        </w:rPr>
        <w:tab/>
      </w:r>
      <w:r>
        <w:rPr>
          <w:noProof/>
        </w:rPr>
        <w:fldChar w:fldCharType="begin"/>
      </w:r>
      <w:r>
        <w:rPr>
          <w:noProof/>
        </w:rPr>
        <w:instrText xml:space="preserve"> PAGEREF _Toc479687372 \h </w:instrText>
      </w:r>
      <w:r>
        <w:rPr>
          <w:noProof/>
        </w:rPr>
      </w:r>
      <w:r>
        <w:rPr>
          <w:noProof/>
        </w:rPr>
        <w:fldChar w:fldCharType="separate"/>
      </w:r>
      <w:r w:rsidR="008A337B">
        <w:rPr>
          <w:noProof/>
        </w:rPr>
        <w:t>7</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Terminology and language</w:t>
      </w:r>
      <w:r>
        <w:rPr>
          <w:noProof/>
        </w:rPr>
        <w:tab/>
      </w:r>
      <w:r>
        <w:rPr>
          <w:noProof/>
        </w:rPr>
        <w:fldChar w:fldCharType="begin"/>
      </w:r>
      <w:r>
        <w:rPr>
          <w:noProof/>
        </w:rPr>
        <w:instrText xml:space="preserve"> PAGEREF _Toc479687373 \h </w:instrText>
      </w:r>
      <w:r>
        <w:rPr>
          <w:noProof/>
        </w:rPr>
      </w:r>
      <w:r>
        <w:rPr>
          <w:noProof/>
        </w:rPr>
        <w:fldChar w:fldCharType="separate"/>
      </w:r>
      <w:r w:rsidR="008A337B">
        <w:rPr>
          <w:noProof/>
        </w:rPr>
        <w:t>7</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Cultural considerations</w:t>
      </w:r>
      <w:r>
        <w:rPr>
          <w:noProof/>
        </w:rPr>
        <w:tab/>
      </w:r>
      <w:r>
        <w:rPr>
          <w:noProof/>
        </w:rPr>
        <w:fldChar w:fldCharType="begin"/>
      </w:r>
      <w:r>
        <w:rPr>
          <w:noProof/>
        </w:rPr>
        <w:instrText xml:space="preserve"> PAGEREF _Toc479687374 \h </w:instrText>
      </w:r>
      <w:r>
        <w:rPr>
          <w:noProof/>
        </w:rPr>
      </w:r>
      <w:r>
        <w:rPr>
          <w:noProof/>
        </w:rPr>
        <w:fldChar w:fldCharType="separate"/>
      </w:r>
      <w:r w:rsidR="008A337B">
        <w:rPr>
          <w:noProof/>
        </w:rPr>
        <w:t>8</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Venue accessibility</w:t>
      </w:r>
      <w:r>
        <w:rPr>
          <w:noProof/>
        </w:rPr>
        <w:tab/>
      </w:r>
      <w:r>
        <w:rPr>
          <w:noProof/>
        </w:rPr>
        <w:fldChar w:fldCharType="begin"/>
      </w:r>
      <w:r>
        <w:rPr>
          <w:noProof/>
        </w:rPr>
        <w:instrText xml:space="preserve"> PAGEREF _Toc479687375 \h </w:instrText>
      </w:r>
      <w:r>
        <w:rPr>
          <w:noProof/>
        </w:rPr>
      </w:r>
      <w:r>
        <w:rPr>
          <w:noProof/>
        </w:rPr>
        <w:fldChar w:fldCharType="separate"/>
      </w:r>
      <w:r w:rsidR="008A337B">
        <w:rPr>
          <w:noProof/>
        </w:rPr>
        <w:t>10</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Web accessibility and online engagement</w:t>
      </w:r>
      <w:r>
        <w:rPr>
          <w:noProof/>
        </w:rPr>
        <w:tab/>
      </w:r>
      <w:r>
        <w:rPr>
          <w:noProof/>
        </w:rPr>
        <w:fldChar w:fldCharType="begin"/>
      </w:r>
      <w:r>
        <w:rPr>
          <w:noProof/>
        </w:rPr>
        <w:instrText xml:space="preserve"> PAGEREF _Toc479687376 \h </w:instrText>
      </w:r>
      <w:r>
        <w:rPr>
          <w:noProof/>
        </w:rPr>
      </w:r>
      <w:r>
        <w:rPr>
          <w:noProof/>
        </w:rPr>
        <w:fldChar w:fldCharType="separate"/>
      </w:r>
      <w:r w:rsidR="008A337B">
        <w:rPr>
          <w:noProof/>
        </w:rPr>
        <w:t>11</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Feedback</w:t>
      </w:r>
      <w:r>
        <w:rPr>
          <w:noProof/>
        </w:rPr>
        <w:tab/>
      </w:r>
      <w:r>
        <w:rPr>
          <w:noProof/>
        </w:rPr>
        <w:fldChar w:fldCharType="begin"/>
      </w:r>
      <w:r>
        <w:rPr>
          <w:noProof/>
        </w:rPr>
        <w:instrText xml:space="preserve"> PAGEREF _Toc479687377 \h </w:instrText>
      </w:r>
      <w:r>
        <w:rPr>
          <w:noProof/>
        </w:rPr>
      </w:r>
      <w:r>
        <w:rPr>
          <w:noProof/>
        </w:rPr>
        <w:fldChar w:fldCharType="separate"/>
      </w:r>
      <w:r w:rsidR="008A337B">
        <w:rPr>
          <w:noProof/>
        </w:rPr>
        <w:t>11</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Ensuring safety in the engagement process</w:t>
      </w:r>
      <w:r>
        <w:rPr>
          <w:noProof/>
        </w:rPr>
        <w:tab/>
      </w:r>
      <w:r>
        <w:rPr>
          <w:noProof/>
        </w:rPr>
        <w:fldChar w:fldCharType="begin"/>
      </w:r>
      <w:r>
        <w:rPr>
          <w:noProof/>
        </w:rPr>
        <w:instrText xml:space="preserve"> PAGEREF _Toc479687378 \h </w:instrText>
      </w:r>
      <w:r>
        <w:rPr>
          <w:noProof/>
        </w:rPr>
      </w:r>
      <w:r>
        <w:rPr>
          <w:noProof/>
        </w:rPr>
        <w:fldChar w:fldCharType="separate"/>
      </w:r>
      <w:r w:rsidR="008A337B">
        <w:rPr>
          <w:noProof/>
        </w:rPr>
        <w:t>11</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Undertaking an accessible community engagement process</w:t>
      </w:r>
      <w:r>
        <w:rPr>
          <w:noProof/>
        </w:rPr>
        <w:tab/>
      </w:r>
      <w:r>
        <w:rPr>
          <w:noProof/>
        </w:rPr>
        <w:fldChar w:fldCharType="begin"/>
      </w:r>
      <w:r>
        <w:rPr>
          <w:noProof/>
        </w:rPr>
        <w:instrText xml:space="preserve"> PAGEREF _Toc479687379 \h </w:instrText>
      </w:r>
      <w:r>
        <w:rPr>
          <w:noProof/>
        </w:rPr>
      </w:r>
      <w:r>
        <w:rPr>
          <w:noProof/>
        </w:rPr>
        <w:fldChar w:fldCharType="separate"/>
      </w:r>
      <w:r w:rsidR="008A337B">
        <w:rPr>
          <w:noProof/>
        </w:rPr>
        <w:t>13</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Engagement checklist</w:t>
      </w:r>
      <w:r>
        <w:rPr>
          <w:noProof/>
        </w:rPr>
        <w:tab/>
      </w:r>
      <w:r>
        <w:rPr>
          <w:noProof/>
        </w:rPr>
        <w:fldChar w:fldCharType="begin"/>
      </w:r>
      <w:r>
        <w:rPr>
          <w:noProof/>
        </w:rPr>
        <w:instrText xml:space="preserve"> PAGEREF _Toc479687380 \h </w:instrText>
      </w:r>
      <w:r>
        <w:rPr>
          <w:noProof/>
        </w:rPr>
      </w:r>
      <w:r>
        <w:rPr>
          <w:noProof/>
        </w:rPr>
        <w:fldChar w:fldCharType="separate"/>
      </w:r>
      <w:r w:rsidR="008A337B">
        <w:rPr>
          <w:noProof/>
        </w:rPr>
        <w:t>14</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Using images, diagrams, graphs and tables accessibly</w:t>
      </w:r>
      <w:r>
        <w:rPr>
          <w:noProof/>
        </w:rPr>
        <w:tab/>
      </w:r>
      <w:r>
        <w:rPr>
          <w:noProof/>
        </w:rPr>
        <w:fldChar w:fldCharType="begin"/>
      </w:r>
      <w:r>
        <w:rPr>
          <w:noProof/>
        </w:rPr>
        <w:instrText xml:space="preserve"> PAGEREF _Toc479687381 \h </w:instrText>
      </w:r>
      <w:r>
        <w:rPr>
          <w:noProof/>
        </w:rPr>
      </w:r>
      <w:r>
        <w:rPr>
          <w:noProof/>
        </w:rPr>
        <w:fldChar w:fldCharType="separate"/>
      </w:r>
      <w:r w:rsidR="008A337B">
        <w:rPr>
          <w:noProof/>
        </w:rPr>
        <w:t>17</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Using written information and printed materials accessibly</w:t>
      </w:r>
      <w:r>
        <w:rPr>
          <w:noProof/>
        </w:rPr>
        <w:tab/>
      </w:r>
      <w:r>
        <w:rPr>
          <w:noProof/>
        </w:rPr>
        <w:fldChar w:fldCharType="begin"/>
      </w:r>
      <w:r>
        <w:rPr>
          <w:noProof/>
        </w:rPr>
        <w:instrText xml:space="preserve"> PAGEREF _Toc479687382 \h </w:instrText>
      </w:r>
      <w:r>
        <w:rPr>
          <w:noProof/>
        </w:rPr>
      </w:r>
      <w:r>
        <w:rPr>
          <w:noProof/>
        </w:rPr>
        <w:fldChar w:fldCharType="separate"/>
      </w:r>
      <w:r w:rsidR="008A337B">
        <w:rPr>
          <w:noProof/>
        </w:rPr>
        <w:t>19</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Using testimonials</w:t>
      </w:r>
      <w:r>
        <w:rPr>
          <w:noProof/>
        </w:rPr>
        <w:tab/>
      </w:r>
      <w:r>
        <w:rPr>
          <w:noProof/>
        </w:rPr>
        <w:fldChar w:fldCharType="begin"/>
      </w:r>
      <w:r>
        <w:rPr>
          <w:noProof/>
        </w:rPr>
        <w:instrText xml:space="preserve"> PAGEREF _Toc479687383 \h </w:instrText>
      </w:r>
      <w:r>
        <w:rPr>
          <w:noProof/>
        </w:rPr>
      </w:r>
      <w:r>
        <w:rPr>
          <w:noProof/>
        </w:rPr>
        <w:fldChar w:fldCharType="separate"/>
      </w:r>
      <w:r w:rsidR="008A337B">
        <w:rPr>
          <w:noProof/>
        </w:rPr>
        <w:t>20</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Accessible presentations and other verbal communication</w:t>
      </w:r>
      <w:r>
        <w:rPr>
          <w:noProof/>
        </w:rPr>
        <w:tab/>
      </w:r>
      <w:r>
        <w:rPr>
          <w:noProof/>
        </w:rPr>
        <w:fldChar w:fldCharType="begin"/>
      </w:r>
      <w:r>
        <w:rPr>
          <w:noProof/>
        </w:rPr>
        <w:instrText xml:space="preserve"> PAGEREF _Toc479687384 \h </w:instrText>
      </w:r>
      <w:r>
        <w:rPr>
          <w:noProof/>
        </w:rPr>
      </w:r>
      <w:r>
        <w:rPr>
          <w:noProof/>
        </w:rPr>
        <w:fldChar w:fldCharType="separate"/>
      </w:r>
      <w:r w:rsidR="008A337B">
        <w:rPr>
          <w:noProof/>
        </w:rPr>
        <w:t>21</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Venue accessibility</w:t>
      </w:r>
      <w:r>
        <w:rPr>
          <w:noProof/>
        </w:rPr>
        <w:tab/>
      </w:r>
      <w:r>
        <w:rPr>
          <w:noProof/>
        </w:rPr>
        <w:fldChar w:fldCharType="begin"/>
      </w:r>
      <w:r>
        <w:rPr>
          <w:noProof/>
        </w:rPr>
        <w:instrText xml:space="preserve"> PAGEREF _Toc479687385 \h </w:instrText>
      </w:r>
      <w:r>
        <w:rPr>
          <w:noProof/>
        </w:rPr>
      </w:r>
      <w:r>
        <w:rPr>
          <w:noProof/>
        </w:rPr>
        <w:fldChar w:fldCharType="separate"/>
      </w:r>
      <w:r w:rsidR="008A337B">
        <w:rPr>
          <w:noProof/>
        </w:rPr>
        <w:t>23</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Engaging with people who are blind or vision impaired</w:t>
      </w:r>
      <w:r>
        <w:rPr>
          <w:noProof/>
        </w:rPr>
        <w:tab/>
      </w:r>
      <w:r>
        <w:rPr>
          <w:noProof/>
        </w:rPr>
        <w:fldChar w:fldCharType="begin"/>
      </w:r>
      <w:r>
        <w:rPr>
          <w:noProof/>
        </w:rPr>
        <w:instrText xml:space="preserve"> PAGEREF _Toc479687386 \h </w:instrText>
      </w:r>
      <w:r>
        <w:rPr>
          <w:noProof/>
        </w:rPr>
      </w:r>
      <w:r>
        <w:rPr>
          <w:noProof/>
        </w:rPr>
        <w:fldChar w:fldCharType="separate"/>
      </w:r>
      <w:r w:rsidR="008A337B">
        <w:rPr>
          <w:noProof/>
        </w:rPr>
        <w:t>25</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Engaging with people with hearing loss, who are hard of hearing or who are Deaf</w:t>
      </w:r>
      <w:r>
        <w:rPr>
          <w:noProof/>
        </w:rPr>
        <w:tab/>
      </w:r>
      <w:r>
        <w:rPr>
          <w:noProof/>
        </w:rPr>
        <w:fldChar w:fldCharType="begin"/>
      </w:r>
      <w:r>
        <w:rPr>
          <w:noProof/>
        </w:rPr>
        <w:instrText xml:space="preserve"> PAGEREF _Toc479687387 \h </w:instrText>
      </w:r>
      <w:r>
        <w:rPr>
          <w:noProof/>
        </w:rPr>
      </w:r>
      <w:r>
        <w:rPr>
          <w:noProof/>
        </w:rPr>
        <w:fldChar w:fldCharType="separate"/>
      </w:r>
      <w:r w:rsidR="008A337B">
        <w:rPr>
          <w:noProof/>
        </w:rPr>
        <w:t>28</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Engaging with people with complex communication needs</w:t>
      </w:r>
      <w:r>
        <w:rPr>
          <w:noProof/>
        </w:rPr>
        <w:tab/>
      </w:r>
      <w:r>
        <w:rPr>
          <w:noProof/>
        </w:rPr>
        <w:fldChar w:fldCharType="begin"/>
      </w:r>
      <w:r>
        <w:rPr>
          <w:noProof/>
        </w:rPr>
        <w:instrText xml:space="preserve"> PAGEREF _Toc479687388 \h </w:instrText>
      </w:r>
      <w:r>
        <w:rPr>
          <w:noProof/>
        </w:rPr>
      </w:r>
      <w:r>
        <w:rPr>
          <w:noProof/>
        </w:rPr>
        <w:fldChar w:fldCharType="separate"/>
      </w:r>
      <w:r w:rsidR="008A337B">
        <w:rPr>
          <w:noProof/>
        </w:rPr>
        <w:t>30</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Engaging with people with learning/intellectual disabilities</w:t>
      </w:r>
      <w:r>
        <w:rPr>
          <w:noProof/>
        </w:rPr>
        <w:tab/>
      </w:r>
      <w:r>
        <w:rPr>
          <w:noProof/>
        </w:rPr>
        <w:fldChar w:fldCharType="begin"/>
      </w:r>
      <w:r>
        <w:rPr>
          <w:noProof/>
        </w:rPr>
        <w:instrText xml:space="preserve"> PAGEREF _Toc479687389 \h </w:instrText>
      </w:r>
      <w:r>
        <w:rPr>
          <w:noProof/>
        </w:rPr>
      </w:r>
      <w:r>
        <w:rPr>
          <w:noProof/>
        </w:rPr>
        <w:fldChar w:fldCharType="separate"/>
      </w:r>
      <w:r w:rsidR="008A337B">
        <w:rPr>
          <w:noProof/>
        </w:rPr>
        <w:t>32</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Engaging with people with autism spectrum disorder</w:t>
      </w:r>
      <w:r>
        <w:rPr>
          <w:noProof/>
        </w:rPr>
        <w:tab/>
      </w:r>
      <w:r>
        <w:rPr>
          <w:noProof/>
        </w:rPr>
        <w:fldChar w:fldCharType="begin"/>
      </w:r>
      <w:r>
        <w:rPr>
          <w:noProof/>
        </w:rPr>
        <w:instrText xml:space="preserve"> PAGEREF _Toc479687390 \h </w:instrText>
      </w:r>
      <w:r>
        <w:rPr>
          <w:noProof/>
        </w:rPr>
      </w:r>
      <w:r>
        <w:rPr>
          <w:noProof/>
        </w:rPr>
        <w:fldChar w:fldCharType="separate"/>
      </w:r>
      <w:r w:rsidR="008A337B">
        <w:rPr>
          <w:noProof/>
        </w:rPr>
        <w:t>34</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Legal rights and obligations</w:t>
      </w:r>
      <w:r>
        <w:rPr>
          <w:noProof/>
        </w:rPr>
        <w:tab/>
      </w:r>
      <w:r>
        <w:rPr>
          <w:noProof/>
        </w:rPr>
        <w:fldChar w:fldCharType="begin"/>
      </w:r>
      <w:r>
        <w:rPr>
          <w:noProof/>
        </w:rPr>
        <w:instrText xml:space="preserve"> PAGEREF _Toc479687391 \h </w:instrText>
      </w:r>
      <w:r>
        <w:rPr>
          <w:noProof/>
        </w:rPr>
      </w:r>
      <w:r>
        <w:rPr>
          <w:noProof/>
        </w:rPr>
        <w:fldChar w:fldCharType="separate"/>
      </w:r>
      <w:r w:rsidR="008A337B">
        <w:rPr>
          <w:noProof/>
        </w:rPr>
        <w:t>36</w:t>
      </w:r>
      <w:r>
        <w:rPr>
          <w:noProof/>
        </w:rPr>
        <w:fldChar w:fldCharType="end"/>
      </w:r>
    </w:p>
    <w:p w:rsidR="007B53B3" w:rsidRDefault="007B53B3">
      <w:pPr>
        <w:pStyle w:val="TOC2"/>
        <w:rPr>
          <w:rFonts w:asciiTheme="minorHAnsi" w:eastAsiaTheme="minorEastAsia" w:hAnsiTheme="minorHAnsi" w:cstheme="minorBidi"/>
          <w:noProof/>
          <w:szCs w:val="22"/>
          <w:lang w:eastAsia="en-NZ"/>
        </w:rPr>
      </w:pPr>
      <w:r>
        <w:rPr>
          <w:noProof/>
        </w:rPr>
        <w:t>Making a complaint or raising concerns</w:t>
      </w:r>
      <w:r>
        <w:rPr>
          <w:noProof/>
        </w:rPr>
        <w:tab/>
      </w:r>
      <w:r>
        <w:rPr>
          <w:noProof/>
        </w:rPr>
        <w:fldChar w:fldCharType="begin"/>
      </w:r>
      <w:r>
        <w:rPr>
          <w:noProof/>
        </w:rPr>
        <w:instrText xml:space="preserve"> PAGEREF _Toc479687392 \h </w:instrText>
      </w:r>
      <w:r>
        <w:rPr>
          <w:noProof/>
        </w:rPr>
      </w:r>
      <w:r>
        <w:rPr>
          <w:noProof/>
        </w:rPr>
        <w:fldChar w:fldCharType="separate"/>
      </w:r>
      <w:r w:rsidR="008A337B">
        <w:rPr>
          <w:noProof/>
        </w:rPr>
        <w:t>37</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Disabled people’s organisations and resources</w:t>
      </w:r>
      <w:r>
        <w:rPr>
          <w:noProof/>
        </w:rPr>
        <w:tab/>
      </w:r>
      <w:r>
        <w:rPr>
          <w:noProof/>
        </w:rPr>
        <w:fldChar w:fldCharType="begin"/>
      </w:r>
      <w:r>
        <w:rPr>
          <w:noProof/>
        </w:rPr>
        <w:instrText xml:space="preserve"> PAGEREF _Toc479687393 \h </w:instrText>
      </w:r>
      <w:r>
        <w:rPr>
          <w:noProof/>
        </w:rPr>
      </w:r>
      <w:r>
        <w:rPr>
          <w:noProof/>
        </w:rPr>
        <w:fldChar w:fldCharType="separate"/>
      </w:r>
      <w:r w:rsidR="008A337B">
        <w:rPr>
          <w:noProof/>
        </w:rPr>
        <w:t>38</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Government agencies and resources</w:t>
      </w:r>
      <w:r>
        <w:rPr>
          <w:noProof/>
        </w:rPr>
        <w:tab/>
      </w:r>
      <w:r>
        <w:rPr>
          <w:noProof/>
        </w:rPr>
        <w:fldChar w:fldCharType="begin"/>
      </w:r>
      <w:r>
        <w:rPr>
          <w:noProof/>
        </w:rPr>
        <w:instrText xml:space="preserve"> PAGEREF _Toc479687394 \h </w:instrText>
      </w:r>
      <w:r>
        <w:rPr>
          <w:noProof/>
        </w:rPr>
      </w:r>
      <w:r>
        <w:rPr>
          <w:noProof/>
        </w:rPr>
        <w:fldChar w:fldCharType="separate"/>
      </w:r>
      <w:r w:rsidR="008A337B">
        <w:rPr>
          <w:noProof/>
        </w:rPr>
        <w:t>40</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Further resources and organisations</w:t>
      </w:r>
      <w:r>
        <w:rPr>
          <w:noProof/>
        </w:rPr>
        <w:tab/>
      </w:r>
      <w:r>
        <w:rPr>
          <w:noProof/>
        </w:rPr>
        <w:fldChar w:fldCharType="begin"/>
      </w:r>
      <w:r>
        <w:rPr>
          <w:noProof/>
        </w:rPr>
        <w:instrText xml:space="preserve"> PAGEREF _Toc479687395 \h </w:instrText>
      </w:r>
      <w:r>
        <w:rPr>
          <w:noProof/>
        </w:rPr>
      </w:r>
      <w:r>
        <w:rPr>
          <w:noProof/>
        </w:rPr>
        <w:fldChar w:fldCharType="separate"/>
      </w:r>
      <w:r w:rsidR="008A337B">
        <w:rPr>
          <w:noProof/>
        </w:rPr>
        <w:t>43</w:t>
      </w:r>
      <w:r>
        <w:rPr>
          <w:noProof/>
        </w:rPr>
        <w:fldChar w:fldCharType="end"/>
      </w:r>
    </w:p>
    <w:p w:rsidR="007B53B3" w:rsidRDefault="007B53B3">
      <w:pPr>
        <w:pStyle w:val="TOC1"/>
        <w:rPr>
          <w:rFonts w:asciiTheme="minorHAnsi" w:eastAsiaTheme="minorEastAsia" w:hAnsiTheme="minorHAnsi" w:cstheme="minorBidi"/>
          <w:b w:val="0"/>
          <w:noProof/>
          <w:szCs w:val="22"/>
          <w:lang w:eastAsia="en-NZ"/>
        </w:rPr>
      </w:pPr>
      <w:r>
        <w:rPr>
          <w:noProof/>
        </w:rPr>
        <w:t>Endnotes</w:t>
      </w:r>
      <w:r>
        <w:rPr>
          <w:noProof/>
        </w:rPr>
        <w:tab/>
      </w:r>
      <w:r>
        <w:rPr>
          <w:noProof/>
        </w:rPr>
        <w:fldChar w:fldCharType="begin"/>
      </w:r>
      <w:r>
        <w:rPr>
          <w:noProof/>
        </w:rPr>
        <w:instrText xml:space="preserve"> PAGEREF _Toc479687396 \h </w:instrText>
      </w:r>
      <w:r>
        <w:rPr>
          <w:noProof/>
        </w:rPr>
      </w:r>
      <w:r>
        <w:rPr>
          <w:noProof/>
        </w:rPr>
        <w:fldChar w:fldCharType="separate"/>
      </w:r>
      <w:r w:rsidR="008A337B">
        <w:rPr>
          <w:noProof/>
        </w:rPr>
        <w:t>48</w:t>
      </w:r>
      <w:r>
        <w:rPr>
          <w:noProof/>
        </w:rPr>
        <w:fldChar w:fldCharType="end"/>
      </w:r>
    </w:p>
    <w:p w:rsidR="001F07DE" w:rsidRDefault="00C86248" w:rsidP="0086388B">
      <w:r>
        <w:rPr>
          <w:b/>
        </w:rP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1F07DE" w:rsidRDefault="0086388B" w:rsidP="0086388B">
      <w:pPr>
        <w:pStyle w:val="Heading1"/>
      </w:pPr>
      <w:bookmarkStart w:id="3" w:name="_Toc479687363"/>
      <w:r>
        <w:lastRenderedPageBreak/>
        <w:t>Introduction</w:t>
      </w:r>
      <w:bookmarkEnd w:id="3"/>
    </w:p>
    <w:p w:rsidR="001F07DE" w:rsidRDefault="005065F0" w:rsidP="00267D5F">
      <w:r w:rsidRPr="007C3C1C">
        <w:t>People with disabilities represent a significant percentage of the community</w:t>
      </w:r>
      <w:r>
        <w:t>.</w:t>
      </w:r>
      <w:r w:rsidRPr="00267D5F">
        <w:rPr>
          <w:rStyle w:val="FootnoteReference"/>
        </w:rPr>
        <w:footnoteReference w:id="1"/>
      </w:r>
      <w:r w:rsidR="001F07DE">
        <w:t xml:space="preserve"> </w:t>
      </w:r>
      <w:r>
        <w:t xml:space="preserve">This guide </w:t>
      </w:r>
      <w:r w:rsidRPr="0057069D">
        <w:t xml:space="preserve">offers practical advice about </w:t>
      </w:r>
      <w:r>
        <w:t>consulting</w:t>
      </w:r>
      <w:r w:rsidRPr="0057069D">
        <w:t xml:space="preserve"> with people with disabilities and reducing barriers to the</w:t>
      </w:r>
      <w:r>
        <w:t>ir</w:t>
      </w:r>
      <w:r w:rsidRPr="0057069D">
        <w:t xml:space="preserve"> full participation in their communities. </w:t>
      </w:r>
      <w:r>
        <w:t>It was developed in</w:t>
      </w:r>
      <w:r w:rsidRPr="005B1D81">
        <w:t xml:space="preserve"> association with </w:t>
      </w:r>
      <w:r>
        <w:t>d</w:t>
      </w:r>
      <w:r w:rsidRPr="005B1D81">
        <w:t xml:space="preserve">isabled </w:t>
      </w:r>
      <w:r>
        <w:t>people</w:t>
      </w:r>
      <w:r w:rsidR="00267D5F">
        <w:t>’</w:t>
      </w:r>
      <w:r>
        <w:t>s o</w:t>
      </w:r>
      <w:r w:rsidRPr="005B1D81">
        <w:t>rganisations</w:t>
      </w:r>
      <w:r>
        <w:t>,</w:t>
      </w:r>
      <w:r w:rsidRPr="005B1D81">
        <w:t xml:space="preserve"> </w:t>
      </w:r>
      <w:r>
        <w:t xml:space="preserve">to assist agencies such as </w:t>
      </w:r>
      <w:r w:rsidRPr="0057069D">
        <w:t xml:space="preserve">government </w:t>
      </w:r>
      <w:r>
        <w:t xml:space="preserve">departments, </w:t>
      </w:r>
      <w:r w:rsidRPr="0057069D">
        <w:t xml:space="preserve">local bodies, </w:t>
      </w:r>
      <w:r>
        <w:t>d</w:t>
      </w:r>
      <w:r w:rsidRPr="0057069D">
        <w:t xml:space="preserve">istrict </w:t>
      </w:r>
      <w:r>
        <w:t>h</w:t>
      </w:r>
      <w:r w:rsidRPr="0057069D">
        <w:t xml:space="preserve">ealth </w:t>
      </w:r>
      <w:r>
        <w:t>b</w:t>
      </w:r>
      <w:r w:rsidRPr="0057069D">
        <w:t>oards, schools and community groups</w:t>
      </w:r>
      <w:r>
        <w:t xml:space="preserve"> to </w:t>
      </w:r>
      <w:r w:rsidRPr="005B1D81">
        <w:t xml:space="preserve">engage with </w:t>
      </w:r>
      <w:r>
        <w:t>people with disabilities.</w:t>
      </w:r>
    </w:p>
    <w:p w:rsidR="00267D5F" w:rsidRDefault="00267D5F" w:rsidP="00267D5F"/>
    <w:p w:rsidR="001F07DE" w:rsidRDefault="005065F0" w:rsidP="00267D5F">
      <w:r>
        <w:t>Disabilities are diverse and can range from obvious impairments to invisible conditions.</w:t>
      </w:r>
      <w:r w:rsidR="001F07DE">
        <w:t xml:space="preserve"> </w:t>
      </w:r>
      <w:r>
        <w:t>This includes people with</w:t>
      </w:r>
      <w:r w:rsidRPr="00417582">
        <w:t>:</w:t>
      </w:r>
    </w:p>
    <w:p w:rsidR="001F07DE" w:rsidRDefault="005065F0" w:rsidP="00267D5F">
      <w:pPr>
        <w:pStyle w:val="Bullet"/>
      </w:pPr>
      <w:r>
        <w:t>a learning/</w:t>
      </w:r>
      <w:r w:rsidRPr="005A632E">
        <w:t xml:space="preserve">intellectual </w:t>
      </w:r>
      <w:r>
        <w:t>disability</w:t>
      </w:r>
    </w:p>
    <w:p w:rsidR="001F07DE" w:rsidRDefault="005065F0" w:rsidP="00267D5F">
      <w:pPr>
        <w:pStyle w:val="Bullet"/>
      </w:pPr>
      <w:r>
        <w:t>p</w:t>
      </w:r>
      <w:r w:rsidRPr="005C24A6">
        <w:t>hysical impairments including mobility impairments, and those who use mobility devices or other assistive technology</w:t>
      </w:r>
    </w:p>
    <w:p w:rsidR="001F07DE" w:rsidRDefault="005065F0" w:rsidP="00267D5F">
      <w:pPr>
        <w:pStyle w:val="Bullet"/>
      </w:pPr>
      <w:r>
        <w:t>s</w:t>
      </w:r>
      <w:r w:rsidRPr="005C24A6">
        <w:t>ensory impairments</w:t>
      </w:r>
      <w:r>
        <w:t>/loss,</w:t>
      </w:r>
      <w:r w:rsidRPr="005C24A6">
        <w:t xml:space="preserve"> including those </w:t>
      </w:r>
      <w:r>
        <w:t>with a vision impairment or who are blind and those with a hearing loss, who are hard of hearing or who are Deaf</w:t>
      </w:r>
    </w:p>
    <w:p w:rsidR="001F07DE" w:rsidRDefault="005065F0" w:rsidP="00267D5F">
      <w:pPr>
        <w:pStyle w:val="Bullet"/>
      </w:pPr>
      <w:r>
        <w:t>m</w:t>
      </w:r>
      <w:r w:rsidRPr="005C24A6">
        <w:t xml:space="preserve">ental health </w:t>
      </w:r>
      <w:r>
        <w:t>condition</w:t>
      </w:r>
      <w:r w:rsidRPr="005C24A6">
        <w:t>s</w:t>
      </w:r>
      <w:r>
        <w:t>,</w:t>
      </w:r>
      <w:r w:rsidRPr="005C24A6">
        <w:t xml:space="preserve"> including those who experience </w:t>
      </w:r>
      <w:r>
        <w:t>disabling symptoms such as</w:t>
      </w:r>
      <w:r w:rsidRPr="00200291">
        <w:t xml:space="preserve"> depression, anxiety</w:t>
      </w:r>
      <w:r>
        <w:t xml:space="preserve"> or psychosis</w:t>
      </w:r>
    </w:p>
    <w:p w:rsidR="001F07DE" w:rsidRPr="00E81E75" w:rsidRDefault="005065F0" w:rsidP="00267D5F">
      <w:pPr>
        <w:pStyle w:val="Bullet"/>
      </w:pPr>
      <w:r w:rsidRPr="00E81E75">
        <w:t>neurological impairments such as brain injury</w:t>
      </w:r>
      <w:r w:rsidR="007A0001" w:rsidRPr="00E81E75">
        <w:t xml:space="preserve"> and</w:t>
      </w:r>
      <w:r w:rsidR="00581436" w:rsidRPr="00E81E75">
        <w:t xml:space="preserve"> autism</w:t>
      </w:r>
    </w:p>
    <w:p w:rsidR="001F07DE" w:rsidRDefault="005065F0" w:rsidP="00267D5F">
      <w:pPr>
        <w:pStyle w:val="Bullet"/>
      </w:pPr>
      <w:proofErr w:type="gramStart"/>
      <w:r>
        <w:t>c</w:t>
      </w:r>
      <w:r w:rsidRPr="005C24A6">
        <w:t>hronic</w:t>
      </w:r>
      <w:proofErr w:type="gramEnd"/>
      <w:r w:rsidRPr="005C24A6">
        <w:t xml:space="preserve"> illness </w:t>
      </w:r>
      <w:r>
        <w:t>(such as diabetes</w:t>
      </w:r>
      <w:r w:rsidR="00581436">
        <w:t>, arthritis</w:t>
      </w:r>
      <w:r>
        <w:t xml:space="preserve">), as well as </w:t>
      </w:r>
      <w:r w:rsidRPr="005C24A6">
        <w:t xml:space="preserve">those whose experience of disability is </w:t>
      </w:r>
      <w:r w:rsidR="00267D5F">
        <w:t>‘</w:t>
      </w:r>
      <w:r w:rsidRPr="005C24A6">
        <w:t>invisible</w:t>
      </w:r>
      <w:r w:rsidR="00267D5F">
        <w:t>’</w:t>
      </w:r>
      <w:r>
        <w:t xml:space="preserve"> (</w:t>
      </w:r>
      <w:proofErr w:type="spellStart"/>
      <w:r>
        <w:t>eg</w:t>
      </w:r>
      <w:proofErr w:type="spellEnd"/>
      <w:r>
        <w:t>, people with auditory processing disorders might be able to hear well in one-to-one conversation, but not if there is background noise in a crowded room).</w:t>
      </w:r>
    </w:p>
    <w:p w:rsidR="00267D5F" w:rsidRDefault="00267D5F" w:rsidP="00267D5F"/>
    <w:p w:rsidR="006F2DE4" w:rsidRPr="006F2DE4" w:rsidRDefault="006F2DE4" w:rsidP="00267D5F">
      <w:pPr>
        <w:rPr>
          <w:szCs w:val="22"/>
        </w:rPr>
      </w:pPr>
      <w:r w:rsidRPr="00E81E75">
        <w:rPr>
          <w:rFonts w:cs="Arial Mäori"/>
          <w:color w:val="000000"/>
          <w:szCs w:val="22"/>
          <w:lang w:eastAsia="en-NZ"/>
        </w:rPr>
        <w:t xml:space="preserve">Some people experience multiple forms of disability. The presence of multiple disabilities along with the interaction between them can create high and complex needs </w:t>
      </w:r>
      <w:r w:rsidR="00E937E8" w:rsidRPr="00E81E75">
        <w:rPr>
          <w:rFonts w:cs="Arial Mäori"/>
          <w:color w:val="000000"/>
          <w:szCs w:val="22"/>
          <w:lang w:eastAsia="en-NZ"/>
        </w:rPr>
        <w:t>resulting in</w:t>
      </w:r>
      <w:r w:rsidRPr="00E81E75">
        <w:rPr>
          <w:rFonts w:cs="Arial Mäori"/>
          <w:color w:val="000000"/>
          <w:szCs w:val="22"/>
          <w:lang w:eastAsia="en-NZ"/>
        </w:rPr>
        <w:t xml:space="preserve"> an increased need for awareness and sensitivity around engagement.</w:t>
      </w:r>
    </w:p>
    <w:p w:rsidR="006F2DE4" w:rsidRDefault="006F2DE4" w:rsidP="00267D5F"/>
    <w:p w:rsidR="00267D5F" w:rsidRDefault="005065F0" w:rsidP="00267D5F">
      <w:r w:rsidRPr="00F67F40">
        <w:t xml:space="preserve">This guide </w:t>
      </w:r>
      <w:r>
        <w:t>focuses on engaging with people with learning/intellectual,</w:t>
      </w:r>
      <w:r w:rsidRPr="00267D5F">
        <w:rPr>
          <w:rStyle w:val="FootnoteReference"/>
        </w:rPr>
        <w:footnoteReference w:id="2"/>
      </w:r>
      <w:r>
        <w:t xml:space="preserve"> physical and/or sensory disabilities. </w:t>
      </w:r>
      <w:r w:rsidRPr="00F67F40">
        <w:t xml:space="preserve">However, much of </w:t>
      </w:r>
      <w:r>
        <w:t xml:space="preserve">its </w:t>
      </w:r>
      <w:r w:rsidRPr="00F67F40">
        <w:t xml:space="preserve">advice can </w:t>
      </w:r>
      <w:r>
        <w:t xml:space="preserve">also </w:t>
      </w:r>
      <w:r w:rsidRPr="00F67F40">
        <w:t xml:space="preserve">be applied to work with people who experience mental health </w:t>
      </w:r>
      <w:r>
        <w:t>conditions</w:t>
      </w:r>
      <w:r w:rsidRPr="00F67F40">
        <w:t>.</w:t>
      </w:r>
    </w:p>
    <w:p w:rsidR="00267D5F" w:rsidRDefault="00267D5F" w:rsidP="00267D5F"/>
    <w:p w:rsidR="00267D5F" w:rsidRDefault="005065F0" w:rsidP="00267D5F">
      <w:r w:rsidRPr="005B1D81">
        <w:t>The principles of the Treaty of Waitangi (</w:t>
      </w:r>
      <w:proofErr w:type="spellStart"/>
      <w:r w:rsidRPr="005B1D81">
        <w:t>Te</w:t>
      </w:r>
      <w:proofErr w:type="spellEnd"/>
      <w:r w:rsidRPr="005B1D81">
        <w:t xml:space="preserve"> </w:t>
      </w:r>
      <w:proofErr w:type="spellStart"/>
      <w:r w:rsidRPr="005B1D81">
        <w:t>Tiriti</w:t>
      </w:r>
      <w:proofErr w:type="spellEnd"/>
      <w:r w:rsidRPr="005B1D81">
        <w:t xml:space="preserve"> o Waitangi), </w:t>
      </w:r>
      <w:r>
        <w:t xml:space="preserve">the </w:t>
      </w:r>
      <w:r w:rsidRPr="005B1D81">
        <w:t>New Zealand Disability Strategy,</w:t>
      </w:r>
      <w:r>
        <w:rPr>
          <w:rStyle w:val="EndnoteReference"/>
        </w:rPr>
        <w:endnoteReference w:id="1"/>
      </w:r>
      <w:r w:rsidRPr="005B1D81">
        <w:t xml:space="preserve"> the Kia </w:t>
      </w:r>
      <w:proofErr w:type="spellStart"/>
      <w:r w:rsidRPr="005B1D81">
        <w:t>Tūtahi</w:t>
      </w:r>
      <w:proofErr w:type="spellEnd"/>
      <w:r w:rsidRPr="005B1D81">
        <w:t xml:space="preserve"> Relationship Accord and the </w:t>
      </w:r>
      <w:r>
        <w:t xml:space="preserve">United Nations </w:t>
      </w:r>
      <w:r w:rsidRPr="005B1D81">
        <w:t xml:space="preserve">Convention on the Rights of </w:t>
      </w:r>
      <w:r>
        <w:t xml:space="preserve">Persons </w:t>
      </w:r>
      <w:r w:rsidRPr="005B1D81">
        <w:t>with Disabilities</w:t>
      </w:r>
      <w:r>
        <w:t xml:space="preserve"> (the UN Convention)</w:t>
      </w:r>
      <w:r w:rsidRPr="005B1D81">
        <w:t xml:space="preserve"> all informed the development of this guide.</w:t>
      </w:r>
    </w:p>
    <w:p w:rsidR="00267D5F" w:rsidRDefault="00267D5F" w:rsidP="00267D5F"/>
    <w:p w:rsidR="00267D5F" w:rsidRDefault="005065F0" w:rsidP="00267D5F">
      <w:r>
        <w:t xml:space="preserve">The UN </w:t>
      </w:r>
      <w:r w:rsidRPr="005B1D81">
        <w:t xml:space="preserve">Convention </w:t>
      </w:r>
      <w:r>
        <w:t xml:space="preserve">was established to </w:t>
      </w:r>
      <w:r w:rsidR="00267D5F">
        <w:t>‘</w:t>
      </w:r>
      <w:r w:rsidRPr="00761C76">
        <w:t>promote, protect and ensure the full and equal enjoyment of all human rights and fundamental freedoms by all persons with disabilities, and to promote respect for their inherent dignity</w:t>
      </w:r>
      <w:r w:rsidR="00267D5F">
        <w:t>’</w:t>
      </w:r>
      <w:r w:rsidRPr="00761C76">
        <w:t>.</w:t>
      </w:r>
      <w:r>
        <w:t xml:space="preserve"> This guide will help organisations to ensure people with disabilities can access, </w:t>
      </w:r>
      <w:r w:rsidRPr="006E193A">
        <w:t xml:space="preserve">on an equal basis with others, </w:t>
      </w:r>
      <w:r>
        <w:t>the physical environment, information and communica</w:t>
      </w:r>
      <w:r w:rsidRPr="006E193A">
        <w:t>tions</w:t>
      </w:r>
      <w:r>
        <w:t>.</w:t>
      </w:r>
      <w:r w:rsidRPr="006E193A">
        <w:rPr>
          <w:rStyle w:val="EndnoteReference"/>
        </w:rPr>
        <w:endnoteReference w:id="2"/>
      </w:r>
    </w:p>
    <w:p w:rsidR="00267D5F" w:rsidRDefault="00267D5F" w:rsidP="00267D5F"/>
    <w:p w:rsidR="0025377E" w:rsidRDefault="005065F0" w:rsidP="00267D5F">
      <w:pPr>
        <w:rPr>
          <w:rStyle w:val="Hyperlink"/>
          <w:color w:val="auto"/>
          <w:szCs w:val="25"/>
        </w:rPr>
      </w:pPr>
      <w:r>
        <w:t>This guide is a living document that will change over time. If you have feedback or content to add please contact Disability Support Services</w:t>
      </w:r>
      <w:r w:rsidRPr="00712540">
        <w:rPr>
          <w:szCs w:val="25"/>
        </w:rPr>
        <w:t xml:space="preserve"> </w:t>
      </w:r>
      <w:r w:rsidRPr="004267A5">
        <w:rPr>
          <w:szCs w:val="25"/>
        </w:rPr>
        <w:t>within the Ministry of Health</w:t>
      </w:r>
      <w:r w:rsidR="0025377E">
        <w:rPr>
          <w:szCs w:val="25"/>
        </w:rPr>
        <w:t>:</w:t>
      </w:r>
      <w:r w:rsidR="009A2A45">
        <w:rPr>
          <w:szCs w:val="25"/>
        </w:rPr>
        <w:t xml:space="preserve"> </w:t>
      </w:r>
      <w:hyperlink r:id="rId18" w:history="1">
        <w:r w:rsidR="009A2A45" w:rsidRPr="009A2A45">
          <w:rPr>
            <w:rStyle w:val="Hyperlink"/>
            <w:color w:val="auto"/>
            <w:szCs w:val="25"/>
          </w:rPr>
          <w:t>disability@moh.govt.nz</w:t>
        </w:r>
      </w:hyperlink>
    </w:p>
    <w:p w:rsidR="006F2DE4" w:rsidRPr="009A2A45" w:rsidRDefault="006F2DE4" w:rsidP="00267D5F"/>
    <w:p w:rsidR="00E81E75" w:rsidRDefault="00E81E75">
      <w:pPr>
        <w:spacing w:line="240" w:lineRule="auto"/>
        <w:rPr>
          <w:b/>
          <w:sz w:val="60"/>
        </w:rPr>
      </w:pPr>
      <w:bookmarkStart w:id="4" w:name="_Toc404864954"/>
      <w:bookmarkStart w:id="5" w:name="_Toc416691367"/>
      <w:bookmarkStart w:id="6" w:name="_Toc442354538"/>
      <w:r>
        <w:rPr>
          <w:b/>
          <w:sz w:val="60"/>
        </w:rPr>
        <w:br w:type="page"/>
      </w:r>
    </w:p>
    <w:p w:rsidR="001F07DE" w:rsidRDefault="005065F0" w:rsidP="00267D5F">
      <w:pPr>
        <w:pStyle w:val="Heading1"/>
      </w:pPr>
      <w:bookmarkStart w:id="7" w:name="_Toc479687364"/>
      <w:r w:rsidRPr="00631D6E">
        <w:lastRenderedPageBreak/>
        <w:t xml:space="preserve">Why </w:t>
      </w:r>
      <w:r>
        <w:t xml:space="preserve">equal participation </w:t>
      </w:r>
      <w:bookmarkEnd w:id="4"/>
      <w:bookmarkEnd w:id="5"/>
      <w:r w:rsidRPr="00631D6E">
        <w:t>is important</w:t>
      </w:r>
      <w:bookmarkEnd w:id="6"/>
      <w:bookmarkEnd w:id="7"/>
    </w:p>
    <w:p w:rsidR="001F07DE" w:rsidRDefault="005065F0" w:rsidP="00267D5F">
      <w:pPr>
        <w:pStyle w:val="Heading2"/>
      </w:pPr>
      <w:bookmarkStart w:id="8" w:name="_Toc404864955"/>
      <w:bookmarkStart w:id="9" w:name="_Toc416691368"/>
      <w:bookmarkStart w:id="10" w:name="_Toc442354539"/>
      <w:bookmarkStart w:id="11" w:name="_Toc479687365"/>
      <w:r w:rsidRPr="000869F7">
        <w:t xml:space="preserve">Equal participation </w:t>
      </w:r>
      <w:bookmarkEnd w:id="8"/>
      <w:bookmarkEnd w:id="9"/>
      <w:bookmarkEnd w:id="10"/>
      <w:r>
        <w:t>of people with disabilities</w:t>
      </w:r>
      <w:bookmarkEnd w:id="11"/>
    </w:p>
    <w:p w:rsidR="00267D5F" w:rsidRDefault="005065F0" w:rsidP="00267D5F">
      <w:r>
        <w:t>People with disabilities</w:t>
      </w:r>
      <w:r w:rsidRPr="00417582">
        <w:t xml:space="preserve"> have long faced considerable barriers to equal participation and involvement in society. The three main barriers that prevent </w:t>
      </w:r>
      <w:r>
        <w:t>people with disabilities</w:t>
      </w:r>
      <w:r w:rsidRPr="00417582">
        <w:t xml:space="preserve"> from being active in their communities and having their voices heard are:</w:t>
      </w:r>
    </w:p>
    <w:p w:rsidR="001F07DE" w:rsidRDefault="005065F0" w:rsidP="00267D5F">
      <w:pPr>
        <w:pStyle w:val="Bullet"/>
      </w:pPr>
      <w:r>
        <w:t>a</w:t>
      </w:r>
      <w:r w:rsidRPr="00D52BFC">
        <w:t>ccess to information and services</w:t>
      </w:r>
      <w:r>
        <w:t xml:space="preserve"> – for example, </w:t>
      </w:r>
      <w:r w:rsidRPr="00D52BFC">
        <w:t xml:space="preserve">a person with a vision impairment </w:t>
      </w:r>
      <w:r>
        <w:t xml:space="preserve">may have difficulty accessing </w:t>
      </w:r>
      <w:r w:rsidRPr="00D52BFC">
        <w:t>written information about changes in their community</w:t>
      </w:r>
      <w:r>
        <w:t>;</w:t>
      </w:r>
      <w:r w:rsidRPr="00D52BFC">
        <w:t xml:space="preserve"> </w:t>
      </w:r>
      <w:r>
        <w:t xml:space="preserve">or </w:t>
      </w:r>
      <w:r w:rsidRPr="00D52BFC">
        <w:t xml:space="preserve">a person with a hearing </w:t>
      </w:r>
      <w:r>
        <w:t>loss, is hard of hearing or Deaf,</w:t>
      </w:r>
      <w:r w:rsidRPr="00D52BFC">
        <w:t xml:space="preserve"> </w:t>
      </w:r>
      <w:r>
        <w:t>may have difficulties a</w:t>
      </w:r>
      <w:r w:rsidRPr="00D52BFC">
        <w:t>ccess</w:t>
      </w:r>
      <w:r>
        <w:t>ing</w:t>
      </w:r>
      <w:r w:rsidRPr="00D52BFC">
        <w:t xml:space="preserve"> information</w:t>
      </w:r>
      <w:r>
        <w:t xml:space="preserve"> </w:t>
      </w:r>
      <w:r w:rsidRPr="00D52BFC">
        <w:t>available only through a</w:t>
      </w:r>
      <w:r>
        <w:t>n</w:t>
      </w:r>
      <w:r w:rsidRPr="00D52BFC">
        <w:t xml:space="preserve"> 0800 telephone line</w:t>
      </w:r>
      <w:r w:rsidR="000F7430">
        <w:t>, people with autism are likely to prefer online or printed materials</w:t>
      </w:r>
    </w:p>
    <w:p w:rsidR="00267D5F" w:rsidRDefault="005065F0" w:rsidP="00267D5F">
      <w:pPr>
        <w:pStyle w:val="Bullet"/>
      </w:pPr>
      <w:r>
        <w:t>s</w:t>
      </w:r>
      <w:r w:rsidRPr="00D52BFC">
        <w:t>ocial attitudes and behaviours</w:t>
      </w:r>
      <w:r>
        <w:t xml:space="preserve"> – for example, </w:t>
      </w:r>
      <w:r w:rsidRPr="00D52BFC">
        <w:t>the</w:t>
      </w:r>
      <w:r>
        <w:t>re can be an</w:t>
      </w:r>
      <w:r w:rsidRPr="00D52BFC">
        <w:t xml:space="preserve"> assumption that </w:t>
      </w:r>
      <w:r>
        <w:t>people with disabilities</w:t>
      </w:r>
      <w:r w:rsidRPr="00D52BFC">
        <w:t xml:space="preserve"> do not work or have children and therefore do not need accessible transport or parenting support; </w:t>
      </w:r>
      <w:r>
        <w:t xml:space="preserve">or </w:t>
      </w:r>
      <w:r w:rsidRPr="00D52BFC">
        <w:t xml:space="preserve">that because a disabled person </w:t>
      </w:r>
      <w:r w:rsidRPr="00902A7B">
        <w:t xml:space="preserve">has a physical or sensory </w:t>
      </w:r>
      <w:r>
        <w:t>loss</w:t>
      </w:r>
      <w:r w:rsidRPr="00902A7B">
        <w:t xml:space="preserve"> they will </w:t>
      </w:r>
      <w:r w:rsidRPr="00E81E75">
        <w:t>also have a learning/intellectual disability</w:t>
      </w:r>
      <w:r w:rsidR="00E937E8" w:rsidRPr="00E81E75">
        <w:t>;</w:t>
      </w:r>
      <w:r w:rsidR="000F7430" w:rsidRPr="00E81E75">
        <w:t xml:space="preserve"> </w:t>
      </w:r>
      <w:r w:rsidR="00E937E8" w:rsidRPr="00E81E75">
        <w:t xml:space="preserve">or </w:t>
      </w:r>
      <w:r w:rsidR="000F7430" w:rsidRPr="00E81E75">
        <w:t xml:space="preserve">the behaviour of some people with autism </w:t>
      </w:r>
      <w:r w:rsidR="00EF16C6" w:rsidRPr="00E81E75">
        <w:t xml:space="preserve">e.g. lack of eye contact, </w:t>
      </w:r>
      <w:r w:rsidR="000F7430" w:rsidRPr="00E81E75">
        <w:t>may be misinterpreted</w:t>
      </w:r>
      <w:r w:rsidR="00EF16C6" w:rsidRPr="00E81E75">
        <w:t xml:space="preserve"> as being unfriendly</w:t>
      </w:r>
      <w:r w:rsidRPr="00E81E75">
        <w:t>. Discrimination can result in</w:t>
      </w:r>
      <w:r w:rsidRPr="00902A7B">
        <w:t xml:space="preserve"> </w:t>
      </w:r>
      <w:r>
        <w:t>people</w:t>
      </w:r>
      <w:r w:rsidRPr="00902A7B">
        <w:t xml:space="preserve"> being marginalised and devalued</w:t>
      </w:r>
      <w:r w:rsidR="000F7430">
        <w:t>.</w:t>
      </w:r>
    </w:p>
    <w:p w:rsidR="001F07DE" w:rsidRDefault="005065F0" w:rsidP="00267D5F">
      <w:pPr>
        <w:pStyle w:val="Bullet"/>
      </w:pPr>
      <w:proofErr w:type="gramStart"/>
      <w:r>
        <w:t>t</w:t>
      </w:r>
      <w:r w:rsidRPr="00D52BFC">
        <w:t>he</w:t>
      </w:r>
      <w:proofErr w:type="gramEnd"/>
      <w:r w:rsidRPr="00D52BFC">
        <w:t xml:space="preserve"> built environment</w:t>
      </w:r>
      <w:r>
        <w:t xml:space="preserve"> – for example, </w:t>
      </w:r>
      <w:r w:rsidRPr="00D52BFC">
        <w:t xml:space="preserve">a person who uses a wheelchair </w:t>
      </w:r>
      <w:r>
        <w:t>cannot</w:t>
      </w:r>
      <w:r w:rsidRPr="00D52BFC">
        <w:t xml:space="preserve"> access a building where the entrance is only accessible by steps.</w:t>
      </w:r>
    </w:p>
    <w:p w:rsidR="00267D5F" w:rsidRDefault="00267D5F" w:rsidP="00267D5F"/>
    <w:p w:rsidR="001F07DE" w:rsidRDefault="005065F0" w:rsidP="00267D5F">
      <w:pPr>
        <w:pStyle w:val="Heading2"/>
      </w:pPr>
      <w:bookmarkStart w:id="12" w:name="_Building_an_inclusive"/>
      <w:bookmarkStart w:id="13" w:name="_Toc404864956"/>
      <w:bookmarkStart w:id="14" w:name="_Toc416691369"/>
      <w:bookmarkStart w:id="15" w:name="_Toc442354540"/>
      <w:bookmarkStart w:id="16" w:name="_Toc479687366"/>
      <w:bookmarkEnd w:id="12"/>
      <w:r w:rsidRPr="000869F7">
        <w:t>Building an inclusive society with strong community relationships</w:t>
      </w:r>
      <w:bookmarkEnd w:id="13"/>
      <w:bookmarkEnd w:id="14"/>
      <w:bookmarkEnd w:id="15"/>
      <w:bookmarkEnd w:id="16"/>
    </w:p>
    <w:p w:rsidR="001F07DE" w:rsidRPr="001F07DE" w:rsidRDefault="005065F0" w:rsidP="00267D5F">
      <w:r w:rsidRPr="001F07DE">
        <w:t>This guide aims to improve the lives of people with disabilities by ensuring their voices are heard and that their views inform decision-making. This guide also focuses on strengthening government and community partnerships.</w:t>
      </w:r>
    </w:p>
    <w:p w:rsidR="00267D5F" w:rsidRDefault="00267D5F" w:rsidP="00267D5F"/>
    <w:p w:rsidR="00267D5F" w:rsidRDefault="005065F0" w:rsidP="00267D5F">
      <w:r w:rsidRPr="00417582">
        <w:t xml:space="preserve">Kia </w:t>
      </w:r>
      <w:proofErr w:type="spellStart"/>
      <w:r w:rsidRPr="00417582">
        <w:t>Tūtahi</w:t>
      </w:r>
      <w:proofErr w:type="spellEnd"/>
      <w:r w:rsidRPr="00417582">
        <w:t>, signed by the Prime Minister and community representatives in 2011, supports building strong relationships between communities and the government. In particular,</w:t>
      </w:r>
      <w:r>
        <w:t xml:space="preserve"> it commits the government to listening and responding</w:t>
      </w:r>
      <w:r w:rsidRPr="00417582">
        <w:t xml:space="preserve"> to those not usually included in policy development</w:t>
      </w:r>
      <w:r>
        <w:t>.</w:t>
      </w:r>
    </w:p>
    <w:p w:rsidR="00267D5F" w:rsidRDefault="00267D5F" w:rsidP="00267D5F"/>
    <w:p w:rsidR="001F07DE" w:rsidRDefault="005065F0" w:rsidP="00267D5F">
      <w:r w:rsidRPr="00E81E75">
        <w:t>The New Zealand Disability Strategy, launched in 2001</w:t>
      </w:r>
      <w:r w:rsidR="00B87096" w:rsidRPr="00E81E75">
        <w:t xml:space="preserve"> and updated in 2016</w:t>
      </w:r>
      <w:r w:rsidRPr="00E81E75">
        <w:t>, aims to move from</w:t>
      </w:r>
      <w:r w:rsidRPr="00417582">
        <w:t xml:space="preserve"> a disabling to an inclusive society. </w:t>
      </w:r>
      <w:r>
        <w:t>The strategy committed the g</w:t>
      </w:r>
      <w:r w:rsidRPr="00417582">
        <w:t xml:space="preserve">overnment to developing </w:t>
      </w:r>
      <w:r w:rsidRPr="00CA53D9">
        <w:t xml:space="preserve">meaningful partnerships </w:t>
      </w:r>
      <w:r>
        <w:t xml:space="preserve">with people with disabilities; it </w:t>
      </w:r>
      <w:r w:rsidRPr="00CA53D9">
        <w:t xml:space="preserve">recognises that disabled people are </w:t>
      </w:r>
      <w:r w:rsidRPr="00417582">
        <w:t xml:space="preserve">expert </w:t>
      </w:r>
      <w:r>
        <w:t>i</w:t>
      </w:r>
      <w:r w:rsidRPr="00417582">
        <w:t xml:space="preserve">n their own lives and </w:t>
      </w:r>
      <w:r>
        <w:t xml:space="preserve">their </w:t>
      </w:r>
      <w:r w:rsidRPr="00417582">
        <w:t>experience of disability</w:t>
      </w:r>
      <w:r w:rsidR="002665BC">
        <w:t>.</w:t>
      </w:r>
      <w:r w:rsidR="00A26343">
        <w:t xml:space="preserve"> </w:t>
      </w:r>
      <w:r>
        <w:t xml:space="preserve">The strategy aims to ensure people with disabilities are </w:t>
      </w:r>
      <w:r w:rsidRPr="00417582">
        <w:t>informed about</w:t>
      </w:r>
      <w:r>
        <w:t>,</w:t>
      </w:r>
      <w:r w:rsidRPr="00417582">
        <w:t xml:space="preserve"> and involved in</w:t>
      </w:r>
      <w:r>
        <w:t>,</w:t>
      </w:r>
      <w:r w:rsidRPr="00417582">
        <w:t xml:space="preserve"> decision-making regarding matters that affect them.</w:t>
      </w:r>
      <w:r>
        <w:t xml:space="preserve"> In the spirit of the strategy, disabled people</w:t>
      </w:r>
      <w:r w:rsidR="00267D5F">
        <w:t>’</w:t>
      </w:r>
      <w:r>
        <w:t>s o</w:t>
      </w:r>
      <w:r w:rsidRPr="00924B11">
        <w:t>rganisations</w:t>
      </w:r>
      <w:r>
        <w:t xml:space="preserve"> and </w:t>
      </w:r>
      <w:r w:rsidRPr="00924B11">
        <w:t>government agencies</w:t>
      </w:r>
      <w:r>
        <w:t xml:space="preserve"> together led the design of the Disability Action Plan.</w:t>
      </w:r>
    </w:p>
    <w:p w:rsidR="00267D5F" w:rsidRDefault="00267D5F" w:rsidP="00267D5F"/>
    <w:p w:rsidR="001F07DE" w:rsidRDefault="005065F0" w:rsidP="00267D5F">
      <w:r>
        <w:t>O</w:t>
      </w:r>
      <w:r w:rsidRPr="00417582">
        <w:t xml:space="preserve">rganisations can </w:t>
      </w:r>
      <w:r>
        <w:t>promote the rights of people with disabilities</w:t>
      </w:r>
      <w:r w:rsidRPr="00417582">
        <w:t xml:space="preserve"> through accessible </w:t>
      </w:r>
      <w:r>
        <w:t xml:space="preserve">and </w:t>
      </w:r>
      <w:r w:rsidRPr="00417582">
        <w:t>inclusive community engagement.</w:t>
      </w:r>
      <w:r>
        <w:t xml:space="preserve"> An</w:t>
      </w:r>
      <w:r w:rsidRPr="00417582">
        <w:t xml:space="preserve"> important step towards meaningful partnership is ensuring all </w:t>
      </w:r>
      <w:r w:rsidRPr="00417582">
        <w:lastRenderedPageBreak/>
        <w:t xml:space="preserve">information and communication methods offered to the public are </w:t>
      </w:r>
      <w:r>
        <w:t xml:space="preserve">also </w:t>
      </w:r>
      <w:r w:rsidRPr="00417582">
        <w:t>available in form</w:t>
      </w:r>
      <w:r>
        <w:t>at</w:t>
      </w:r>
      <w:r w:rsidRPr="00417582">
        <w:t>s appropriate to the differ</w:t>
      </w:r>
      <w:r>
        <w:t xml:space="preserve">ing </w:t>
      </w:r>
      <w:r w:rsidRPr="00417582">
        <w:t xml:space="preserve">requirements of </w:t>
      </w:r>
      <w:r>
        <w:t>people with disabilities</w:t>
      </w:r>
      <w:r w:rsidRPr="00417582">
        <w:t>.</w:t>
      </w:r>
    </w:p>
    <w:p w:rsidR="00E81E75" w:rsidRDefault="00E81E75">
      <w:pPr>
        <w:spacing w:line="240" w:lineRule="auto"/>
      </w:pPr>
      <w:r>
        <w:br w:type="page"/>
      </w:r>
    </w:p>
    <w:p w:rsidR="001F07DE" w:rsidRDefault="005065F0" w:rsidP="00267D5F">
      <w:pPr>
        <w:pStyle w:val="Heading1"/>
      </w:pPr>
      <w:bookmarkStart w:id="17" w:name="_Planning_for_community"/>
      <w:bookmarkStart w:id="18" w:name="_Toc479687367"/>
      <w:bookmarkEnd w:id="17"/>
      <w:r>
        <w:lastRenderedPageBreak/>
        <w:t>Engagement planning</w:t>
      </w:r>
      <w:bookmarkEnd w:id="18"/>
    </w:p>
    <w:p w:rsidR="00267D5F" w:rsidRDefault="005065F0" w:rsidP="00267D5F">
      <w:pPr>
        <w:pStyle w:val="Heading2"/>
      </w:pPr>
      <w:bookmarkStart w:id="19" w:name="_Toc404864958"/>
      <w:bookmarkStart w:id="20" w:name="_Toc416691371"/>
      <w:bookmarkStart w:id="21" w:name="_Toc442354542"/>
      <w:bookmarkStart w:id="22" w:name="_Toc479687368"/>
      <w:r w:rsidRPr="000869F7">
        <w:t>Before engaging with people with disabilities</w:t>
      </w:r>
      <w:bookmarkEnd w:id="19"/>
      <w:bookmarkEnd w:id="20"/>
      <w:bookmarkEnd w:id="21"/>
      <w:bookmarkEnd w:id="22"/>
    </w:p>
    <w:p w:rsidR="00267D5F" w:rsidRDefault="005065F0" w:rsidP="00267D5F">
      <w:r>
        <w:t xml:space="preserve">First find out whether there has been </w:t>
      </w:r>
      <w:r w:rsidRPr="00417582">
        <w:t>any previous engagement</w:t>
      </w:r>
      <w:r>
        <w:t>. T</w:t>
      </w:r>
      <w:r w:rsidRPr="00417582">
        <w:t>his</w:t>
      </w:r>
      <w:r>
        <w:t xml:space="preserve"> </w:t>
      </w:r>
      <w:r w:rsidRPr="00417582">
        <w:t xml:space="preserve">shows respect for the time and effort of </w:t>
      </w:r>
      <w:r>
        <w:t xml:space="preserve">people </w:t>
      </w:r>
      <w:r w:rsidRPr="00417582">
        <w:t>who have already provided their expert advice.</w:t>
      </w:r>
    </w:p>
    <w:p w:rsidR="00267D5F" w:rsidRDefault="00267D5F" w:rsidP="00267D5F"/>
    <w:p w:rsidR="001F07DE" w:rsidRDefault="005065F0" w:rsidP="00267D5F">
      <w:r>
        <w:t>Then clearly define the:</w:t>
      </w:r>
    </w:p>
    <w:p w:rsidR="001F07DE" w:rsidRDefault="005065F0" w:rsidP="00267D5F">
      <w:pPr>
        <w:pStyle w:val="Bullet"/>
      </w:pPr>
      <w:r w:rsidRPr="00417582">
        <w:t>purpose and type of engagement</w:t>
      </w:r>
      <w:r>
        <w:t xml:space="preserve"> you are planning</w:t>
      </w:r>
    </w:p>
    <w:p w:rsidR="001F07DE" w:rsidRDefault="005065F0" w:rsidP="00267D5F">
      <w:pPr>
        <w:pStyle w:val="Bullet"/>
      </w:pPr>
      <w:r w:rsidRPr="00417582">
        <w:t>timeframe</w:t>
      </w:r>
    </w:p>
    <w:p w:rsidR="001F07DE" w:rsidRDefault="005065F0" w:rsidP="00267D5F">
      <w:pPr>
        <w:pStyle w:val="Bullet"/>
      </w:pPr>
      <w:r w:rsidRPr="00417582">
        <w:t xml:space="preserve">feedback </w:t>
      </w:r>
      <w:r>
        <w:t xml:space="preserve">you </w:t>
      </w:r>
      <w:r w:rsidRPr="00417582">
        <w:t xml:space="preserve">will provide to </w:t>
      </w:r>
      <w:r>
        <w:t>participants</w:t>
      </w:r>
    </w:p>
    <w:p w:rsidR="001F07DE" w:rsidRDefault="005065F0" w:rsidP="00267D5F">
      <w:pPr>
        <w:pStyle w:val="Bullet"/>
      </w:pPr>
      <w:proofErr w:type="gramStart"/>
      <w:r w:rsidRPr="00417582">
        <w:t>expectations</w:t>
      </w:r>
      <w:proofErr w:type="gramEnd"/>
      <w:r w:rsidRPr="00417582">
        <w:t xml:space="preserve"> of your organisation and the expectations of the </w:t>
      </w:r>
      <w:r>
        <w:t>participants</w:t>
      </w:r>
      <w:r w:rsidRPr="00417582">
        <w:t>.</w:t>
      </w:r>
    </w:p>
    <w:p w:rsidR="00267D5F" w:rsidRDefault="00267D5F" w:rsidP="00267D5F"/>
    <w:p w:rsidR="001F07DE" w:rsidRDefault="005065F0" w:rsidP="00267D5F">
      <w:r w:rsidRPr="00417582">
        <w:t>Consider consulting in a number of ways</w:t>
      </w:r>
      <w:r>
        <w:t>:</w:t>
      </w:r>
      <w:r w:rsidRPr="00417582">
        <w:t xml:space="preserve"> </w:t>
      </w:r>
      <w:r>
        <w:t>s</w:t>
      </w:r>
      <w:r w:rsidRPr="00417582">
        <w:t xml:space="preserve">ome forms of communication may be essential for one group, but totally inaccessible </w:t>
      </w:r>
      <w:r>
        <w:t>to</w:t>
      </w:r>
      <w:r w:rsidRPr="00417582">
        <w:t xml:space="preserve"> another. </w:t>
      </w:r>
      <w:r>
        <w:t>C</w:t>
      </w:r>
      <w:r w:rsidRPr="00DA47BB">
        <w:t xml:space="preserve">ommunication aids </w:t>
      </w:r>
      <w:r>
        <w:t xml:space="preserve">such as </w:t>
      </w:r>
      <w:r w:rsidRPr="00DA47BB">
        <w:t>computer technologies/software, picture</w:t>
      </w:r>
      <w:r>
        <w:t>-</w:t>
      </w:r>
      <w:r w:rsidRPr="00DA47BB">
        <w:t xml:space="preserve">based communication boards, whiteboards/pens </w:t>
      </w:r>
      <w:r>
        <w:t xml:space="preserve">and </w:t>
      </w:r>
      <w:r w:rsidRPr="00DA47BB">
        <w:t>speaking device</w:t>
      </w:r>
      <w:r>
        <w:t>s may help</w:t>
      </w:r>
      <w:r w:rsidRPr="00DA47BB">
        <w:t>.</w:t>
      </w:r>
      <w:r>
        <w:t xml:space="preserve"> </w:t>
      </w:r>
      <w:r w:rsidRPr="00417582">
        <w:t xml:space="preserve">Your engagement may involve public meetings with </w:t>
      </w:r>
      <w:r>
        <w:t>New Zealand Sign L</w:t>
      </w:r>
      <w:r w:rsidRPr="00417582">
        <w:t xml:space="preserve">anguage interpreters, </w:t>
      </w:r>
      <w:r>
        <w:t xml:space="preserve">accessible </w:t>
      </w:r>
      <w:r w:rsidRPr="00417582">
        <w:t>online surveys, postal surveys or one-on-one conversations.</w:t>
      </w:r>
    </w:p>
    <w:p w:rsidR="00267D5F" w:rsidRDefault="00267D5F" w:rsidP="00267D5F"/>
    <w:p w:rsidR="003A071C" w:rsidRDefault="003A071C">
      <w:pPr>
        <w:spacing w:line="240" w:lineRule="auto"/>
        <w:rPr>
          <w:b/>
          <w:sz w:val="40"/>
        </w:rPr>
      </w:pPr>
      <w:bookmarkStart w:id="23" w:name="_Types_of_community"/>
      <w:bookmarkStart w:id="24" w:name="_Toc404864959"/>
      <w:bookmarkStart w:id="25" w:name="_Toc416691372"/>
      <w:bookmarkStart w:id="26" w:name="_Toc442354543"/>
      <w:bookmarkEnd w:id="23"/>
    </w:p>
    <w:p w:rsidR="001F07DE" w:rsidRDefault="005065F0" w:rsidP="00267D5F">
      <w:pPr>
        <w:pStyle w:val="Heading2"/>
      </w:pPr>
      <w:bookmarkStart w:id="27" w:name="_Toc479687369"/>
      <w:r>
        <w:t>Types of</w:t>
      </w:r>
      <w:r w:rsidRPr="000869F7">
        <w:t xml:space="preserve"> engagement</w:t>
      </w:r>
      <w:bookmarkEnd w:id="24"/>
      <w:bookmarkEnd w:id="25"/>
      <w:bookmarkEnd w:id="26"/>
      <w:bookmarkEnd w:id="27"/>
    </w:p>
    <w:p w:rsidR="005065F0" w:rsidRDefault="005065F0" w:rsidP="00267D5F">
      <w:r w:rsidRPr="00417582">
        <w:t>Identify what level of engagement is appropriate</w:t>
      </w:r>
      <w:r>
        <w:t xml:space="preserve"> for your purpose.</w:t>
      </w:r>
      <w:r w:rsidR="001F07DE">
        <w:t xml:space="preserve"> </w:t>
      </w:r>
      <w:r>
        <w:t>The following table describes different l</w:t>
      </w:r>
      <w:r w:rsidRPr="00417582">
        <w:t>evels of engagement.</w:t>
      </w:r>
    </w:p>
    <w:p w:rsidR="00267D5F" w:rsidRDefault="00267D5F" w:rsidP="00267D5F"/>
    <w:p w:rsidR="00267D5F" w:rsidRDefault="00267D5F" w:rsidP="00267D5F">
      <w:r>
        <w:rPr>
          <w:noProof/>
          <w:lang w:eastAsia="en-NZ"/>
        </w:rPr>
        <w:drawing>
          <wp:inline distT="0" distB="0" distL="0" distR="0" wp14:anchorId="220E1331" wp14:editId="1102F1FB">
            <wp:extent cx="5926975" cy="609778"/>
            <wp:effectExtent l="0" t="0" r="0" b="0"/>
            <wp:docPr id="8" name="Picture 8" descr="Inform; consult; involve; collaborate; lead" title="Types of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273" cy="609500"/>
                    </a:xfrm>
                    <a:prstGeom prst="rect">
                      <a:avLst/>
                    </a:prstGeom>
                    <a:noFill/>
                  </pic:spPr>
                </pic:pic>
              </a:graphicData>
            </a:graphic>
          </wp:inline>
        </w:drawing>
      </w:r>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 Types of Community Engagement"/>
        <w:tblDescription w:val="Table describes the spectrum of engagement from inform to support with examples."/>
      </w:tblPr>
      <w:tblGrid>
        <w:gridCol w:w="1560"/>
        <w:gridCol w:w="5386"/>
        <w:gridCol w:w="2410"/>
      </w:tblGrid>
      <w:tr w:rsidR="005065F0" w:rsidRPr="003825BF" w:rsidTr="00DD7FA2">
        <w:trPr>
          <w:cantSplit/>
        </w:trPr>
        <w:tc>
          <w:tcPr>
            <w:tcW w:w="1560" w:type="dxa"/>
            <w:tcBorders>
              <w:top w:val="single" w:sz="4" w:space="0" w:color="632423" w:themeColor="accent2" w:themeShade="80"/>
              <w:bottom w:val="nil"/>
            </w:tcBorders>
            <w:shd w:val="clear" w:color="auto" w:fill="632423" w:themeFill="accent2" w:themeFillShade="80"/>
            <w:vAlign w:val="center"/>
          </w:tcPr>
          <w:p w:rsidR="005065F0" w:rsidRPr="00DD7FA2" w:rsidRDefault="005065F0" w:rsidP="00DD7FA2">
            <w:pPr>
              <w:pStyle w:val="TableText"/>
              <w:rPr>
                <w:b/>
                <w:color w:val="FFFFFF" w:themeColor="background1"/>
                <w:sz w:val="22"/>
                <w:szCs w:val="22"/>
              </w:rPr>
            </w:pPr>
            <w:r w:rsidRPr="00DD7FA2">
              <w:rPr>
                <w:b/>
                <w:color w:val="FFFFFF" w:themeColor="background1"/>
                <w:sz w:val="22"/>
                <w:szCs w:val="22"/>
              </w:rPr>
              <w:t>Inf</w:t>
            </w:r>
            <w:bookmarkStart w:id="28" w:name="RowTitle_1"/>
            <w:bookmarkEnd w:id="28"/>
            <w:r w:rsidRPr="00DD7FA2">
              <w:rPr>
                <w:b/>
                <w:color w:val="FFFFFF" w:themeColor="background1"/>
                <w:sz w:val="22"/>
                <w:szCs w:val="22"/>
              </w:rPr>
              <w:t>orm</w:t>
            </w:r>
          </w:p>
        </w:tc>
        <w:tc>
          <w:tcPr>
            <w:tcW w:w="5386" w:type="dxa"/>
            <w:tcBorders>
              <w:bottom w:val="single" w:sz="4" w:space="0" w:color="A6A6A6" w:themeColor="background1" w:themeShade="A6"/>
            </w:tcBorders>
          </w:tcPr>
          <w:p w:rsidR="005065F0" w:rsidRPr="003825BF" w:rsidRDefault="005065F0" w:rsidP="00DD7FA2">
            <w:pPr>
              <w:pStyle w:val="TableText"/>
              <w:ind w:right="142"/>
            </w:pPr>
            <w:r>
              <w:t>One-way communication of i</w:t>
            </w:r>
            <w:r w:rsidRPr="004040A7">
              <w:t>nformation</w:t>
            </w:r>
            <w:r>
              <w:t xml:space="preserve"> – from your </w:t>
            </w:r>
            <w:r w:rsidRPr="004040A7">
              <w:t xml:space="preserve">organisation to </w:t>
            </w:r>
            <w:r>
              <w:t xml:space="preserve">the community including people with disabilities. </w:t>
            </w:r>
            <w:r w:rsidRPr="005B1D81">
              <w:t>In this form of engagement</w:t>
            </w:r>
            <w:r>
              <w:t>,</w:t>
            </w:r>
            <w:r w:rsidRPr="005B1D81">
              <w:t xml:space="preserve"> </w:t>
            </w:r>
            <w:r>
              <w:t xml:space="preserve">the community has </w:t>
            </w:r>
            <w:r w:rsidRPr="005B1D81">
              <w:t>no input into decision-making</w:t>
            </w:r>
          </w:p>
        </w:tc>
        <w:tc>
          <w:tcPr>
            <w:tcW w:w="2410" w:type="dxa"/>
            <w:tcBorders>
              <w:bottom w:val="single" w:sz="4" w:space="0" w:color="A6A6A6" w:themeColor="background1" w:themeShade="A6"/>
            </w:tcBorders>
          </w:tcPr>
          <w:p w:rsidR="001F07DE" w:rsidRDefault="005065F0" w:rsidP="00DD7FA2">
            <w:pPr>
              <w:pStyle w:val="TableBullet"/>
              <w:spacing w:before="60"/>
            </w:pPr>
            <w:r>
              <w:t>Websites</w:t>
            </w:r>
          </w:p>
          <w:p w:rsidR="005065F0" w:rsidRPr="003825BF" w:rsidRDefault="005065F0" w:rsidP="00DD7FA2">
            <w:pPr>
              <w:pStyle w:val="TableBullet"/>
              <w:spacing w:before="60"/>
            </w:pPr>
            <w:r w:rsidRPr="005B1D81">
              <w:t>Letters</w:t>
            </w:r>
          </w:p>
        </w:tc>
      </w:tr>
      <w:tr w:rsidR="005065F0" w:rsidRPr="003825BF" w:rsidTr="00DD7FA2">
        <w:trPr>
          <w:cantSplit/>
        </w:trPr>
        <w:tc>
          <w:tcPr>
            <w:tcW w:w="1560" w:type="dxa"/>
            <w:tcBorders>
              <w:top w:val="nil"/>
              <w:bottom w:val="nil"/>
            </w:tcBorders>
            <w:shd w:val="clear" w:color="auto" w:fill="4F6228" w:themeFill="accent3" w:themeFillShade="80"/>
            <w:vAlign w:val="center"/>
          </w:tcPr>
          <w:p w:rsidR="005065F0" w:rsidRPr="00DD7FA2" w:rsidRDefault="005065F0" w:rsidP="00DD7FA2">
            <w:pPr>
              <w:pStyle w:val="TableText"/>
              <w:rPr>
                <w:b/>
                <w:color w:val="FFFFFF" w:themeColor="background1"/>
                <w:sz w:val="22"/>
                <w:szCs w:val="22"/>
              </w:rPr>
            </w:pPr>
            <w:r w:rsidRPr="00DD7FA2">
              <w:rPr>
                <w:b/>
                <w:color w:val="FFFFFF" w:themeColor="background1"/>
                <w:sz w:val="22"/>
                <w:szCs w:val="22"/>
              </w:rPr>
              <w:t>Consult</w:t>
            </w:r>
          </w:p>
        </w:tc>
        <w:tc>
          <w:tcPr>
            <w:tcW w:w="5386" w:type="dxa"/>
            <w:tcBorders>
              <w:top w:val="single" w:sz="4" w:space="0" w:color="A6A6A6" w:themeColor="background1" w:themeShade="A6"/>
              <w:bottom w:val="single" w:sz="4" w:space="0" w:color="A6A6A6" w:themeColor="background1" w:themeShade="A6"/>
            </w:tcBorders>
          </w:tcPr>
          <w:p w:rsidR="005065F0" w:rsidRPr="003825BF" w:rsidRDefault="005065F0" w:rsidP="00DD7FA2">
            <w:pPr>
              <w:pStyle w:val="TableText"/>
              <w:ind w:right="142"/>
            </w:pPr>
            <w:r>
              <w:t>Two-way communication – between your organisation and the community including people with disabilities. Its purpose is to seek the opinion of the community</w:t>
            </w:r>
          </w:p>
        </w:tc>
        <w:tc>
          <w:tcPr>
            <w:tcW w:w="2410" w:type="dxa"/>
            <w:tcBorders>
              <w:top w:val="single" w:sz="4" w:space="0" w:color="A6A6A6" w:themeColor="background1" w:themeShade="A6"/>
              <w:bottom w:val="single" w:sz="4" w:space="0" w:color="A6A6A6" w:themeColor="background1" w:themeShade="A6"/>
            </w:tcBorders>
          </w:tcPr>
          <w:p w:rsidR="001F07DE" w:rsidRDefault="005065F0" w:rsidP="00DD7FA2">
            <w:pPr>
              <w:pStyle w:val="TableBullet"/>
              <w:spacing w:before="60"/>
            </w:pPr>
            <w:r>
              <w:t>S</w:t>
            </w:r>
            <w:r w:rsidRPr="00594E49">
              <w:t>urvey</w:t>
            </w:r>
            <w:r>
              <w:t>s</w:t>
            </w:r>
          </w:p>
          <w:p w:rsidR="001F07DE" w:rsidRDefault="005065F0" w:rsidP="00DD7FA2">
            <w:pPr>
              <w:pStyle w:val="TableBullet"/>
              <w:spacing w:before="60"/>
            </w:pPr>
            <w:r>
              <w:t>Focus groups</w:t>
            </w:r>
          </w:p>
          <w:p w:rsidR="005065F0" w:rsidRPr="003825BF" w:rsidRDefault="005065F0" w:rsidP="00DD7FA2">
            <w:pPr>
              <w:pStyle w:val="TableBullet"/>
              <w:spacing w:before="60"/>
            </w:pPr>
            <w:r>
              <w:t>Social media</w:t>
            </w:r>
          </w:p>
        </w:tc>
      </w:tr>
      <w:tr w:rsidR="005065F0" w:rsidRPr="003825BF" w:rsidTr="00DD7FA2">
        <w:trPr>
          <w:cantSplit/>
        </w:trPr>
        <w:tc>
          <w:tcPr>
            <w:tcW w:w="1560" w:type="dxa"/>
            <w:tcBorders>
              <w:top w:val="nil"/>
              <w:bottom w:val="nil"/>
            </w:tcBorders>
            <w:shd w:val="clear" w:color="auto" w:fill="403152" w:themeFill="accent4" w:themeFillShade="80"/>
            <w:vAlign w:val="center"/>
          </w:tcPr>
          <w:p w:rsidR="005065F0" w:rsidRPr="00DD7FA2" w:rsidRDefault="005065F0" w:rsidP="00DD7FA2">
            <w:pPr>
              <w:pStyle w:val="TableText"/>
              <w:rPr>
                <w:b/>
                <w:color w:val="FFFFFF" w:themeColor="background1"/>
                <w:sz w:val="22"/>
                <w:szCs w:val="22"/>
              </w:rPr>
            </w:pPr>
            <w:r w:rsidRPr="00DD7FA2">
              <w:rPr>
                <w:b/>
                <w:color w:val="FFFFFF" w:themeColor="background1"/>
                <w:sz w:val="22"/>
                <w:szCs w:val="22"/>
              </w:rPr>
              <w:t>Involve</w:t>
            </w:r>
          </w:p>
        </w:tc>
        <w:tc>
          <w:tcPr>
            <w:tcW w:w="5386" w:type="dxa"/>
            <w:tcBorders>
              <w:top w:val="single" w:sz="4" w:space="0" w:color="A6A6A6" w:themeColor="background1" w:themeShade="A6"/>
              <w:bottom w:val="single" w:sz="4" w:space="0" w:color="A6A6A6" w:themeColor="background1" w:themeShade="A6"/>
            </w:tcBorders>
          </w:tcPr>
          <w:p w:rsidR="005065F0" w:rsidRPr="003825BF" w:rsidRDefault="005065F0" w:rsidP="00DD7FA2">
            <w:pPr>
              <w:pStyle w:val="TableText"/>
              <w:ind w:right="142"/>
            </w:pPr>
            <w:r>
              <w:t>Working directly with the community during the engagement process, including by seeking feedback and discussing questions</w:t>
            </w:r>
          </w:p>
        </w:tc>
        <w:tc>
          <w:tcPr>
            <w:tcW w:w="2410" w:type="dxa"/>
            <w:tcBorders>
              <w:top w:val="single" w:sz="4" w:space="0" w:color="A6A6A6" w:themeColor="background1" w:themeShade="A6"/>
              <w:bottom w:val="single" w:sz="4" w:space="0" w:color="A6A6A6" w:themeColor="background1" w:themeShade="A6"/>
            </w:tcBorders>
          </w:tcPr>
          <w:p w:rsidR="001F07DE" w:rsidRDefault="005065F0" w:rsidP="00DD7FA2">
            <w:pPr>
              <w:pStyle w:val="TableBullet"/>
              <w:spacing w:before="60"/>
            </w:pPr>
            <w:r>
              <w:t>Workshops</w:t>
            </w:r>
          </w:p>
          <w:p w:rsidR="005065F0" w:rsidRPr="003825BF" w:rsidRDefault="005065F0" w:rsidP="00DD7FA2">
            <w:pPr>
              <w:pStyle w:val="TableBullet"/>
              <w:spacing w:before="60"/>
            </w:pPr>
            <w:r>
              <w:t>Working/planning groups</w:t>
            </w:r>
          </w:p>
        </w:tc>
      </w:tr>
      <w:tr w:rsidR="005065F0" w:rsidRPr="003825BF" w:rsidTr="00DD7FA2">
        <w:trPr>
          <w:cantSplit/>
        </w:trPr>
        <w:tc>
          <w:tcPr>
            <w:tcW w:w="1560" w:type="dxa"/>
            <w:tcBorders>
              <w:top w:val="nil"/>
              <w:bottom w:val="nil"/>
            </w:tcBorders>
            <w:shd w:val="clear" w:color="auto" w:fill="215868" w:themeFill="accent5" w:themeFillShade="80"/>
            <w:vAlign w:val="center"/>
          </w:tcPr>
          <w:p w:rsidR="005065F0" w:rsidRPr="00DD7FA2" w:rsidRDefault="005065F0" w:rsidP="00DD7FA2">
            <w:pPr>
              <w:pStyle w:val="TableText"/>
              <w:rPr>
                <w:b/>
                <w:color w:val="FFFFFF" w:themeColor="background1"/>
                <w:sz w:val="22"/>
                <w:szCs w:val="22"/>
              </w:rPr>
            </w:pPr>
            <w:r w:rsidRPr="00DD7FA2">
              <w:rPr>
                <w:b/>
                <w:color w:val="FFFFFF" w:themeColor="background1"/>
                <w:sz w:val="22"/>
                <w:szCs w:val="22"/>
              </w:rPr>
              <w:t>Collaborate</w:t>
            </w:r>
          </w:p>
        </w:tc>
        <w:tc>
          <w:tcPr>
            <w:tcW w:w="5386" w:type="dxa"/>
            <w:tcBorders>
              <w:top w:val="single" w:sz="4" w:space="0" w:color="A6A6A6" w:themeColor="background1" w:themeShade="A6"/>
              <w:bottom w:val="single" w:sz="4" w:space="0" w:color="A6A6A6" w:themeColor="background1" w:themeShade="A6"/>
            </w:tcBorders>
          </w:tcPr>
          <w:p w:rsidR="005065F0" w:rsidRPr="003825BF" w:rsidRDefault="005065F0" w:rsidP="00DD7FA2">
            <w:pPr>
              <w:pStyle w:val="TableText"/>
              <w:ind w:right="142"/>
            </w:pPr>
            <w:r>
              <w:t>A community partnership, including s</w:t>
            </w:r>
            <w:r w:rsidRPr="00417582">
              <w:t xml:space="preserve">hared decision-making </w:t>
            </w:r>
            <w:r>
              <w:t>and a co-design approach</w:t>
            </w:r>
          </w:p>
        </w:tc>
        <w:tc>
          <w:tcPr>
            <w:tcW w:w="2410" w:type="dxa"/>
            <w:tcBorders>
              <w:top w:val="single" w:sz="4" w:space="0" w:color="A6A6A6" w:themeColor="background1" w:themeShade="A6"/>
              <w:bottom w:val="single" w:sz="4" w:space="0" w:color="A6A6A6" w:themeColor="background1" w:themeShade="A6"/>
            </w:tcBorders>
          </w:tcPr>
          <w:p w:rsidR="001F07DE" w:rsidRDefault="005065F0" w:rsidP="00DD7FA2">
            <w:pPr>
              <w:pStyle w:val="TableBullet"/>
              <w:spacing w:before="60"/>
            </w:pPr>
            <w:r>
              <w:t>Advisory committees</w:t>
            </w:r>
          </w:p>
          <w:p w:rsidR="005065F0" w:rsidRPr="003825BF" w:rsidRDefault="005065F0" w:rsidP="00DD7FA2">
            <w:pPr>
              <w:pStyle w:val="TableBullet"/>
              <w:spacing w:before="60"/>
            </w:pPr>
            <w:r>
              <w:t>Reference groups</w:t>
            </w:r>
          </w:p>
        </w:tc>
      </w:tr>
      <w:tr w:rsidR="005065F0" w:rsidRPr="003825BF" w:rsidTr="00DD7FA2">
        <w:trPr>
          <w:cantSplit/>
        </w:trPr>
        <w:tc>
          <w:tcPr>
            <w:tcW w:w="1560" w:type="dxa"/>
            <w:tcBorders>
              <w:top w:val="nil"/>
              <w:bottom w:val="single" w:sz="4" w:space="0" w:color="984806" w:themeColor="accent6" w:themeShade="80"/>
            </w:tcBorders>
            <w:shd w:val="clear" w:color="auto" w:fill="984806" w:themeFill="accent6" w:themeFillShade="80"/>
            <w:vAlign w:val="center"/>
          </w:tcPr>
          <w:p w:rsidR="005065F0" w:rsidRPr="00DD7FA2" w:rsidRDefault="005065F0" w:rsidP="00DD7FA2">
            <w:pPr>
              <w:pStyle w:val="TableText"/>
              <w:rPr>
                <w:b/>
                <w:color w:val="FFFFFF" w:themeColor="background1"/>
                <w:sz w:val="22"/>
                <w:szCs w:val="22"/>
              </w:rPr>
            </w:pPr>
            <w:r w:rsidRPr="00DD7FA2">
              <w:rPr>
                <w:b/>
                <w:color w:val="FFFFFF" w:themeColor="background1"/>
                <w:sz w:val="22"/>
                <w:szCs w:val="22"/>
              </w:rPr>
              <w:t>Lead</w:t>
            </w:r>
          </w:p>
        </w:tc>
        <w:tc>
          <w:tcPr>
            <w:tcW w:w="5386" w:type="dxa"/>
            <w:tcBorders>
              <w:top w:val="single" w:sz="4" w:space="0" w:color="A6A6A6" w:themeColor="background1" w:themeShade="A6"/>
            </w:tcBorders>
          </w:tcPr>
          <w:p w:rsidR="005065F0" w:rsidRPr="003825BF" w:rsidRDefault="005065F0" w:rsidP="00DD7FA2">
            <w:pPr>
              <w:pStyle w:val="TableText"/>
              <w:ind w:right="142"/>
            </w:pPr>
            <w:r>
              <w:t>A method of engagement in which final decision-making sits with the community</w:t>
            </w:r>
          </w:p>
        </w:tc>
        <w:tc>
          <w:tcPr>
            <w:tcW w:w="2410" w:type="dxa"/>
            <w:tcBorders>
              <w:top w:val="single" w:sz="4" w:space="0" w:color="A6A6A6" w:themeColor="background1" w:themeShade="A6"/>
            </w:tcBorders>
          </w:tcPr>
          <w:p w:rsidR="005065F0" w:rsidRPr="003825BF" w:rsidRDefault="005065F0" w:rsidP="00DD7FA2">
            <w:pPr>
              <w:pStyle w:val="TableBullet"/>
              <w:spacing w:before="60"/>
            </w:pPr>
            <w:r>
              <w:t>Voting</w:t>
            </w:r>
          </w:p>
        </w:tc>
      </w:tr>
    </w:tbl>
    <w:p w:rsidR="001F07DE" w:rsidRDefault="001F07DE" w:rsidP="00DD7FA2">
      <w:bookmarkStart w:id="29" w:name="_Toc404864960"/>
    </w:p>
    <w:p w:rsidR="00267D5F" w:rsidRDefault="005065F0" w:rsidP="00DD7FA2">
      <w:pPr>
        <w:pStyle w:val="Heading2"/>
      </w:pPr>
      <w:bookmarkStart w:id="30" w:name="_Who_to_engage"/>
      <w:bookmarkStart w:id="31" w:name="_Toc416691373"/>
      <w:bookmarkStart w:id="32" w:name="_Toc442354544"/>
      <w:bookmarkStart w:id="33" w:name="_Toc479687370"/>
      <w:bookmarkEnd w:id="30"/>
      <w:r w:rsidRPr="000869F7">
        <w:lastRenderedPageBreak/>
        <w:t>Who to engage with</w:t>
      </w:r>
      <w:bookmarkEnd w:id="29"/>
      <w:bookmarkEnd w:id="31"/>
      <w:bookmarkEnd w:id="32"/>
      <w:bookmarkEnd w:id="33"/>
    </w:p>
    <w:p w:rsidR="001F07DE" w:rsidRDefault="005065F0" w:rsidP="00DD7FA2">
      <w:pPr>
        <w:keepNext/>
      </w:pPr>
      <w:r>
        <w:t>Depending on the purpose of the engagement, in addition to people with disabilities, consider involving other groups,</w:t>
      </w:r>
      <w:r w:rsidRPr="00417582">
        <w:t xml:space="preserve"> </w:t>
      </w:r>
      <w:r>
        <w:t>such as d</w:t>
      </w:r>
      <w:r w:rsidRPr="00417582">
        <w:t xml:space="preserve">isabled </w:t>
      </w:r>
      <w:r>
        <w:t>p</w:t>
      </w:r>
      <w:r w:rsidRPr="00417582">
        <w:t>eople</w:t>
      </w:r>
      <w:r w:rsidR="00267D5F">
        <w:t>’</w:t>
      </w:r>
      <w:r w:rsidRPr="00417582">
        <w:t xml:space="preserve">s </w:t>
      </w:r>
      <w:r>
        <w:t>o</w:t>
      </w:r>
      <w:r w:rsidRPr="00417582">
        <w:t xml:space="preserve">rganisations, </w:t>
      </w:r>
      <w:r>
        <w:t xml:space="preserve">carers/carer groups, </w:t>
      </w:r>
      <w:r w:rsidRPr="00417582">
        <w:t>advocac</w:t>
      </w:r>
      <w:r>
        <w:t xml:space="preserve">y groups and </w:t>
      </w:r>
      <w:proofErr w:type="spellStart"/>
      <w:r w:rsidRPr="00417582">
        <w:t>wh</w:t>
      </w:r>
      <w:r w:rsidRPr="00417582">
        <w:rPr>
          <w:rFonts w:cs="Arial"/>
        </w:rPr>
        <w:t>ā</w:t>
      </w:r>
      <w:r w:rsidRPr="00417582">
        <w:t>nau</w:t>
      </w:r>
      <w:proofErr w:type="spellEnd"/>
      <w:r w:rsidRPr="00417582">
        <w:t xml:space="preserve"> support groups</w:t>
      </w:r>
      <w:r>
        <w:t>.</w:t>
      </w:r>
    </w:p>
    <w:p w:rsidR="00DD7FA2" w:rsidRDefault="00DD7FA2" w:rsidP="00DD7FA2"/>
    <w:p w:rsidR="001F07DE" w:rsidRPr="009A2A45" w:rsidRDefault="005065F0" w:rsidP="00DD7FA2">
      <w:r w:rsidRPr="003D450C">
        <w:t xml:space="preserve">Disabled </w:t>
      </w:r>
      <w:r>
        <w:t>p</w:t>
      </w:r>
      <w:r w:rsidRPr="003D450C">
        <w:t>eople</w:t>
      </w:r>
      <w:r w:rsidR="00267D5F">
        <w:t>’</w:t>
      </w:r>
      <w:r w:rsidRPr="003D450C">
        <w:t xml:space="preserve">s </w:t>
      </w:r>
      <w:r>
        <w:t>o</w:t>
      </w:r>
      <w:r w:rsidRPr="003D450C">
        <w:t>rganisations represent different disability groups</w:t>
      </w:r>
      <w:r>
        <w:t>;</w:t>
      </w:r>
      <w:r w:rsidRPr="003D450C">
        <w:t xml:space="preserve"> it may be useful to approach </w:t>
      </w:r>
      <w:r>
        <w:t xml:space="preserve">organisations representing the particular </w:t>
      </w:r>
      <w:r w:rsidRPr="003D450C">
        <w:t xml:space="preserve">groups </w:t>
      </w:r>
      <w:r>
        <w:t>you wish to engage with</w:t>
      </w:r>
      <w:r w:rsidRPr="00417582">
        <w:t>.</w:t>
      </w:r>
      <w:r w:rsidR="00933936">
        <w:t xml:space="preserve"> </w:t>
      </w:r>
      <w:r w:rsidR="00CD12C9">
        <w:t xml:space="preserve">See </w:t>
      </w:r>
      <w:r w:rsidR="00933936" w:rsidRPr="009A2A45">
        <w:t>‘</w:t>
      </w:r>
      <w:hyperlink w:anchor="_Disabled_people’s_organisations" w:history="1">
        <w:r w:rsidR="00933936" w:rsidRPr="009A2A45">
          <w:rPr>
            <w:rStyle w:val="Hyperlink"/>
            <w:color w:val="auto"/>
          </w:rPr>
          <w:t>Disabled people’s organisations and resources</w:t>
        </w:r>
      </w:hyperlink>
      <w:r w:rsidR="00933936" w:rsidRPr="009A2A45">
        <w:rPr>
          <w:rStyle w:val="Hyperlink"/>
          <w:color w:val="auto"/>
        </w:rPr>
        <w:t>’</w:t>
      </w:r>
      <w:r w:rsidR="005B70F7" w:rsidRPr="009A2A45">
        <w:rPr>
          <w:rStyle w:val="Hyperlink"/>
          <w:color w:val="auto"/>
        </w:rPr>
        <w:t xml:space="preserve"> (page 36)</w:t>
      </w:r>
      <w:r w:rsidR="00933936" w:rsidRPr="009A2A45">
        <w:rPr>
          <w:rStyle w:val="Hyperlink"/>
          <w:color w:val="auto"/>
        </w:rPr>
        <w:t>.</w:t>
      </w:r>
    </w:p>
    <w:p w:rsidR="00DD7FA2" w:rsidRDefault="00DD7FA2" w:rsidP="00DD7FA2"/>
    <w:p w:rsidR="001F07DE" w:rsidRDefault="005065F0" w:rsidP="00DD7FA2">
      <w:r>
        <w:t xml:space="preserve">Make an effort to </w:t>
      </w:r>
      <w:r w:rsidRPr="00417582">
        <w:t xml:space="preserve">reach people </w:t>
      </w:r>
      <w:r>
        <w:t>who</w:t>
      </w:r>
      <w:r w:rsidRPr="00417582">
        <w:t xml:space="preserve"> are often excluded from community engagement</w:t>
      </w:r>
      <w:r>
        <w:t>. Disabled people</w:t>
      </w:r>
      <w:r w:rsidR="00267D5F">
        <w:t>’</w:t>
      </w:r>
      <w:r>
        <w:t>s organisations can help with this</w:t>
      </w:r>
      <w:r w:rsidRPr="00417582">
        <w:t xml:space="preserve">. </w:t>
      </w:r>
      <w:r>
        <w:t>I</w:t>
      </w:r>
      <w:r w:rsidRPr="00417582">
        <w:t xml:space="preserve">n smaller towns there may not be any active </w:t>
      </w:r>
      <w:r>
        <w:t>d</w:t>
      </w:r>
      <w:r w:rsidRPr="00417582">
        <w:t xml:space="preserve">isabled </w:t>
      </w:r>
      <w:r>
        <w:t>p</w:t>
      </w:r>
      <w:r w:rsidRPr="00417582">
        <w:t>eople</w:t>
      </w:r>
      <w:r w:rsidR="00267D5F">
        <w:t>’</w:t>
      </w:r>
      <w:r w:rsidRPr="00417582">
        <w:t xml:space="preserve">s </w:t>
      </w:r>
      <w:r>
        <w:t>o</w:t>
      </w:r>
      <w:r w:rsidRPr="00417582">
        <w:t xml:space="preserve">rganisations. </w:t>
      </w:r>
      <w:r>
        <w:t xml:space="preserve">In this situation, find out whether other networks or </w:t>
      </w:r>
      <w:r w:rsidRPr="00417582">
        <w:t xml:space="preserve">relationships </w:t>
      </w:r>
      <w:r>
        <w:t>could serve a similar purpose</w:t>
      </w:r>
      <w:r w:rsidRPr="00417582">
        <w:t>.</w:t>
      </w:r>
    </w:p>
    <w:p w:rsidR="001A7704" w:rsidRDefault="001A7704" w:rsidP="00DD7FA2"/>
    <w:p w:rsidR="001A7704" w:rsidRDefault="001A7704" w:rsidP="00DD7FA2">
      <w:r>
        <w:t xml:space="preserve">For </w:t>
      </w:r>
      <w:r w:rsidR="007B1B7E">
        <w:t>a disabled person</w:t>
      </w:r>
      <w:r>
        <w:t xml:space="preserve"> with very high disability needs and/or multiple disability and medical conditions e.g. who cannot respond for themselves, it is appropriate to engage with </w:t>
      </w:r>
      <w:r w:rsidR="007B1B7E">
        <w:t xml:space="preserve">someone who knows them well e.g. </w:t>
      </w:r>
      <w:r>
        <w:t>the</w:t>
      </w:r>
      <w:r w:rsidR="007B1B7E">
        <w:t>ir</w:t>
      </w:r>
      <w:r>
        <w:t xml:space="preserve"> famil</w:t>
      </w:r>
      <w:r w:rsidR="007B1B7E">
        <w:t>y, carer or advocate.</w:t>
      </w:r>
      <w:r>
        <w:t xml:space="preserve">  The Complex Care Group Trust </w:t>
      </w:r>
      <w:r w:rsidR="00EF16C6">
        <w:t>can</w:t>
      </w:r>
      <w:r>
        <w:t xml:space="preserve"> provide advice. </w:t>
      </w:r>
    </w:p>
    <w:p w:rsidR="00DD7FA2" w:rsidRDefault="00DD7FA2" w:rsidP="00DD7FA2"/>
    <w:p w:rsidR="001F07DE" w:rsidRDefault="005065F0" w:rsidP="00DD7FA2">
      <w:pPr>
        <w:pStyle w:val="Heading2"/>
      </w:pPr>
      <w:bookmarkStart w:id="34" w:name="_When_to_engage_1"/>
      <w:bookmarkStart w:id="35" w:name="_Toc442354545"/>
      <w:bookmarkStart w:id="36" w:name="_Toc479687371"/>
      <w:bookmarkEnd w:id="34"/>
      <w:r>
        <w:t xml:space="preserve">Early </w:t>
      </w:r>
      <w:r w:rsidR="00DD7FA2">
        <w:t>p</w:t>
      </w:r>
      <w:r>
        <w:t>lanning</w:t>
      </w:r>
      <w:bookmarkEnd w:id="35"/>
      <w:bookmarkEnd w:id="36"/>
    </w:p>
    <w:p w:rsidR="001F07DE" w:rsidRPr="001F07DE" w:rsidRDefault="005065F0" w:rsidP="00DD7FA2">
      <w:r w:rsidRPr="001F07DE">
        <w:t>Begin the process of engagement with people with disabilities as early as possible, allowing enough time to make arrangements such as booking</w:t>
      </w:r>
      <w:r w:rsidRPr="00417582">
        <w:t xml:space="preserve"> </w:t>
      </w:r>
      <w:r>
        <w:t>New Zealand Sign L</w:t>
      </w:r>
      <w:r w:rsidRPr="00417582">
        <w:t>anguage</w:t>
      </w:r>
      <w:r w:rsidRPr="001F07DE">
        <w:t xml:space="preserve"> interpreters, organising travel, or creating accessible information. Keep in mind that when engaging with people with disabilities, some processes may take longer, or involve additional resources. Allow for the possibility that some people might experience difficulties </w:t>
      </w:r>
      <w:r w:rsidRPr="00F945AB">
        <w:t>taking</w:t>
      </w:r>
      <w:r w:rsidRPr="001F07DE">
        <w:t xml:space="preserve"> part in your engagement process and allow extra time to address potential </w:t>
      </w:r>
      <w:r w:rsidRPr="00F945AB">
        <w:t>accessibility</w:t>
      </w:r>
      <w:r w:rsidRPr="001F07DE">
        <w:t xml:space="preserve"> issues before they arise.</w:t>
      </w:r>
    </w:p>
    <w:p w:rsidR="00DD7FA2" w:rsidRDefault="00DD7FA2" w:rsidP="00DD7FA2"/>
    <w:p w:rsidR="001F07DE" w:rsidRPr="001F07DE" w:rsidRDefault="005065F0" w:rsidP="00DD7FA2">
      <w:r w:rsidRPr="00307B99">
        <w:t xml:space="preserve">If </w:t>
      </w:r>
      <w:r>
        <w:t>the</w:t>
      </w:r>
      <w:r w:rsidRPr="00307B99">
        <w:t xml:space="preserve"> issue </w:t>
      </w:r>
      <w:r>
        <w:t xml:space="preserve">you wish to engage on </w:t>
      </w:r>
      <w:r w:rsidRPr="00307B99">
        <w:t xml:space="preserve">is of widespread interest, allow several months for </w:t>
      </w:r>
      <w:r>
        <w:t>the engagement process</w:t>
      </w:r>
      <w:r w:rsidRPr="00307B99">
        <w:t>. People with disabilities often find out about an opportunity for engagement or consultation by word</w:t>
      </w:r>
      <w:r>
        <w:t xml:space="preserve"> </w:t>
      </w:r>
      <w:r w:rsidRPr="00307B99">
        <w:t>of</w:t>
      </w:r>
      <w:r>
        <w:t xml:space="preserve"> </w:t>
      </w:r>
      <w:r w:rsidRPr="00307B99">
        <w:t>mouth</w:t>
      </w:r>
      <w:r>
        <w:t>; your time frame should allow for this</w:t>
      </w:r>
      <w:r w:rsidRPr="00D9389E">
        <w:t>.</w:t>
      </w:r>
    </w:p>
    <w:p w:rsidR="00DD7FA2" w:rsidRDefault="00DD7FA2" w:rsidP="00DD7FA2"/>
    <w:p w:rsidR="001F07DE" w:rsidRDefault="005065F0" w:rsidP="00DD7FA2">
      <w:r>
        <w:t xml:space="preserve">Provide sufficient notice to allow time for people to make </w:t>
      </w:r>
      <w:r w:rsidRPr="00B4058D">
        <w:t xml:space="preserve">arrangements for things like childcare, absence from work and </w:t>
      </w:r>
      <w:r>
        <w:t xml:space="preserve">enlisting </w:t>
      </w:r>
      <w:r w:rsidRPr="00B4058D">
        <w:t xml:space="preserve">support </w:t>
      </w:r>
      <w:r>
        <w:t>people.</w:t>
      </w:r>
    </w:p>
    <w:p w:rsidR="00DD7FA2" w:rsidRDefault="00DD7FA2" w:rsidP="00DD7FA2"/>
    <w:p w:rsidR="00267D5F" w:rsidRDefault="005065F0" w:rsidP="00DD7FA2">
      <w:r w:rsidRPr="003D450C">
        <w:t xml:space="preserve">Creating Easy Read versions of documents also takes time. </w:t>
      </w:r>
      <w:r>
        <w:t>Easy Read documents, used by people with learning/intellectual disabilities, use everyday language</w:t>
      </w:r>
      <w:r w:rsidRPr="00DD7FA2">
        <w:t xml:space="preserve"> and use images to assist meaning. See </w:t>
      </w:r>
      <w:r w:rsidR="00267D5F" w:rsidRPr="00DD7FA2">
        <w:t>‘</w:t>
      </w:r>
      <w:hyperlink w:anchor="_Appendix_12_–" w:history="1">
        <w:r w:rsidRPr="00DD7FA2">
          <w:t>Engaging with people with learning/intellectual disabilities</w:t>
        </w:r>
      </w:hyperlink>
      <w:r w:rsidR="00933936">
        <w:t>’ (</w:t>
      </w:r>
      <w:r w:rsidR="0025377E">
        <w:t>page 30</w:t>
      </w:r>
      <w:r w:rsidR="00933936">
        <w:t>)</w:t>
      </w:r>
      <w:r w:rsidR="00933936" w:rsidRPr="00DD7FA2">
        <w:t xml:space="preserve"> </w:t>
      </w:r>
      <w:r w:rsidRPr="00DD7FA2">
        <w:t xml:space="preserve">for more information and </w:t>
      </w:r>
      <w:r w:rsidR="00267D5F" w:rsidRPr="00DD7FA2">
        <w:t>‘</w:t>
      </w:r>
      <w:hyperlink w:anchor="_Disabled_people’s_organisations" w:history="1">
        <w:r w:rsidRPr="00DD7FA2">
          <w:t>Disabled people</w:t>
        </w:r>
        <w:r w:rsidR="00267D5F" w:rsidRPr="00DD7FA2">
          <w:t>’</w:t>
        </w:r>
        <w:r w:rsidRPr="00DD7FA2">
          <w:t>s organisations and resources</w:t>
        </w:r>
      </w:hyperlink>
      <w:r w:rsidR="00933936">
        <w:t>’</w:t>
      </w:r>
      <w:r w:rsidRPr="00DD7FA2" w:rsidDel="00E67F9A">
        <w:t xml:space="preserve"> </w:t>
      </w:r>
      <w:r w:rsidR="005B70F7">
        <w:t xml:space="preserve">(page 36) </w:t>
      </w:r>
      <w:r w:rsidRPr="00DD7FA2">
        <w:t>for details on People Fir</w:t>
      </w:r>
      <w:r>
        <w:t xml:space="preserve">st New Zealand </w:t>
      </w:r>
      <w:proofErr w:type="spellStart"/>
      <w:r w:rsidRPr="001C3224">
        <w:t>Ngā</w:t>
      </w:r>
      <w:proofErr w:type="spellEnd"/>
      <w:r w:rsidRPr="001C3224">
        <w:t xml:space="preserve"> </w:t>
      </w:r>
      <w:proofErr w:type="spellStart"/>
      <w:r w:rsidRPr="001C3224">
        <w:t>Tangata</w:t>
      </w:r>
      <w:proofErr w:type="spellEnd"/>
      <w:r w:rsidRPr="001C3224">
        <w:t xml:space="preserve"> </w:t>
      </w:r>
      <w:proofErr w:type="spellStart"/>
      <w:r w:rsidRPr="001C3224">
        <w:t>Tuatahi</w:t>
      </w:r>
      <w:r w:rsidR="00267D5F">
        <w:t>’</w:t>
      </w:r>
      <w:r>
        <w:t>s</w:t>
      </w:r>
      <w:proofErr w:type="spellEnd"/>
      <w:r>
        <w:t xml:space="preserve"> translation service.</w:t>
      </w:r>
    </w:p>
    <w:p w:rsidR="00DD7FA2" w:rsidRDefault="00DD7FA2" w:rsidP="00DD7FA2"/>
    <w:p w:rsidR="001F07DE" w:rsidRDefault="005065F0" w:rsidP="00DD7FA2">
      <w:r w:rsidRPr="003D450C">
        <w:t>Choose a suitable time or times for the engagement, keep</w:t>
      </w:r>
      <w:r>
        <w:t>ing</w:t>
      </w:r>
      <w:r w:rsidRPr="003D450C">
        <w:t xml:space="preserve"> in mind that different people</w:t>
      </w:r>
      <w:r>
        <w:t xml:space="preserve"> will have different needs</w:t>
      </w:r>
      <w:r w:rsidRPr="003D450C">
        <w:t xml:space="preserve">. </w:t>
      </w:r>
      <w:r>
        <w:t>S</w:t>
      </w:r>
      <w:r w:rsidRPr="003D450C">
        <w:t xml:space="preserve">ome </w:t>
      </w:r>
      <w:r>
        <w:t>people with disabilities</w:t>
      </w:r>
      <w:r w:rsidRPr="003D450C">
        <w:t xml:space="preserve"> </w:t>
      </w:r>
      <w:r>
        <w:t xml:space="preserve">prefer </w:t>
      </w:r>
      <w:r w:rsidRPr="003D450C">
        <w:t>to avoid starting a meeting</w:t>
      </w:r>
      <w:r>
        <w:t xml:space="preserve"> too</w:t>
      </w:r>
      <w:r w:rsidRPr="003D450C">
        <w:t xml:space="preserve"> early in the</w:t>
      </w:r>
      <w:r w:rsidRPr="00417582">
        <w:t xml:space="preserve"> morning, </w:t>
      </w:r>
      <w:r>
        <w:t xml:space="preserve">because </w:t>
      </w:r>
      <w:r w:rsidRPr="00417582">
        <w:t xml:space="preserve">they </w:t>
      </w:r>
      <w:r>
        <w:t xml:space="preserve">require </w:t>
      </w:r>
      <w:r w:rsidRPr="00417582">
        <w:t xml:space="preserve">assistance </w:t>
      </w:r>
      <w:r>
        <w:t>to start the day</w:t>
      </w:r>
      <w:r w:rsidRPr="00417582">
        <w:t xml:space="preserve">. </w:t>
      </w:r>
      <w:r>
        <w:t>W</w:t>
      </w:r>
      <w:r w:rsidRPr="00417582">
        <w:t>heelchair</w:t>
      </w:r>
      <w:r>
        <w:t>-</w:t>
      </w:r>
      <w:r w:rsidRPr="00417582">
        <w:t xml:space="preserve">accessible taxis are often busiest around </w:t>
      </w:r>
      <w:r>
        <w:t xml:space="preserve">the time of school runs (9am and 3pm), and are </w:t>
      </w:r>
      <w:r w:rsidRPr="00417582">
        <w:t xml:space="preserve">more </w:t>
      </w:r>
      <w:r>
        <w:t xml:space="preserve">commonly </w:t>
      </w:r>
      <w:r w:rsidRPr="00417582">
        <w:t xml:space="preserve">available during school holidays and at the weekend. </w:t>
      </w:r>
      <w:r>
        <w:t>S</w:t>
      </w:r>
      <w:r w:rsidRPr="00417582">
        <w:t xml:space="preserve">ome people with </w:t>
      </w:r>
      <w:r>
        <w:t>learning/</w:t>
      </w:r>
      <w:r w:rsidRPr="005A632E">
        <w:t xml:space="preserve">intellectual </w:t>
      </w:r>
      <w:r>
        <w:t xml:space="preserve">disabilities </w:t>
      </w:r>
      <w:r w:rsidRPr="00417582">
        <w:t xml:space="preserve">may prefer mornings, </w:t>
      </w:r>
      <w:r>
        <w:t xml:space="preserve">because </w:t>
      </w:r>
      <w:r w:rsidRPr="00417582">
        <w:t>they are more rested and find it easier to concentrate</w:t>
      </w:r>
      <w:r>
        <w:t xml:space="preserve"> at that time</w:t>
      </w:r>
      <w:r w:rsidRPr="00417582">
        <w:t>.</w:t>
      </w:r>
    </w:p>
    <w:p w:rsidR="00DD7FA2" w:rsidRDefault="00DD7FA2" w:rsidP="00DD7FA2"/>
    <w:p w:rsidR="00267D5F" w:rsidRDefault="005065F0" w:rsidP="005065F0">
      <w:r w:rsidRPr="001F07DE">
        <w:t xml:space="preserve">Personal assistants sometimes help disabled people with tasks such as mobility, communication or personal cares. Ask ahead about </w:t>
      </w:r>
      <w:r w:rsidRPr="00F945AB">
        <w:t>personal</w:t>
      </w:r>
      <w:r w:rsidRPr="001F07DE">
        <w:t xml:space="preserve"> assistants, and </w:t>
      </w:r>
      <w:r w:rsidRPr="001E5634">
        <w:t>factor them into your planning</w:t>
      </w:r>
      <w:r>
        <w:t xml:space="preserve"> for engagement</w:t>
      </w:r>
      <w:r w:rsidRPr="001E5634">
        <w:t>.</w:t>
      </w:r>
    </w:p>
    <w:p w:rsidR="00DD7FA2" w:rsidRDefault="00DD7FA2" w:rsidP="00DD7FA2"/>
    <w:p w:rsidR="00267D5F" w:rsidRDefault="005065F0" w:rsidP="00DD7FA2">
      <w:r>
        <w:lastRenderedPageBreak/>
        <w:t>Allow adequate time for people with disabilities</w:t>
      </w:r>
      <w:r w:rsidRPr="00307B99">
        <w:t xml:space="preserve"> to have proper input</w:t>
      </w:r>
      <w:r>
        <w:t>. The methods you use (</w:t>
      </w:r>
      <w:proofErr w:type="spellStart"/>
      <w:r>
        <w:t>eg</w:t>
      </w:r>
      <w:proofErr w:type="spellEnd"/>
      <w:r>
        <w:t xml:space="preserve">, online surveys, focus groups, </w:t>
      </w:r>
      <w:proofErr w:type="spellStart"/>
      <w:r>
        <w:t>etc</w:t>
      </w:r>
      <w:proofErr w:type="spellEnd"/>
      <w:r>
        <w:t>) and people</w:t>
      </w:r>
      <w:r w:rsidR="00267D5F">
        <w:t>’</w:t>
      </w:r>
      <w:r>
        <w:t>s interest in the topic or issue can influence the time you need to allocate.</w:t>
      </w:r>
    </w:p>
    <w:p w:rsidR="00DD7FA2" w:rsidRDefault="00DD7FA2" w:rsidP="00DD7FA2"/>
    <w:p w:rsidR="001F07DE" w:rsidRDefault="005065F0" w:rsidP="00DD7FA2">
      <w:bookmarkStart w:id="37" w:name="_Toc404864961"/>
      <w:bookmarkStart w:id="38" w:name="_Toc416691374"/>
      <w:r>
        <w:t>Think about whether payment is appropriate to support people with disabilities and/or their support people to participate. Depending on the kind of engagement, an honorarium may be appropriate, or you may consider paying for transport and accommodation costs.</w:t>
      </w:r>
    </w:p>
    <w:p w:rsidR="00DD7FA2" w:rsidRDefault="00DD7FA2" w:rsidP="00DD7FA2"/>
    <w:p w:rsidR="001F07DE" w:rsidRDefault="005065F0" w:rsidP="00DD7FA2">
      <w:pPr>
        <w:pStyle w:val="Heading2"/>
      </w:pPr>
      <w:bookmarkStart w:id="39" w:name="_Feeding_back_to"/>
      <w:bookmarkStart w:id="40" w:name="_Toc404864970"/>
      <w:bookmarkStart w:id="41" w:name="_Toc416691384"/>
      <w:bookmarkStart w:id="42" w:name="_Toc442354546"/>
      <w:bookmarkStart w:id="43" w:name="_Toc404864962"/>
      <w:bookmarkStart w:id="44" w:name="_Toc416691375"/>
      <w:bookmarkStart w:id="45" w:name="_Toc479687372"/>
      <w:bookmarkEnd w:id="37"/>
      <w:bookmarkEnd w:id="38"/>
      <w:bookmarkEnd w:id="39"/>
      <w:r w:rsidRPr="000869F7">
        <w:t>Communication considerations</w:t>
      </w:r>
      <w:bookmarkEnd w:id="40"/>
      <w:bookmarkEnd w:id="41"/>
      <w:bookmarkEnd w:id="42"/>
      <w:bookmarkEnd w:id="45"/>
    </w:p>
    <w:p w:rsidR="00267D5F" w:rsidRDefault="005065F0" w:rsidP="00DD7FA2">
      <w:pPr>
        <w:rPr>
          <w:lang w:eastAsia="en-NZ"/>
        </w:rPr>
      </w:pPr>
      <w:r w:rsidRPr="00417582">
        <w:rPr>
          <w:lang w:eastAsia="en-NZ"/>
        </w:rPr>
        <w:t xml:space="preserve">In order to access information and engage on the same basis as other people, </w:t>
      </w:r>
      <w:r>
        <w:rPr>
          <w:lang w:eastAsia="en-NZ"/>
        </w:rPr>
        <w:t>people with disabilities</w:t>
      </w:r>
      <w:r w:rsidRPr="00417582">
        <w:rPr>
          <w:lang w:eastAsia="en-NZ"/>
        </w:rPr>
        <w:t xml:space="preserve"> </w:t>
      </w:r>
      <w:r>
        <w:rPr>
          <w:lang w:eastAsia="en-NZ"/>
        </w:rPr>
        <w:t xml:space="preserve">may </w:t>
      </w:r>
      <w:r w:rsidRPr="00417582">
        <w:rPr>
          <w:lang w:eastAsia="en-NZ"/>
        </w:rPr>
        <w:t xml:space="preserve">require </w:t>
      </w:r>
      <w:r>
        <w:rPr>
          <w:lang w:eastAsia="en-NZ"/>
        </w:rPr>
        <w:t>particular</w:t>
      </w:r>
      <w:r w:rsidRPr="00417582">
        <w:rPr>
          <w:lang w:eastAsia="en-NZ"/>
        </w:rPr>
        <w:t xml:space="preserve"> formats. For example, </w:t>
      </w:r>
      <w:r>
        <w:rPr>
          <w:lang w:eastAsia="en-NZ"/>
        </w:rPr>
        <w:t xml:space="preserve">blind </w:t>
      </w:r>
      <w:r w:rsidRPr="00417582">
        <w:rPr>
          <w:lang w:eastAsia="en-NZ"/>
        </w:rPr>
        <w:t xml:space="preserve">people </w:t>
      </w:r>
      <w:r>
        <w:rPr>
          <w:lang w:eastAsia="en-NZ"/>
        </w:rPr>
        <w:t xml:space="preserve">or those </w:t>
      </w:r>
      <w:r w:rsidRPr="00417582">
        <w:rPr>
          <w:lang w:eastAsia="en-NZ"/>
        </w:rPr>
        <w:t xml:space="preserve">with </w:t>
      </w:r>
      <w:r>
        <w:rPr>
          <w:lang w:eastAsia="en-NZ"/>
        </w:rPr>
        <w:t xml:space="preserve">vision </w:t>
      </w:r>
      <w:r w:rsidRPr="00417582">
        <w:rPr>
          <w:lang w:eastAsia="en-NZ"/>
        </w:rPr>
        <w:t xml:space="preserve">impairments may </w:t>
      </w:r>
      <w:r>
        <w:rPr>
          <w:lang w:eastAsia="en-NZ"/>
        </w:rPr>
        <w:t xml:space="preserve">need you to provide </w:t>
      </w:r>
      <w:r w:rsidRPr="00417582">
        <w:t>information</w:t>
      </w:r>
      <w:r w:rsidRPr="00417582">
        <w:rPr>
          <w:lang w:eastAsia="en-NZ"/>
        </w:rPr>
        <w:t xml:space="preserve"> in </w:t>
      </w:r>
      <w:r>
        <w:rPr>
          <w:lang w:eastAsia="en-NZ"/>
        </w:rPr>
        <w:t>a Microsoft Word document (so that it may be read aloud using screen reader software), in a l</w:t>
      </w:r>
      <w:r w:rsidRPr="00417582">
        <w:rPr>
          <w:lang w:eastAsia="en-NZ"/>
        </w:rPr>
        <w:t xml:space="preserve">arge </w:t>
      </w:r>
      <w:r>
        <w:rPr>
          <w:lang w:eastAsia="en-NZ"/>
        </w:rPr>
        <w:t>font,</w:t>
      </w:r>
      <w:r w:rsidRPr="00417582">
        <w:rPr>
          <w:lang w:eastAsia="en-NZ"/>
        </w:rPr>
        <w:t xml:space="preserve"> in Braille or in </w:t>
      </w:r>
      <w:r>
        <w:rPr>
          <w:lang w:eastAsia="en-NZ"/>
        </w:rPr>
        <w:t xml:space="preserve">an </w:t>
      </w:r>
      <w:r w:rsidRPr="00417582">
        <w:rPr>
          <w:lang w:eastAsia="en-NZ"/>
        </w:rPr>
        <w:t>audi</w:t>
      </w:r>
      <w:r>
        <w:rPr>
          <w:lang w:eastAsia="en-NZ"/>
        </w:rPr>
        <w:t xml:space="preserve">ble </w:t>
      </w:r>
      <w:r w:rsidRPr="00417582">
        <w:rPr>
          <w:lang w:eastAsia="en-NZ"/>
        </w:rPr>
        <w:t>format.</w:t>
      </w:r>
    </w:p>
    <w:p w:rsidR="00DD7FA2" w:rsidRDefault="00DD7FA2" w:rsidP="00DD7FA2"/>
    <w:p w:rsidR="001F07DE" w:rsidRDefault="005065F0" w:rsidP="00DD7FA2">
      <w:r>
        <w:t>People experience communication difficulties for a range of reasons, including learning/</w:t>
      </w:r>
      <w:r w:rsidRPr="005A632E">
        <w:t>intellectual disabilities, autism spectrum disorder</w:t>
      </w:r>
      <w:r>
        <w:t xml:space="preserve"> (ASD)</w:t>
      </w:r>
      <w:r w:rsidRPr="005A632E">
        <w:t xml:space="preserve">, brain injuries, cerebral palsy </w:t>
      </w:r>
      <w:r>
        <w:t xml:space="preserve">and </w:t>
      </w:r>
      <w:r w:rsidRPr="005A632E">
        <w:t>motor neurone disease.</w:t>
      </w:r>
      <w:r>
        <w:t xml:space="preserve"> People </w:t>
      </w:r>
      <w:r w:rsidRPr="00422879">
        <w:t xml:space="preserve">experience </w:t>
      </w:r>
      <w:r>
        <w:t xml:space="preserve">these </w:t>
      </w:r>
      <w:r w:rsidRPr="00422879">
        <w:t>difficulties in a range of ways</w:t>
      </w:r>
      <w:r>
        <w:t xml:space="preserve">. Some may have </w:t>
      </w:r>
      <w:r w:rsidRPr="00422879">
        <w:t xml:space="preserve">difficulty in </w:t>
      </w:r>
      <w:r w:rsidRPr="002D773D">
        <w:t xml:space="preserve">understanding </w:t>
      </w:r>
      <w:r>
        <w:t>information,</w:t>
      </w:r>
      <w:r w:rsidRPr="002D773D">
        <w:t xml:space="preserve"> or </w:t>
      </w:r>
      <w:r>
        <w:t xml:space="preserve">knowing </w:t>
      </w:r>
      <w:r w:rsidRPr="002D773D">
        <w:t>how to respond</w:t>
      </w:r>
      <w:r>
        <w:t>. Others may have a</w:t>
      </w:r>
      <w:r w:rsidRPr="002D773D">
        <w:t xml:space="preserve"> </w:t>
      </w:r>
      <w:r w:rsidRPr="00E81E75">
        <w:t xml:space="preserve">physical impairment related to the muscles connected to voice or speech. </w:t>
      </w:r>
      <w:r w:rsidR="00341063" w:rsidRPr="00E81E75">
        <w:t xml:space="preserve">Some people’s disabilities may be </w:t>
      </w:r>
      <w:r w:rsidR="00E937E8" w:rsidRPr="00E81E75">
        <w:t>such</w:t>
      </w:r>
      <w:r w:rsidR="00341063" w:rsidRPr="00E81E75">
        <w:t xml:space="preserve"> that they </w:t>
      </w:r>
      <w:r w:rsidR="00E937E8" w:rsidRPr="00E81E75">
        <w:t>have increased communication problems and resulting support requirements</w:t>
      </w:r>
      <w:r w:rsidR="00341063" w:rsidRPr="00E81E75">
        <w:t xml:space="preserve">. </w:t>
      </w:r>
      <w:r w:rsidRPr="00E81E75">
        <w:t xml:space="preserve">People with ASD experience social and communication </w:t>
      </w:r>
      <w:r w:rsidR="007D48F1" w:rsidRPr="00E81E75">
        <w:t>difficulties</w:t>
      </w:r>
      <w:r w:rsidR="007D48F1">
        <w:t xml:space="preserve"> including reading other people’s body language</w:t>
      </w:r>
      <w:r w:rsidR="00933936">
        <w:t>.</w:t>
      </w:r>
      <w:r>
        <w:t xml:space="preserve"> </w:t>
      </w:r>
      <w:r w:rsidR="00933936">
        <w:t>S</w:t>
      </w:r>
      <w:r>
        <w:t xml:space="preserve">ee </w:t>
      </w:r>
      <w:r w:rsidR="00267D5F" w:rsidRPr="00384BD3">
        <w:t>‘</w:t>
      </w:r>
      <w:hyperlink w:anchor="_Appendix_13_–" w:history="1">
        <w:r w:rsidRPr="009A2A45">
          <w:rPr>
            <w:rStyle w:val="Hyperlink"/>
            <w:color w:val="auto"/>
          </w:rPr>
          <w:t>Engaging with people with autism spectrum disorder</w:t>
        </w:r>
      </w:hyperlink>
      <w:r w:rsidR="00DD7FA2" w:rsidRPr="00384BD3">
        <w:rPr>
          <w:rStyle w:val="Hyperlink"/>
          <w:color w:val="auto"/>
        </w:rPr>
        <w:t>’</w:t>
      </w:r>
      <w:r w:rsidR="00384BD3">
        <w:rPr>
          <w:rStyle w:val="Hyperlink"/>
          <w:color w:val="auto"/>
        </w:rPr>
        <w:t xml:space="preserve"> (page 32)</w:t>
      </w:r>
      <w:r>
        <w:t>.</w:t>
      </w:r>
    </w:p>
    <w:p w:rsidR="00DD7FA2" w:rsidRDefault="00DD7FA2" w:rsidP="00DD7FA2"/>
    <w:p w:rsidR="001F07DE" w:rsidRDefault="005065F0" w:rsidP="00DD7FA2">
      <w:r>
        <w:t>Each individual</w:t>
      </w:r>
      <w:r w:rsidR="00267D5F">
        <w:t>’</w:t>
      </w:r>
      <w:r>
        <w:t>s communication needs will be different; take the time to understand these needs.</w:t>
      </w:r>
    </w:p>
    <w:p w:rsidR="00DD7FA2" w:rsidRDefault="00DD7FA2" w:rsidP="00DD7FA2"/>
    <w:p w:rsidR="00267D5F" w:rsidRDefault="005065F0" w:rsidP="00DD7FA2">
      <w:r w:rsidRPr="005474D8">
        <w:t>On the subject of communication, see also:</w:t>
      </w:r>
    </w:p>
    <w:p w:rsidR="001F07DE" w:rsidRPr="009A2A45" w:rsidRDefault="008A337B" w:rsidP="00DD7FA2">
      <w:pPr>
        <w:pStyle w:val="Bullet"/>
      </w:pPr>
      <w:hyperlink w:anchor="_Appendix_6_–" w:history="1">
        <w:r w:rsidR="00384BD3" w:rsidRPr="009A2A45">
          <w:rPr>
            <w:rStyle w:val="Hyperlink"/>
            <w:color w:val="auto"/>
          </w:rPr>
          <w:t>Using written information and printed materials accessibly</w:t>
        </w:r>
      </w:hyperlink>
      <w:r w:rsidR="00384BD3" w:rsidRPr="009A2A45">
        <w:rPr>
          <w:rStyle w:val="Hyperlink"/>
          <w:color w:val="auto"/>
        </w:rPr>
        <w:t xml:space="preserve"> (page 17)</w:t>
      </w:r>
    </w:p>
    <w:p w:rsidR="001F07DE" w:rsidRPr="009A2A45" w:rsidRDefault="008A337B" w:rsidP="00DD7FA2">
      <w:pPr>
        <w:pStyle w:val="Bullet"/>
      </w:pPr>
      <w:hyperlink w:anchor="_Accessible_presentations_and" w:history="1">
        <w:r w:rsidR="005065F0" w:rsidRPr="009A2A45">
          <w:rPr>
            <w:rStyle w:val="Hyperlink"/>
            <w:color w:val="auto"/>
          </w:rPr>
          <w:t>Accessible presentations and other verbal communication</w:t>
        </w:r>
      </w:hyperlink>
      <w:r w:rsidR="00F63D19" w:rsidRPr="009A2A45">
        <w:rPr>
          <w:rStyle w:val="Hyperlink"/>
          <w:color w:val="auto"/>
        </w:rPr>
        <w:t xml:space="preserve"> (page 19)</w:t>
      </w:r>
    </w:p>
    <w:p w:rsidR="00267D5F" w:rsidRPr="009A2A45" w:rsidRDefault="008A337B" w:rsidP="00DD7FA2">
      <w:pPr>
        <w:pStyle w:val="Bullet"/>
      </w:pPr>
      <w:hyperlink w:anchor="_Appendix_11_–" w:history="1">
        <w:r w:rsidR="005065F0" w:rsidRPr="009A2A45">
          <w:rPr>
            <w:rStyle w:val="Hyperlink"/>
            <w:color w:val="auto"/>
          </w:rPr>
          <w:t>Engaging with people with complex communication needs</w:t>
        </w:r>
      </w:hyperlink>
      <w:r w:rsidR="00F63D19" w:rsidRPr="009A2A45">
        <w:rPr>
          <w:rStyle w:val="Hyperlink"/>
          <w:color w:val="auto"/>
        </w:rPr>
        <w:t xml:space="preserve"> (page 28)</w:t>
      </w:r>
    </w:p>
    <w:p w:rsidR="001F07DE" w:rsidRDefault="008A337B" w:rsidP="00DD7FA2">
      <w:pPr>
        <w:pStyle w:val="Bullet"/>
      </w:pPr>
      <w:hyperlink w:anchor="_Appendix_12_–" w:history="1">
        <w:r w:rsidR="005065F0" w:rsidRPr="009A2A45">
          <w:rPr>
            <w:rStyle w:val="Hyperlink"/>
            <w:color w:val="auto"/>
          </w:rPr>
          <w:t>Engaging with people with learning/intellectual disabilities</w:t>
        </w:r>
      </w:hyperlink>
      <w:r w:rsidR="005065F0" w:rsidRPr="00E8145F">
        <w:rPr>
          <w:rStyle w:val="Hyperlink"/>
        </w:rPr>
        <w:t xml:space="preserve"> </w:t>
      </w:r>
      <w:r w:rsidR="00933936" w:rsidRPr="00933936">
        <w:rPr>
          <w:rStyle w:val="Hyperlink"/>
          <w:color w:val="auto"/>
        </w:rPr>
        <w:t>(</w:t>
      </w:r>
      <w:r w:rsidR="0025377E">
        <w:rPr>
          <w:rStyle w:val="Hyperlink"/>
          <w:color w:val="auto"/>
        </w:rPr>
        <w:t>page 30</w:t>
      </w:r>
      <w:r w:rsidR="00933936">
        <w:rPr>
          <w:rStyle w:val="Hyperlink"/>
          <w:color w:val="auto"/>
        </w:rPr>
        <w:t>) –</w:t>
      </w:r>
      <w:r w:rsidR="00933936" w:rsidRPr="00933936">
        <w:rPr>
          <w:rStyle w:val="Hyperlink"/>
          <w:color w:val="auto"/>
        </w:rPr>
        <w:t xml:space="preserve"> </w:t>
      </w:r>
      <w:r w:rsidR="005065F0">
        <w:t>this</w:t>
      </w:r>
      <w:r w:rsidR="00933936">
        <w:t xml:space="preserve"> </w:t>
      </w:r>
      <w:r w:rsidR="005065F0" w:rsidRPr="00E8145F">
        <w:t xml:space="preserve">includes more information on </w:t>
      </w:r>
      <w:r w:rsidR="005065F0">
        <w:t>m</w:t>
      </w:r>
      <w:r w:rsidR="005065F0" w:rsidRPr="00E8145F">
        <w:t xml:space="preserve">eeting </w:t>
      </w:r>
      <w:r w:rsidR="005065F0">
        <w:t>a</w:t>
      </w:r>
      <w:r w:rsidR="005065F0" w:rsidRPr="00E8145F">
        <w:t>ssistants</w:t>
      </w:r>
      <w:r w:rsidR="005065F0">
        <w:t>.</w:t>
      </w:r>
    </w:p>
    <w:p w:rsidR="00DD7FA2" w:rsidRPr="00DD7FA2" w:rsidRDefault="00DD7FA2" w:rsidP="00DD7FA2"/>
    <w:p w:rsidR="001F07DE" w:rsidRDefault="005065F0" w:rsidP="00DD7FA2">
      <w:pPr>
        <w:pStyle w:val="Heading2"/>
      </w:pPr>
      <w:bookmarkStart w:id="46" w:name="_Toc442354547"/>
      <w:bookmarkStart w:id="47" w:name="_Toc479687373"/>
      <w:r w:rsidRPr="000869F7">
        <w:t>Terminology and language</w:t>
      </w:r>
      <w:bookmarkEnd w:id="46"/>
      <w:bookmarkEnd w:id="47"/>
    </w:p>
    <w:p w:rsidR="001F07DE" w:rsidRDefault="005065F0" w:rsidP="00DD7FA2">
      <w:r w:rsidRPr="00417582">
        <w:t>The Office for Disability Issues</w:t>
      </w:r>
      <w:r>
        <w:t>, t</w:t>
      </w:r>
      <w:r w:rsidRPr="00417582">
        <w:t xml:space="preserve">he Ministry of Health </w:t>
      </w:r>
      <w:r>
        <w:t xml:space="preserve">and many other agencies </w:t>
      </w:r>
      <w:r w:rsidRPr="00417582">
        <w:t xml:space="preserve">use </w:t>
      </w:r>
      <w:r>
        <w:t xml:space="preserve">the </w:t>
      </w:r>
      <w:r w:rsidR="00267D5F">
        <w:t>‘</w:t>
      </w:r>
      <w:r w:rsidRPr="00417582">
        <w:t>social model of disability</w:t>
      </w:r>
      <w:r w:rsidR="00267D5F">
        <w:t>’</w:t>
      </w:r>
      <w:r w:rsidRPr="00417582">
        <w:rPr>
          <w:rStyle w:val="EndnoteReference"/>
          <w:sz w:val="24"/>
          <w:szCs w:val="24"/>
        </w:rPr>
        <w:endnoteReference w:id="3"/>
      </w:r>
      <w:r w:rsidRPr="00417582">
        <w:t xml:space="preserve"> </w:t>
      </w:r>
      <w:r>
        <w:t xml:space="preserve">and related </w:t>
      </w:r>
      <w:r w:rsidRPr="00417582">
        <w:t>terminology</w:t>
      </w:r>
      <w:r>
        <w:t>.</w:t>
      </w:r>
      <w:r w:rsidRPr="00DD7FA2">
        <w:rPr>
          <w:rStyle w:val="FootnoteReference"/>
        </w:rPr>
        <w:footnoteReference w:id="3"/>
      </w:r>
      <w:r w:rsidRPr="00417582">
        <w:t xml:space="preserve"> </w:t>
      </w:r>
      <w:r>
        <w:t>The New Zealand Disability Strategy also uses such terminology</w:t>
      </w:r>
      <w:r w:rsidR="00DD7FA2">
        <w:t>.</w:t>
      </w:r>
      <w:r w:rsidRPr="00DD7FA2">
        <w:rPr>
          <w:rStyle w:val="FootnoteReference"/>
        </w:rPr>
        <w:footnoteReference w:id="4"/>
      </w:r>
      <w:r>
        <w:t xml:space="preserve"> Be aware that n</w:t>
      </w:r>
      <w:r w:rsidRPr="00417582">
        <w:t xml:space="preserve">ot </w:t>
      </w:r>
      <w:r>
        <w:t xml:space="preserve">all people with </w:t>
      </w:r>
      <w:r w:rsidRPr="00417582">
        <w:t>disabilit</w:t>
      </w:r>
      <w:r>
        <w:t>ies</w:t>
      </w:r>
      <w:r w:rsidRPr="00417582">
        <w:t xml:space="preserve"> use the same terminology</w:t>
      </w:r>
      <w:r>
        <w:t>;</w:t>
      </w:r>
      <w:r w:rsidRPr="00417582">
        <w:t xml:space="preserve"> </w:t>
      </w:r>
      <w:r>
        <w:t xml:space="preserve">some may not </w:t>
      </w:r>
      <w:r w:rsidRPr="00417582">
        <w:t>even identif</w:t>
      </w:r>
      <w:r>
        <w:t>y</w:t>
      </w:r>
      <w:r w:rsidRPr="00417582">
        <w:t xml:space="preserve"> themselves as experiencing disability. Some people do not want to be labelled</w:t>
      </w:r>
      <w:r>
        <w:t xml:space="preserve"> as a person with a disability;</w:t>
      </w:r>
      <w:r w:rsidRPr="00417582">
        <w:t xml:space="preserve"> others may identify with a particular group </w:t>
      </w:r>
      <w:r>
        <w:t>–</w:t>
      </w:r>
      <w:r w:rsidRPr="00417582">
        <w:t xml:space="preserve"> for example the Deaf community</w:t>
      </w:r>
      <w:r>
        <w:t xml:space="preserve"> – rather than with the group of people with disabilities as a whole</w:t>
      </w:r>
      <w:r w:rsidRPr="00417582">
        <w:t>.</w:t>
      </w:r>
      <w:r>
        <w:t xml:space="preserve"> In </w:t>
      </w:r>
      <w:r>
        <w:lastRenderedPageBreak/>
        <w:t xml:space="preserve">preference to the term </w:t>
      </w:r>
      <w:r w:rsidR="00267D5F">
        <w:t>‘</w:t>
      </w:r>
      <w:r>
        <w:t>people with disabilities</w:t>
      </w:r>
      <w:r w:rsidR="00267D5F">
        <w:t>’</w:t>
      </w:r>
      <w:r>
        <w:t xml:space="preserve">, some people prefer </w:t>
      </w:r>
      <w:r w:rsidR="00267D5F">
        <w:t>‘</w:t>
      </w:r>
      <w:r>
        <w:t>disabled people</w:t>
      </w:r>
      <w:r w:rsidR="00267D5F">
        <w:t>’</w:t>
      </w:r>
      <w:r>
        <w:t xml:space="preserve"> or </w:t>
      </w:r>
      <w:r w:rsidR="00267D5F">
        <w:t>‘</w:t>
      </w:r>
      <w:r>
        <w:t>people with impairments</w:t>
      </w:r>
      <w:r w:rsidR="00267D5F">
        <w:t>’</w:t>
      </w:r>
      <w:r>
        <w:t>.</w:t>
      </w:r>
    </w:p>
    <w:p w:rsidR="00DD7FA2" w:rsidRDefault="00DD7FA2" w:rsidP="00DD7FA2"/>
    <w:p w:rsidR="00267D5F" w:rsidRDefault="005065F0" w:rsidP="00DD7FA2">
      <w:pPr>
        <w:keepNext/>
      </w:pPr>
      <w:r>
        <w:t>I</w:t>
      </w:r>
      <w:r w:rsidRPr="00417582">
        <w:t>t is best not to make assumptions</w:t>
      </w:r>
      <w:r>
        <w:t xml:space="preserve"> about preferred terminology; always</w:t>
      </w:r>
      <w:r w:rsidRPr="00417582">
        <w:t xml:space="preserve"> ask</w:t>
      </w:r>
      <w:r>
        <w:t xml:space="preserve"> what words the person/group prefers</w:t>
      </w:r>
      <w:r w:rsidRPr="00417582">
        <w:t xml:space="preserve">. </w:t>
      </w:r>
      <w:r>
        <w:t>R</w:t>
      </w:r>
      <w:r w:rsidRPr="00417582">
        <w:t xml:space="preserve">espect </w:t>
      </w:r>
      <w:r>
        <w:t xml:space="preserve">the preference of </w:t>
      </w:r>
      <w:r w:rsidRPr="00417582">
        <w:t xml:space="preserve">an individual or </w:t>
      </w:r>
      <w:r>
        <w:t xml:space="preserve">a </w:t>
      </w:r>
      <w:r w:rsidRPr="00417582">
        <w:t xml:space="preserve">group </w:t>
      </w:r>
      <w:r>
        <w:t>in terms of self-identification</w:t>
      </w:r>
      <w:r w:rsidRPr="00417582">
        <w:t>.</w:t>
      </w:r>
    </w:p>
    <w:p w:rsidR="00DD7FA2" w:rsidRDefault="00DD7FA2" w:rsidP="00DD7FA2"/>
    <w:p w:rsidR="001F07DE" w:rsidRDefault="005065F0" w:rsidP="00DD7FA2">
      <w:r>
        <w:t>Language has a significant influence on self-identity. Inappropriate language can result in people feeling excluded. The following guidelines may be helpful.</w:t>
      </w:r>
    </w:p>
    <w:p w:rsidR="001F07DE" w:rsidRDefault="005065F0" w:rsidP="00DD7FA2">
      <w:pPr>
        <w:pStyle w:val="Bullet"/>
      </w:pPr>
      <w:r w:rsidRPr="005C24A6">
        <w:t xml:space="preserve">The word </w:t>
      </w:r>
      <w:r w:rsidR="00267D5F">
        <w:t>‘</w:t>
      </w:r>
      <w:r w:rsidRPr="005C24A6">
        <w:t>disabled</w:t>
      </w:r>
      <w:r w:rsidR="00267D5F">
        <w:t>’</w:t>
      </w:r>
      <w:r w:rsidRPr="005C24A6">
        <w:t xml:space="preserve"> is a description, not a group of people. </w:t>
      </w:r>
      <w:r>
        <w:t xml:space="preserve">The collective term </w:t>
      </w:r>
      <w:r w:rsidR="00267D5F">
        <w:t>‘</w:t>
      </w:r>
      <w:r w:rsidRPr="005C24A6">
        <w:t>disabled people</w:t>
      </w:r>
      <w:r w:rsidR="00267D5F">
        <w:t>’</w:t>
      </w:r>
      <w:r w:rsidRPr="005C24A6">
        <w:t xml:space="preserve"> </w:t>
      </w:r>
      <w:r>
        <w:t xml:space="preserve">is preferable to </w:t>
      </w:r>
      <w:r w:rsidR="00267D5F">
        <w:t>‘</w:t>
      </w:r>
      <w:r w:rsidRPr="005C24A6">
        <w:t>the disabled</w:t>
      </w:r>
      <w:r w:rsidR="00267D5F">
        <w:t>’</w:t>
      </w:r>
      <w:r w:rsidRPr="005C24A6">
        <w:t>.</w:t>
      </w:r>
    </w:p>
    <w:p w:rsidR="00267D5F" w:rsidRDefault="005065F0" w:rsidP="00DD7FA2">
      <w:pPr>
        <w:pStyle w:val="Bullet"/>
      </w:pPr>
      <w:r>
        <w:t xml:space="preserve">Many people, including People First New Zealand </w:t>
      </w:r>
      <w:proofErr w:type="spellStart"/>
      <w:r w:rsidRPr="001C3224">
        <w:t>Ngā</w:t>
      </w:r>
      <w:proofErr w:type="spellEnd"/>
      <w:r w:rsidRPr="001C3224">
        <w:t xml:space="preserve"> </w:t>
      </w:r>
      <w:proofErr w:type="spellStart"/>
      <w:r w:rsidRPr="001C3224">
        <w:t>Tangata</w:t>
      </w:r>
      <w:proofErr w:type="spellEnd"/>
      <w:r w:rsidRPr="001C3224">
        <w:t xml:space="preserve"> </w:t>
      </w:r>
      <w:proofErr w:type="spellStart"/>
      <w:r w:rsidRPr="001C3224">
        <w:t>Tuatahi</w:t>
      </w:r>
      <w:proofErr w:type="spellEnd"/>
      <w:r>
        <w:t xml:space="preserve">, prefer the term </w:t>
      </w:r>
      <w:r w:rsidR="00267D5F">
        <w:t>‘</w:t>
      </w:r>
      <w:r>
        <w:t>learning disabilities</w:t>
      </w:r>
      <w:r w:rsidR="00267D5F">
        <w:t>’</w:t>
      </w:r>
      <w:r>
        <w:t xml:space="preserve"> instead of </w:t>
      </w:r>
      <w:r w:rsidR="00267D5F">
        <w:t>‘</w:t>
      </w:r>
      <w:r>
        <w:t>intellectual disabilities</w:t>
      </w:r>
      <w:r w:rsidR="00267D5F">
        <w:t>’</w:t>
      </w:r>
      <w:r>
        <w:t>.</w:t>
      </w:r>
    </w:p>
    <w:p w:rsidR="00267D5F" w:rsidRDefault="005065F0" w:rsidP="00DD7FA2">
      <w:pPr>
        <w:pStyle w:val="Bullet"/>
      </w:pPr>
      <w:r>
        <w:t xml:space="preserve">Many people prefer the term </w:t>
      </w:r>
      <w:r w:rsidR="00267D5F">
        <w:t>‘</w:t>
      </w:r>
      <w:r w:rsidRPr="001B1C0B">
        <w:t>psycho-social disability</w:t>
      </w:r>
      <w:r w:rsidR="00267D5F">
        <w:t>’</w:t>
      </w:r>
      <w:r w:rsidRPr="001B1C0B">
        <w:t xml:space="preserve"> or </w:t>
      </w:r>
      <w:r w:rsidR="00267D5F">
        <w:t>‘</w:t>
      </w:r>
      <w:r w:rsidRPr="001B1C0B">
        <w:t xml:space="preserve">mental health </w:t>
      </w:r>
      <w:r>
        <w:t>condition</w:t>
      </w:r>
      <w:r w:rsidR="00267D5F">
        <w:t>’</w:t>
      </w:r>
      <w:r w:rsidRPr="001B1C0B">
        <w:t xml:space="preserve"> instead of </w:t>
      </w:r>
      <w:r w:rsidR="00267D5F">
        <w:t>‘</w:t>
      </w:r>
      <w:r w:rsidRPr="001B1C0B">
        <w:t xml:space="preserve">mental </w:t>
      </w:r>
      <w:proofErr w:type="gramStart"/>
      <w:r w:rsidRPr="001B1C0B">
        <w:t>illness</w:t>
      </w:r>
      <w:r w:rsidR="00267D5F">
        <w:t>’</w:t>
      </w:r>
      <w:proofErr w:type="gramEnd"/>
      <w:r w:rsidRPr="001B1C0B">
        <w:t>.</w:t>
      </w:r>
    </w:p>
    <w:p w:rsidR="001F07DE" w:rsidRDefault="005065F0" w:rsidP="00DD7FA2">
      <w:pPr>
        <w:pStyle w:val="Bullet"/>
      </w:pPr>
      <w:r>
        <w:t>M</w:t>
      </w:r>
      <w:r w:rsidRPr="005C24A6">
        <w:t xml:space="preserve">edical labels, such as </w:t>
      </w:r>
      <w:r w:rsidR="00267D5F">
        <w:t>‘</w:t>
      </w:r>
      <w:r w:rsidRPr="005C24A6">
        <w:t>paraplegic</w:t>
      </w:r>
      <w:r w:rsidR="00267D5F">
        <w:t>’</w:t>
      </w:r>
      <w:r w:rsidRPr="005C24A6">
        <w:t>, say little about people as individuals</w:t>
      </w:r>
      <w:r>
        <w:t>,</w:t>
      </w:r>
      <w:r w:rsidRPr="005C24A6">
        <w:t xml:space="preserve"> and tend to reinforce stereotypes of </w:t>
      </w:r>
      <w:r>
        <w:t>people with disabilities</w:t>
      </w:r>
      <w:r w:rsidRPr="005C24A6">
        <w:t xml:space="preserve"> as </w:t>
      </w:r>
      <w:r w:rsidR="00267D5F">
        <w:t>‘</w:t>
      </w:r>
      <w:r w:rsidRPr="005C24A6">
        <w:t>patients</w:t>
      </w:r>
      <w:r w:rsidR="00267D5F">
        <w:t>’</w:t>
      </w:r>
      <w:r w:rsidRPr="005C24A6">
        <w:t xml:space="preserve"> or </w:t>
      </w:r>
      <w:r w:rsidR="00267D5F">
        <w:t>‘</w:t>
      </w:r>
      <w:r>
        <w:t>sick</w:t>
      </w:r>
      <w:r w:rsidR="00267D5F">
        <w:t>’</w:t>
      </w:r>
      <w:r>
        <w:t xml:space="preserve">. Instead use </w:t>
      </w:r>
      <w:r w:rsidR="00267D5F">
        <w:t>‘</w:t>
      </w:r>
      <w:r>
        <w:t>person with/who has</w:t>
      </w:r>
      <w:r w:rsidRPr="005C24A6">
        <w:t>/who experiences paraplegia</w:t>
      </w:r>
      <w:r w:rsidR="00267D5F">
        <w:t>’</w:t>
      </w:r>
      <w:r w:rsidRPr="005C24A6">
        <w:t>.</w:t>
      </w:r>
    </w:p>
    <w:p w:rsidR="001F07DE" w:rsidRDefault="005065F0" w:rsidP="00DD7FA2">
      <w:pPr>
        <w:pStyle w:val="Bullet"/>
      </w:pPr>
      <w:r w:rsidRPr="00B56C0F">
        <w:t xml:space="preserve">The term </w:t>
      </w:r>
      <w:r w:rsidR="00267D5F">
        <w:t>‘</w:t>
      </w:r>
      <w:r w:rsidRPr="00B56C0F">
        <w:t>vision impaired</w:t>
      </w:r>
      <w:r w:rsidR="00267D5F">
        <w:t>’</w:t>
      </w:r>
      <w:r w:rsidRPr="00B56C0F">
        <w:t xml:space="preserve"> is generally accepted by most people. The term </w:t>
      </w:r>
      <w:r w:rsidR="00267D5F">
        <w:t>‘</w:t>
      </w:r>
      <w:r w:rsidRPr="00B56C0F">
        <w:t>blind</w:t>
      </w:r>
      <w:r w:rsidR="00267D5F">
        <w:t>’</w:t>
      </w:r>
      <w:r w:rsidRPr="00B56C0F">
        <w:t xml:space="preserve"> may not be acceptable, particularly </w:t>
      </w:r>
      <w:r>
        <w:t xml:space="preserve">among </w:t>
      </w:r>
      <w:r w:rsidRPr="00B56C0F">
        <w:t xml:space="preserve">those who consider they are vision impaired, </w:t>
      </w:r>
      <w:r>
        <w:t xml:space="preserve">are </w:t>
      </w:r>
      <w:r w:rsidRPr="00B56C0F">
        <w:t xml:space="preserve">partially sighted or have low vision. The term </w:t>
      </w:r>
      <w:r w:rsidR="00267D5F">
        <w:t>‘</w:t>
      </w:r>
      <w:r w:rsidRPr="00B56C0F">
        <w:t>legally blind</w:t>
      </w:r>
      <w:r w:rsidR="00267D5F">
        <w:t>’</w:t>
      </w:r>
      <w:r w:rsidRPr="00B56C0F">
        <w:t xml:space="preserve"> </w:t>
      </w:r>
      <w:r>
        <w:t xml:space="preserve">has different meanings </w:t>
      </w:r>
      <w:r w:rsidRPr="00B56C0F">
        <w:t>in New Zealand (</w:t>
      </w:r>
      <w:proofErr w:type="spellStart"/>
      <w:r>
        <w:t>eg</w:t>
      </w:r>
      <w:proofErr w:type="spellEnd"/>
      <w:r>
        <w:t>,</w:t>
      </w:r>
      <w:r w:rsidRPr="00B56C0F">
        <w:t xml:space="preserve"> within the Social Security Act </w:t>
      </w:r>
      <w:r>
        <w:t xml:space="preserve">1964 </w:t>
      </w:r>
      <w:r w:rsidRPr="00B56C0F">
        <w:t>and within the Blind Foundation</w:t>
      </w:r>
      <w:r w:rsidR="00267D5F">
        <w:t>’</w:t>
      </w:r>
      <w:r w:rsidRPr="00B56C0F">
        <w:t xml:space="preserve">s criteria). </w:t>
      </w:r>
      <w:r>
        <w:t>Therefore, although s</w:t>
      </w:r>
      <w:r w:rsidRPr="00B56C0F">
        <w:t xml:space="preserve">ome people may use this term to describe themselves, </w:t>
      </w:r>
      <w:r>
        <w:t xml:space="preserve">avoid using it </w:t>
      </w:r>
      <w:r w:rsidRPr="00B56C0F">
        <w:t>as a generic term.</w:t>
      </w:r>
    </w:p>
    <w:p w:rsidR="001F07DE" w:rsidRDefault="005065F0" w:rsidP="00DD7FA2">
      <w:pPr>
        <w:pStyle w:val="Bullet"/>
      </w:pPr>
      <w:r>
        <w:t xml:space="preserve">Wheelchairs provide their users with mobility. It is therefore inaccurate to describe people who use wheelchairs as </w:t>
      </w:r>
      <w:r w:rsidR="00267D5F">
        <w:t>‘</w:t>
      </w:r>
      <w:r w:rsidRPr="005C24A6">
        <w:t>confined to</w:t>
      </w:r>
      <w:r w:rsidR="00267D5F">
        <w:t>’</w:t>
      </w:r>
      <w:r w:rsidRPr="005C24A6">
        <w:t xml:space="preserve"> </w:t>
      </w:r>
      <w:r>
        <w:t xml:space="preserve">their </w:t>
      </w:r>
      <w:r w:rsidRPr="005C24A6">
        <w:t>wheelchair</w:t>
      </w:r>
      <w:r>
        <w:t xml:space="preserve">s or </w:t>
      </w:r>
      <w:r w:rsidR="00267D5F">
        <w:t>‘</w:t>
      </w:r>
      <w:r>
        <w:t>wheelchair-bound</w:t>
      </w:r>
      <w:r w:rsidR="00267D5F">
        <w:t>’</w:t>
      </w:r>
      <w:r>
        <w:t>, and can be offensive.</w:t>
      </w:r>
    </w:p>
    <w:p w:rsidR="001F07DE" w:rsidRDefault="005065F0" w:rsidP="00DD7FA2">
      <w:pPr>
        <w:pStyle w:val="Bullet"/>
      </w:pPr>
      <w:r w:rsidRPr="005C24A6">
        <w:t xml:space="preserve">Most </w:t>
      </w:r>
      <w:r>
        <w:t>people with disabilities</w:t>
      </w:r>
      <w:r w:rsidRPr="005C24A6">
        <w:t xml:space="preserve"> are comfortable with words used to describe daily living</w:t>
      </w:r>
      <w:r>
        <w:t xml:space="preserve"> that do not apply to them literally</w:t>
      </w:r>
      <w:r w:rsidRPr="005C24A6">
        <w:t xml:space="preserve">. People who use wheelchairs </w:t>
      </w:r>
      <w:r w:rsidR="00267D5F">
        <w:t>‘</w:t>
      </w:r>
      <w:r w:rsidRPr="005C24A6">
        <w:t>go for walks</w:t>
      </w:r>
      <w:r w:rsidR="00267D5F">
        <w:t>’</w:t>
      </w:r>
      <w:r w:rsidRPr="005C24A6">
        <w:t xml:space="preserve">. People with </w:t>
      </w:r>
      <w:r>
        <w:t xml:space="preserve">vision </w:t>
      </w:r>
      <w:r w:rsidRPr="005C24A6">
        <w:t>impairments may be</w:t>
      </w:r>
      <w:r>
        <w:t xml:space="preserve"> pleased to </w:t>
      </w:r>
      <w:r w:rsidR="00267D5F">
        <w:t>‘</w:t>
      </w:r>
      <w:r>
        <w:t>see</w:t>
      </w:r>
      <w:r w:rsidR="00267D5F">
        <w:t>’</w:t>
      </w:r>
      <w:r>
        <w:t xml:space="preserve"> you</w:t>
      </w:r>
      <w:r w:rsidRPr="005C24A6">
        <w:t>.</w:t>
      </w:r>
    </w:p>
    <w:p w:rsidR="001F07DE" w:rsidRDefault="005065F0" w:rsidP="00DD7FA2">
      <w:pPr>
        <w:pStyle w:val="Bullet"/>
      </w:pPr>
      <w:r>
        <w:t>In talking about disabilities, avoid e</w:t>
      </w:r>
      <w:r w:rsidRPr="005C24A6">
        <w:t>motive language</w:t>
      </w:r>
      <w:r>
        <w:t>;</w:t>
      </w:r>
      <w:r w:rsidRPr="005C24A6">
        <w:t xml:space="preserve"> in p</w:t>
      </w:r>
      <w:r>
        <w:t>articular, phrases</w:t>
      </w:r>
      <w:r w:rsidRPr="005C24A6">
        <w:t xml:space="preserve"> such as </w:t>
      </w:r>
      <w:r w:rsidR="00267D5F">
        <w:t>‘</w:t>
      </w:r>
      <w:r w:rsidRPr="005C24A6">
        <w:t>suffers from</w:t>
      </w:r>
      <w:r w:rsidR="00267D5F">
        <w:t>’</w:t>
      </w:r>
      <w:r w:rsidRPr="005C24A6">
        <w:t xml:space="preserve">, </w:t>
      </w:r>
      <w:r w:rsidR="00267D5F">
        <w:t>‘</w:t>
      </w:r>
      <w:r>
        <w:t>victim of</w:t>
      </w:r>
      <w:r w:rsidR="00267D5F">
        <w:t>’</w:t>
      </w:r>
      <w:r>
        <w:t xml:space="preserve"> or </w:t>
      </w:r>
      <w:r w:rsidR="00267D5F">
        <w:t>‘</w:t>
      </w:r>
      <w:r>
        <w:t>afflicted with</w:t>
      </w:r>
      <w:r w:rsidR="00267D5F">
        <w:t>’</w:t>
      </w:r>
      <w:r>
        <w:t xml:space="preserve">. These are likely to </w:t>
      </w:r>
      <w:r w:rsidRPr="005C24A6">
        <w:t xml:space="preserve">evoke </w:t>
      </w:r>
      <w:r>
        <w:t xml:space="preserve">discomfort; they are </w:t>
      </w:r>
      <w:r w:rsidRPr="005C24A6">
        <w:t>inappropriate</w:t>
      </w:r>
      <w:r>
        <w:t>,</w:t>
      </w:r>
      <w:r w:rsidRPr="005C24A6">
        <w:t xml:space="preserve"> </w:t>
      </w:r>
      <w:r>
        <w:t xml:space="preserve">incorrect and potentially </w:t>
      </w:r>
      <w:r w:rsidRPr="005C24A6">
        <w:t>offensive.</w:t>
      </w:r>
    </w:p>
    <w:p w:rsidR="001F07DE" w:rsidRDefault="005065F0" w:rsidP="00DD7FA2">
      <w:pPr>
        <w:pStyle w:val="Bullet"/>
      </w:pPr>
      <w:r>
        <w:t xml:space="preserve">People with disabilities prefer to be treated the same as everyone else. For this reason, terms such as </w:t>
      </w:r>
      <w:r w:rsidR="00267D5F">
        <w:t>‘</w:t>
      </w:r>
      <w:r>
        <w:t>inspirational</w:t>
      </w:r>
      <w:r w:rsidR="00267D5F">
        <w:t>’</w:t>
      </w:r>
      <w:r>
        <w:t xml:space="preserve"> and </w:t>
      </w:r>
      <w:r w:rsidR="00267D5F">
        <w:t>‘</w:t>
      </w:r>
      <w:r>
        <w:t>brave</w:t>
      </w:r>
      <w:r w:rsidR="00267D5F">
        <w:t>’</w:t>
      </w:r>
      <w:r>
        <w:t xml:space="preserve"> can be perceived as condescending. Just like everyone else, people with disabilities have a range of skills, expertise and life experiences.</w:t>
      </w:r>
    </w:p>
    <w:p w:rsidR="00DD7FA2" w:rsidRDefault="00DD7FA2" w:rsidP="00DD7FA2"/>
    <w:p w:rsidR="001F07DE" w:rsidRDefault="005065F0" w:rsidP="00DD7FA2">
      <w:pPr>
        <w:pStyle w:val="Heading2"/>
      </w:pPr>
      <w:bookmarkStart w:id="48" w:name="_Cultural_considerations_1"/>
      <w:bookmarkStart w:id="49" w:name="_Toc404864975"/>
      <w:bookmarkStart w:id="50" w:name="_Toc416691385"/>
      <w:bookmarkStart w:id="51" w:name="_Toc442354548"/>
      <w:bookmarkStart w:id="52" w:name="_Toc404864969"/>
      <w:bookmarkStart w:id="53" w:name="_Toc416691382"/>
      <w:bookmarkStart w:id="54" w:name="_Toc479687374"/>
      <w:bookmarkEnd w:id="48"/>
      <w:r w:rsidRPr="000869F7">
        <w:t>Cultural considerations</w:t>
      </w:r>
      <w:bookmarkEnd w:id="49"/>
      <w:bookmarkEnd w:id="50"/>
      <w:bookmarkEnd w:id="51"/>
      <w:bookmarkEnd w:id="54"/>
    </w:p>
    <w:p w:rsidR="00267D5F" w:rsidRDefault="005065F0" w:rsidP="00DD7FA2">
      <w:bookmarkStart w:id="55" w:name="_Toc404864976"/>
      <w:bookmarkStart w:id="56" w:name="_Toc416691386"/>
      <w:r w:rsidRPr="004D3694">
        <w:t xml:space="preserve">People with disabilities are members of many groups and may identify more immediately with one of these groups. </w:t>
      </w:r>
      <w:r>
        <w:t>For example some people who have a hearing loss identify primarily as being Deaf.</w:t>
      </w:r>
      <w:r w:rsidR="001F07DE">
        <w:t xml:space="preserve"> </w:t>
      </w:r>
      <w:r>
        <w:t>This identity is grounded within the Deaf culture with its own sign language, beliefs, values and history.</w:t>
      </w:r>
    </w:p>
    <w:p w:rsidR="00DD7FA2" w:rsidRDefault="00DD7FA2" w:rsidP="00DD7FA2"/>
    <w:p w:rsidR="001F07DE" w:rsidRDefault="005065F0" w:rsidP="00DD7FA2">
      <w:pPr>
        <w:pStyle w:val="Heading3"/>
      </w:pPr>
      <w:r w:rsidRPr="0063167D">
        <w:t>Engagement with Māori</w:t>
      </w:r>
      <w:bookmarkEnd w:id="55"/>
      <w:bookmarkEnd w:id="56"/>
    </w:p>
    <w:p w:rsidR="00267D5F" w:rsidRDefault="005065F0" w:rsidP="00DD7FA2">
      <w:proofErr w:type="spellStart"/>
      <w:r w:rsidRPr="00B61858">
        <w:t>Te</w:t>
      </w:r>
      <w:proofErr w:type="spellEnd"/>
      <w:r w:rsidRPr="00B61858">
        <w:t xml:space="preserve"> </w:t>
      </w:r>
      <w:proofErr w:type="spellStart"/>
      <w:r w:rsidRPr="00B61858">
        <w:t>Tiriti</w:t>
      </w:r>
      <w:proofErr w:type="spellEnd"/>
      <w:r w:rsidRPr="00B61858">
        <w:t xml:space="preserve"> o Waitangi is the foundation document of New Zealand</w:t>
      </w:r>
      <w:r>
        <w:t>.</w:t>
      </w:r>
      <w:r w:rsidRPr="00B61858">
        <w:t xml:space="preserve"> </w:t>
      </w:r>
      <w:r>
        <w:t xml:space="preserve">It </w:t>
      </w:r>
      <w:r w:rsidRPr="00B61858">
        <w:t xml:space="preserve">places a significant responsibility on government agencies to address the needs of Māori as the indigenous people of </w:t>
      </w:r>
      <w:proofErr w:type="spellStart"/>
      <w:r w:rsidRPr="00B61858">
        <w:t>Aotearoa</w:t>
      </w:r>
      <w:proofErr w:type="spellEnd"/>
      <w:r w:rsidRPr="00B61858">
        <w:t xml:space="preserve"> (New Zealand). The Ministry </w:t>
      </w:r>
      <w:r>
        <w:t xml:space="preserve">of Health </w:t>
      </w:r>
      <w:r w:rsidRPr="00B61858">
        <w:t xml:space="preserve">implements the Treaty </w:t>
      </w:r>
      <w:r>
        <w:t>by applying</w:t>
      </w:r>
      <w:r w:rsidRPr="00B61858">
        <w:t xml:space="preserve"> the </w:t>
      </w:r>
      <w:r w:rsidRPr="00B61858">
        <w:lastRenderedPageBreak/>
        <w:t>principles of partnership, protection and participation. This includes Māori participation in policy development and service delivery.</w:t>
      </w:r>
    </w:p>
    <w:p w:rsidR="00DD7FA2" w:rsidRDefault="00DD7FA2" w:rsidP="00DD7FA2"/>
    <w:p w:rsidR="00267D5F" w:rsidRDefault="005065F0" w:rsidP="00DD7FA2">
      <w:r w:rsidRPr="001F07DE">
        <w:t xml:space="preserve">The New Zealand government has committed to improving </w:t>
      </w:r>
      <w:r w:rsidRPr="00B61858">
        <w:rPr>
          <w:szCs w:val="25"/>
        </w:rPr>
        <w:t>outcomes</w:t>
      </w:r>
      <w:r w:rsidRPr="001F07DE">
        <w:t xml:space="preserve"> for Māori with disabilities as set out in </w:t>
      </w:r>
      <w:proofErr w:type="spellStart"/>
      <w:r w:rsidR="005B70F7" w:rsidRPr="005B70F7">
        <w:t>Whāia</w:t>
      </w:r>
      <w:proofErr w:type="spellEnd"/>
      <w:r w:rsidR="005B70F7" w:rsidRPr="005B70F7">
        <w:t xml:space="preserve"> </w:t>
      </w:r>
      <w:proofErr w:type="spellStart"/>
      <w:r w:rsidR="005B70F7" w:rsidRPr="005B70F7">
        <w:t>Te</w:t>
      </w:r>
      <w:proofErr w:type="spellEnd"/>
      <w:r w:rsidR="005B70F7" w:rsidRPr="005B70F7">
        <w:t xml:space="preserve"> </w:t>
      </w:r>
      <w:proofErr w:type="spellStart"/>
      <w:r w:rsidR="005B70F7" w:rsidRPr="005B70F7">
        <w:t>Ao</w:t>
      </w:r>
      <w:proofErr w:type="spellEnd"/>
      <w:r w:rsidR="005B70F7" w:rsidRPr="005B70F7">
        <w:t xml:space="preserve"> </w:t>
      </w:r>
      <w:proofErr w:type="spellStart"/>
      <w:r w:rsidR="005B70F7" w:rsidRPr="005B70F7">
        <w:t>Mārama</w:t>
      </w:r>
      <w:proofErr w:type="spellEnd"/>
      <w:r w:rsidR="005B70F7" w:rsidRPr="005B70F7">
        <w:t>, the Māori Disability Action Plan</w:t>
      </w:r>
      <w:r w:rsidRPr="001F07DE">
        <w:t>.</w:t>
      </w:r>
      <w:r w:rsidRPr="001F07DE">
        <w:rPr>
          <w:rStyle w:val="EndnoteReference"/>
        </w:rPr>
        <w:endnoteReference w:id="4"/>
      </w:r>
    </w:p>
    <w:p w:rsidR="005B70F7" w:rsidRPr="0052205A" w:rsidRDefault="008A337B" w:rsidP="00DD7FA2">
      <w:hyperlink r:id="rId20" w:history="1">
        <w:r w:rsidR="005B70F7" w:rsidRPr="0052205A">
          <w:rPr>
            <w:rStyle w:val="Hyperlink"/>
            <w:color w:val="auto"/>
          </w:rPr>
          <w:t>www.health.govt.nz/our-work/disability-services/maori-disability-support-services/whaia-te-ao-marama-maori-disability-action-plan</w:t>
        </w:r>
      </w:hyperlink>
      <w:r w:rsidR="005B70F7" w:rsidRPr="0052205A">
        <w:t xml:space="preserve"> </w:t>
      </w:r>
    </w:p>
    <w:p w:rsidR="00DD7FA2" w:rsidRDefault="00DD7FA2" w:rsidP="00DD7FA2"/>
    <w:p w:rsidR="001F07DE" w:rsidRDefault="005065F0" w:rsidP="00DD7FA2">
      <w:proofErr w:type="spellStart"/>
      <w:r w:rsidRPr="00B61858">
        <w:t>Whāia</w:t>
      </w:r>
      <w:proofErr w:type="spellEnd"/>
      <w:r w:rsidRPr="00B61858">
        <w:t xml:space="preserve"> </w:t>
      </w:r>
      <w:proofErr w:type="spellStart"/>
      <w:r w:rsidRPr="00B61858">
        <w:t>Te</w:t>
      </w:r>
      <w:proofErr w:type="spellEnd"/>
      <w:r w:rsidRPr="00B61858">
        <w:t xml:space="preserve"> </w:t>
      </w:r>
      <w:proofErr w:type="spellStart"/>
      <w:r w:rsidRPr="00B61858">
        <w:t>Ao</w:t>
      </w:r>
      <w:proofErr w:type="spellEnd"/>
      <w:r w:rsidRPr="00B61858">
        <w:t xml:space="preserve"> </w:t>
      </w:r>
      <w:proofErr w:type="spellStart"/>
      <w:r w:rsidRPr="00B61858">
        <w:t>Mārama</w:t>
      </w:r>
      <w:proofErr w:type="spellEnd"/>
      <w:r w:rsidRPr="00B61858">
        <w:t xml:space="preserve"> is a </w:t>
      </w:r>
      <w:r w:rsidR="00267D5F">
        <w:t>‘</w:t>
      </w:r>
      <w:r w:rsidRPr="00B61858">
        <w:t xml:space="preserve">culturally anchored approach developed in collaboration with Māori </w:t>
      </w:r>
      <w:r w:rsidRPr="00B61858">
        <w:rPr>
          <w:szCs w:val="25"/>
        </w:rPr>
        <w:t>disabled</w:t>
      </w:r>
      <w:r w:rsidRPr="00B61858">
        <w:t xml:space="preserve"> and </w:t>
      </w:r>
      <w:proofErr w:type="spellStart"/>
      <w:r w:rsidRPr="00B61858">
        <w:t>whānau</w:t>
      </w:r>
      <w:proofErr w:type="spellEnd"/>
      <w:r w:rsidRPr="00B61858">
        <w:t xml:space="preserve"> to support Māori disabled and their </w:t>
      </w:r>
      <w:proofErr w:type="spellStart"/>
      <w:r w:rsidRPr="00B61858">
        <w:t>whānau</w:t>
      </w:r>
      <w:proofErr w:type="spellEnd"/>
      <w:r w:rsidRPr="00B61858">
        <w:t xml:space="preserve"> </w:t>
      </w:r>
      <w:r>
        <w:t>through Ministry of Health-</w:t>
      </w:r>
      <w:r w:rsidRPr="00362A9C">
        <w:t>funded disability support services. The approach is from a Māori world view which also recognises that Māori disabled know what works for them</w:t>
      </w:r>
      <w:r w:rsidR="00267D5F">
        <w:t>’</w:t>
      </w:r>
      <w:r w:rsidRPr="00362A9C">
        <w:t xml:space="preserve">. </w:t>
      </w:r>
      <w:r>
        <w:t xml:space="preserve">The plan </w:t>
      </w:r>
      <w:r w:rsidRPr="00362A9C">
        <w:t xml:space="preserve">is based </w:t>
      </w:r>
      <w:r>
        <w:t>o</w:t>
      </w:r>
      <w:r w:rsidRPr="00362A9C">
        <w:t>n the concept of</w:t>
      </w:r>
      <w:r w:rsidRPr="00362A9C">
        <w:rPr>
          <w:szCs w:val="25"/>
        </w:rPr>
        <w:t xml:space="preserve"> </w:t>
      </w:r>
      <w:proofErr w:type="spellStart"/>
      <w:r>
        <w:rPr>
          <w:szCs w:val="25"/>
        </w:rPr>
        <w:t>t</w:t>
      </w:r>
      <w:r w:rsidRPr="00362A9C">
        <w:rPr>
          <w:szCs w:val="25"/>
        </w:rPr>
        <w:t>ino</w:t>
      </w:r>
      <w:proofErr w:type="spellEnd"/>
      <w:r w:rsidRPr="00362A9C">
        <w:rPr>
          <w:szCs w:val="25"/>
        </w:rPr>
        <w:t xml:space="preserve"> </w:t>
      </w:r>
      <w:proofErr w:type="spellStart"/>
      <w:r w:rsidRPr="00362A9C">
        <w:rPr>
          <w:szCs w:val="25"/>
        </w:rPr>
        <w:t>rangatiratanga</w:t>
      </w:r>
      <w:proofErr w:type="spellEnd"/>
      <w:r w:rsidRPr="00362A9C">
        <w:rPr>
          <w:szCs w:val="25"/>
        </w:rPr>
        <w:t xml:space="preserve"> (</w:t>
      </w:r>
      <w:r>
        <w:rPr>
          <w:szCs w:val="25"/>
        </w:rPr>
        <w:t xml:space="preserve">personal sovereignty </w:t>
      </w:r>
      <w:r w:rsidRPr="00362A9C">
        <w:rPr>
          <w:szCs w:val="25"/>
        </w:rPr>
        <w:t>or self-determination)</w:t>
      </w:r>
      <w:r>
        <w:rPr>
          <w:szCs w:val="25"/>
        </w:rPr>
        <w:t xml:space="preserve"> and</w:t>
      </w:r>
      <w:r w:rsidRPr="00362A9C">
        <w:rPr>
          <w:szCs w:val="25"/>
        </w:rPr>
        <w:t xml:space="preserve"> taking control of one</w:t>
      </w:r>
      <w:r w:rsidR="00267D5F">
        <w:rPr>
          <w:szCs w:val="25"/>
        </w:rPr>
        <w:t>’</w:t>
      </w:r>
      <w:r w:rsidRPr="00362A9C">
        <w:rPr>
          <w:szCs w:val="25"/>
        </w:rPr>
        <w:t>s own life</w:t>
      </w:r>
      <w:r>
        <w:rPr>
          <w:szCs w:val="25"/>
        </w:rPr>
        <w:t>.</w:t>
      </w:r>
    </w:p>
    <w:p w:rsidR="00DD7FA2" w:rsidRDefault="00DD7FA2" w:rsidP="00DD7FA2"/>
    <w:p w:rsidR="00267D5F" w:rsidRDefault="005065F0" w:rsidP="00DD7FA2">
      <w:pPr>
        <w:rPr>
          <w:szCs w:val="25"/>
        </w:rPr>
      </w:pPr>
      <w:proofErr w:type="spellStart"/>
      <w:r w:rsidRPr="001F07DE">
        <w:t>Whāia</w:t>
      </w:r>
      <w:proofErr w:type="spellEnd"/>
      <w:r w:rsidRPr="001F07DE">
        <w:t xml:space="preserve"> </w:t>
      </w:r>
      <w:proofErr w:type="spellStart"/>
      <w:r w:rsidRPr="001F07DE">
        <w:t>Te</w:t>
      </w:r>
      <w:proofErr w:type="spellEnd"/>
      <w:r w:rsidRPr="001F07DE">
        <w:t xml:space="preserve"> </w:t>
      </w:r>
      <w:proofErr w:type="spellStart"/>
      <w:r w:rsidRPr="001F07DE">
        <w:t>Ao</w:t>
      </w:r>
      <w:proofErr w:type="spellEnd"/>
      <w:r w:rsidRPr="001F07DE">
        <w:t xml:space="preserve"> </w:t>
      </w:r>
      <w:proofErr w:type="spellStart"/>
      <w:r w:rsidRPr="0018636F">
        <w:t>Mārama</w:t>
      </w:r>
      <w:proofErr w:type="spellEnd"/>
      <w:r w:rsidRPr="001F07DE">
        <w:t xml:space="preserve"> </w:t>
      </w:r>
      <w:r w:rsidRPr="0018636F">
        <w:t>makes</w:t>
      </w:r>
      <w:r w:rsidRPr="001F07DE">
        <w:t xml:space="preserve"> a </w:t>
      </w:r>
      <w:r w:rsidRPr="0018636F">
        <w:t>commitment</w:t>
      </w:r>
      <w:r w:rsidRPr="001F07DE">
        <w:t xml:space="preserve"> to establishing and maintaining </w:t>
      </w:r>
      <w:r w:rsidR="00267D5F">
        <w:t>‘</w:t>
      </w:r>
      <w:r w:rsidRPr="0018636F">
        <w:rPr>
          <w:iCs/>
        </w:rPr>
        <w:t xml:space="preserve">Good partnerships with </w:t>
      </w:r>
      <w:proofErr w:type="spellStart"/>
      <w:r w:rsidRPr="0018636F">
        <w:rPr>
          <w:iCs/>
        </w:rPr>
        <w:t>whānau</w:t>
      </w:r>
      <w:proofErr w:type="spellEnd"/>
      <w:r w:rsidRPr="0018636F">
        <w:rPr>
          <w:iCs/>
        </w:rPr>
        <w:t xml:space="preserve">, </w:t>
      </w:r>
      <w:proofErr w:type="spellStart"/>
      <w:r w:rsidRPr="0018636F">
        <w:rPr>
          <w:iCs/>
        </w:rPr>
        <w:t>hapū</w:t>
      </w:r>
      <w:proofErr w:type="spellEnd"/>
      <w:r w:rsidRPr="0018636F">
        <w:rPr>
          <w:iCs/>
        </w:rPr>
        <w:t xml:space="preserve">, </w:t>
      </w:r>
      <w:proofErr w:type="spellStart"/>
      <w:r w:rsidRPr="0018636F">
        <w:rPr>
          <w:iCs/>
        </w:rPr>
        <w:t>iwi</w:t>
      </w:r>
      <w:proofErr w:type="spellEnd"/>
      <w:r w:rsidRPr="0018636F">
        <w:rPr>
          <w:iCs/>
        </w:rPr>
        <w:t xml:space="preserve"> and Māori communities</w:t>
      </w:r>
      <w:r w:rsidR="00267D5F">
        <w:rPr>
          <w:iCs/>
        </w:rPr>
        <w:t>’</w:t>
      </w:r>
      <w:r w:rsidRPr="00B61858">
        <w:rPr>
          <w:iCs/>
        </w:rPr>
        <w:t>.</w:t>
      </w:r>
      <w:r>
        <w:rPr>
          <w:iCs/>
        </w:rPr>
        <w:t xml:space="preserve"> </w:t>
      </w:r>
      <w:r>
        <w:rPr>
          <w:szCs w:val="25"/>
        </w:rPr>
        <w:t xml:space="preserve">Accordingly, it aims to </w:t>
      </w:r>
      <w:r w:rsidRPr="008B48C5">
        <w:rPr>
          <w:szCs w:val="25"/>
        </w:rPr>
        <w:t>improv</w:t>
      </w:r>
      <w:r>
        <w:rPr>
          <w:szCs w:val="25"/>
        </w:rPr>
        <w:t>e</w:t>
      </w:r>
      <w:r w:rsidRPr="008B48C5">
        <w:rPr>
          <w:szCs w:val="25"/>
        </w:rPr>
        <w:t xml:space="preserve"> the quality of community engagement </w:t>
      </w:r>
      <w:r w:rsidRPr="00F945AB">
        <w:t>with</w:t>
      </w:r>
      <w:r w:rsidRPr="008B48C5">
        <w:rPr>
          <w:szCs w:val="25"/>
        </w:rPr>
        <w:t xml:space="preserve"> </w:t>
      </w:r>
      <w:proofErr w:type="spellStart"/>
      <w:r w:rsidRPr="008B48C5">
        <w:rPr>
          <w:szCs w:val="25"/>
        </w:rPr>
        <w:t>whānau</w:t>
      </w:r>
      <w:proofErr w:type="spellEnd"/>
      <w:r w:rsidRPr="008B48C5">
        <w:rPr>
          <w:szCs w:val="25"/>
        </w:rPr>
        <w:t xml:space="preserve">, </w:t>
      </w:r>
      <w:proofErr w:type="spellStart"/>
      <w:r w:rsidRPr="008B48C5">
        <w:rPr>
          <w:szCs w:val="25"/>
        </w:rPr>
        <w:t>hapū</w:t>
      </w:r>
      <w:proofErr w:type="spellEnd"/>
      <w:r w:rsidRPr="008B48C5">
        <w:rPr>
          <w:szCs w:val="25"/>
        </w:rPr>
        <w:t xml:space="preserve"> and </w:t>
      </w:r>
      <w:proofErr w:type="spellStart"/>
      <w:r w:rsidRPr="008B48C5">
        <w:rPr>
          <w:szCs w:val="25"/>
        </w:rPr>
        <w:t>iwi</w:t>
      </w:r>
      <w:proofErr w:type="spellEnd"/>
      <w:r>
        <w:rPr>
          <w:szCs w:val="25"/>
        </w:rPr>
        <w:t>;</w:t>
      </w:r>
      <w:r w:rsidRPr="008B48C5">
        <w:rPr>
          <w:szCs w:val="25"/>
        </w:rPr>
        <w:t xml:space="preserve"> community leaders</w:t>
      </w:r>
      <w:r>
        <w:rPr>
          <w:szCs w:val="25"/>
        </w:rPr>
        <w:t>;</w:t>
      </w:r>
      <w:r w:rsidRPr="008B48C5">
        <w:rPr>
          <w:szCs w:val="25"/>
        </w:rPr>
        <w:t xml:space="preserve"> and other groups. It is</w:t>
      </w:r>
      <w:r>
        <w:rPr>
          <w:szCs w:val="25"/>
        </w:rPr>
        <w:t xml:space="preserve"> </w:t>
      </w:r>
      <w:r w:rsidRPr="008B48C5">
        <w:rPr>
          <w:szCs w:val="25"/>
        </w:rPr>
        <w:t xml:space="preserve">important to build effective relationships with Māori and to acknowledge and respect the </w:t>
      </w:r>
      <w:proofErr w:type="spellStart"/>
      <w:r w:rsidRPr="008B48C5">
        <w:rPr>
          <w:szCs w:val="25"/>
        </w:rPr>
        <w:t>mana</w:t>
      </w:r>
      <w:proofErr w:type="spellEnd"/>
      <w:r w:rsidRPr="008B48C5">
        <w:rPr>
          <w:szCs w:val="25"/>
        </w:rPr>
        <w:t xml:space="preserve"> and </w:t>
      </w:r>
      <w:proofErr w:type="spellStart"/>
      <w:r w:rsidRPr="008B48C5">
        <w:rPr>
          <w:szCs w:val="25"/>
        </w:rPr>
        <w:t>tikanga</w:t>
      </w:r>
      <w:proofErr w:type="spellEnd"/>
      <w:r w:rsidRPr="008B48C5">
        <w:rPr>
          <w:szCs w:val="25"/>
        </w:rPr>
        <w:t xml:space="preserve"> of Māori individuals and groups when participating in community engagement.</w:t>
      </w:r>
    </w:p>
    <w:p w:rsidR="00DD7FA2" w:rsidRDefault="00DD7FA2" w:rsidP="00DD7FA2"/>
    <w:p w:rsidR="00267D5F" w:rsidRDefault="005065F0" w:rsidP="00DD7FA2">
      <w:pPr>
        <w:rPr>
          <w:szCs w:val="25"/>
        </w:rPr>
      </w:pPr>
      <w:r>
        <w:t xml:space="preserve">In 2010, </w:t>
      </w:r>
      <w:proofErr w:type="spellStart"/>
      <w:r>
        <w:t>Te</w:t>
      </w:r>
      <w:proofErr w:type="spellEnd"/>
      <w:r>
        <w:t xml:space="preserve"> </w:t>
      </w:r>
      <w:proofErr w:type="spellStart"/>
      <w:r>
        <w:t>Roopu</w:t>
      </w:r>
      <w:proofErr w:type="spellEnd"/>
      <w:r>
        <w:t xml:space="preserve"> </w:t>
      </w:r>
      <w:proofErr w:type="spellStart"/>
      <w:r>
        <w:t>Tīaki</w:t>
      </w:r>
      <w:proofErr w:type="spellEnd"/>
      <w:r>
        <w:t xml:space="preserve"> </w:t>
      </w:r>
      <w:proofErr w:type="spellStart"/>
      <w:r>
        <w:t>Hunga</w:t>
      </w:r>
      <w:proofErr w:type="spellEnd"/>
      <w:r>
        <w:t xml:space="preserve"> </w:t>
      </w:r>
      <w:proofErr w:type="spellStart"/>
      <w:r>
        <w:t>Hauā</w:t>
      </w:r>
      <w:proofErr w:type="spellEnd"/>
      <w:r>
        <w:t xml:space="preserve"> Māori Disability Network Group </w:t>
      </w:r>
      <w:r>
        <w:rPr>
          <w:szCs w:val="25"/>
        </w:rPr>
        <w:t xml:space="preserve">produced </w:t>
      </w:r>
      <w:proofErr w:type="spellStart"/>
      <w:r w:rsidR="005B70F7" w:rsidRPr="005B70F7">
        <w:rPr>
          <w:bCs/>
          <w:i/>
          <w:iCs/>
        </w:rPr>
        <w:t>Te</w:t>
      </w:r>
      <w:proofErr w:type="spellEnd"/>
      <w:r w:rsidR="005B70F7" w:rsidRPr="005B70F7">
        <w:rPr>
          <w:bCs/>
          <w:i/>
          <w:iCs/>
        </w:rPr>
        <w:t> </w:t>
      </w:r>
      <w:proofErr w:type="spellStart"/>
      <w:r w:rsidR="005B70F7" w:rsidRPr="005B70F7">
        <w:rPr>
          <w:bCs/>
          <w:i/>
          <w:iCs/>
        </w:rPr>
        <w:t>Whakaaheitanga</w:t>
      </w:r>
      <w:proofErr w:type="spellEnd"/>
      <w:r w:rsidR="005B70F7" w:rsidRPr="005B70F7">
        <w:rPr>
          <w:bCs/>
          <w:i/>
          <w:iCs/>
        </w:rPr>
        <w:t xml:space="preserve"> </w:t>
      </w:r>
      <w:proofErr w:type="spellStart"/>
      <w:r w:rsidR="005B70F7" w:rsidRPr="005B70F7">
        <w:rPr>
          <w:bCs/>
          <w:i/>
          <w:iCs/>
        </w:rPr>
        <w:t>Marae</w:t>
      </w:r>
      <w:proofErr w:type="spellEnd"/>
      <w:r w:rsidR="005B70F7" w:rsidRPr="005B70F7">
        <w:rPr>
          <w:bCs/>
          <w:i/>
          <w:iCs/>
        </w:rPr>
        <w:t xml:space="preserve"> – </w:t>
      </w:r>
      <w:proofErr w:type="spellStart"/>
      <w:r w:rsidR="005B70F7" w:rsidRPr="005B70F7">
        <w:rPr>
          <w:bCs/>
          <w:i/>
          <w:iCs/>
        </w:rPr>
        <w:t>Kua</w:t>
      </w:r>
      <w:proofErr w:type="spellEnd"/>
      <w:r w:rsidR="005B70F7" w:rsidRPr="005B70F7">
        <w:rPr>
          <w:bCs/>
          <w:i/>
          <w:iCs/>
        </w:rPr>
        <w:t xml:space="preserve"> </w:t>
      </w:r>
      <w:proofErr w:type="spellStart"/>
      <w:r w:rsidR="005B70F7" w:rsidRPr="005B70F7">
        <w:rPr>
          <w:bCs/>
          <w:i/>
          <w:iCs/>
        </w:rPr>
        <w:t>wātea</w:t>
      </w:r>
      <w:proofErr w:type="spellEnd"/>
      <w:r w:rsidR="005B70F7" w:rsidRPr="005B70F7">
        <w:rPr>
          <w:bCs/>
          <w:i/>
          <w:iCs/>
        </w:rPr>
        <w:t xml:space="preserve"> </w:t>
      </w:r>
      <w:proofErr w:type="spellStart"/>
      <w:proofErr w:type="gramStart"/>
      <w:r w:rsidR="005B70F7" w:rsidRPr="005B70F7">
        <w:rPr>
          <w:bCs/>
          <w:i/>
          <w:iCs/>
        </w:rPr>
        <w:t>te</w:t>
      </w:r>
      <w:proofErr w:type="spellEnd"/>
      <w:proofErr w:type="gramEnd"/>
      <w:r w:rsidR="005B70F7" w:rsidRPr="005B70F7">
        <w:rPr>
          <w:bCs/>
          <w:i/>
          <w:iCs/>
        </w:rPr>
        <w:t xml:space="preserve"> </w:t>
      </w:r>
      <w:proofErr w:type="spellStart"/>
      <w:r w:rsidR="005B70F7" w:rsidRPr="005B70F7">
        <w:rPr>
          <w:bCs/>
          <w:i/>
          <w:iCs/>
        </w:rPr>
        <w:t>huarahi</w:t>
      </w:r>
      <w:proofErr w:type="spellEnd"/>
      <w:r w:rsidR="005B70F7" w:rsidRPr="005B70F7">
        <w:rPr>
          <w:bCs/>
          <w:i/>
          <w:iCs/>
        </w:rPr>
        <w:t xml:space="preserve">, the </w:t>
      </w:r>
      <w:proofErr w:type="spellStart"/>
      <w:r w:rsidR="005B70F7" w:rsidRPr="005B70F7">
        <w:rPr>
          <w:bCs/>
          <w:i/>
          <w:iCs/>
        </w:rPr>
        <w:t>Marae</w:t>
      </w:r>
      <w:proofErr w:type="spellEnd"/>
      <w:r w:rsidR="005B70F7" w:rsidRPr="005B70F7">
        <w:rPr>
          <w:bCs/>
          <w:i/>
          <w:iCs/>
        </w:rPr>
        <w:t xml:space="preserve"> Accessibility Report</w:t>
      </w:r>
      <w:r w:rsidRPr="00965475">
        <w:rPr>
          <w:bCs/>
          <w:iCs/>
        </w:rPr>
        <w:t>,</w:t>
      </w:r>
      <w:r w:rsidRPr="009C3BD8">
        <w:rPr>
          <w:bCs/>
          <w:i/>
          <w:iCs/>
        </w:rPr>
        <w:t xml:space="preserve"> </w:t>
      </w:r>
      <w:r w:rsidRPr="009C3BD8">
        <w:rPr>
          <w:szCs w:val="25"/>
        </w:rPr>
        <w:t>a resource</w:t>
      </w:r>
      <w:r w:rsidRPr="004267A5">
        <w:rPr>
          <w:szCs w:val="25"/>
        </w:rPr>
        <w:t xml:space="preserve"> which aims to enable </w:t>
      </w:r>
      <w:r w:rsidR="00267D5F">
        <w:rPr>
          <w:szCs w:val="25"/>
        </w:rPr>
        <w:t>‘</w:t>
      </w:r>
      <w:proofErr w:type="spellStart"/>
      <w:r w:rsidRPr="004267A5">
        <w:rPr>
          <w:szCs w:val="25"/>
        </w:rPr>
        <w:t>Kaumātua</w:t>
      </w:r>
      <w:proofErr w:type="spellEnd"/>
      <w:r w:rsidRPr="004267A5">
        <w:rPr>
          <w:szCs w:val="25"/>
        </w:rPr>
        <w:t xml:space="preserve"> and </w:t>
      </w:r>
      <w:proofErr w:type="spellStart"/>
      <w:r w:rsidRPr="004267A5">
        <w:rPr>
          <w:szCs w:val="25"/>
        </w:rPr>
        <w:t>whānau</w:t>
      </w:r>
      <w:proofErr w:type="spellEnd"/>
      <w:r w:rsidRPr="004267A5">
        <w:rPr>
          <w:szCs w:val="25"/>
        </w:rPr>
        <w:t xml:space="preserve"> with health and disability impairments to actively engage at </w:t>
      </w:r>
      <w:proofErr w:type="spellStart"/>
      <w:r w:rsidRPr="004267A5">
        <w:rPr>
          <w:szCs w:val="25"/>
        </w:rPr>
        <w:t>marae</w:t>
      </w:r>
      <w:proofErr w:type="spellEnd"/>
      <w:r w:rsidRPr="004267A5">
        <w:rPr>
          <w:szCs w:val="25"/>
        </w:rPr>
        <w:t xml:space="preserve"> and remain effective contributors to their </w:t>
      </w:r>
      <w:proofErr w:type="spellStart"/>
      <w:r w:rsidRPr="004267A5">
        <w:rPr>
          <w:szCs w:val="25"/>
        </w:rPr>
        <w:t>marae</w:t>
      </w:r>
      <w:proofErr w:type="spellEnd"/>
      <w:r w:rsidR="00267D5F">
        <w:rPr>
          <w:szCs w:val="25"/>
        </w:rPr>
        <w:t>’</w:t>
      </w:r>
      <w:r w:rsidRPr="004267A5">
        <w:rPr>
          <w:szCs w:val="25"/>
        </w:rPr>
        <w:t>.</w:t>
      </w:r>
      <w:r>
        <w:rPr>
          <w:rStyle w:val="EndnoteReference"/>
          <w:szCs w:val="25"/>
        </w:rPr>
        <w:endnoteReference w:id="5"/>
      </w:r>
    </w:p>
    <w:p w:rsidR="005B70F7" w:rsidRPr="0052205A" w:rsidRDefault="008A337B" w:rsidP="00DD7FA2">
      <w:pPr>
        <w:rPr>
          <w:szCs w:val="25"/>
        </w:rPr>
      </w:pPr>
      <w:hyperlink r:id="rId21" w:history="1">
        <w:r w:rsidR="005B70F7" w:rsidRPr="0052205A">
          <w:rPr>
            <w:rStyle w:val="Hyperlink"/>
            <w:color w:val="auto"/>
            <w:szCs w:val="25"/>
          </w:rPr>
          <w:t>www.kapomaori.com/docs/accessable_marae_toolkit.pdf</w:t>
        </w:r>
      </w:hyperlink>
      <w:r w:rsidR="005B70F7" w:rsidRPr="0052205A">
        <w:rPr>
          <w:szCs w:val="25"/>
        </w:rPr>
        <w:t xml:space="preserve"> </w:t>
      </w:r>
    </w:p>
    <w:p w:rsidR="00DD7FA2" w:rsidRDefault="00DD7FA2" w:rsidP="00DD7FA2">
      <w:pPr>
        <w:rPr>
          <w:lang w:val="en"/>
        </w:rPr>
      </w:pPr>
    </w:p>
    <w:p w:rsidR="005B70F7" w:rsidRDefault="005065F0" w:rsidP="00DD7FA2">
      <w:pPr>
        <w:rPr>
          <w:lang w:val="en"/>
        </w:rPr>
      </w:pPr>
      <w:r w:rsidRPr="003D450C">
        <w:rPr>
          <w:lang w:val="en"/>
        </w:rPr>
        <w:t xml:space="preserve">For more information on </w:t>
      </w:r>
      <w:proofErr w:type="spellStart"/>
      <w:r>
        <w:t>Kāpō</w:t>
      </w:r>
      <w:proofErr w:type="spellEnd"/>
      <w:r>
        <w:t xml:space="preserve"> Māori </w:t>
      </w:r>
      <w:proofErr w:type="spellStart"/>
      <w:r w:rsidRPr="00F945AB">
        <w:t>Aotearoa</w:t>
      </w:r>
      <w:proofErr w:type="spellEnd"/>
      <w:r>
        <w:t xml:space="preserve">, </w:t>
      </w:r>
      <w:r>
        <w:rPr>
          <w:szCs w:val="25"/>
        </w:rPr>
        <w:t>see</w:t>
      </w:r>
      <w:r w:rsidRPr="003D450C">
        <w:rPr>
          <w:szCs w:val="25"/>
        </w:rPr>
        <w:t xml:space="preserve"> </w:t>
      </w:r>
      <w:r w:rsidR="00267D5F">
        <w:rPr>
          <w:szCs w:val="25"/>
        </w:rPr>
        <w:t>‘</w:t>
      </w:r>
      <w:r w:rsidR="009A2A45" w:rsidRPr="009A2A45">
        <w:t>A Guide to Community Engagement with People with Disabilities</w:t>
      </w:r>
      <w:r w:rsidR="005B70F7" w:rsidRPr="005B70F7">
        <w:rPr>
          <w:rStyle w:val="Hyperlink"/>
          <w:color w:val="auto"/>
        </w:rPr>
        <w:t>’</w:t>
      </w:r>
      <w:r w:rsidR="005B70F7">
        <w:t xml:space="preserve"> (page 36)</w:t>
      </w:r>
      <w:r w:rsidRPr="00122E12">
        <w:t xml:space="preserve">. </w:t>
      </w:r>
      <w:r w:rsidRPr="001F07DE">
        <w:t xml:space="preserve">For more information about accessible </w:t>
      </w:r>
      <w:proofErr w:type="spellStart"/>
      <w:r w:rsidRPr="001F07DE">
        <w:t>marae</w:t>
      </w:r>
      <w:proofErr w:type="spellEnd"/>
      <w:r w:rsidRPr="001F07DE">
        <w:t xml:space="preserve"> and </w:t>
      </w:r>
      <w:r w:rsidRPr="00B9782C">
        <w:rPr>
          <w:lang w:val="en"/>
        </w:rPr>
        <w:t>disability support services</w:t>
      </w:r>
      <w:r>
        <w:rPr>
          <w:lang w:val="en"/>
        </w:rPr>
        <w:t xml:space="preserve">, see </w:t>
      </w:r>
      <w:r w:rsidR="005B70F7" w:rsidRPr="005B70F7">
        <w:rPr>
          <w:lang w:val="en"/>
        </w:rPr>
        <w:t>the Ministry of Health’s website</w:t>
      </w:r>
      <w:r w:rsidR="005B70F7">
        <w:rPr>
          <w:lang w:val="en"/>
        </w:rPr>
        <w:t>.</w:t>
      </w:r>
    </w:p>
    <w:p w:rsidR="00267D5F" w:rsidRPr="0052205A" w:rsidRDefault="008A337B" w:rsidP="00DD7FA2">
      <w:pPr>
        <w:rPr>
          <w:lang w:val="en"/>
        </w:rPr>
      </w:pPr>
      <w:hyperlink r:id="rId22" w:history="1">
        <w:r w:rsidR="005B70F7" w:rsidRPr="0052205A">
          <w:rPr>
            <w:rStyle w:val="Hyperlink"/>
            <w:color w:val="auto"/>
            <w:lang w:val="en"/>
          </w:rPr>
          <w:t>www.health.govt.nz/our-work/disability-services/maori-disability-support-services</w:t>
        </w:r>
      </w:hyperlink>
    </w:p>
    <w:p w:rsidR="00DD7FA2" w:rsidRDefault="00DD7FA2" w:rsidP="00DD7FA2">
      <w:pPr>
        <w:rPr>
          <w:lang w:val="en"/>
        </w:rPr>
      </w:pPr>
    </w:p>
    <w:p w:rsidR="00267D5F" w:rsidRDefault="005065F0" w:rsidP="00DD7FA2">
      <w:pPr>
        <w:pStyle w:val="Heading3"/>
      </w:pPr>
      <w:bookmarkStart w:id="57" w:name="_Toc404864977"/>
      <w:bookmarkStart w:id="58" w:name="_Toc416691387"/>
      <w:r w:rsidRPr="0063167D">
        <w:t xml:space="preserve">Engagement with </w:t>
      </w:r>
      <w:r w:rsidR="00E85506" w:rsidRPr="0063167D">
        <w:t>P</w:t>
      </w:r>
      <w:r w:rsidR="00E85506">
        <w:t>acific</w:t>
      </w:r>
      <w:r w:rsidR="00E85506" w:rsidRPr="0063167D">
        <w:t xml:space="preserve"> </w:t>
      </w:r>
      <w:r w:rsidRPr="0063167D">
        <w:t>peoples</w:t>
      </w:r>
      <w:bookmarkEnd w:id="57"/>
      <w:bookmarkEnd w:id="58"/>
    </w:p>
    <w:p w:rsidR="001F07DE" w:rsidRPr="001F07DE" w:rsidRDefault="005065F0" w:rsidP="00DD7FA2">
      <w:r w:rsidRPr="001F07DE">
        <w:t xml:space="preserve">The New Zealand government has committed to </w:t>
      </w:r>
      <w:r w:rsidRPr="00F945AB">
        <w:t>improving</w:t>
      </w:r>
      <w:r w:rsidRPr="001F07DE">
        <w:t xml:space="preserve"> outcomes for </w:t>
      </w:r>
      <w:r w:rsidR="00E85506" w:rsidRPr="001F07DE">
        <w:t>Pa</w:t>
      </w:r>
      <w:r w:rsidR="0052205A">
        <w:t>ci</w:t>
      </w:r>
      <w:r w:rsidR="00E85506" w:rsidRPr="001F07DE">
        <w:t>f</w:t>
      </w:r>
      <w:r w:rsidR="00E85506">
        <w:t>ic</w:t>
      </w:r>
      <w:r w:rsidR="00E85506" w:rsidRPr="001F07DE">
        <w:t xml:space="preserve"> </w:t>
      </w:r>
      <w:r w:rsidRPr="001F07DE">
        <w:t xml:space="preserve">peoples with disabilities, as set out in </w:t>
      </w:r>
      <w:proofErr w:type="spellStart"/>
      <w:r w:rsidRPr="001F07DE">
        <w:t>Faiva</w:t>
      </w:r>
      <w:proofErr w:type="spellEnd"/>
      <w:r w:rsidRPr="001F07DE">
        <w:t xml:space="preserve"> </w:t>
      </w:r>
      <w:proofErr w:type="spellStart"/>
      <w:r w:rsidRPr="001F07DE">
        <w:t>Ora</w:t>
      </w:r>
      <w:proofErr w:type="spellEnd"/>
      <w:r w:rsidRPr="001F07DE">
        <w:t xml:space="preserve">, </w:t>
      </w:r>
      <w:r w:rsidRPr="00F945AB">
        <w:t>the</w:t>
      </w:r>
      <w:r w:rsidRPr="001F07DE">
        <w:t xml:space="preserve"> </w:t>
      </w:r>
      <w:proofErr w:type="spellStart"/>
      <w:r w:rsidRPr="001F07DE">
        <w:t>Pasifika</w:t>
      </w:r>
      <w:proofErr w:type="spellEnd"/>
      <w:r w:rsidRPr="001F07DE">
        <w:t xml:space="preserve"> Disability Action Plan.</w:t>
      </w:r>
      <w:r w:rsidRPr="001F07DE">
        <w:rPr>
          <w:rStyle w:val="EndnoteReference"/>
          <w:rFonts w:cs="Arial"/>
          <w:sz w:val="24"/>
          <w:szCs w:val="24"/>
        </w:rPr>
        <w:endnoteReference w:id="6"/>
      </w:r>
    </w:p>
    <w:p w:rsidR="00DD7FA2" w:rsidRDefault="00DD7FA2" w:rsidP="00DD7FA2"/>
    <w:p w:rsidR="00267D5F" w:rsidRDefault="00E85506" w:rsidP="00DD7FA2">
      <w:r w:rsidRPr="001F07DE">
        <w:t>Pa</w:t>
      </w:r>
      <w:r w:rsidR="0052205A">
        <w:t>c</w:t>
      </w:r>
      <w:r w:rsidRPr="001F07DE">
        <w:t>ifi</w:t>
      </w:r>
      <w:r>
        <w:t>c</w:t>
      </w:r>
      <w:r w:rsidRPr="001F07DE">
        <w:t xml:space="preserve"> </w:t>
      </w:r>
      <w:r w:rsidR="005065F0" w:rsidRPr="001F07DE">
        <w:t xml:space="preserve">peoples in New Zealand usually identify with the Pacific Island nation(s) they or their </w:t>
      </w:r>
      <w:proofErr w:type="spellStart"/>
      <w:r w:rsidR="005065F0" w:rsidRPr="001F07DE">
        <w:t>aiga</w:t>
      </w:r>
      <w:proofErr w:type="spellEnd"/>
      <w:r w:rsidR="005065F0" w:rsidRPr="001F07DE">
        <w:t xml:space="preserve">/families descend from (Samoa, Tonga, Fiji, </w:t>
      </w:r>
      <w:r w:rsidR="005065F0" w:rsidRPr="00F945AB">
        <w:t>Cook</w:t>
      </w:r>
      <w:r w:rsidR="005065F0" w:rsidRPr="001F07DE">
        <w:t xml:space="preserve"> Islands, Niue, Tokelau or Tuvalu). Each of these nations has a distinct culture, language and set of values. Consider these aspects when engaging with members of the Pa</w:t>
      </w:r>
      <w:r w:rsidR="0052205A">
        <w:t>cific</w:t>
      </w:r>
      <w:r w:rsidR="005065F0" w:rsidRPr="001F07DE">
        <w:t xml:space="preserve"> community. Some older </w:t>
      </w:r>
      <w:r w:rsidR="0052205A">
        <w:t>Pacific</w:t>
      </w:r>
      <w:r w:rsidR="005065F0" w:rsidRPr="001F07DE">
        <w:t xml:space="preserve"> people</w:t>
      </w:r>
      <w:r w:rsidR="0052205A">
        <w:t>s</w:t>
      </w:r>
      <w:r w:rsidR="005065F0" w:rsidRPr="001F07DE">
        <w:t xml:space="preserve"> do not understand spoken or written English, </w:t>
      </w:r>
      <w:r w:rsidR="005065F0" w:rsidRPr="00F945AB">
        <w:t>and</w:t>
      </w:r>
      <w:r w:rsidR="005065F0" w:rsidRPr="001F07DE">
        <w:t xml:space="preserve"> interpreters may be needed.</w:t>
      </w:r>
    </w:p>
    <w:p w:rsidR="00DD7FA2" w:rsidRDefault="00DD7FA2" w:rsidP="00DD7FA2"/>
    <w:p w:rsidR="001F07DE" w:rsidRDefault="00E85506" w:rsidP="00DD7FA2">
      <w:r>
        <w:t>O</w:t>
      </w:r>
      <w:r w:rsidR="005065F0" w:rsidRPr="001F07DE">
        <w:t>pen a meeting/</w:t>
      </w:r>
      <w:proofErr w:type="spellStart"/>
      <w:r w:rsidR="005065F0" w:rsidRPr="001F07DE">
        <w:t>fono</w:t>
      </w:r>
      <w:proofErr w:type="spellEnd"/>
      <w:r w:rsidR="005065F0" w:rsidRPr="001F07DE">
        <w:t xml:space="preserve"> with a prayer. Acknowledge individuals who have cultural status in a meeting, such as Tongan nobility, church ministers, Samoan </w:t>
      </w:r>
      <w:proofErr w:type="spellStart"/>
      <w:r w:rsidR="005065F0" w:rsidRPr="00F945AB">
        <w:t>matai</w:t>
      </w:r>
      <w:proofErr w:type="spellEnd"/>
      <w:r w:rsidR="005065F0" w:rsidRPr="001F07DE">
        <w:t xml:space="preserve"> (</w:t>
      </w:r>
      <w:r w:rsidR="005065F0" w:rsidRPr="00F945AB">
        <w:t>chief</w:t>
      </w:r>
      <w:r w:rsidR="005065F0" w:rsidRPr="001F07DE">
        <w:t>), respected elders and others.</w:t>
      </w:r>
      <w:r w:rsidR="005065F0" w:rsidRPr="00417582">
        <w:rPr>
          <w:rFonts w:cs="DIN-Light"/>
          <w:lang w:eastAsia="en-NZ"/>
        </w:rPr>
        <w:t xml:space="preserve"> </w:t>
      </w:r>
      <w:proofErr w:type="spellStart"/>
      <w:r w:rsidR="005065F0">
        <w:rPr>
          <w:rFonts w:cs="DIN-Light"/>
          <w:lang w:eastAsia="en-NZ"/>
        </w:rPr>
        <w:t>Pasifika</w:t>
      </w:r>
      <w:proofErr w:type="spellEnd"/>
      <w:r w:rsidR="005065F0">
        <w:rPr>
          <w:rFonts w:cs="DIN-Light"/>
          <w:lang w:eastAsia="en-NZ"/>
        </w:rPr>
        <w:t xml:space="preserve"> people with disabilities may have </w:t>
      </w:r>
      <w:proofErr w:type="spellStart"/>
      <w:r w:rsidR="005065F0">
        <w:rPr>
          <w:rFonts w:cs="DIN-Light"/>
          <w:lang w:eastAsia="en-NZ"/>
        </w:rPr>
        <w:t>aiga</w:t>
      </w:r>
      <w:proofErr w:type="spellEnd"/>
      <w:r w:rsidR="005065F0">
        <w:rPr>
          <w:rFonts w:cs="DIN-Light"/>
          <w:lang w:eastAsia="en-NZ"/>
        </w:rPr>
        <w:t xml:space="preserve"> present to support them in a </w:t>
      </w:r>
      <w:proofErr w:type="spellStart"/>
      <w:r w:rsidR="005065F0">
        <w:rPr>
          <w:rFonts w:cs="DIN-Light"/>
          <w:lang w:eastAsia="en-NZ"/>
        </w:rPr>
        <w:t>fono</w:t>
      </w:r>
      <w:proofErr w:type="spellEnd"/>
      <w:r w:rsidR="005065F0">
        <w:rPr>
          <w:rFonts w:cs="DIN-Light"/>
          <w:lang w:eastAsia="en-NZ"/>
        </w:rPr>
        <w:t xml:space="preserve">; in some cases, they may have their </w:t>
      </w:r>
      <w:proofErr w:type="spellStart"/>
      <w:r w:rsidR="005065F0">
        <w:rPr>
          <w:rFonts w:cs="DIN-Light"/>
          <w:lang w:eastAsia="en-NZ"/>
        </w:rPr>
        <w:t>aiga</w:t>
      </w:r>
      <w:proofErr w:type="spellEnd"/>
      <w:r w:rsidR="005065F0">
        <w:rPr>
          <w:rFonts w:cs="DIN-Light"/>
          <w:lang w:eastAsia="en-NZ"/>
        </w:rPr>
        <w:t xml:space="preserve"> speak on their behalf. </w:t>
      </w:r>
      <w:r w:rsidR="005065F0" w:rsidRPr="00417582">
        <w:t>Take the time to observe protocols and practices</w:t>
      </w:r>
      <w:r w:rsidR="005065F0" w:rsidRPr="003D450C">
        <w:t xml:space="preserve">. See </w:t>
      </w:r>
      <w:hyperlink w:anchor="_Further_resources_and" w:history="1">
        <w:r w:rsidR="00267D5F" w:rsidRPr="009A2A45">
          <w:rPr>
            <w:rStyle w:val="Hyperlink"/>
            <w:color w:val="auto"/>
          </w:rPr>
          <w:t>‘</w:t>
        </w:r>
        <w:r w:rsidR="005065F0" w:rsidRPr="009A2A45">
          <w:rPr>
            <w:rStyle w:val="Hyperlink"/>
            <w:color w:val="auto"/>
          </w:rPr>
          <w:t>Further resources and organisations</w:t>
        </w:r>
        <w:r w:rsidR="00267D5F" w:rsidRPr="009A2A45">
          <w:rPr>
            <w:rStyle w:val="Hyperlink"/>
            <w:color w:val="auto"/>
          </w:rPr>
          <w:t>’</w:t>
        </w:r>
      </w:hyperlink>
      <w:r w:rsidR="000B1BD7" w:rsidRPr="009A2A45">
        <w:rPr>
          <w:rStyle w:val="Hyperlink"/>
          <w:color w:val="auto"/>
        </w:rPr>
        <w:t xml:space="preserve"> </w:t>
      </w:r>
      <w:r w:rsidR="000B1BD7" w:rsidRPr="000B1BD7">
        <w:rPr>
          <w:rStyle w:val="Hyperlink"/>
          <w:color w:val="auto"/>
        </w:rPr>
        <w:t>(page 39)</w:t>
      </w:r>
      <w:r w:rsidR="005065F0" w:rsidRPr="00417582">
        <w:t>.</w:t>
      </w:r>
    </w:p>
    <w:p w:rsidR="00DD7FA2" w:rsidRDefault="00DD7FA2" w:rsidP="00DD7FA2"/>
    <w:p w:rsidR="00267D5F" w:rsidRDefault="005065F0" w:rsidP="00DD7FA2">
      <w:r>
        <w:t xml:space="preserve">Le </w:t>
      </w:r>
      <w:proofErr w:type="spellStart"/>
      <w:proofErr w:type="gramStart"/>
      <w:r>
        <w:t>Va</w:t>
      </w:r>
      <w:r w:rsidR="00267D5F">
        <w:t>’</w:t>
      </w:r>
      <w:r>
        <w:t>s</w:t>
      </w:r>
      <w:proofErr w:type="spellEnd"/>
      <w:proofErr w:type="gramEnd"/>
      <w:r>
        <w:t xml:space="preserve"> </w:t>
      </w:r>
      <w:r w:rsidR="00D0599F" w:rsidRPr="00D0599F">
        <w:rPr>
          <w:i/>
        </w:rPr>
        <w:t>Organisational Guidelines for Disability Support Services</w:t>
      </w:r>
      <w:r>
        <w:rPr>
          <w:rStyle w:val="EndnoteReference"/>
        </w:rPr>
        <w:endnoteReference w:id="7"/>
      </w:r>
      <w:r w:rsidRPr="00AB53FC">
        <w:rPr>
          <w:rStyle w:val="Hyperlink"/>
        </w:rPr>
        <w:t xml:space="preserve"> </w:t>
      </w:r>
      <w:r w:rsidRPr="001F07DE">
        <w:t>provides</w:t>
      </w:r>
      <w:r w:rsidRPr="00737D89">
        <w:t xml:space="preserve"> </w:t>
      </w:r>
      <w:r>
        <w:t xml:space="preserve">useful advice on engaging and working </w:t>
      </w:r>
      <w:r w:rsidRPr="00CF2A15">
        <w:t xml:space="preserve">with </w:t>
      </w:r>
      <w:proofErr w:type="spellStart"/>
      <w:r w:rsidRPr="00CF2A15">
        <w:t>Pasifika</w:t>
      </w:r>
      <w:proofErr w:type="spellEnd"/>
      <w:r w:rsidRPr="00CF2A15">
        <w:t xml:space="preserve"> </w:t>
      </w:r>
      <w:r>
        <w:t>p</w:t>
      </w:r>
      <w:r w:rsidRPr="00CF2A15">
        <w:t>eople with disabilities and their families</w:t>
      </w:r>
      <w:r>
        <w:t>, supported by case studies, best practice and reflective questions.</w:t>
      </w:r>
    </w:p>
    <w:p w:rsidR="00D0599F" w:rsidRDefault="008A337B" w:rsidP="00DD7FA2">
      <w:hyperlink r:id="rId23" w:history="1">
        <w:r w:rsidR="00D0599F" w:rsidRPr="0052205A">
          <w:rPr>
            <w:rStyle w:val="Hyperlink"/>
            <w:color w:val="auto"/>
          </w:rPr>
          <w:t>www.leva.co.nz/library/leva/organisational-guidelines-for-disability-support-services-working-with-pasifika-people-with-disabilities-and-their-families</w:t>
        </w:r>
      </w:hyperlink>
      <w:r w:rsidR="00D0599F">
        <w:t xml:space="preserve"> </w:t>
      </w:r>
    </w:p>
    <w:p w:rsidR="00DD7FA2" w:rsidRDefault="00DD7FA2" w:rsidP="00DD7FA2"/>
    <w:p w:rsidR="001F07DE" w:rsidRDefault="005065F0" w:rsidP="00DD7FA2">
      <w:pPr>
        <w:pStyle w:val="Heading3"/>
      </w:pPr>
      <w:bookmarkStart w:id="59" w:name="_Toc404864978"/>
      <w:bookmarkStart w:id="60" w:name="_Toc416691388"/>
      <w:r w:rsidRPr="0063167D">
        <w:t xml:space="preserve">Engagement with Asian </w:t>
      </w:r>
      <w:bookmarkEnd w:id="59"/>
      <w:bookmarkEnd w:id="60"/>
      <w:r>
        <w:t>communities</w:t>
      </w:r>
    </w:p>
    <w:p w:rsidR="00267D5F" w:rsidRDefault="005065F0" w:rsidP="00DD7FA2">
      <w:r>
        <w:t xml:space="preserve">Consider the </w:t>
      </w:r>
      <w:r w:rsidRPr="00417582">
        <w:t xml:space="preserve">cultural and linguistic diversity of Asian </w:t>
      </w:r>
      <w:r>
        <w:t>communities, and whether or not you will need a</w:t>
      </w:r>
      <w:r w:rsidRPr="00417582">
        <w:t xml:space="preserve"> translator. Although it is unlikely </w:t>
      </w:r>
      <w:r>
        <w:t xml:space="preserve">that a </w:t>
      </w:r>
      <w:r w:rsidRPr="00417582">
        <w:t>qualified tri-lingual Asian language sign language interpreter</w:t>
      </w:r>
      <w:r>
        <w:t xml:space="preserve"> will be available</w:t>
      </w:r>
      <w:r w:rsidRPr="00417582">
        <w:t xml:space="preserve">, a New Zealand Sign Language agency may have alternate suggestions </w:t>
      </w:r>
      <w:r>
        <w:t xml:space="preserve">to </w:t>
      </w:r>
      <w:r w:rsidRPr="00417582">
        <w:t>assist your engagement with a particular group</w:t>
      </w:r>
      <w:bookmarkStart w:id="61" w:name="_Toc404864979"/>
      <w:bookmarkStart w:id="62" w:name="_Toc416691389"/>
      <w:r>
        <w:t>.</w:t>
      </w:r>
    </w:p>
    <w:p w:rsidR="00DD7FA2" w:rsidRDefault="00DD7FA2" w:rsidP="00DD7FA2"/>
    <w:p w:rsidR="001F07DE" w:rsidRDefault="005065F0" w:rsidP="00DD7FA2">
      <w:pPr>
        <w:pStyle w:val="Heading3"/>
      </w:pPr>
      <w:r w:rsidRPr="0063167D">
        <w:t>Refugees and other culturally and linguistically diverse groups</w:t>
      </w:r>
    </w:p>
    <w:bookmarkEnd w:id="61"/>
    <w:bookmarkEnd w:id="62"/>
    <w:p w:rsidR="00267D5F" w:rsidRDefault="005065F0" w:rsidP="00DD7FA2">
      <w:r w:rsidRPr="00417582">
        <w:t>Different cultures have different understandings of, and attitudes towards, disability</w:t>
      </w:r>
      <w:r>
        <w:t xml:space="preserve">. For example, </w:t>
      </w:r>
      <w:r w:rsidRPr="00417582">
        <w:t xml:space="preserve">some cultures see disability as a </w:t>
      </w:r>
      <w:r w:rsidR="00267D5F">
        <w:t>‘</w:t>
      </w:r>
      <w:r w:rsidRPr="00417582">
        <w:t>curse</w:t>
      </w:r>
      <w:r w:rsidR="00267D5F">
        <w:t>’</w:t>
      </w:r>
      <w:r w:rsidRPr="00417582">
        <w:t xml:space="preserve"> and something to be kept hidden from society. This may influence </w:t>
      </w:r>
      <w:r>
        <w:t xml:space="preserve">the approach you need </w:t>
      </w:r>
      <w:r w:rsidRPr="00417582">
        <w:t xml:space="preserve">to engage with </w:t>
      </w:r>
      <w:r>
        <w:t xml:space="preserve">particular </w:t>
      </w:r>
      <w:r w:rsidRPr="00417582">
        <w:t>communities.</w:t>
      </w:r>
    </w:p>
    <w:p w:rsidR="00DD7FA2" w:rsidRDefault="00DD7FA2" w:rsidP="00DD7FA2"/>
    <w:p w:rsidR="00267D5F" w:rsidRDefault="005065F0" w:rsidP="00DD7FA2">
      <w:r>
        <w:t xml:space="preserve">In planning engagement with these communities, </w:t>
      </w:r>
      <w:r w:rsidRPr="00417582">
        <w:t xml:space="preserve">consider the role, and attendance, of </w:t>
      </w:r>
      <w:r>
        <w:t>family</w:t>
      </w:r>
      <w:r w:rsidRPr="00417582">
        <w:t xml:space="preserve"> members</w:t>
      </w:r>
      <w:r>
        <w:t>, including their attendance at meetings</w:t>
      </w:r>
      <w:r w:rsidRPr="00417582">
        <w:t>.</w:t>
      </w:r>
      <w:r>
        <w:t xml:space="preserve"> </w:t>
      </w:r>
      <w:r w:rsidRPr="00417582">
        <w:t xml:space="preserve">A communication plan specifically for culturally and linguistically diverse communities may be helpful. </w:t>
      </w:r>
      <w:r>
        <w:t>The Ministry of Health</w:t>
      </w:r>
      <w:r w:rsidR="00267D5F">
        <w:t>’</w:t>
      </w:r>
      <w:r>
        <w:t xml:space="preserve">s </w:t>
      </w:r>
      <w:r w:rsidR="00D0599F" w:rsidRPr="00D0599F">
        <w:rPr>
          <w:i/>
        </w:rPr>
        <w:t>Refugee Health Care: A Handbook for Health Professionals</w:t>
      </w:r>
      <w:r>
        <w:rPr>
          <w:rStyle w:val="EndnoteReference"/>
        </w:rPr>
        <w:endnoteReference w:id="8"/>
      </w:r>
      <w:r>
        <w:t xml:space="preserve"> contains </w:t>
      </w:r>
      <w:r w:rsidRPr="001F07DE">
        <w:t>useful</w:t>
      </w:r>
      <w:r>
        <w:t xml:space="preserve"> advice on engaging </w:t>
      </w:r>
      <w:r w:rsidRPr="00CF2A15">
        <w:t xml:space="preserve">with </w:t>
      </w:r>
      <w:r>
        <w:t>refugees, supported by case studies, best practice and reflective questions.</w:t>
      </w:r>
    </w:p>
    <w:p w:rsidR="00D0599F" w:rsidRPr="0052205A" w:rsidRDefault="008A337B" w:rsidP="00DD7FA2">
      <w:hyperlink r:id="rId24" w:history="1">
        <w:r w:rsidR="00D0599F" w:rsidRPr="0052205A">
          <w:rPr>
            <w:rStyle w:val="Hyperlink"/>
            <w:color w:val="auto"/>
          </w:rPr>
          <w:t>www.health.govt.nz/our-work/populations/refugee-health</w:t>
        </w:r>
      </w:hyperlink>
      <w:r w:rsidR="00D0599F" w:rsidRPr="0052205A">
        <w:t xml:space="preserve"> </w:t>
      </w:r>
    </w:p>
    <w:p w:rsidR="00DD7FA2" w:rsidRDefault="00DD7FA2" w:rsidP="00DD7FA2"/>
    <w:p w:rsidR="001F07DE" w:rsidRDefault="005065F0" w:rsidP="00DD7FA2">
      <w:r>
        <w:t xml:space="preserve">Keep in mind certain </w:t>
      </w:r>
      <w:r w:rsidRPr="00417582">
        <w:t xml:space="preserve">times of year hold particular cultural </w:t>
      </w:r>
      <w:r w:rsidRPr="001F07DE">
        <w:t>and</w:t>
      </w:r>
      <w:r w:rsidRPr="00417582">
        <w:t xml:space="preserve"> religious significance for groups (</w:t>
      </w:r>
      <w:proofErr w:type="spellStart"/>
      <w:r>
        <w:t>eg</w:t>
      </w:r>
      <w:proofErr w:type="spellEnd"/>
      <w:r>
        <w:t xml:space="preserve">, </w:t>
      </w:r>
      <w:r w:rsidRPr="00417582">
        <w:t xml:space="preserve">Christmas, Chinese New Year, </w:t>
      </w:r>
      <w:proofErr w:type="gramStart"/>
      <w:r w:rsidRPr="00417582">
        <w:t>Ramadan</w:t>
      </w:r>
      <w:proofErr w:type="gramEnd"/>
      <w:r w:rsidRPr="00417582">
        <w:t xml:space="preserve">). Try to avoid these dates when setting meetings and </w:t>
      </w:r>
      <w:r w:rsidRPr="00863659">
        <w:t>consultation timeframes.</w:t>
      </w:r>
    </w:p>
    <w:p w:rsidR="00DD7FA2" w:rsidRDefault="00DD7FA2" w:rsidP="00DD7FA2"/>
    <w:p w:rsidR="001F07DE" w:rsidRDefault="005065F0" w:rsidP="00DD7FA2">
      <w:r w:rsidRPr="00BF6952">
        <w:t xml:space="preserve">On the subject of </w:t>
      </w:r>
      <w:r>
        <w:t xml:space="preserve">cultural considerations, see </w:t>
      </w:r>
      <w:r w:rsidR="00267D5F">
        <w:t>‘</w:t>
      </w:r>
      <w:hyperlink w:anchor="_Appendix_15_–" w:history="1">
        <w:r w:rsidRPr="009A2A45">
          <w:rPr>
            <w:rStyle w:val="Hyperlink"/>
            <w:color w:val="auto"/>
          </w:rPr>
          <w:t>Government agencies and resources</w:t>
        </w:r>
      </w:hyperlink>
      <w:r w:rsidR="00D0599F" w:rsidRPr="00D0599F">
        <w:rPr>
          <w:rStyle w:val="Hyperlink"/>
          <w:color w:val="auto"/>
        </w:rPr>
        <w:t>’</w:t>
      </w:r>
      <w:r w:rsidR="00D0599F">
        <w:rPr>
          <w:rStyle w:val="Hyperlink"/>
          <w:color w:val="auto"/>
        </w:rPr>
        <w:t xml:space="preserve"> (page 37)</w:t>
      </w:r>
      <w:r>
        <w:t xml:space="preserve"> for information on:</w:t>
      </w:r>
    </w:p>
    <w:p w:rsidR="00267D5F" w:rsidRDefault="005065F0" w:rsidP="00DD7FA2">
      <w:pPr>
        <w:pStyle w:val="Bullet"/>
      </w:pPr>
      <w:r>
        <w:t>refugee h</w:t>
      </w:r>
      <w:r w:rsidRPr="00AB0722">
        <w:t>ealth</w:t>
      </w:r>
      <w:r>
        <w:t xml:space="preserve"> from the Ministry of Health</w:t>
      </w:r>
    </w:p>
    <w:p w:rsidR="00267D5F" w:rsidRDefault="005065F0" w:rsidP="00DD7FA2">
      <w:pPr>
        <w:pStyle w:val="Bullet"/>
      </w:pPr>
      <w:r w:rsidRPr="007E24DC">
        <w:t xml:space="preserve">working with ethnic communities </w:t>
      </w:r>
      <w:r>
        <w:t xml:space="preserve">from the </w:t>
      </w:r>
      <w:r w:rsidRPr="00AB0722">
        <w:t>Office of Ethnic Communities</w:t>
      </w:r>
    </w:p>
    <w:p w:rsidR="00267D5F" w:rsidRDefault="005065F0" w:rsidP="004042F8">
      <w:pPr>
        <w:pStyle w:val="Bullet"/>
      </w:pPr>
      <w:r>
        <w:t xml:space="preserve">consulting diverse communities and groups (available on the </w:t>
      </w:r>
      <w:r w:rsidR="00E007FD" w:rsidRPr="00E007FD">
        <w:t>Community Matters</w:t>
      </w:r>
      <w:r>
        <w:t xml:space="preserve"> website)</w:t>
      </w:r>
      <w:r w:rsidR="004042F8">
        <w:br/>
      </w:r>
      <w:hyperlink r:id="rId25" w:history="1">
        <w:r w:rsidR="004042F8" w:rsidRPr="009A2A45">
          <w:rPr>
            <w:rStyle w:val="Hyperlink"/>
            <w:color w:val="auto"/>
          </w:rPr>
          <w:t>www.communitymatters.govt.nz/Good-Practice-Participate</w:t>
        </w:r>
      </w:hyperlink>
      <w:r w:rsidR="004042F8">
        <w:t xml:space="preserve"> </w:t>
      </w:r>
    </w:p>
    <w:p w:rsidR="00267D5F" w:rsidRDefault="005065F0" w:rsidP="004042F8">
      <w:pPr>
        <w:pStyle w:val="Bullet"/>
        <w:rPr>
          <w:lang w:val="en"/>
        </w:rPr>
      </w:pPr>
      <w:r w:rsidRPr="009077D0">
        <w:t>resources designed to strengthen communities</w:t>
      </w:r>
      <w:r>
        <w:t xml:space="preserve"> (available on the </w:t>
      </w:r>
      <w:proofErr w:type="spellStart"/>
      <w:r w:rsidR="00E007FD" w:rsidRPr="00E007FD">
        <w:rPr>
          <w:bCs/>
          <w:iCs/>
        </w:rPr>
        <w:t>CommunityNet</w:t>
      </w:r>
      <w:proofErr w:type="spellEnd"/>
      <w:r w:rsidR="00E007FD" w:rsidRPr="00E007FD">
        <w:rPr>
          <w:bCs/>
          <w:iCs/>
        </w:rPr>
        <w:t xml:space="preserve"> </w:t>
      </w:r>
      <w:proofErr w:type="spellStart"/>
      <w:r w:rsidR="00E007FD" w:rsidRPr="00E007FD">
        <w:rPr>
          <w:bCs/>
          <w:iCs/>
        </w:rPr>
        <w:t>Aotearoa</w:t>
      </w:r>
      <w:proofErr w:type="spellEnd"/>
      <w:r w:rsidRPr="00221244">
        <w:rPr>
          <w:szCs w:val="25"/>
        </w:rPr>
        <w:t xml:space="preserve"> </w:t>
      </w:r>
      <w:r>
        <w:rPr>
          <w:szCs w:val="25"/>
        </w:rPr>
        <w:t xml:space="preserve">website), including </w:t>
      </w:r>
      <w:r>
        <w:t>diversity toolkits and communication guides</w:t>
      </w:r>
      <w:r w:rsidR="004042F8">
        <w:br/>
      </w:r>
      <w:hyperlink r:id="rId26" w:history="1">
        <w:r w:rsidR="004042F8" w:rsidRPr="00263088">
          <w:rPr>
            <w:rStyle w:val="Hyperlink"/>
            <w:color w:val="auto"/>
            <w:lang w:val="en"/>
          </w:rPr>
          <w:t>www.community.net.nz</w:t>
        </w:r>
      </w:hyperlink>
      <w:r w:rsidR="004042F8" w:rsidRPr="00263088">
        <w:rPr>
          <w:lang w:val="en"/>
        </w:rPr>
        <w:t xml:space="preserve"> </w:t>
      </w:r>
    </w:p>
    <w:p w:rsidR="00267D5F" w:rsidRPr="00263088" w:rsidRDefault="00E007FD" w:rsidP="00E007FD">
      <w:pPr>
        <w:pStyle w:val="Bullet"/>
        <w:rPr>
          <w:lang w:val="en"/>
        </w:rPr>
      </w:pPr>
      <w:proofErr w:type="spellStart"/>
      <w:proofErr w:type="gramStart"/>
      <w:r w:rsidRPr="00E007FD">
        <w:t>eCald</w:t>
      </w:r>
      <w:proofErr w:type="spellEnd"/>
      <w:proofErr w:type="gramEnd"/>
      <w:r w:rsidR="005065F0" w:rsidRPr="00452F85">
        <w:rPr>
          <w:lang w:val="en"/>
        </w:rPr>
        <w:t xml:space="preserve">, a website who are migrants and refugees from Asian, Middle Eastern, Latin American and African (MELAA) backgrounds. This website has resources on how to ensure </w:t>
      </w:r>
      <w:r w:rsidR="005065F0" w:rsidRPr="00221244">
        <w:t>services</w:t>
      </w:r>
      <w:r w:rsidR="005065F0" w:rsidRPr="00452F85">
        <w:rPr>
          <w:lang w:val="en"/>
        </w:rPr>
        <w:t xml:space="preserve"> for culturally and linguistically diverse groups are accessible, culturally appropriate, effective and safe.</w:t>
      </w:r>
      <w:r>
        <w:rPr>
          <w:lang w:val="en"/>
        </w:rPr>
        <w:br/>
      </w:r>
      <w:hyperlink r:id="rId27" w:history="1">
        <w:r w:rsidRPr="00263088">
          <w:rPr>
            <w:rStyle w:val="Hyperlink"/>
            <w:color w:val="auto"/>
            <w:lang w:val="en"/>
          </w:rPr>
          <w:t>www.ecald.com</w:t>
        </w:r>
      </w:hyperlink>
      <w:r w:rsidRPr="00263088">
        <w:rPr>
          <w:lang w:val="en"/>
        </w:rPr>
        <w:t xml:space="preserve"> </w:t>
      </w:r>
    </w:p>
    <w:p w:rsidR="00DD7FA2" w:rsidRDefault="00DD7FA2" w:rsidP="00DD7FA2">
      <w:pPr>
        <w:rPr>
          <w:lang w:val="en"/>
        </w:rPr>
      </w:pPr>
    </w:p>
    <w:p w:rsidR="00267D5F" w:rsidRDefault="005065F0" w:rsidP="00DD7FA2">
      <w:pPr>
        <w:pStyle w:val="Heading2"/>
      </w:pPr>
      <w:bookmarkStart w:id="63" w:name="_Toc442354549"/>
      <w:bookmarkStart w:id="64" w:name="_Toc479687375"/>
      <w:r w:rsidRPr="000869F7">
        <w:t>Venue accessibility</w:t>
      </w:r>
      <w:bookmarkEnd w:id="52"/>
      <w:bookmarkEnd w:id="53"/>
      <w:bookmarkEnd w:id="63"/>
      <w:bookmarkEnd w:id="64"/>
    </w:p>
    <w:p w:rsidR="001F07DE" w:rsidRDefault="005065F0" w:rsidP="00DD7FA2">
      <w:r>
        <w:t xml:space="preserve">Choose an accessible venue when you are planning for </w:t>
      </w:r>
      <w:r w:rsidRPr="001F07DE">
        <w:t>community</w:t>
      </w:r>
      <w:r>
        <w:t xml:space="preserve"> engagement, particularly for events with an open invitation. Allow time to secure an accessible venue. Before you book a venue, </w:t>
      </w:r>
      <w:r w:rsidRPr="00D26A6A">
        <w:t xml:space="preserve">visit </w:t>
      </w:r>
      <w:r>
        <w:t xml:space="preserve">it </w:t>
      </w:r>
      <w:r w:rsidRPr="00D26A6A">
        <w:t xml:space="preserve">to ensure </w:t>
      </w:r>
      <w:r>
        <w:t xml:space="preserve">that it </w:t>
      </w:r>
      <w:r w:rsidRPr="00D26A6A">
        <w:t>meet</w:t>
      </w:r>
      <w:r>
        <w:t>s</w:t>
      </w:r>
      <w:r w:rsidRPr="00D26A6A">
        <w:t xml:space="preserve"> the needs of </w:t>
      </w:r>
      <w:r>
        <w:t xml:space="preserve">your </w:t>
      </w:r>
      <w:r w:rsidRPr="00D26A6A">
        <w:t xml:space="preserve">intended participants. </w:t>
      </w:r>
      <w:r>
        <w:t>If you are unsure, consult intended participants themselves</w:t>
      </w:r>
      <w:r w:rsidRPr="00D26A6A">
        <w:t>.</w:t>
      </w:r>
    </w:p>
    <w:p w:rsidR="00DD7FA2" w:rsidRDefault="00DD7FA2" w:rsidP="00DD7FA2"/>
    <w:p w:rsidR="00E007FD" w:rsidRPr="00263088" w:rsidRDefault="00E007FD" w:rsidP="00DD7FA2">
      <w:r w:rsidRPr="00E007FD">
        <w:t>New Zealand Standard 4121</w:t>
      </w:r>
      <w:r w:rsidR="005065F0" w:rsidRPr="00D26A6A">
        <w:t xml:space="preserve"> sets out the accessibility requirements for many public buildings. </w:t>
      </w:r>
      <w:hyperlink r:id="rId28" w:history="1">
        <w:r w:rsidRPr="00263088">
          <w:rPr>
            <w:rStyle w:val="Hyperlink"/>
            <w:color w:val="auto"/>
          </w:rPr>
          <w:t>www.standards.co.nz/assets/Publication-files/NZS4121-2001.pdf</w:t>
        </w:r>
      </w:hyperlink>
    </w:p>
    <w:p w:rsidR="00E007FD" w:rsidRDefault="00E007FD" w:rsidP="00DD7FA2"/>
    <w:p w:rsidR="00267D5F" w:rsidRPr="00263088" w:rsidRDefault="005065F0" w:rsidP="00DD7FA2">
      <w:r w:rsidRPr="00D26A6A">
        <w:t>Often an accessible venue use</w:t>
      </w:r>
      <w:r>
        <w:t>s</w:t>
      </w:r>
      <w:r w:rsidRPr="00D26A6A">
        <w:t xml:space="preserve"> the </w:t>
      </w:r>
      <w:r w:rsidR="00E007FD" w:rsidRPr="00E007FD">
        <w:t>International Symbol of Access</w:t>
      </w:r>
      <w:r w:rsidRPr="00D26A6A">
        <w:t xml:space="preserve"> (the symbol of a person in a wheelchair) to indicate that </w:t>
      </w:r>
      <w:r>
        <w:t xml:space="preserve">it meets this standard and </w:t>
      </w:r>
      <w:r w:rsidRPr="00D26A6A">
        <w:t xml:space="preserve">can be used by people with disabilities (not just those people who use wheelchairs). </w:t>
      </w:r>
      <w:r>
        <w:t>In addition to letting people know if the venue is accessible, the symbol can also be used on directional signage to let people know where ramps, mobility parks or accessible toilets are located and on these facilities directly</w:t>
      </w:r>
      <w:r w:rsidR="00DD7FA2">
        <w:t>.</w:t>
      </w:r>
      <w:r>
        <w:rPr>
          <w:rStyle w:val="EndnoteReference"/>
        </w:rPr>
        <w:endnoteReference w:id="9"/>
      </w:r>
      <w:r w:rsidR="00E007FD">
        <w:br/>
      </w:r>
      <w:hyperlink r:id="rId29" w:anchor="aid2" w:history="1">
        <w:r w:rsidR="00E007FD" w:rsidRPr="00263088">
          <w:rPr>
            <w:rStyle w:val="Hyperlink"/>
            <w:color w:val="auto"/>
          </w:rPr>
          <w:t>www.building.govt.nz/international-symbol#aid2</w:t>
        </w:r>
      </w:hyperlink>
      <w:r w:rsidR="00E007FD" w:rsidRPr="00263088">
        <w:t xml:space="preserve"> </w:t>
      </w:r>
    </w:p>
    <w:p w:rsidR="00DD7FA2" w:rsidRDefault="00DD7FA2" w:rsidP="00DD7FA2"/>
    <w:p w:rsidR="001F07DE" w:rsidRDefault="005065F0" w:rsidP="00DD7FA2">
      <w:r>
        <w:t xml:space="preserve">See </w:t>
      </w:r>
      <w:r w:rsidR="00267D5F">
        <w:t>‘</w:t>
      </w:r>
      <w:hyperlink w:anchor="_Venue_accessibility" w:history="1">
        <w:r w:rsidRPr="009A2A45">
          <w:rPr>
            <w:rStyle w:val="Hyperlink"/>
            <w:color w:val="auto"/>
          </w:rPr>
          <w:t>Venue accessibility</w:t>
        </w:r>
      </w:hyperlink>
      <w:r w:rsidR="00323862" w:rsidRPr="00323862">
        <w:rPr>
          <w:rStyle w:val="Hyperlink"/>
          <w:color w:val="auto"/>
        </w:rPr>
        <w:t>’</w:t>
      </w:r>
      <w:r w:rsidRPr="00323862">
        <w:t xml:space="preserve"> </w:t>
      </w:r>
      <w:r w:rsidR="00323862" w:rsidRPr="00323862">
        <w:t xml:space="preserve">(page 21) </w:t>
      </w:r>
      <w:r>
        <w:t>for more information</w:t>
      </w:r>
      <w:r w:rsidRPr="003D450C">
        <w:t>.</w:t>
      </w:r>
    </w:p>
    <w:p w:rsidR="00DD7FA2" w:rsidRDefault="00DD7FA2" w:rsidP="00DD7FA2"/>
    <w:p w:rsidR="001F07DE" w:rsidRDefault="005065F0" w:rsidP="00DD7FA2">
      <w:pPr>
        <w:pStyle w:val="Heading2"/>
      </w:pPr>
      <w:bookmarkStart w:id="65" w:name="_Toc416691383"/>
      <w:bookmarkStart w:id="66" w:name="_Toc442354550"/>
      <w:bookmarkStart w:id="67" w:name="_Toc479687376"/>
      <w:r w:rsidRPr="000869F7">
        <w:t>Web accessibility and online engagement</w:t>
      </w:r>
      <w:bookmarkEnd w:id="65"/>
      <w:bookmarkEnd w:id="66"/>
      <w:bookmarkEnd w:id="67"/>
    </w:p>
    <w:p w:rsidR="001F07DE" w:rsidRDefault="005065F0" w:rsidP="00DD7FA2">
      <w:pPr>
        <w:keepNext/>
      </w:pPr>
      <w:r w:rsidRPr="004C0F88">
        <w:t xml:space="preserve">If </w:t>
      </w:r>
      <w:r>
        <w:t>some or all of your e</w:t>
      </w:r>
      <w:r w:rsidRPr="004C0F88">
        <w:t>ngagement process</w:t>
      </w:r>
      <w:r>
        <w:t xml:space="preserve"> will be on</w:t>
      </w:r>
      <w:r w:rsidRPr="004C0F88">
        <w:t>line (</w:t>
      </w:r>
      <w:proofErr w:type="spellStart"/>
      <w:r w:rsidRPr="004C0F88">
        <w:t>eg</w:t>
      </w:r>
      <w:proofErr w:type="spellEnd"/>
      <w:r>
        <w:t>,</w:t>
      </w:r>
      <w:r w:rsidRPr="004C0F88">
        <w:t xml:space="preserve"> surveys, </w:t>
      </w:r>
      <w:r>
        <w:t xml:space="preserve">publication of </w:t>
      </w:r>
      <w:r w:rsidRPr="004C0F88">
        <w:t>results</w:t>
      </w:r>
      <w:r>
        <w:t xml:space="preserve">, </w:t>
      </w:r>
      <w:proofErr w:type="spellStart"/>
      <w:r>
        <w:t>etc</w:t>
      </w:r>
      <w:proofErr w:type="spellEnd"/>
      <w:r w:rsidRPr="004C0F88">
        <w:t xml:space="preserve">), </w:t>
      </w:r>
      <w:r w:rsidRPr="003D450C">
        <w:t>consider accessibility</w:t>
      </w:r>
      <w:r>
        <w:t>.</w:t>
      </w:r>
      <w:r w:rsidRPr="003D450C">
        <w:t xml:space="preserve"> </w:t>
      </w:r>
      <w:bookmarkStart w:id="68" w:name="_Feedback"/>
      <w:bookmarkEnd w:id="68"/>
      <w:r w:rsidRPr="001F07DE">
        <w:t>The New Zealand Web Accessibility Standard 1.1 and the Web Usability Standard 1.2 came into effect on 1 July 2013,</w:t>
      </w:r>
      <w:r w:rsidRPr="001F07DE">
        <w:rPr>
          <w:rStyle w:val="EndnoteReference"/>
        </w:rPr>
        <w:endnoteReference w:id="10"/>
      </w:r>
      <w:r w:rsidRPr="001F07DE">
        <w:t xml:space="preserve"> to bring government websites up to the international Web Content Accessibility Guidelines (WCAG) 2.0.</w:t>
      </w:r>
      <w:r w:rsidRPr="001F07DE">
        <w:rPr>
          <w:vertAlign w:val="superscript"/>
        </w:rPr>
        <w:endnoteReference w:id="11"/>
      </w:r>
    </w:p>
    <w:p w:rsidR="00DD7FA2" w:rsidRDefault="00DD7FA2" w:rsidP="00DD7FA2">
      <w:pPr>
        <w:keepNext/>
      </w:pPr>
    </w:p>
    <w:p w:rsidR="001F07DE" w:rsidRPr="001F07DE" w:rsidRDefault="005065F0" w:rsidP="00DD7FA2">
      <w:r w:rsidRPr="001F07DE">
        <w:t xml:space="preserve">All website information must </w:t>
      </w:r>
      <w:r w:rsidRPr="00550B2F">
        <w:t>b</w:t>
      </w:r>
      <w:r w:rsidRPr="001F07DE">
        <w:t>e:</w:t>
      </w:r>
    </w:p>
    <w:p w:rsidR="001F07DE" w:rsidRDefault="005065F0" w:rsidP="00DD7FA2">
      <w:pPr>
        <w:pStyle w:val="Bullet"/>
      </w:pPr>
      <w:r>
        <w:t>p</w:t>
      </w:r>
      <w:r w:rsidRPr="00417582">
        <w:t>erceivable –</w:t>
      </w:r>
      <w:r>
        <w:t xml:space="preserve"> </w:t>
      </w:r>
      <w:r w:rsidRPr="00417582">
        <w:t>available in multiple formats, to suit users</w:t>
      </w:r>
      <w:r w:rsidR="00267D5F">
        <w:t>’</w:t>
      </w:r>
      <w:r w:rsidRPr="00417582">
        <w:t xml:space="preserve"> requirements (</w:t>
      </w:r>
      <w:proofErr w:type="spellStart"/>
      <w:r>
        <w:t>eg</w:t>
      </w:r>
      <w:proofErr w:type="spellEnd"/>
      <w:r w:rsidRPr="00417582">
        <w:t xml:space="preserve">, non-text content </w:t>
      </w:r>
      <w:r>
        <w:t xml:space="preserve">is </w:t>
      </w:r>
      <w:r w:rsidRPr="00417582">
        <w:t>also available in text form)</w:t>
      </w:r>
    </w:p>
    <w:p w:rsidR="001F07DE" w:rsidRDefault="005065F0" w:rsidP="00DD7FA2">
      <w:pPr>
        <w:pStyle w:val="Bullet"/>
      </w:pPr>
      <w:r>
        <w:t>o</w:t>
      </w:r>
      <w:r w:rsidRPr="00417582">
        <w:t>perable –</w:t>
      </w:r>
      <w:r>
        <w:t xml:space="preserve"> </w:t>
      </w:r>
      <w:r w:rsidRPr="00417582">
        <w:t>able to be navigated by all people without causing issues (including by people who navigate pages solely through the keyboard, or who can have seizures triggered by flashing content)</w:t>
      </w:r>
    </w:p>
    <w:p w:rsidR="001F07DE" w:rsidRDefault="005065F0" w:rsidP="00DD7FA2">
      <w:pPr>
        <w:pStyle w:val="Bullet"/>
      </w:pPr>
      <w:r>
        <w:t>u</w:t>
      </w:r>
      <w:r w:rsidRPr="00417582">
        <w:t>nderstandable –</w:t>
      </w:r>
      <w:r>
        <w:t xml:space="preserve"> </w:t>
      </w:r>
      <w:r w:rsidRPr="00417582">
        <w:t xml:space="preserve">easy to understand, and </w:t>
      </w:r>
      <w:r>
        <w:t xml:space="preserve">presented according to a website </w:t>
      </w:r>
      <w:r w:rsidRPr="00417582">
        <w:t xml:space="preserve">design </w:t>
      </w:r>
      <w:r>
        <w:t xml:space="preserve">that is </w:t>
      </w:r>
      <w:r w:rsidRPr="00417582">
        <w:t>simple to interact with and minimise user mistakes</w:t>
      </w:r>
    </w:p>
    <w:p w:rsidR="001F07DE" w:rsidRDefault="005065F0" w:rsidP="00DD7FA2">
      <w:pPr>
        <w:pStyle w:val="Bullet"/>
      </w:pPr>
      <w:proofErr w:type="gramStart"/>
      <w:r>
        <w:t>r</w:t>
      </w:r>
      <w:r w:rsidRPr="00417582">
        <w:t>obust</w:t>
      </w:r>
      <w:proofErr w:type="gramEnd"/>
      <w:r w:rsidRPr="00417582">
        <w:t xml:space="preserve"> – compatible with other technologies </w:t>
      </w:r>
      <w:r>
        <w:t>(</w:t>
      </w:r>
      <w:proofErr w:type="spellStart"/>
      <w:r>
        <w:t>eg</w:t>
      </w:r>
      <w:proofErr w:type="spellEnd"/>
      <w:r>
        <w:t>,</w:t>
      </w:r>
      <w:r w:rsidRPr="00417582">
        <w:t xml:space="preserve"> assistive technology such as screen readers</w:t>
      </w:r>
      <w:r>
        <w:t>)</w:t>
      </w:r>
      <w:r w:rsidRPr="00417582">
        <w:t>.</w:t>
      </w:r>
    </w:p>
    <w:p w:rsidR="00DD7FA2" w:rsidRDefault="00DD7FA2" w:rsidP="00DD7FA2"/>
    <w:p w:rsidR="00267D5F" w:rsidRDefault="005065F0" w:rsidP="00DD7FA2">
      <w:r w:rsidRPr="001F07DE">
        <w:t>There are increasing opportunities to New Zealand Sign Language video clips on your website.</w:t>
      </w:r>
    </w:p>
    <w:p w:rsidR="00267D5F" w:rsidRPr="00263088" w:rsidRDefault="005065F0" w:rsidP="005065F0">
      <w:r w:rsidRPr="001F07DE">
        <w:t xml:space="preserve">For more information see the </w:t>
      </w:r>
      <w:r w:rsidR="00E007FD" w:rsidRPr="00E007FD">
        <w:t>New Zealand Government Web Toolkit</w:t>
      </w:r>
      <w:r w:rsidRPr="00417582">
        <w:t>.</w:t>
      </w:r>
      <w:r w:rsidR="00E007FD">
        <w:br/>
      </w:r>
      <w:hyperlink r:id="rId30" w:history="1">
        <w:r w:rsidR="00E007FD" w:rsidRPr="00263088">
          <w:rPr>
            <w:rStyle w:val="Hyperlink"/>
            <w:color w:val="auto"/>
          </w:rPr>
          <w:t>www.webtoolkit.govt.nz</w:t>
        </w:r>
      </w:hyperlink>
      <w:r w:rsidR="00E007FD" w:rsidRPr="00263088">
        <w:t xml:space="preserve"> </w:t>
      </w:r>
    </w:p>
    <w:p w:rsidR="00DD7FA2" w:rsidRDefault="00DD7FA2" w:rsidP="00DD7FA2"/>
    <w:p w:rsidR="00267D5F" w:rsidRDefault="005065F0" w:rsidP="00DD7FA2">
      <w:r w:rsidRPr="001F07DE">
        <w:t>Remember that many people may not have access to the internet.</w:t>
      </w:r>
    </w:p>
    <w:p w:rsidR="001F07DE" w:rsidRPr="001F07DE" w:rsidRDefault="001F07DE" w:rsidP="00DD7FA2">
      <w:bookmarkStart w:id="69" w:name="_Toc442354551"/>
    </w:p>
    <w:p w:rsidR="001F07DE" w:rsidRDefault="005065F0" w:rsidP="00DD7FA2">
      <w:pPr>
        <w:pStyle w:val="Heading2"/>
      </w:pPr>
      <w:bookmarkStart w:id="70" w:name="_Toc479687377"/>
      <w:r w:rsidRPr="000869F7">
        <w:t>Feedback</w:t>
      </w:r>
      <w:bookmarkEnd w:id="43"/>
      <w:bookmarkEnd w:id="44"/>
      <w:bookmarkEnd w:id="69"/>
      <w:bookmarkEnd w:id="70"/>
    </w:p>
    <w:p w:rsidR="001F07DE" w:rsidRDefault="005065F0" w:rsidP="00DD7FA2">
      <w:r>
        <w:t>Prior to or during the engagement process, tell those participating that you will communicate your findings back to them, and follow through on this promise. I</w:t>
      </w:r>
      <w:r w:rsidRPr="00417582">
        <w:t xml:space="preserve">f </w:t>
      </w:r>
      <w:r>
        <w:t xml:space="preserve">you have undertaken a survey, consider </w:t>
      </w:r>
      <w:r w:rsidRPr="00417582">
        <w:t>publish</w:t>
      </w:r>
      <w:r>
        <w:t xml:space="preserve">ing </w:t>
      </w:r>
      <w:r w:rsidRPr="00417582">
        <w:t xml:space="preserve">the results in your next newsletter or on </w:t>
      </w:r>
      <w:r>
        <w:t>your website</w:t>
      </w:r>
      <w:r w:rsidRPr="00417582">
        <w:t>.</w:t>
      </w:r>
      <w:r>
        <w:t xml:space="preserve"> </w:t>
      </w:r>
      <w:r w:rsidRPr="00417582">
        <w:t>If people are consulted with, they generally want to know that their v</w:t>
      </w:r>
      <w:r>
        <w:t>iews helped inform decision-making.</w:t>
      </w:r>
    </w:p>
    <w:p w:rsidR="00DD7FA2" w:rsidRDefault="00DD7FA2" w:rsidP="00DD7FA2"/>
    <w:p w:rsidR="001F07DE" w:rsidRDefault="005065F0" w:rsidP="00DD7FA2">
      <w:r>
        <w:t>As with all community engagement, providing feedback helps build trust in your organisation. Poor communication, attitudes, or experiences can compromise</w:t>
      </w:r>
      <w:r w:rsidRPr="00417582">
        <w:t xml:space="preserve"> future engagement</w:t>
      </w:r>
      <w:r>
        <w:t>.</w:t>
      </w:r>
    </w:p>
    <w:p w:rsidR="00DD7FA2" w:rsidRDefault="00DD7FA2" w:rsidP="00DD7FA2"/>
    <w:p w:rsidR="001F07DE" w:rsidRDefault="005065F0" w:rsidP="00DD7FA2">
      <w:r>
        <w:t xml:space="preserve">When providing </w:t>
      </w:r>
      <w:r w:rsidRPr="00863659">
        <w:t xml:space="preserve">feedback to </w:t>
      </w:r>
      <w:r>
        <w:t>people with disabilities, ensure it is accessible</w:t>
      </w:r>
      <w:r w:rsidRPr="00863659">
        <w:t>.</w:t>
      </w:r>
      <w:bookmarkStart w:id="71" w:name="_Vulnerable_Children_and"/>
      <w:bookmarkStart w:id="72" w:name="_Safeguarding_for_disabled"/>
      <w:bookmarkEnd w:id="71"/>
      <w:bookmarkEnd w:id="72"/>
    </w:p>
    <w:p w:rsidR="00DD7FA2" w:rsidRPr="001F07DE" w:rsidRDefault="00DD7FA2" w:rsidP="00DD7FA2"/>
    <w:p w:rsidR="001F07DE" w:rsidRDefault="005065F0" w:rsidP="00DD7FA2">
      <w:pPr>
        <w:pStyle w:val="Heading2"/>
      </w:pPr>
      <w:bookmarkStart w:id="73" w:name="_Ensuring_safety_in"/>
      <w:bookmarkStart w:id="74" w:name="_Toc442354552"/>
      <w:bookmarkStart w:id="75" w:name="_Toc479687378"/>
      <w:bookmarkEnd w:id="73"/>
      <w:r w:rsidRPr="000869F7">
        <w:t>Ensuring safety in the engagement process</w:t>
      </w:r>
      <w:bookmarkEnd w:id="74"/>
      <w:bookmarkEnd w:id="75"/>
    </w:p>
    <w:p w:rsidR="001F07DE" w:rsidRDefault="005065F0" w:rsidP="00DD7FA2">
      <w:r>
        <w:t xml:space="preserve">While you are carrying out an engagement process, you may see or overhear something that indicates that a person with a disability may be a victim of </w:t>
      </w:r>
      <w:r w:rsidRPr="00913868">
        <w:t>violen</w:t>
      </w:r>
      <w:r>
        <w:t>ce, abuse, neglect or</w:t>
      </w:r>
      <w:r w:rsidRPr="00913868">
        <w:t xml:space="preserve"> </w:t>
      </w:r>
      <w:r w:rsidRPr="00913868">
        <w:lastRenderedPageBreak/>
        <w:t>exploitation</w:t>
      </w:r>
      <w:r>
        <w:t>. Such maltreatment</w:t>
      </w:r>
      <w:r w:rsidRPr="00EE72F3">
        <w:t xml:space="preserve"> can </w:t>
      </w:r>
      <w:r>
        <w:t xml:space="preserve">be </w:t>
      </w:r>
      <w:r w:rsidRPr="00EE72F3">
        <w:t xml:space="preserve">physical, sexual, verbal, emotional, financial </w:t>
      </w:r>
      <w:r>
        <w:t>or</w:t>
      </w:r>
      <w:r w:rsidRPr="00EE72F3">
        <w:t xml:space="preserve"> organisational.</w:t>
      </w:r>
      <w:r w:rsidR="00A26343">
        <w:t xml:space="preserve"> People who are unable to communicate </w:t>
      </w:r>
      <w:r w:rsidR="000437AD">
        <w:t xml:space="preserve">easily </w:t>
      </w:r>
      <w:r w:rsidR="00A26343">
        <w:t>are at particular risk of abuse.</w:t>
      </w:r>
    </w:p>
    <w:p w:rsidR="00DD7FA2" w:rsidRDefault="00DD7FA2" w:rsidP="00DD7FA2"/>
    <w:p w:rsidR="001F07DE" w:rsidRDefault="005065F0" w:rsidP="00DD7FA2">
      <w:r w:rsidRPr="00EE72F3">
        <w:t xml:space="preserve">The </w:t>
      </w:r>
      <w:r w:rsidR="00323862" w:rsidRPr="00323862">
        <w:t>Crimes Amendment Act (No 3) 2011</w:t>
      </w:r>
      <w:r>
        <w:t xml:space="preserve"> </w:t>
      </w:r>
      <w:r w:rsidRPr="00EE72F3">
        <w:t>requires the reporting of harm to vulnerable adults.</w:t>
      </w:r>
      <w:r>
        <w:t xml:space="preserve"> The Act defines a</w:t>
      </w:r>
      <w:r w:rsidRPr="00913868">
        <w:t xml:space="preserve"> vulnerable adult as </w:t>
      </w:r>
      <w:r w:rsidR="00267D5F">
        <w:t>‘</w:t>
      </w:r>
      <w:r w:rsidRPr="00913868">
        <w:t>a person unable, by reason of detention, age, sickness, mental impairment, or any other cause to withdraw himself or herself from the care or charge of another person</w:t>
      </w:r>
      <w:r w:rsidR="00267D5F">
        <w:t>’</w:t>
      </w:r>
      <w:r>
        <w:t>.</w:t>
      </w:r>
    </w:p>
    <w:p w:rsidR="00323862" w:rsidRPr="00263088" w:rsidRDefault="008A337B" w:rsidP="00DD7FA2">
      <w:hyperlink r:id="rId31" w:history="1">
        <w:r w:rsidR="00323862" w:rsidRPr="00263088">
          <w:rPr>
            <w:rStyle w:val="Hyperlink"/>
            <w:color w:val="auto"/>
          </w:rPr>
          <w:t>www.legislation.govt.nz/act/public/2011/0079/latest/DLM3650006.html</w:t>
        </w:r>
      </w:hyperlink>
      <w:r w:rsidR="00323862" w:rsidRPr="00263088">
        <w:t xml:space="preserve"> </w:t>
      </w:r>
    </w:p>
    <w:p w:rsidR="00DD7FA2" w:rsidRDefault="00DD7FA2" w:rsidP="00DD7FA2"/>
    <w:p w:rsidR="001F07DE" w:rsidRDefault="005065F0" w:rsidP="00DD7FA2">
      <w:pPr>
        <w:keepNext/>
      </w:pPr>
      <w:r w:rsidRPr="00163F08">
        <w:t>Protecting vulnerable children is everyone</w:t>
      </w:r>
      <w:r w:rsidR="00267D5F">
        <w:t>’</w:t>
      </w:r>
      <w:r w:rsidRPr="00163F08">
        <w:t xml:space="preserve">s responsibility. </w:t>
      </w:r>
      <w:r>
        <w:t xml:space="preserve">The </w:t>
      </w:r>
      <w:r w:rsidR="00323862" w:rsidRPr="00323862">
        <w:t>Vulnerable Children Act 2014</w:t>
      </w:r>
      <w:r>
        <w:t xml:space="preserve"> and the Vulnerable Children</w:t>
      </w:r>
      <w:r w:rsidR="00267D5F">
        <w:t>’</w:t>
      </w:r>
      <w:r>
        <w:t xml:space="preserve">s Action Plan support the safety and protection of all children. </w:t>
      </w:r>
      <w:r w:rsidRPr="00163F08">
        <w:t>Whether you</w:t>
      </w:r>
      <w:r w:rsidR="00267D5F">
        <w:t>’</w:t>
      </w:r>
      <w:r w:rsidRPr="00163F08">
        <w:t xml:space="preserve">re a family or </w:t>
      </w:r>
      <w:proofErr w:type="spellStart"/>
      <w:r w:rsidRPr="00163F08">
        <w:t>whānau</w:t>
      </w:r>
      <w:proofErr w:type="spellEnd"/>
      <w:r w:rsidRPr="00163F08">
        <w:t xml:space="preserve"> member, friend, neighbour, teacher, or workmate, there are things </w:t>
      </w:r>
      <w:r w:rsidRPr="00163F08">
        <w:rPr>
          <w:bCs/>
        </w:rPr>
        <w:t>you</w:t>
      </w:r>
      <w:r w:rsidRPr="00163F08">
        <w:t xml:space="preserve"> can do to protect children from abuse and neglect. </w:t>
      </w:r>
    </w:p>
    <w:p w:rsidR="00323862" w:rsidRPr="00263088" w:rsidRDefault="008A337B" w:rsidP="00DD7FA2">
      <w:pPr>
        <w:keepNext/>
      </w:pPr>
      <w:hyperlink r:id="rId32" w:history="1">
        <w:r w:rsidR="00323862" w:rsidRPr="00263088">
          <w:rPr>
            <w:rStyle w:val="Hyperlink"/>
            <w:color w:val="auto"/>
          </w:rPr>
          <w:t>www.legislation.govt.nz/act/public/2014/0040/latest/DLM5501618.html</w:t>
        </w:r>
      </w:hyperlink>
      <w:r w:rsidR="00323862" w:rsidRPr="00263088">
        <w:t xml:space="preserve"> </w:t>
      </w:r>
    </w:p>
    <w:p w:rsidR="00DD7FA2" w:rsidRDefault="00DD7FA2" w:rsidP="00DD7FA2"/>
    <w:p w:rsidR="001F07DE" w:rsidRDefault="005065F0" w:rsidP="00DD7FA2">
      <w:r>
        <w:t>If you s</w:t>
      </w:r>
      <w:r w:rsidRPr="004646CC">
        <w:t xml:space="preserve">uspect a </w:t>
      </w:r>
      <w:r>
        <w:t xml:space="preserve">disabled person </w:t>
      </w:r>
      <w:r w:rsidRPr="004646CC">
        <w:t>is being abuse</w:t>
      </w:r>
      <w:r>
        <w:t>d</w:t>
      </w:r>
      <w:r w:rsidRPr="004646CC">
        <w:t xml:space="preserve">, </w:t>
      </w:r>
      <w:r>
        <w:t xml:space="preserve">first </w:t>
      </w:r>
      <w:r w:rsidRPr="004646CC">
        <w:t xml:space="preserve">raise </w:t>
      </w:r>
      <w:r>
        <w:t xml:space="preserve">the </w:t>
      </w:r>
      <w:r w:rsidRPr="00C034E1">
        <w:t xml:space="preserve">concerns with </w:t>
      </w:r>
      <w:r>
        <w:t xml:space="preserve">that person: he or she has the right to make a complaint and is </w:t>
      </w:r>
      <w:r w:rsidRPr="00C034E1">
        <w:t>the only one who understand</w:t>
      </w:r>
      <w:r>
        <w:t>s</w:t>
      </w:r>
      <w:r w:rsidRPr="00C034E1">
        <w:t xml:space="preserve"> the situation</w:t>
      </w:r>
      <w:r>
        <w:t>.</w:t>
      </w:r>
      <w:r w:rsidRPr="00C034E1">
        <w:t xml:space="preserve"> If </w:t>
      </w:r>
      <w:r>
        <w:t xml:space="preserve">after this discussion you remain concerned, see </w:t>
      </w:r>
      <w:r w:rsidR="00267D5F">
        <w:t>‘</w:t>
      </w:r>
      <w:hyperlink w:anchor="_Making_a_complaint" w:history="1">
        <w:r w:rsidRPr="009A2A45">
          <w:rPr>
            <w:rStyle w:val="Hyperlink"/>
            <w:color w:val="auto"/>
          </w:rPr>
          <w:t>Making a complaint or raising concerns</w:t>
        </w:r>
      </w:hyperlink>
      <w:r w:rsidR="00DD7FA2" w:rsidRPr="00DD7FA2">
        <w:t>’</w:t>
      </w:r>
      <w:r w:rsidR="00A65BA4">
        <w:t xml:space="preserve"> (page 35)</w:t>
      </w:r>
      <w:r>
        <w:t xml:space="preserve"> for more details on agencies and organisations that can help.</w:t>
      </w:r>
    </w:p>
    <w:p w:rsidR="00DD7FA2" w:rsidRDefault="00DD7FA2" w:rsidP="00DD7FA2"/>
    <w:p w:rsidR="00267D5F" w:rsidRDefault="005065F0" w:rsidP="00DD7FA2">
      <w:r>
        <w:t xml:space="preserve">Ensure that your own actions or inactions, and those of others in your organisation, do not </w:t>
      </w:r>
      <w:r w:rsidRPr="00EE72F3">
        <w:t xml:space="preserve">cause injury or harm to </w:t>
      </w:r>
      <w:r>
        <w:t>those participating.</w:t>
      </w:r>
    </w:p>
    <w:p w:rsidR="00DD7FA2" w:rsidRDefault="00DD7FA2" w:rsidP="00DD7FA2"/>
    <w:p w:rsidR="005C60AD" w:rsidRDefault="005C60AD" w:rsidP="005C60AD">
      <w:bookmarkStart w:id="76" w:name="_Undertaking_community_engagement"/>
      <w:bookmarkStart w:id="77" w:name="_Undertaking_an_accessible"/>
      <w:bookmarkStart w:id="78" w:name="_Toc442354553"/>
      <w:bookmarkEnd w:id="76"/>
      <w:bookmarkEnd w:id="77"/>
      <w:r>
        <w:br w:type="page"/>
      </w:r>
    </w:p>
    <w:p w:rsidR="001F07DE" w:rsidRDefault="005065F0" w:rsidP="005C60AD">
      <w:pPr>
        <w:pStyle w:val="Heading1"/>
      </w:pPr>
      <w:bookmarkStart w:id="79" w:name="_Toc479687379"/>
      <w:r w:rsidRPr="00797130">
        <w:lastRenderedPageBreak/>
        <w:t>Undertaking an accessible community engagement process</w:t>
      </w:r>
      <w:bookmarkEnd w:id="78"/>
      <w:bookmarkEnd w:id="79"/>
    </w:p>
    <w:p w:rsidR="001F07DE" w:rsidRDefault="005065F0" w:rsidP="005C60AD">
      <w:bookmarkStart w:id="80" w:name="_General_engagement"/>
      <w:bookmarkEnd w:id="80"/>
      <w:r>
        <w:t xml:space="preserve">In undertaking the engagement, the </w:t>
      </w:r>
      <w:r w:rsidRPr="008801FA">
        <w:t>following</w:t>
      </w:r>
      <w:r>
        <w:t xml:space="preserve"> guidelines may be useful.</w:t>
      </w:r>
    </w:p>
    <w:p w:rsidR="001F07DE" w:rsidRDefault="005065F0" w:rsidP="005C60AD">
      <w:pPr>
        <w:pStyle w:val="Bullet"/>
      </w:pPr>
      <w:r>
        <w:t>A</w:t>
      </w:r>
      <w:r w:rsidRPr="0078115B">
        <w:t xml:space="preserve">sk </w:t>
      </w:r>
      <w:r>
        <w:t xml:space="preserve">disabled people </w:t>
      </w:r>
      <w:r w:rsidRPr="0078115B">
        <w:t>about</w:t>
      </w:r>
      <w:r>
        <w:t xml:space="preserve"> the support they require.</w:t>
      </w:r>
      <w:r w:rsidRPr="0078115B">
        <w:t xml:space="preserve"> If </w:t>
      </w:r>
      <w:r>
        <w:t xml:space="preserve">you feel the </w:t>
      </w:r>
      <w:r w:rsidRPr="0078115B">
        <w:t>question may be sensitive, wait for an appropriate opportunity</w:t>
      </w:r>
      <w:r>
        <w:t xml:space="preserve"> to discuss it privately</w:t>
      </w:r>
      <w:r w:rsidRPr="0078115B">
        <w:t>.</w:t>
      </w:r>
    </w:p>
    <w:p w:rsidR="001F07DE" w:rsidRDefault="005065F0" w:rsidP="005C60AD">
      <w:pPr>
        <w:pStyle w:val="Bullet"/>
      </w:pPr>
      <w:r w:rsidRPr="00275890">
        <w:t xml:space="preserve">Some </w:t>
      </w:r>
      <w:r>
        <w:t>people with disabilities</w:t>
      </w:r>
      <w:r w:rsidRPr="00275890">
        <w:t xml:space="preserve"> will need slightly more time for an activity, or will require alternative forms of communication.</w:t>
      </w:r>
    </w:p>
    <w:p w:rsidR="001A7704" w:rsidRPr="00E81E75" w:rsidRDefault="001A7704" w:rsidP="005C60AD">
      <w:pPr>
        <w:pStyle w:val="Bullet"/>
      </w:pPr>
      <w:r w:rsidRPr="00E81E75">
        <w:t xml:space="preserve">For disabled people who cannot respond for themselves, </w:t>
      </w:r>
      <w:r w:rsidR="00E937E8" w:rsidRPr="00E81E75">
        <w:t xml:space="preserve">involvement of others such as their </w:t>
      </w:r>
      <w:r w:rsidRPr="00E81E75">
        <w:t>family</w:t>
      </w:r>
      <w:r w:rsidR="002665BC" w:rsidRPr="00E81E75">
        <w:t xml:space="preserve">, </w:t>
      </w:r>
      <w:r w:rsidRPr="00E81E75">
        <w:t xml:space="preserve">caregiver </w:t>
      </w:r>
      <w:r w:rsidR="002665BC" w:rsidRPr="00E81E75">
        <w:t>or</w:t>
      </w:r>
      <w:r w:rsidR="007B1B7E" w:rsidRPr="00E81E75">
        <w:t xml:space="preserve"> advocate </w:t>
      </w:r>
      <w:r w:rsidR="00E937E8" w:rsidRPr="00E81E75">
        <w:t xml:space="preserve">may be required </w:t>
      </w:r>
      <w:r w:rsidRPr="00E81E75">
        <w:t xml:space="preserve">to represent their </w:t>
      </w:r>
      <w:r w:rsidR="00A26343" w:rsidRPr="00E81E75">
        <w:t>interest</w:t>
      </w:r>
      <w:r w:rsidRPr="00E81E75">
        <w:t>s.</w:t>
      </w:r>
      <w:r w:rsidR="007B1B7E" w:rsidRPr="00E81E75">
        <w:t xml:space="preserve">  </w:t>
      </w:r>
    </w:p>
    <w:p w:rsidR="001F07DE" w:rsidRDefault="005065F0" w:rsidP="005C60AD">
      <w:pPr>
        <w:pStyle w:val="Bullet"/>
      </w:pPr>
      <w:r>
        <w:t xml:space="preserve">You may need to conduct conversations at a slightly slower pace than you are used to. </w:t>
      </w:r>
      <w:r w:rsidRPr="00275890">
        <w:t>Allow people time to finish what they are saying.</w:t>
      </w:r>
    </w:p>
    <w:p w:rsidR="00267D5F" w:rsidRDefault="005065F0" w:rsidP="005C60AD">
      <w:pPr>
        <w:pStyle w:val="Bullet"/>
      </w:pPr>
      <w:r>
        <w:t xml:space="preserve">At the beginning of a meeting, facilitate a round of introductions; one important purpose of this is to help people who are </w:t>
      </w:r>
      <w:r w:rsidRPr="00F37BE0">
        <w:t xml:space="preserve">blind </w:t>
      </w:r>
      <w:r>
        <w:t>o</w:t>
      </w:r>
      <w:r w:rsidRPr="00F37BE0">
        <w:t>r those with low vision know who is in the room.</w:t>
      </w:r>
    </w:p>
    <w:p w:rsidR="00267D5F" w:rsidRDefault="005065F0" w:rsidP="005C60AD">
      <w:pPr>
        <w:pStyle w:val="Bullet"/>
      </w:pPr>
      <w:r w:rsidRPr="00F37BE0">
        <w:t>Make sure that only one person speaks at a time</w:t>
      </w:r>
      <w:r>
        <w:t>; this will make it easier for everyone including New Zealand Sign Language interpreters</w:t>
      </w:r>
      <w:r w:rsidRPr="00F37BE0">
        <w:t>. Ask people to raise their hands</w:t>
      </w:r>
      <w:r>
        <w:t xml:space="preserve"> if they wish to speak</w:t>
      </w:r>
      <w:r w:rsidRPr="00F37BE0">
        <w:t>, or otherw</w:t>
      </w:r>
      <w:r>
        <w:t>ise visually indicate the intention;</w:t>
      </w:r>
      <w:r w:rsidRPr="00F37BE0">
        <w:t xml:space="preserve"> this will give Deaf people </w:t>
      </w:r>
      <w:r>
        <w:t xml:space="preserve">an equal </w:t>
      </w:r>
      <w:r w:rsidRPr="00F37BE0">
        <w:t>opportunity to contribute.</w:t>
      </w:r>
    </w:p>
    <w:p w:rsidR="001F07DE" w:rsidRDefault="005065F0" w:rsidP="005C60AD">
      <w:pPr>
        <w:pStyle w:val="Bullet"/>
      </w:pPr>
      <w:r w:rsidRPr="00F37BE0">
        <w:t>Provide breaks</w:t>
      </w:r>
      <w:r>
        <w:t>. These</w:t>
      </w:r>
      <w:r w:rsidRPr="00F37BE0">
        <w:t xml:space="preserve"> may need to be slightly longer</w:t>
      </w:r>
      <w:r>
        <w:t xml:space="preserve"> than you are used to</w:t>
      </w:r>
      <w:r w:rsidRPr="00F37BE0">
        <w:t>.</w:t>
      </w:r>
      <w:r>
        <w:t xml:space="preserve"> Let people know that they are welcome to leave the room to meet their own needs and that they can return when they are ready. Also consider </w:t>
      </w:r>
      <w:r w:rsidRPr="00417582">
        <w:t>allow</w:t>
      </w:r>
      <w:r>
        <w:t>ing</w:t>
      </w:r>
      <w:r w:rsidRPr="00417582">
        <w:t xml:space="preserve"> time before and after the meeting for people to talk to each other. </w:t>
      </w:r>
      <w:r>
        <w:t xml:space="preserve">People may use this time </w:t>
      </w:r>
      <w:r w:rsidRPr="00417582">
        <w:t>as an informal opportunity to discuss the issue</w:t>
      </w:r>
      <w:r>
        <w:t>s,</w:t>
      </w:r>
      <w:r w:rsidRPr="00417582">
        <w:t xml:space="preserve"> </w:t>
      </w:r>
      <w:r>
        <w:t>to clarify their thoughts and to make community connections.</w:t>
      </w:r>
    </w:p>
    <w:p w:rsidR="001F07DE" w:rsidRDefault="005065F0" w:rsidP="005C60AD">
      <w:pPr>
        <w:pStyle w:val="Bullet"/>
      </w:pPr>
      <w:r w:rsidRPr="00F37BE0">
        <w:t>Make sure everyone knows where the toilets</w:t>
      </w:r>
      <w:r>
        <w:t xml:space="preserve"> and the accessible toilets</w:t>
      </w:r>
      <w:r w:rsidRPr="00F37BE0">
        <w:t xml:space="preserve"> </w:t>
      </w:r>
      <w:r>
        <w:t>are, keeping in mind that s</w:t>
      </w:r>
      <w:r w:rsidRPr="00F37BE0">
        <w:t>ome people may need spoken directions</w:t>
      </w:r>
      <w:r>
        <w:t>,</w:t>
      </w:r>
      <w:r w:rsidRPr="00F37BE0">
        <w:t xml:space="preserve"> or may require sighted guide assistance.</w:t>
      </w:r>
    </w:p>
    <w:p w:rsidR="001F07DE" w:rsidRDefault="005065F0" w:rsidP="005C60AD">
      <w:pPr>
        <w:pStyle w:val="Bullet"/>
      </w:pPr>
      <w:r>
        <w:t>P</w:t>
      </w:r>
      <w:r w:rsidRPr="00F37BE0">
        <w:t>rovid</w:t>
      </w:r>
      <w:r>
        <w:t>e</w:t>
      </w:r>
      <w:r w:rsidRPr="00F37BE0">
        <w:t xml:space="preserve"> food</w:t>
      </w:r>
      <w:r>
        <w:t xml:space="preserve"> if necessary.</w:t>
      </w:r>
      <w:r w:rsidRPr="00F37BE0">
        <w:t xml:space="preserve"> </w:t>
      </w:r>
      <w:r>
        <w:t>F</w:t>
      </w:r>
      <w:r w:rsidRPr="00F37BE0">
        <w:t xml:space="preserve">inger food </w:t>
      </w:r>
      <w:r>
        <w:t xml:space="preserve">may be </w:t>
      </w:r>
      <w:r w:rsidRPr="00F37BE0">
        <w:t>easiest.</w:t>
      </w:r>
    </w:p>
    <w:p w:rsidR="001F07DE" w:rsidRDefault="005065F0" w:rsidP="005C60AD">
      <w:pPr>
        <w:pStyle w:val="Dash"/>
      </w:pPr>
      <w:r w:rsidRPr="0078115B">
        <w:t xml:space="preserve">Make sure </w:t>
      </w:r>
      <w:r>
        <w:t>the food is accessible to everyone, and that</w:t>
      </w:r>
      <w:r w:rsidRPr="0078115B">
        <w:t xml:space="preserve"> assistance</w:t>
      </w:r>
      <w:r>
        <w:t xml:space="preserve"> is available if necessary. Think about the placement of food in the room; for example, keep in mind people who use a wheelchair.</w:t>
      </w:r>
    </w:p>
    <w:p w:rsidR="001F07DE" w:rsidRDefault="005065F0" w:rsidP="005C60AD">
      <w:pPr>
        <w:pStyle w:val="Dash"/>
      </w:pPr>
      <w:r>
        <w:t xml:space="preserve">Supply </w:t>
      </w:r>
      <w:r w:rsidRPr="007957B7">
        <w:t>plenty of napkins and a range of cups</w:t>
      </w:r>
      <w:r>
        <w:t>,</w:t>
      </w:r>
      <w:r w:rsidRPr="007957B7">
        <w:t xml:space="preserve"> including mugs with</w:t>
      </w:r>
      <w:r w:rsidRPr="0078115B">
        <w:t xml:space="preserve"> handles.</w:t>
      </w:r>
      <w:r>
        <w:t xml:space="preserve"> Some people may require straws; although some who require straws will bring their own.</w:t>
      </w:r>
    </w:p>
    <w:p w:rsidR="00267D5F" w:rsidRDefault="005065F0" w:rsidP="005C60AD">
      <w:pPr>
        <w:pStyle w:val="Bullet"/>
      </w:pPr>
      <w:r w:rsidRPr="0078115B">
        <w:t xml:space="preserve">Do not interact with guide or assistance dogs while they are working – </w:t>
      </w:r>
      <w:r>
        <w:t>even by making eye contact. Never attempt to feed an assistance dog.</w:t>
      </w:r>
    </w:p>
    <w:p w:rsidR="001F07DE" w:rsidRDefault="005065F0" w:rsidP="005C60AD">
      <w:pPr>
        <w:pStyle w:val="Bullet"/>
      </w:pPr>
      <w:bookmarkStart w:id="81" w:name="_General_tips_on"/>
      <w:bookmarkEnd w:id="81"/>
      <w:r w:rsidRPr="00417582">
        <w:t>Speak louder only if someone requests it.</w:t>
      </w:r>
      <w:r>
        <w:t xml:space="preserve"> Respectfully repeat what has been said if someone asks you to.</w:t>
      </w:r>
    </w:p>
    <w:p w:rsidR="005C60AD" w:rsidRPr="005C60AD" w:rsidRDefault="005065F0" w:rsidP="005C60AD">
      <w:pPr>
        <w:pStyle w:val="Bullet"/>
        <w:rPr>
          <w:lang w:val="en"/>
        </w:rPr>
      </w:pPr>
      <w:r w:rsidRPr="00417582">
        <w:t xml:space="preserve">When </w:t>
      </w:r>
      <w:r>
        <w:t xml:space="preserve">you are </w:t>
      </w:r>
      <w:r w:rsidRPr="00417582">
        <w:t xml:space="preserve">communicating directly with </w:t>
      </w:r>
      <w:r>
        <w:t>someone</w:t>
      </w:r>
      <w:r w:rsidRPr="00417582">
        <w:t>, make eye contact</w:t>
      </w:r>
      <w:r>
        <w:t xml:space="preserve"> with that person, rather than with their </w:t>
      </w:r>
      <w:r w:rsidRPr="00417582">
        <w:t xml:space="preserve">interpreter or assistant. </w:t>
      </w:r>
      <w:r>
        <w:t xml:space="preserve">Some people may come to a meeting with an assistant whose role it is to </w:t>
      </w:r>
      <w:r w:rsidRPr="006413DB">
        <w:t xml:space="preserve">translate complex information to </w:t>
      </w:r>
      <w:r>
        <w:t>aid</w:t>
      </w:r>
      <w:r w:rsidRPr="006413DB">
        <w:t xml:space="preserve"> </w:t>
      </w:r>
      <w:r>
        <w:t>the person</w:t>
      </w:r>
      <w:r w:rsidR="00267D5F">
        <w:t>’</w:t>
      </w:r>
      <w:r>
        <w:t>s understanding. The assistant</w:t>
      </w:r>
      <w:r w:rsidR="00267D5F">
        <w:t>’</w:t>
      </w:r>
      <w:r>
        <w:t xml:space="preserve">s </w:t>
      </w:r>
      <w:r w:rsidRPr="006413DB">
        <w:t>role is to enh</w:t>
      </w:r>
      <w:r>
        <w:t>ance the person</w:t>
      </w:r>
      <w:r w:rsidR="00267D5F">
        <w:t>’</w:t>
      </w:r>
      <w:r>
        <w:t xml:space="preserve">s participation and </w:t>
      </w:r>
      <w:r w:rsidRPr="006413DB">
        <w:t>understanding</w:t>
      </w:r>
      <w:r>
        <w:t xml:space="preserve">, and to foster </w:t>
      </w:r>
      <w:r w:rsidRPr="006413DB">
        <w:t>opportunities</w:t>
      </w:r>
      <w:r>
        <w:t xml:space="preserve"> for the person</w:t>
      </w:r>
      <w:r w:rsidRPr="006413DB">
        <w:t xml:space="preserve"> to contribute to</w:t>
      </w:r>
      <w:r>
        <w:t xml:space="preserve"> discussion</w:t>
      </w:r>
      <w:r w:rsidRPr="006413DB">
        <w:t>.</w:t>
      </w:r>
      <w:bookmarkStart w:id="82" w:name="_Communication_considerations"/>
      <w:bookmarkStart w:id="83" w:name="_Cultural_considerations"/>
      <w:bookmarkEnd w:id="82"/>
      <w:bookmarkEnd w:id="83"/>
    </w:p>
    <w:p w:rsidR="005C60AD" w:rsidRPr="005C60AD" w:rsidRDefault="005C60AD" w:rsidP="005C60AD">
      <w:pPr>
        <w:rPr>
          <w:lang w:val="en"/>
        </w:rPr>
      </w:pPr>
    </w:p>
    <w:p w:rsidR="001F07DE" w:rsidRDefault="005065F0" w:rsidP="005C60AD">
      <w:pPr>
        <w:pStyle w:val="Heading2"/>
      </w:pPr>
      <w:bookmarkStart w:id="84" w:name="_Appendix_1_–"/>
      <w:bookmarkStart w:id="85" w:name="_Appendix_2_–_2"/>
      <w:bookmarkStart w:id="86" w:name="_Appendix_3_–"/>
      <w:bookmarkStart w:id="87" w:name="_Toc404864987"/>
      <w:bookmarkStart w:id="88" w:name="_Toc416691393"/>
      <w:bookmarkStart w:id="89" w:name="_Toc442354554"/>
      <w:bookmarkStart w:id="90" w:name="_Toc479687380"/>
      <w:bookmarkEnd w:id="84"/>
      <w:bookmarkEnd w:id="85"/>
      <w:bookmarkEnd w:id="86"/>
      <w:r w:rsidRPr="000869F7">
        <w:lastRenderedPageBreak/>
        <w:t>Engagement checklist</w:t>
      </w:r>
      <w:bookmarkEnd w:id="87"/>
      <w:bookmarkEnd w:id="88"/>
      <w:bookmarkEnd w:id="89"/>
      <w:bookmarkEnd w:id="90"/>
    </w:p>
    <w:p w:rsidR="001F07DE" w:rsidRDefault="005065F0" w:rsidP="005C60AD">
      <w:pPr>
        <w:pStyle w:val="Heading3"/>
      </w:pPr>
      <w:bookmarkStart w:id="91" w:name="_Toc404864988"/>
      <w:bookmarkStart w:id="92" w:name="_Toc404865200"/>
      <w:bookmarkStart w:id="93" w:name="_Toc404865423"/>
      <w:bookmarkStart w:id="94" w:name="_Toc404865484"/>
      <w:bookmarkStart w:id="95" w:name="_Toc404866239"/>
      <w:bookmarkStart w:id="96" w:name="_Toc404867057"/>
      <w:bookmarkStart w:id="97" w:name="_Toc404927702"/>
      <w:bookmarkStart w:id="98" w:name="_Toc406753614"/>
      <w:bookmarkStart w:id="99" w:name="_Toc407006522"/>
      <w:bookmarkStart w:id="100" w:name="_Toc407006663"/>
      <w:r w:rsidRPr="0063167D">
        <w:t>Purpose</w:t>
      </w:r>
      <w:bookmarkEnd w:id="91"/>
      <w:bookmarkEnd w:id="92"/>
      <w:bookmarkEnd w:id="93"/>
      <w:bookmarkEnd w:id="94"/>
      <w:bookmarkEnd w:id="95"/>
      <w:bookmarkEnd w:id="96"/>
      <w:bookmarkEnd w:id="97"/>
      <w:bookmarkEnd w:id="98"/>
      <w:bookmarkEnd w:id="99"/>
      <w:bookmarkEnd w:id="100"/>
    </w:p>
    <w:p w:rsidR="00267D5F" w:rsidRDefault="005065F0" w:rsidP="005C60AD">
      <w:pPr>
        <w:pStyle w:val="Bullet"/>
      </w:pPr>
      <w:r w:rsidRPr="00C65B1F">
        <w:t xml:space="preserve">What is the purpose </w:t>
      </w:r>
      <w:r>
        <w:t>of the</w:t>
      </w:r>
      <w:r w:rsidRPr="00C65B1F">
        <w:t xml:space="preserve"> engagement?</w:t>
      </w:r>
    </w:p>
    <w:p w:rsidR="001F07DE" w:rsidRDefault="005065F0" w:rsidP="005C60AD">
      <w:pPr>
        <w:pStyle w:val="Bullet"/>
      </w:pPr>
      <w:r>
        <w:t>What will be gained from the engagement process?</w:t>
      </w:r>
    </w:p>
    <w:p w:rsidR="001F07DE" w:rsidRDefault="005065F0" w:rsidP="005C60AD">
      <w:pPr>
        <w:pStyle w:val="Bullet"/>
      </w:pPr>
      <w:r w:rsidRPr="00C65B1F">
        <w:t xml:space="preserve">What </w:t>
      </w:r>
      <w:r>
        <w:t>questions/</w:t>
      </w:r>
      <w:r w:rsidRPr="00C65B1F">
        <w:t xml:space="preserve">issues </w:t>
      </w:r>
      <w:r>
        <w:t>will the engagement process</w:t>
      </w:r>
      <w:r w:rsidRPr="00C65B1F">
        <w:t xml:space="preserve"> cover?</w:t>
      </w:r>
    </w:p>
    <w:p w:rsidR="001F07DE" w:rsidRDefault="005065F0" w:rsidP="005C60AD">
      <w:pPr>
        <w:pStyle w:val="Bullet"/>
      </w:pPr>
      <w:r w:rsidRPr="00C65B1F">
        <w:t>Has engagement occurred previously on these issues?</w:t>
      </w:r>
      <w:r>
        <w:t xml:space="preserve"> If so, consider feedback from that engagement so as to avoid an unnecessary and repetitive process. Similarly, have other organisations undertaken engagement that would be useful to you?</w:t>
      </w:r>
    </w:p>
    <w:p w:rsidR="005C60AD" w:rsidRDefault="005C60AD" w:rsidP="005C60AD"/>
    <w:p w:rsidR="00267D5F" w:rsidRDefault="005065F0" w:rsidP="005C60AD">
      <w:pPr>
        <w:pStyle w:val="Heading3"/>
      </w:pPr>
      <w:bookmarkStart w:id="101" w:name="_Toc404864989"/>
      <w:bookmarkStart w:id="102" w:name="_Toc404865201"/>
      <w:bookmarkStart w:id="103" w:name="_Toc404865424"/>
      <w:bookmarkStart w:id="104" w:name="_Toc404865485"/>
      <w:bookmarkStart w:id="105" w:name="_Toc404866240"/>
      <w:bookmarkStart w:id="106" w:name="_Toc404867058"/>
      <w:bookmarkStart w:id="107" w:name="_Toc404927703"/>
      <w:bookmarkStart w:id="108" w:name="_Toc406753615"/>
      <w:bookmarkStart w:id="109" w:name="_Toc407006523"/>
      <w:bookmarkStart w:id="110" w:name="_Toc407006664"/>
      <w:r w:rsidRPr="0063167D">
        <w:t>Who are you engaging?</w:t>
      </w:r>
      <w:bookmarkEnd w:id="101"/>
      <w:bookmarkEnd w:id="102"/>
      <w:bookmarkEnd w:id="103"/>
      <w:bookmarkEnd w:id="104"/>
      <w:bookmarkEnd w:id="105"/>
      <w:bookmarkEnd w:id="106"/>
      <w:bookmarkEnd w:id="107"/>
      <w:bookmarkEnd w:id="108"/>
      <w:bookmarkEnd w:id="109"/>
      <w:bookmarkEnd w:id="110"/>
    </w:p>
    <w:p w:rsidR="001F07DE" w:rsidRDefault="005065F0" w:rsidP="005C60AD">
      <w:pPr>
        <w:pStyle w:val="Bullet"/>
      </w:pPr>
      <w:r>
        <w:t>Which</w:t>
      </w:r>
      <w:r w:rsidRPr="00C65B1F">
        <w:t xml:space="preserve"> </w:t>
      </w:r>
      <w:r>
        <w:t xml:space="preserve">individuals and </w:t>
      </w:r>
      <w:r w:rsidRPr="00C65B1F">
        <w:t>groups should contribute to the issues and decisions?</w:t>
      </w:r>
    </w:p>
    <w:p w:rsidR="001F07DE" w:rsidRDefault="005065F0" w:rsidP="005C60AD">
      <w:pPr>
        <w:pStyle w:val="Bullet"/>
      </w:pPr>
      <w:r w:rsidRPr="00C65B1F">
        <w:t>Who is affected by the decisions?</w:t>
      </w:r>
    </w:p>
    <w:p w:rsidR="001F07DE" w:rsidRDefault="005065F0" w:rsidP="005C60AD">
      <w:pPr>
        <w:pStyle w:val="Bullet"/>
      </w:pPr>
      <w:r w:rsidRPr="00C65B1F">
        <w:t xml:space="preserve">Have </w:t>
      </w:r>
      <w:r>
        <w:t>you considered a</w:t>
      </w:r>
      <w:r w:rsidRPr="00C65B1F">
        <w:t xml:space="preserve">ll </w:t>
      </w:r>
      <w:r>
        <w:t>groups (including people with disabilities, d</w:t>
      </w:r>
      <w:r w:rsidRPr="00C65B1F">
        <w:t xml:space="preserve">isabled </w:t>
      </w:r>
      <w:r>
        <w:t>p</w:t>
      </w:r>
      <w:r w:rsidRPr="00C65B1F">
        <w:t>eople</w:t>
      </w:r>
      <w:r w:rsidR="00267D5F">
        <w:t>’</w:t>
      </w:r>
      <w:r w:rsidRPr="00C65B1F">
        <w:t xml:space="preserve">s </w:t>
      </w:r>
      <w:r>
        <w:t>o</w:t>
      </w:r>
      <w:r w:rsidRPr="00C65B1F">
        <w:t>rganisations</w:t>
      </w:r>
      <w:r>
        <w:t>, a</w:t>
      </w:r>
      <w:r w:rsidRPr="00C65B1F">
        <w:t xml:space="preserve">dvocacy </w:t>
      </w:r>
      <w:r>
        <w:t>g</w:t>
      </w:r>
      <w:r w:rsidRPr="00C65B1F">
        <w:t>roups</w:t>
      </w:r>
      <w:r>
        <w:t xml:space="preserve">, carers, </w:t>
      </w:r>
      <w:proofErr w:type="spellStart"/>
      <w:r>
        <w:t>whānau</w:t>
      </w:r>
      <w:proofErr w:type="spellEnd"/>
      <w:r w:rsidRPr="00C65B1F">
        <w:t xml:space="preserve"> and associated support groups</w:t>
      </w:r>
      <w:r>
        <w:t>)?</w:t>
      </w:r>
    </w:p>
    <w:p w:rsidR="001F07DE" w:rsidRDefault="005065F0" w:rsidP="005C60AD">
      <w:pPr>
        <w:pStyle w:val="Dash"/>
      </w:pPr>
      <w:r w:rsidRPr="00A4312E">
        <w:t xml:space="preserve">See </w:t>
      </w:r>
      <w:r w:rsidR="00267D5F">
        <w:t>‘</w:t>
      </w:r>
      <w:hyperlink w:anchor="_Who_to_engage" w:history="1">
        <w:r w:rsidRPr="009A2A45">
          <w:rPr>
            <w:rStyle w:val="Hyperlink"/>
            <w:color w:val="auto"/>
          </w:rPr>
          <w:t>Who to engage with</w:t>
        </w:r>
      </w:hyperlink>
      <w:r w:rsidR="005C60AD">
        <w:t>’</w:t>
      </w:r>
      <w:r w:rsidR="00385DAE">
        <w:t xml:space="preserve"> (page 4)</w:t>
      </w:r>
      <w:r w:rsidRPr="00A4312E">
        <w:rPr>
          <w:color w:val="7030A0"/>
        </w:rPr>
        <w:t xml:space="preserve"> </w:t>
      </w:r>
      <w:r w:rsidRPr="00A4312E">
        <w:t>for more information on stakeholder groups and the range</w:t>
      </w:r>
      <w:r w:rsidRPr="00C65B1F">
        <w:t xml:space="preserve"> of impairments within the disability community.</w:t>
      </w:r>
    </w:p>
    <w:p w:rsidR="001F07DE" w:rsidRDefault="005065F0" w:rsidP="005C60AD">
      <w:pPr>
        <w:pStyle w:val="Dash"/>
      </w:pPr>
      <w:r>
        <w:t xml:space="preserve">See </w:t>
      </w:r>
      <w:r w:rsidR="00267D5F">
        <w:t>‘</w:t>
      </w:r>
      <w:hyperlink w:anchor="_Cultural_considerations_1" w:history="1">
        <w:r w:rsidRPr="009A2A45">
          <w:rPr>
            <w:rStyle w:val="Hyperlink"/>
            <w:color w:val="auto"/>
          </w:rPr>
          <w:t>Cultural considerations</w:t>
        </w:r>
        <w:r w:rsidR="00267D5F" w:rsidRPr="005C60AD">
          <w:t>’</w:t>
        </w:r>
        <w:r w:rsidRPr="005C60AD">
          <w:t xml:space="preserve"> </w:t>
        </w:r>
      </w:hyperlink>
      <w:r w:rsidR="00385DAE">
        <w:t>(page 6)</w:t>
      </w:r>
      <w:r w:rsidR="00CD12C9">
        <w:t xml:space="preserve"> </w:t>
      </w:r>
      <w:r w:rsidRPr="00A4312E">
        <w:t xml:space="preserve">for information on protocols and other customs </w:t>
      </w:r>
      <w:r>
        <w:t>to consider when planning the engagement.</w:t>
      </w:r>
    </w:p>
    <w:p w:rsidR="005C60AD" w:rsidRDefault="005C60AD" w:rsidP="005C60AD">
      <w:bookmarkStart w:id="111" w:name="_Toc406753616"/>
      <w:bookmarkStart w:id="112" w:name="_Toc407006524"/>
      <w:bookmarkStart w:id="113" w:name="_Toc407006665"/>
      <w:bookmarkStart w:id="114" w:name="_Toc404864990"/>
      <w:bookmarkStart w:id="115" w:name="_Toc404865202"/>
      <w:bookmarkStart w:id="116" w:name="_Toc404865425"/>
      <w:bookmarkStart w:id="117" w:name="_Toc404865486"/>
      <w:bookmarkStart w:id="118" w:name="_Toc404866241"/>
      <w:bookmarkStart w:id="119" w:name="_Toc404867059"/>
      <w:bookmarkStart w:id="120" w:name="_Toc404927704"/>
    </w:p>
    <w:p w:rsidR="001F07DE" w:rsidRDefault="005065F0" w:rsidP="005C60AD">
      <w:r w:rsidRPr="00FE0855">
        <w:t>For information on working</w:t>
      </w:r>
      <w:r>
        <w:t xml:space="preserve"> with people with particular impairments, see:</w:t>
      </w:r>
    </w:p>
    <w:p w:rsidR="001F07DE" w:rsidRPr="009A2A45" w:rsidRDefault="008A337B" w:rsidP="005C60AD">
      <w:pPr>
        <w:pStyle w:val="Bullet"/>
      </w:pPr>
      <w:hyperlink w:anchor="_Engaging_with_people_1" w:history="1">
        <w:r w:rsidR="005065F0" w:rsidRPr="009A2A45">
          <w:rPr>
            <w:rStyle w:val="Hyperlink"/>
            <w:color w:val="auto"/>
          </w:rPr>
          <w:t>Engaging with people who are blind or vision impaired</w:t>
        </w:r>
      </w:hyperlink>
      <w:r w:rsidR="00385DAE" w:rsidRPr="009A2A45">
        <w:rPr>
          <w:rStyle w:val="Hyperlink"/>
          <w:color w:val="auto"/>
        </w:rPr>
        <w:t xml:space="preserve"> (page 23)</w:t>
      </w:r>
    </w:p>
    <w:p w:rsidR="001F07DE" w:rsidRPr="009A2A45" w:rsidRDefault="008A337B" w:rsidP="005C60AD">
      <w:pPr>
        <w:pStyle w:val="Bullet"/>
      </w:pPr>
      <w:hyperlink w:anchor="_Appendix_10_–_1" w:history="1">
        <w:r w:rsidR="005065F0" w:rsidRPr="009A2A45">
          <w:rPr>
            <w:rStyle w:val="Hyperlink"/>
            <w:color w:val="auto"/>
          </w:rPr>
          <w:t>Engaging with people with hearing loss, who are hard of hearing or who are Deaf</w:t>
        </w:r>
      </w:hyperlink>
      <w:r w:rsidR="00385DAE" w:rsidRPr="009A2A45">
        <w:rPr>
          <w:rStyle w:val="Hyperlink"/>
          <w:color w:val="auto"/>
        </w:rPr>
        <w:t xml:space="preserve"> (page 26)</w:t>
      </w:r>
    </w:p>
    <w:p w:rsidR="001F07DE" w:rsidRPr="009A2A45" w:rsidRDefault="008A337B" w:rsidP="005C60AD">
      <w:pPr>
        <w:pStyle w:val="Bullet"/>
      </w:pPr>
      <w:hyperlink w:anchor="_Appendix_11_–" w:history="1">
        <w:r w:rsidR="005065F0" w:rsidRPr="009A2A45">
          <w:rPr>
            <w:rStyle w:val="Hyperlink"/>
            <w:color w:val="auto"/>
          </w:rPr>
          <w:t>Engaging with people with complex communication needs</w:t>
        </w:r>
      </w:hyperlink>
      <w:r w:rsidR="00F63D19" w:rsidRPr="009A2A45">
        <w:rPr>
          <w:rStyle w:val="Hyperlink"/>
          <w:color w:val="auto"/>
        </w:rPr>
        <w:t xml:space="preserve"> (page 28)</w:t>
      </w:r>
    </w:p>
    <w:p w:rsidR="001F07DE" w:rsidRPr="009A2A45" w:rsidRDefault="008A337B" w:rsidP="005C60AD">
      <w:pPr>
        <w:pStyle w:val="Bullet"/>
      </w:pPr>
      <w:hyperlink w:anchor="_Appendix_12_–" w:history="1">
        <w:r w:rsidR="005065F0" w:rsidRPr="009A2A45">
          <w:rPr>
            <w:rStyle w:val="Hyperlink"/>
            <w:color w:val="auto"/>
          </w:rPr>
          <w:t>Engaging with people with learning/intellectual disabilities</w:t>
        </w:r>
      </w:hyperlink>
      <w:r w:rsidR="00933936" w:rsidRPr="009A2A45">
        <w:rPr>
          <w:rStyle w:val="Hyperlink"/>
          <w:color w:val="auto"/>
        </w:rPr>
        <w:t xml:space="preserve"> (</w:t>
      </w:r>
      <w:r w:rsidR="0025377E" w:rsidRPr="009A2A45">
        <w:rPr>
          <w:rStyle w:val="Hyperlink"/>
          <w:color w:val="auto"/>
        </w:rPr>
        <w:t>page 30</w:t>
      </w:r>
      <w:r w:rsidR="00933936" w:rsidRPr="009A2A45">
        <w:rPr>
          <w:rStyle w:val="Hyperlink"/>
          <w:color w:val="auto"/>
        </w:rPr>
        <w:t>)</w:t>
      </w:r>
    </w:p>
    <w:p w:rsidR="001F07DE" w:rsidRPr="005C60AD" w:rsidRDefault="008A337B" w:rsidP="005C60AD">
      <w:pPr>
        <w:pStyle w:val="Bullet"/>
      </w:pPr>
      <w:hyperlink w:anchor="_Appendix_13_–" w:history="1">
        <w:r w:rsidR="005065F0" w:rsidRPr="009A2A45">
          <w:rPr>
            <w:rStyle w:val="Hyperlink"/>
            <w:color w:val="auto"/>
          </w:rPr>
          <w:t>Engaging with people with autism spectrum disorder</w:t>
        </w:r>
        <w:r w:rsidR="00384BD3" w:rsidRPr="009A2A45">
          <w:rPr>
            <w:rStyle w:val="Hyperlink"/>
            <w:color w:val="auto"/>
          </w:rPr>
          <w:t xml:space="preserve"> (page 32)</w:t>
        </w:r>
        <w:r w:rsidR="005065F0" w:rsidRPr="009A2A45">
          <w:rPr>
            <w:rStyle w:val="Hyperlink"/>
            <w:color w:val="auto"/>
          </w:rPr>
          <w:t>.</w:t>
        </w:r>
      </w:hyperlink>
    </w:p>
    <w:p w:rsidR="005C60AD" w:rsidRDefault="005C60AD" w:rsidP="005C60AD"/>
    <w:p w:rsidR="001F07DE" w:rsidRDefault="005065F0" w:rsidP="005C60AD">
      <w:pPr>
        <w:pStyle w:val="Heading3"/>
      </w:pPr>
      <w:r w:rsidRPr="0063167D">
        <w:t>How will the engagement process work?</w:t>
      </w:r>
      <w:bookmarkEnd w:id="111"/>
      <w:bookmarkEnd w:id="112"/>
      <w:bookmarkEnd w:id="113"/>
    </w:p>
    <w:p w:rsidR="001F07DE" w:rsidRDefault="005065F0" w:rsidP="005C60AD">
      <w:r w:rsidRPr="00A4312E">
        <w:t xml:space="preserve">What </w:t>
      </w:r>
      <w:r w:rsidRPr="009D2A0F">
        <w:t>type</w:t>
      </w:r>
      <w:r w:rsidRPr="00A4312E">
        <w:t xml:space="preserve"> of engagement </w:t>
      </w:r>
      <w:r>
        <w:t xml:space="preserve">will you undertake? See </w:t>
      </w:r>
      <w:r w:rsidR="00267D5F">
        <w:t>‘</w:t>
      </w:r>
      <w:hyperlink w:anchor="_Types_of_community" w:history="1">
        <w:r w:rsidRPr="009A2A45">
          <w:t>Types of engagement</w:t>
        </w:r>
      </w:hyperlink>
      <w:r w:rsidR="005C60AD">
        <w:t>’</w:t>
      </w:r>
      <w:r w:rsidR="00385DAE">
        <w:t xml:space="preserve"> (page 3)</w:t>
      </w:r>
      <w:r w:rsidR="005C60AD">
        <w:t>.</w:t>
      </w:r>
    </w:p>
    <w:p w:rsidR="005C60AD" w:rsidRDefault="005C60AD" w:rsidP="005C60AD"/>
    <w:p w:rsidR="00267D5F" w:rsidRDefault="005065F0" w:rsidP="005C60AD">
      <w:pPr>
        <w:pStyle w:val="Heading3"/>
      </w:pPr>
      <w:bookmarkStart w:id="121" w:name="_Toc406753617"/>
      <w:bookmarkStart w:id="122" w:name="_Toc407006525"/>
      <w:bookmarkStart w:id="123" w:name="_Toc407006666"/>
      <w:r w:rsidRPr="0063167D">
        <w:t>Communication</w:t>
      </w:r>
      <w:bookmarkEnd w:id="121"/>
      <w:bookmarkEnd w:id="122"/>
      <w:bookmarkEnd w:id="123"/>
    </w:p>
    <w:p w:rsidR="001F07DE" w:rsidRDefault="005065F0" w:rsidP="005C60AD">
      <w:pPr>
        <w:pStyle w:val="Bullet"/>
      </w:pPr>
      <w:r>
        <w:t xml:space="preserve">Is it clear </w:t>
      </w:r>
      <w:r w:rsidRPr="00A2640E">
        <w:t>who is being consulted, about what, when and for what purpose</w:t>
      </w:r>
      <w:r>
        <w:t>?</w:t>
      </w:r>
    </w:p>
    <w:p w:rsidR="001F07DE" w:rsidRDefault="005065F0" w:rsidP="005C60AD">
      <w:pPr>
        <w:pStyle w:val="Bullet"/>
      </w:pPr>
      <w:r>
        <w:t xml:space="preserve">Is the information as </w:t>
      </w:r>
      <w:r w:rsidRPr="00A2640E">
        <w:t xml:space="preserve">clear, </w:t>
      </w:r>
      <w:r w:rsidRPr="003E732D">
        <w:t>simple</w:t>
      </w:r>
      <w:r w:rsidRPr="00A2640E">
        <w:t xml:space="preserve"> and concise as possible</w:t>
      </w:r>
      <w:r>
        <w:t>?</w:t>
      </w:r>
    </w:p>
    <w:p w:rsidR="001F07DE" w:rsidRDefault="005065F0" w:rsidP="005C60AD">
      <w:pPr>
        <w:pStyle w:val="Bullet"/>
      </w:pPr>
      <w:r w:rsidRPr="00A2640E">
        <w:t xml:space="preserve">Will </w:t>
      </w:r>
      <w:r>
        <w:t xml:space="preserve">the </w:t>
      </w:r>
      <w:r w:rsidRPr="00A2640E">
        <w:t xml:space="preserve">engagement </w:t>
      </w:r>
      <w:r>
        <w:t xml:space="preserve">process </w:t>
      </w:r>
      <w:r w:rsidRPr="003E732D">
        <w:t>generate</w:t>
      </w:r>
      <w:r w:rsidRPr="00A2640E">
        <w:t xml:space="preserve"> interest from the media? </w:t>
      </w:r>
      <w:r>
        <w:t>C</w:t>
      </w:r>
      <w:r w:rsidRPr="00097A3D">
        <w:t>onsider</w:t>
      </w:r>
      <w:r w:rsidRPr="00A2640E">
        <w:t xml:space="preserve"> developing a communications plan, key messages and/or media statements.</w:t>
      </w:r>
    </w:p>
    <w:p w:rsidR="00267D5F" w:rsidRDefault="005065F0" w:rsidP="005C60AD">
      <w:pPr>
        <w:pStyle w:val="Bullet"/>
      </w:pPr>
      <w:r>
        <w:t xml:space="preserve">See </w:t>
      </w:r>
      <w:r w:rsidRPr="00A2640E">
        <w:t xml:space="preserve">the accessibility section below to ensure </w:t>
      </w:r>
      <w:r>
        <w:t xml:space="preserve">your </w:t>
      </w:r>
      <w:r w:rsidRPr="00A2640E">
        <w:t>communications are suitable.</w:t>
      </w:r>
    </w:p>
    <w:p w:rsidR="001F07DE" w:rsidRDefault="001F07DE" w:rsidP="005C60AD">
      <w:bookmarkStart w:id="124" w:name="_Toc406753618"/>
      <w:bookmarkStart w:id="125" w:name="_Toc407006526"/>
      <w:bookmarkStart w:id="126" w:name="_Toc407006667"/>
    </w:p>
    <w:p w:rsidR="001F07DE" w:rsidRDefault="005065F0" w:rsidP="005C60AD">
      <w:pPr>
        <w:pStyle w:val="Heading3"/>
      </w:pPr>
      <w:r w:rsidRPr="0063167D">
        <w:lastRenderedPageBreak/>
        <w:t>Accessibility</w:t>
      </w:r>
      <w:bookmarkEnd w:id="114"/>
      <w:bookmarkEnd w:id="115"/>
      <w:bookmarkEnd w:id="116"/>
      <w:bookmarkEnd w:id="117"/>
      <w:bookmarkEnd w:id="118"/>
      <w:bookmarkEnd w:id="119"/>
      <w:bookmarkEnd w:id="120"/>
      <w:bookmarkEnd w:id="124"/>
      <w:bookmarkEnd w:id="125"/>
      <w:bookmarkEnd w:id="126"/>
    </w:p>
    <w:p w:rsidR="001F07DE" w:rsidRDefault="005065F0" w:rsidP="005C60AD">
      <w:pPr>
        <w:pStyle w:val="Bullet"/>
        <w:keepNext/>
      </w:pPr>
      <w:r w:rsidRPr="00A4312E">
        <w:t xml:space="preserve">Have </w:t>
      </w:r>
      <w:r>
        <w:t>you considered the need</w:t>
      </w:r>
      <w:r w:rsidRPr="00A4312E">
        <w:t xml:space="preserve">s of </w:t>
      </w:r>
      <w:r>
        <w:t>all participants?</w:t>
      </w:r>
    </w:p>
    <w:p w:rsidR="001F07DE" w:rsidRDefault="005065F0" w:rsidP="005C60AD">
      <w:pPr>
        <w:pStyle w:val="Bullet"/>
        <w:keepNext/>
      </w:pPr>
      <w:r>
        <w:t>Will you use images</w:t>
      </w:r>
      <w:r w:rsidRPr="00A4312E">
        <w:t>, diagrams</w:t>
      </w:r>
      <w:r>
        <w:t>, graphs or tables</w:t>
      </w:r>
      <w:r w:rsidRPr="00A4312E">
        <w:t xml:space="preserve"> </w:t>
      </w:r>
      <w:r>
        <w:t>in the engagement materials?</w:t>
      </w:r>
      <w:r w:rsidR="005C60AD">
        <w:br/>
      </w:r>
      <w:r w:rsidRPr="00A4312E">
        <w:t xml:space="preserve">See </w:t>
      </w:r>
      <w:r w:rsidR="00267D5F">
        <w:t>‘</w:t>
      </w:r>
      <w:hyperlink w:anchor="_Using_images,_diagrams," w:history="1">
        <w:r w:rsidRPr="00FA7CCF">
          <w:rPr>
            <w:rStyle w:val="Hyperlink"/>
            <w:color w:val="auto"/>
          </w:rPr>
          <w:t>Using images, diagrams, graphs and tables accessibly</w:t>
        </w:r>
      </w:hyperlink>
      <w:r w:rsidR="005C60AD" w:rsidRPr="005C60AD">
        <w:t>’</w:t>
      </w:r>
      <w:r w:rsidR="009F0D47">
        <w:t xml:space="preserve"> (page 15)</w:t>
      </w:r>
      <w:r w:rsidRPr="00A4312E">
        <w:t>.</w:t>
      </w:r>
    </w:p>
    <w:p w:rsidR="001F07DE" w:rsidRDefault="005065F0" w:rsidP="005C60AD">
      <w:pPr>
        <w:pStyle w:val="Bullet"/>
        <w:keepNext/>
      </w:pPr>
      <w:r w:rsidRPr="00A4312E">
        <w:t xml:space="preserve">Will </w:t>
      </w:r>
      <w:r>
        <w:t xml:space="preserve">you use </w:t>
      </w:r>
      <w:r w:rsidRPr="00A4312E">
        <w:t>a website or other online tools</w:t>
      </w:r>
      <w:r>
        <w:t xml:space="preserve"> in the </w:t>
      </w:r>
      <w:r w:rsidRPr="00A4312E">
        <w:t>engagement process?</w:t>
      </w:r>
      <w:r w:rsidR="005C60AD">
        <w:br/>
      </w:r>
      <w:r w:rsidRPr="00A4312E">
        <w:t xml:space="preserve">See </w:t>
      </w:r>
      <w:r w:rsidR="00267D5F">
        <w:t>‘</w:t>
      </w:r>
      <w:hyperlink w:anchor="_Appendix_8_–" w:history="1">
        <w:r w:rsidRPr="00FA7CCF">
          <w:rPr>
            <w:rStyle w:val="Hyperlink"/>
            <w:color w:val="auto"/>
          </w:rPr>
          <w:t>Web accessibility and online engagement</w:t>
        </w:r>
      </w:hyperlink>
      <w:r w:rsidR="005C60AD" w:rsidRPr="005C60AD">
        <w:t>’</w:t>
      </w:r>
      <w:r w:rsidR="009F0D47">
        <w:t xml:space="preserve"> (page 9)</w:t>
      </w:r>
      <w:r>
        <w:t>.</w:t>
      </w:r>
    </w:p>
    <w:p w:rsidR="00267D5F" w:rsidRDefault="005065F0" w:rsidP="005C60AD">
      <w:pPr>
        <w:pStyle w:val="Bullet"/>
      </w:pPr>
      <w:r>
        <w:t xml:space="preserve">Will you produce </w:t>
      </w:r>
      <w:r w:rsidRPr="00A4312E">
        <w:t>written material</w:t>
      </w:r>
      <w:r>
        <w:t xml:space="preserve"> in the engagement process</w:t>
      </w:r>
      <w:r w:rsidRPr="00A4312E">
        <w:t>?</w:t>
      </w:r>
      <w:r w:rsidR="005C60AD">
        <w:br/>
      </w:r>
      <w:r w:rsidRPr="00A4312E">
        <w:t xml:space="preserve">See </w:t>
      </w:r>
      <w:r w:rsidR="00267D5F">
        <w:t>‘</w:t>
      </w:r>
      <w:hyperlink w:anchor="_Appendix_6_–" w:history="1">
        <w:r w:rsidR="00384BD3" w:rsidRPr="00325B5A">
          <w:t>Using written information and printed materials accessibly</w:t>
        </w:r>
      </w:hyperlink>
      <w:r w:rsidR="005C60AD" w:rsidRPr="005C60AD">
        <w:t>’</w:t>
      </w:r>
      <w:r w:rsidR="00384BD3">
        <w:t xml:space="preserve"> </w:t>
      </w:r>
      <w:r w:rsidR="00384BD3" w:rsidRPr="00384BD3">
        <w:rPr>
          <w:rStyle w:val="Hyperlink"/>
          <w:color w:val="auto"/>
        </w:rPr>
        <w:t>(page 17)</w:t>
      </w:r>
      <w:r w:rsidRPr="00A4312E">
        <w:t>.</w:t>
      </w:r>
    </w:p>
    <w:p w:rsidR="001F07DE" w:rsidRDefault="005065F0" w:rsidP="005C60AD">
      <w:pPr>
        <w:pStyle w:val="Bullet"/>
      </w:pPr>
      <w:r>
        <w:t>Will you give presentations in the engagement process?</w:t>
      </w:r>
      <w:r w:rsidR="005C60AD">
        <w:br/>
      </w:r>
      <w:r w:rsidRPr="00A4312E">
        <w:t xml:space="preserve">See </w:t>
      </w:r>
      <w:r w:rsidR="00267D5F">
        <w:t>‘</w:t>
      </w:r>
      <w:hyperlink w:anchor="_Accessible_presentations_and" w:history="1">
        <w:r w:rsidRPr="00FA7CCF">
          <w:rPr>
            <w:rStyle w:val="Hyperlink"/>
            <w:color w:val="auto"/>
          </w:rPr>
          <w:t>Accessible presentations and other verbal communication</w:t>
        </w:r>
      </w:hyperlink>
      <w:r w:rsidR="005C60AD" w:rsidRPr="005C60AD">
        <w:t>’</w:t>
      </w:r>
      <w:r w:rsidR="00F63D19">
        <w:t xml:space="preserve"> </w:t>
      </w:r>
      <w:r w:rsidR="00F63D19" w:rsidRPr="00F63D19">
        <w:rPr>
          <w:rStyle w:val="Hyperlink"/>
          <w:color w:val="auto"/>
        </w:rPr>
        <w:t>(page 19)</w:t>
      </w:r>
      <w:r w:rsidRPr="00A4312E">
        <w:t>.</w:t>
      </w:r>
    </w:p>
    <w:p w:rsidR="001F07DE" w:rsidRPr="005C60AD" w:rsidRDefault="005065F0" w:rsidP="005C60AD">
      <w:pPr>
        <w:pStyle w:val="Bullet"/>
      </w:pPr>
      <w:r>
        <w:t>If you are using a venue, is it accessible?</w:t>
      </w:r>
      <w:r w:rsidR="005C60AD">
        <w:br/>
      </w:r>
      <w:r>
        <w:t xml:space="preserve">See </w:t>
      </w:r>
      <w:r w:rsidR="00267D5F">
        <w:t>‘</w:t>
      </w:r>
      <w:hyperlink w:anchor="_Venue_accessibility" w:history="1">
        <w:r w:rsidRPr="00FA7CCF">
          <w:rPr>
            <w:rStyle w:val="Hyperlink"/>
            <w:color w:val="auto"/>
          </w:rPr>
          <w:t>Venue accessibility</w:t>
        </w:r>
      </w:hyperlink>
      <w:r w:rsidR="005C60AD" w:rsidRPr="005C60AD">
        <w:t>’</w:t>
      </w:r>
      <w:r w:rsidR="00323862">
        <w:t xml:space="preserve"> (page 21)</w:t>
      </w:r>
      <w:r w:rsidRPr="005C60AD">
        <w:rPr>
          <w:color w:val="7030A0"/>
        </w:rPr>
        <w:t>.</w:t>
      </w:r>
    </w:p>
    <w:p w:rsidR="005C60AD" w:rsidRDefault="005C60AD" w:rsidP="005C60AD"/>
    <w:p w:rsidR="001F07DE" w:rsidRDefault="005065F0" w:rsidP="005C60AD">
      <w:pPr>
        <w:pStyle w:val="Heading3"/>
      </w:pPr>
      <w:bookmarkStart w:id="127" w:name="_Toc404864992"/>
      <w:bookmarkStart w:id="128" w:name="_Toc404865204"/>
      <w:bookmarkStart w:id="129" w:name="_Toc404865427"/>
      <w:bookmarkStart w:id="130" w:name="_Toc404865488"/>
      <w:bookmarkStart w:id="131" w:name="_Toc404866243"/>
      <w:bookmarkStart w:id="132" w:name="_Toc404867061"/>
      <w:bookmarkStart w:id="133" w:name="_Toc404927706"/>
      <w:bookmarkStart w:id="134" w:name="_Toc406753619"/>
      <w:bookmarkStart w:id="135" w:name="_Toc407006527"/>
      <w:bookmarkStart w:id="136" w:name="_Toc407006668"/>
      <w:r w:rsidRPr="0063167D">
        <w:t>Timelines</w:t>
      </w:r>
      <w:bookmarkEnd w:id="127"/>
      <w:bookmarkEnd w:id="128"/>
      <w:bookmarkEnd w:id="129"/>
      <w:bookmarkEnd w:id="130"/>
      <w:bookmarkEnd w:id="131"/>
      <w:bookmarkEnd w:id="132"/>
      <w:bookmarkEnd w:id="133"/>
      <w:bookmarkEnd w:id="134"/>
      <w:bookmarkEnd w:id="135"/>
      <w:bookmarkEnd w:id="136"/>
    </w:p>
    <w:p w:rsidR="001F07DE" w:rsidRDefault="005065F0" w:rsidP="005C60AD">
      <w:pPr>
        <w:pStyle w:val="Bullet"/>
      </w:pPr>
      <w:r>
        <w:t xml:space="preserve">When will things happen or </w:t>
      </w:r>
      <w:r w:rsidRPr="00C65B1F">
        <w:t>need to happen</w:t>
      </w:r>
      <w:r>
        <w:t>?</w:t>
      </w:r>
    </w:p>
    <w:p w:rsidR="001F07DE" w:rsidRDefault="005065F0" w:rsidP="005C60AD">
      <w:pPr>
        <w:pStyle w:val="Bullet"/>
      </w:pPr>
      <w:r>
        <w:t>What are the timeframes for decisions?</w:t>
      </w:r>
    </w:p>
    <w:p w:rsidR="00267D5F" w:rsidRDefault="005065F0" w:rsidP="005C60AD">
      <w:pPr>
        <w:pStyle w:val="Bullet"/>
      </w:pPr>
      <w:r>
        <w:t>Has sufficient preparation time been allowed?</w:t>
      </w:r>
    </w:p>
    <w:p w:rsidR="00267D5F" w:rsidRDefault="005065F0" w:rsidP="005C60AD">
      <w:pPr>
        <w:pStyle w:val="Bullet"/>
      </w:pPr>
      <w:r>
        <w:t xml:space="preserve">Consider the time it will take to book New Zealand Sign Language interpreters and accessible venues, and to make travel arrangements. See </w:t>
      </w:r>
      <w:r w:rsidR="00267D5F">
        <w:t>‘</w:t>
      </w:r>
      <w:hyperlink w:anchor="_When_to_engage_1" w:history="1">
        <w:r w:rsidR="00323862" w:rsidRPr="00FA7CCF">
          <w:rPr>
            <w:rStyle w:val="Hyperlink"/>
            <w:color w:val="auto"/>
          </w:rPr>
          <w:t>Early planning</w:t>
        </w:r>
      </w:hyperlink>
      <w:r w:rsidR="005C60AD" w:rsidRPr="005C60AD">
        <w:t>’</w:t>
      </w:r>
      <w:r w:rsidR="00323862">
        <w:t xml:space="preserve"> (page 4)</w:t>
      </w:r>
      <w:r w:rsidRPr="001E5634">
        <w:t xml:space="preserve"> </w:t>
      </w:r>
      <w:r>
        <w:t>for more information.</w:t>
      </w:r>
    </w:p>
    <w:p w:rsidR="005C60AD" w:rsidRDefault="005C60AD" w:rsidP="005C60AD"/>
    <w:p w:rsidR="001F07DE" w:rsidRDefault="005065F0" w:rsidP="005C60AD">
      <w:pPr>
        <w:pStyle w:val="Heading3"/>
      </w:pPr>
      <w:bookmarkStart w:id="137" w:name="_Toc406753620"/>
      <w:bookmarkStart w:id="138" w:name="_Toc407006528"/>
      <w:bookmarkStart w:id="139" w:name="_Toc407006669"/>
      <w:bookmarkStart w:id="140" w:name="_Toc404864993"/>
      <w:bookmarkStart w:id="141" w:name="_Toc404865205"/>
      <w:bookmarkStart w:id="142" w:name="_Toc404865428"/>
      <w:bookmarkStart w:id="143" w:name="_Toc404865489"/>
      <w:bookmarkStart w:id="144" w:name="_Toc404866244"/>
      <w:bookmarkStart w:id="145" w:name="_Toc404867062"/>
      <w:bookmarkStart w:id="146" w:name="_Toc404927707"/>
      <w:r w:rsidRPr="0063167D">
        <w:t>Resources and budget</w:t>
      </w:r>
      <w:bookmarkEnd w:id="137"/>
      <w:bookmarkEnd w:id="138"/>
      <w:bookmarkEnd w:id="139"/>
    </w:p>
    <w:p w:rsidR="001F07DE" w:rsidRDefault="005065F0" w:rsidP="005C60AD">
      <w:pPr>
        <w:pStyle w:val="Bullet"/>
      </w:pPr>
      <w:r>
        <w:t>What is your available budget?</w:t>
      </w:r>
    </w:p>
    <w:p w:rsidR="001F07DE" w:rsidRDefault="005065F0" w:rsidP="005C60AD">
      <w:pPr>
        <w:pStyle w:val="Bullet"/>
      </w:pPr>
      <w:r>
        <w:t>Will you incur costs for the following?</w:t>
      </w:r>
    </w:p>
    <w:p w:rsidR="001F07DE" w:rsidRDefault="005065F0" w:rsidP="005C60AD">
      <w:pPr>
        <w:pStyle w:val="Dash"/>
      </w:pPr>
      <w:r>
        <w:t>Venue hire</w:t>
      </w:r>
    </w:p>
    <w:p w:rsidR="001F07DE" w:rsidRDefault="005065F0" w:rsidP="005C60AD">
      <w:pPr>
        <w:pStyle w:val="Dash"/>
      </w:pPr>
      <w:r>
        <w:t xml:space="preserve">Catering (food, coffee, tea, </w:t>
      </w:r>
      <w:proofErr w:type="spellStart"/>
      <w:r>
        <w:t>etc</w:t>
      </w:r>
      <w:proofErr w:type="spellEnd"/>
      <w:r>
        <w:t>)</w:t>
      </w:r>
    </w:p>
    <w:p w:rsidR="001F07DE" w:rsidRDefault="005065F0" w:rsidP="005C60AD">
      <w:pPr>
        <w:pStyle w:val="Dash"/>
      </w:pPr>
      <w:proofErr w:type="spellStart"/>
      <w:r>
        <w:t>Koha</w:t>
      </w:r>
      <w:proofErr w:type="spellEnd"/>
    </w:p>
    <w:p w:rsidR="001F07DE" w:rsidRDefault="005065F0" w:rsidP="005C60AD">
      <w:pPr>
        <w:pStyle w:val="Dash"/>
      </w:pPr>
      <w:r>
        <w:t>Engagement materials (including publication, printing and distribution)</w:t>
      </w:r>
    </w:p>
    <w:p w:rsidR="001F07DE" w:rsidRDefault="005065F0" w:rsidP="005C60AD">
      <w:pPr>
        <w:pStyle w:val="Dash"/>
      </w:pPr>
      <w:r>
        <w:t xml:space="preserve">Stationery or equipment (rental of projectors, laptops, large paper and pens for workshops, </w:t>
      </w:r>
      <w:proofErr w:type="spellStart"/>
      <w:r>
        <w:t>etc</w:t>
      </w:r>
      <w:proofErr w:type="spellEnd"/>
      <w:r>
        <w:t>)</w:t>
      </w:r>
    </w:p>
    <w:p w:rsidR="001F07DE" w:rsidRDefault="005065F0" w:rsidP="005C60AD">
      <w:pPr>
        <w:pStyle w:val="Dash"/>
      </w:pPr>
      <w:r>
        <w:t>Advertisement or promotion costs (including promoting your event and recruit of participants)</w:t>
      </w:r>
    </w:p>
    <w:p w:rsidR="001F07DE" w:rsidRDefault="005065F0" w:rsidP="005C60AD">
      <w:pPr>
        <w:pStyle w:val="Dash"/>
      </w:pPr>
      <w:r>
        <w:t>External facilitators</w:t>
      </w:r>
    </w:p>
    <w:p w:rsidR="001F07DE" w:rsidRDefault="005065F0" w:rsidP="005C60AD">
      <w:pPr>
        <w:pStyle w:val="Dash"/>
      </w:pPr>
      <w:r>
        <w:t>Interpreters/</w:t>
      </w:r>
      <w:r w:rsidRPr="001E5634">
        <w:t xml:space="preserve">translators (See </w:t>
      </w:r>
      <w:r w:rsidR="00267D5F">
        <w:t>‘</w:t>
      </w:r>
      <w:hyperlink w:anchor="_Further_resources_and" w:history="1">
        <w:r w:rsidRPr="00FA7CCF">
          <w:rPr>
            <w:rStyle w:val="Hyperlink"/>
            <w:color w:val="auto"/>
          </w:rPr>
          <w:t>Further resources and organisations</w:t>
        </w:r>
      </w:hyperlink>
      <w:r w:rsidR="005C60AD" w:rsidRPr="005C60AD">
        <w:t>’</w:t>
      </w:r>
      <w:r w:rsidR="000B1BD7">
        <w:t xml:space="preserve"> on </w:t>
      </w:r>
      <w:r w:rsidR="000B1BD7" w:rsidRPr="000B1BD7">
        <w:rPr>
          <w:rStyle w:val="Hyperlink"/>
          <w:color w:val="auto"/>
        </w:rPr>
        <w:t>page 39</w:t>
      </w:r>
      <w:r w:rsidRPr="001E5634" w:rsidDel="00E67F9A">
        <w:rPr>
          <w:color w:val="7030A0"/>
        </w:rPr>
        <w:t xml:space="preserve"> </w:t>
      </w:r>
      <w:r w:rsidRPr="001E5634">
        <w:t>for</w:t>
      </w:r>
      <w:r w:rsidRPr="00417582">
        <w:t xml:space="preserve"> </w:t>
      </w:r>
      <w:r>
        <w:t xml:space="preserve">information on </w:t>
      </w:r>
      <w:r w:rsidRPr="00417582">
        <w:t>booking New Zea</w:t>
      </w:r>
      <w:r>
        <w:t>land Sign Language interpreters)</w:t>
      </w:r>
    </w:p>
    <w:p w:rsidR="00267D5F" w:rsidRDefault="005065F0" w:rsidP="005C60AD">
      <w:pPr>
        <w:pStyle w:val="Dash"/>
      </w:pPr>
      <w:r>
        <w:t>Data analysts or data entry</w:t>
      </w:r>
    </w:p>
    <w:p w:rsidR="001F07DE" w:rsidRDefault="005065F0" w:rsidP="005C60AD">
      <w:pPr>
        <w:pStyle w:val="Dash"/>
      </w:pPr>
      <w:r>
        <w:t>Compensation for participants for their time (honorarium or payment) and/or travel (taxis, mileage, petrol and/or parking) or any other associated expenses.</w:t>
      </w:r>
    </w:p>
    <w:p w:rsidR="005C60AD" w:rsidRDefault="005C60AD" w:rsidP="005C60AD"/>
    <w:p w:rsidR="001F07DE" w:rsidRDefault="005065F0" w:rsidP="005C60AD">
      <w:pPr>
        <w:pStyle w:val="Heading3"/>
      </w:pPr>
      <w:bookmarkStart w:id="147" w:name="_Toc406753621"/>
      <w:bookmarkStart w:id="148" w:name="_Toc407006529"/>
      <w:bookmarkStart w:id="149" w:name="_Toc407006670"/>
      <w:r w:rsidRPr="0063167D">
        <w:lastRenderedPageBreak/>
        <w:t>Analysis</w:t>
      </w:r>
      <w:bookmarkEnd w:id="140"/>
      <w:bookmarkEnd w:id="141"/>
      <w:bookmarkEnd w:id="142"/>
      <w:bookmarkEnd w:id="143"/>
      <w:bookmarkEnd w:id="144"/>
      <w:bookmarkEnd w:id="145"/>
      <w:bookmarkEnd w:id="146"/>
      <w:bookmarkEnd w:id="147"/>
      <w:r w:rsidRPr="0063167D">
        <w:t xml:space="preserve"> and reporting</w:t>
      </w:r>
      <w:bookmarkEnd w:id="148"/>
      <w:bookmarkEnd w:id="149"/>
    </w:p>
    <w:p w:rsidR="001F07DE" w:rsidRDefault="005065F0" w:rsidP="005C60AD">
      <w:pPr>
        <w:pStyle w:val="Bullet"/>
        <w:keepNext/>
      </w:pPr>
      <w:r>
        <w:t>What information will be collected from participants?</w:t>
      </w:r>
    </w:p>
    <w:p w:rsidR="001F07DE" w:rsidRDefault="005065F0" w:rsidP="005C60AD">
      <w:pPr>
        <w:pStyle w:val="Bullet"/>
        <w:keepNext/>
      </w:pPr>
      <w:r>
        <w:t>What reporting is needed? (</w:t>
      </w:r>
      <w:proofErr w:type="spellStart"/>
      <w:r>
        <w:t>eg</w:t>
      </w:r>
      <w:proofErr w:type="spellEnd"/>
      <w:r>
        <w:t>, to decision makers, community, stakeholders)</w:t>
      </w:r>
    </w:p>
    <w:p w:rsidR="001F07DE" w:rsidRPr="00FA7CCF" w:rsidRDefault="005065F0" w:rsidP="005C60AD">
      <w:pPr>
        <w:pStyle w:val="Bullet"/>
        <w:keepNext/>
      </w:pPr>
      <w:r>
        <w:t>Will you use images</w:t>
      </w:r>
      <w:r w:rsidRPr="00A4312E">
        <w:t>, diagrams</w:t>
      </w:r>
      <w:r>
        <w:t>, graphs</w:t>
      </w:r>
      <w:r w:rsidRPr="00A4312E">
        <w:t xml:space="preserve"> or </w:t>
      </w:r>
      <w:r>
        <w:t>tables in your reports?</w:t>
      </w:r>
      <w:r w:rsidR="005C60AD">
        <w:br/>
      </w:r>
      <w:r w:rsidRPr="00FA7CCF">
        <w:t xml:space="preserve">See </w:t>
      </w:r>
      <w:r w:rsidR="00267D5F" w:rsidRPr="00FA7CCF">
        <w:t>‘</w:t>
      </w:r>
      <w:hyperlink w:anchor="_Appendix_5_–_1" w:history="1">
        <w:r w:rsidRPr="00FA7CCF">
          <w:rPr>
            <w:rStyle w:val="Hyperlink"/>
            <w:color w:val="auto"/>
          </w:rPr>
          <w:t>Using images, diagrams, graphs and tables accessibly</w:t>
        </w:r>
      </w:hyperlink>
      <w:r w:rsidR="005C60AD" w:rsidRPr="00FA7CCF">
        <w:t>’</w:t>
      </w:r>
      <w:r w:rsidR="009F0D47" w:rsidRPr="00FA7CCF">
        <w:t xml:space="preserve"> (page 15)</w:t>
      </w:r>
      <w:r w:rsidRPr="00FA7CCF">
        <w:t>.</w:t>
      </w:r>
    </w:p>
    <w:p w:rsidR="001F07DE" w:rsidRPr="00FA7CCF" w:rsidRDefault="005065F0" w:rsidP="005C60AD">
      <w:pPr>
        <w:pStyle w:val="Bullet"/>
      </w:pPr>
      <w:r w:rsidRPr="00FA7CCF">
        <w:t>Will you use testimonials to support the reports?</w:t>
      </w:r>
      <w:r w:rsidR="005C60AD" w:rsidRPr="00FA7CCF">
        <w:br/>
      </w:r>
      <w:r w:rsidRPr="00FA7CCF">
        <w:t xml:space="preserve">See </w:t>
      </w:r>
      <w:r w:rsidR="00267D5F" w:rsidRPr="00FA7CCF">
        <w:t>‘</w:t>
      </w:r>
      <w:hyperlink w:anchor="_Using_testimonials" w:history="1">
        <w:r w:rsidRPr="00FA7CCF">
          <w:rPr>
            <w:rStyle w:val="Hyperlink"/>
            <w:color w:val="auto"/>
          </w:rPr>
          <w:t>Using testimonials</w:t>
        </w:r>
      </w:hyperlink>
      <w:r w:rsidR="005C60AD" w:rsidRPr="00FA7CCF">
        <w:t>’</w:t>
      </w:r>
      <w:r w:rsidR="00323862" w:rsidRPr="00FA7CCF">
        <w:t xml:space="preserve"> (page 18)</w:t>
      </w:r>
      <w:r w:rsidRPr="00FA7CCF">
        <w:t>.</w:t>
      </w:r>
    </w:p>
    <w:p w:rsidR="00267D5F" w:rsidRPr="00FA7CCF" w:rsidRDefault="005065F0" w:rsidP="005C60AD">
      <w:pPr>
        <w:pStyle w:val="Bullet"/>
      </w:pPr>
      <w:r w:rsidRPr="00FA7CCF">
        <w:t>How will the success of the engagement be determined?</w:t>
      </w:r>
    </w:p>
    <w:p w:rsidR="001F07DE" w:rsidRPr="00FA7CCF" w:rsidRDefault="005065F0" w:rsidP="005C60AD">
      <w:pPr>
        <w:pStyle w:val="Bullet"/>
      </w:pPr>
      <w:r w:rsidRPr="00FA7CCF">
        <w:t>After the process is complete, it is helpful to reflect on the engagement. Can any improvements be made next time?</w:t>
      </w:r>
    </w:p>
    <w:p w:rsidR="001F07DE" w:rsidRPr="00FA7CCF" w:rsidRDefault="005065F0" w:rsidP="005C60AD">
      <w:pPr>
        <w:pStyle w:val="Bullet"/>
      </w:pPr>
      <w:r w:rsidRPr="00FA7CCF">
        <w:t>Is any support required for data analysis or data entry?</w:t>
      </w:r>
    </w:p>
    <w:p w:rsidR="00920A9B" w:rsidRPr="00FA7CCF" w:rsidRDefault="00920A9B" w:rsidP="00920A9B"/>
    <w:p w:rsidR="00267D5F" w:rsidRPr="00FA7CCF" w:rsidRDefault="005065F0" w:rsidP="00920A9B">
      <w:pPr>
        <w:pStyle w:val="Heading3"/>
      </w:pPr>
      <w:bookmarkStart w:id="150" w:name="_Toc404864994"/>
      <w:bookmarkStart w:id="151" w:name="_Toc404865206"/>
      <w:bookmarkStart w:id="152" w:name="_Toc404865429"/>
      <w:bookmarkStart w:id="153" w:name="_Toc404865490"/>
      <w:bookmarkStart w:id="154" w:name="_Toc404866245"/>
      <w:bookmarkStart w:id="155" w:name="_Toc404867063"/>
      <w:bookmarkStart w:id="156" w:name="_Toc404927708"/>
      <w:bookmarkStart w:id="157" w:name="_Toc406753622"/>
      <w:bookmarkStart w:id="158" w:name="_Toc407006530"/>
      <w:bookmarkStart w:id="159" w:name="_Toc407006671"/>
      <w:r w:rsidRPr="00FA7CCF">
        <w:t>Feedback</w:t>
      </w:r>
      <w:bookmarkEnd w:id="150"/>
      <w:bookmarkEnd w:id="151"/>
      <w:bookmarkEnd w:id="152"/>
      <w:bookmarkEnd w:id="153"/>
      <w:bookmarkEnd w:id="154"/>
      <w:bookmarkEnd w:id="155"/>
      <w:bookmarkEnd w:id="156"/>
      <w:bookmarkEnd w:id="157"/>
      <w:bookmarkEnd w:id="158"/>
      <w:bookmarkEnd w:id="159"/>
    </w:p>
    <w:p w:rsidR="001F07DE" w:rsidRPr="00FA7CCF" w:rsidRDefault="005065F0" w:rsidP="00920A9B">
      <w:pPr>
        <w:pStyle w:val="Bullet"/>
      </w:pPr>
      <w:r w:rsidRPr="00FA7CCF">
        <w:t>Will you provide feedback to participants? If so, what level and type? When will you provide feedback?</w:t>
      </w:r>
      <w:r w:rsidR="00920A9B" w:rsidRPr="00FA7CCF">
        <w:br/>
      </w:r>
      <w:r w:rsidRPr="00FA7CCF">
        <w:t>See</w:t>
      </w:r>
      <w:r w:rsidR="009F0D47" w:rsidRPr="00FA7CCF">
        <w:t xml:space="preserve"> ‘</w:t>
      </w:r>
      <w:hyperlink w:anchor="_Feedback" w:history="1">
        <w:r w:rsidR="009F0D47" w:rsidRPr="00FA7CCF">
          <w:rPr>
            <w:rStyle w:val="Hyperlink"/>
            <w:color w:val="auto"/>
          </w:rPr>
          <w:t>Feedback</w:t>
        </w:r>
      </w:hyperlink>
      <w:r w:rsidR="00920A9B" w:rsidRPr="00FA7CCF">
        <w:t>’</w:t>
      </w:r>
      <w:r w:rsidR="009F0D47" w:rsidRPr="00FA7CCF">
        <w:t xml:space="preserve"> (page 9)</w:t>
      </w:r>
      <w:r w:rsidR="00920A9B" w:rsidRPr="00FA7CCF">
        <w:t>.</w:t>
      </w:r>
    </w:p>
    <w:p w:rsidR="001F07DE" w:rsidRPr="00FA7CCF" w:rsidRDefault="005065F0" w:rsidP="00920A9B">
      <w:pPr>
        <w:pStyle w:val="Bullet"/>
      </w:pPr>
      <w:r w:rsidRPr="00FA7CCF">
        <w:t>How will you provide feedback? Consider the format – including the accessibility of your communication, follow-up meetings, websites, etc. For information on ensuring feedback is accessible, see:</w:t>
      </w:r>
    </w:p>
    <w:p w:rsidR="001F07DE" w:rsidRPr="00FA7CCF" w:rsidRDefault="008A337B" w:rsidP="00920A9B">
      <w:pPr>
        <w:pStyle w:val="Dash"/>
      </w:pPr>
      <w:hyperlink w:anchor="_Appendix_8_–" w:history="1">
        <w:r w:rsidR="005065F0" w:rsidRPr="00FA7CCF">
          <w:rPr>
            <w:rStyle w:val="Hyperlink"/>
            <w:color w:val="auto"/>
          </w:rPr>
          <w:t>Web accessibility and online engagement</w:t>
        </w:r>
      </w:hyperlink>
      <w:r w:rsidR="009F0D47" w:rsidRPr="00FA7CCF">
        <w:rPr>
          <w:rStyle w:val="Hyperlink"/>
          <w:color w:val="auto"/>
        </w:rPr>
        <w:t xml:space="preserve"> </w:t>
      </w:r>
      <w:r w:rsidR="009F0D47" w:rsidRPr="00FA7CCF">
        <w:t>(page 9)</w:t>
      </w:r>
    </w:p>
    <w:p w:rsidR="001F07DE" w:rsidRPr="00FA7CCF" w:rsidRDefault="008A337B" w:rsidP="00920A9B">
      <w:pPr>
        <w:pStyle w:val="Dash"/>
      </w:pPr>
      <w:hyperlink w:anchor="_Appendix_6_–" w:history="1">
        <w:r w:rsidR="00384BD3" w:rsidRPr="00FA7CCF">
          <w:rPr>
            <w:rStyle w:val="Hyperlink"/>
            <w:color w:val="auto"/>
          </w:rPr>
          <w:t>Using written information and printed materials accessibly</w:t>
        </w:r>
      </w:hyperlink>
      <w:r w:rsidR="00384BD3" w:rsidRPr="00FA7CCF">
        <w:rPr>
          <w:rStyle w:val="Hyperlink"/>
          <w:color w:val="auto"/>
        </w:rPr>
        <w:t xml:space="preserve"> (page 17)</w:t>
      </w:r>
    </w:p>
    <w:p w:rsidR="001F07DE" w:rsidRPr="00FA7CCF" w:rsidRDefault="008A337B" w:rsidP="00920A9B">
      <w:pPr>
        <w:pStyle w:val="Dash"/>
      </w:pPr>
      <w:hyperlink w:anchor="_Accessible_presentations_and" w:history="1">
        <w:r w:rsidR="005065F0" w:rsidRPr="00FA7CCF">
          <w:rPr>
            <w:rStyle w:val="Hyperlink"/>
            <w:color w:val="auto"/>
          </w:rPr>
          <w:t>Accessible presentations and other verbal communication</w:t>
        </w:r>
      </w:hyperlink>
      <w:r w:rsidR="00F63D19" w:rsidRPr="00FA7CCF">
        <w:rPr>
          <w:rStyle w:val="Hyperlink"/>
          <w:color w:val="auto"/>
        </w:rPr>
        <w:t xml:space="preserve"> (page 19)</w:t>
      </w:r>
      <w:r w:rsidR="005065F0" w:rsidRPr="00FA7CCF">
        <w:rPr>
          <w:rStyle w:val="Hyperlink"/>
          <w:color w:val="auto"/>
        </w:rPr>
        <w:t>.</w:t>
      </w:r>
    </w:p>
    <w:p w:rsidR="001F07DE" w:rsidRDefault="005065F0" w:rsidP="00920A9B">
      <w:pPr>
        <w:pStyle w:val="Bullet"/>
      </w:pPr>
      <w:r w:rsidRPr="00FA7CCF">
        <w:t>Will participants continue to be contacted? Is ongoing discussi</w:t>
      </w:r>
      <w:r>
        <w:t>on or communication needed?</w:t>
      </w:r>
    </w:p>
    <w:p w:rsidR="001F07DE" w:rsidRDefault="005065F0" w:rsidP="00920A9B">
      <w:pPr>
        <w:pStyle w:val="Bullet"/>
      </w:pPr>
      <w:r>
        <w:t>Ensure that participants are acknowledged and thanked for their time and expertise in the consultation process.</w:t>
      </w:r>
    </w:p>
    <w:p w:rsidR="00920A9B" w:rsidRDefault="00920A9B" w:rsidP="00920A9B"/>
    <w:p w:rsidR="001F07DE" w:rsidRDefault="005065F0" w:rsidP="00920A9B">
      <w:pPr>
        <w:pStyle w:val="Heading3"/>
      </w:pPr>
      <w:bookmarkStart w:id="160" w:name="_Toc406753623"/>
      <w:bookmarkStart w:id="161" w:name="_Toc407006531"/>
      <w:bookmarkStart w:id="162" w:name="_Toc407006672"/>
      <w:r w:rsidRPr="0063167D">
        <w:t>Review and reflection</w:t>
      </w:r>
      <w:bookmarkEnd w:id="160"/>
      <w:bookmarkEnd w:id="161"/>
      <w:bookmarkEnd w:id="162"/>
    </w:p>
    <w:p w:rsidR="00267D5F" w:rsidRDefault="005065F0" w:rsidP="00920A9B">
      <w:pPr>
        <w:pStyle w:val="Bullet"/>
      </w:pPr>
      <w:r>
        <w:t>Will you seek feedback on the engagement process?</w:t>
      </w:r>
    </w:p>
    <w:p w:rsidR="001F07DE" w:rsidRDefault="005065F0" w:rsidP="00920A9B">
      <w:pPr>
        <w:pStyle w:val="Bullet"/>
      </w:pPr>
      <w:r>
        <w:t>If so, you could ask some of the following questions.</w:t>
      </w:r>
    </w:p>
    <w:p w:rsidR="001F07DE" w:rsidRDefault="005065F0" w:rsidP="00920A9B">
      <w:pPr>
        <w:pStyle w:val="Dash"/>
      </w:pPr>
      <w:r w:rsidRPr="00124B75">
        <w:t>Was anyone left out who should have been included?</w:t>
      </w:r>
    </w:p>
    <w:p w:rsidR="001F07DE" w:rsidRDefault="005065F0" w:rsidP="00920A9B">
      <w:pPr>
        <w:pStyle w:val="Dash"/>
      </w:pPr>
      <w:r>
        <w:t xml:space="preserve">Did </w:t>
      </w:r>
      <w:r w:rsidRPr="00124B75">
        <w:t>participants</w:t>
      </w:r>
      <w:r>
        <w:t xml:space="preserve"> feel</w:t>
      </w:r>
      <w:r w:rsidRPr="00124B75">
        <w:t xml:space="preserve"> satisfied with the process?</w:t>
      </w:r>
    </w:p>
    <w:p w:rsidR="001F07DE" w:rsidRDefault="005065F0" w:rsidP="00920A9B">
      <w:pPr>
        <w:pStyle w:val="Dash"/>
      </w:pPr>
      <w:r w:rsidRPr="00124B75">
        <w:t xml:space="preserve">Did people feel listened to, heard </w:t>
      </w:r>
      <w:r>
        <w:t xml:space="preserve">and </w:t>
      </w:r>
      <w:r w:rsidRPr="00124B75">
        <w:t>respected?</w:t>
      </w:r>
    </w:p>
    <w:p w:rsidR="001F07DE" w:rsidRDefault="005065F0" w:rsidP="00920A9B">
      <w:pPr>
        <w:pStyle w:val="Dash"/>
      </w:pPr>
      <w:r>
        <w:t xml:space="preserve">Were participants satisfied with the </w:t>
      </w:r>
      <w:r w:rsidRPr="00124B75">
        <w:t xml:space="preserve">feedback </w:t>
      </w:r>
      <w:r>
        <w:t xml:space="preserve">you provided on </w:t>
      </w:r>
      <w:r w:rsidRPr="00124B75">
        <w:t xml:space="preserve">how </w:t>
      </w:r>
      <w:r>
        <w:t>their i</w:t>
      </w:r>
      <w:r w:rsidRPr="00124B75">
        <w:t>nput was used?</w:t>
      </w:r>
    </w:p>
    <w:p w:rsidR="001F07DE" w:rsidRDefault="005065F0" w:rsidP="00920A9B">
      <w:pPr>
        <w:pStyle w:val="Dash"/>
      </w:pPr>
      <w:r w:rsidRPr="00124B75">
        <w:t>Was the process useful for achieving the desired outcomes?</w:t>
      </w:r>
    </w:p>
    <w:p w:rsidR="001F07DE" w:rsidRDefault="005065F0" w:rsidP="00920A9B">
      <w:pPr>
        <w:pStyle w:val="Dash"/>
      </w:pPr>
      <w:r w:rsidRPr="00124B75">
        <w:t>Were time and money used efficiently?</w:t>
      </w:r>
    </w:p>
    <w:p w:rsidR="001F07DE" w:rsidRDefault="005065F0" w:rsidP="00920A9B">
      <w:pPr>
        <w:pStyle w:val="Dash"/>
      </w:pPr>
      <w:r w:rsidRPr="00124B75">
        <w:t>Were there any unintended consequences?</w:t>
      </w:r>
    </w:p>
    <w:p w:rsidR="00920A9B" w:rsidRDefault="005065F0" w:rsidP="00920A9B">
      <w:pPr>
        <w:pStyle w:val="Dash"/>
      </w:pPr>
      <w:r w:rsidRPr="00124B75">
        <w:t xml:space="preserve">What </w:t>
      </w:r>
      <w:r>
        <w:t xml:space="preserve">could have been done </w:t>
      </w:r>
      <w:r w:rsidRPr="00124B75">
        <w:t>differently and why?</w:t>
      </w:r>
      <w:bookmarkStart w:id="163" w:name="_Appendix_5_–"/>
      <w:bookmarkStart w:id="164" w:name="_Toc416691394"/>
      <w:bookmarkStart w:id="165" w:name="_Toc404864974"/>
      <w:bookmarkEnd w:id="163"/>
    </w:p>
    <w:p w:rsidR="001F07DE" w:rsidRDefault="001F07DE" w:rsidP="00920A9B"/>
    <w:p w:rsidR="001F07DE" w:rsidRDefault="005065F0" w:rsidP="00920A9B">
      <w:pPr>
        <w:pStyle w:val="Heading2"/>
      </w:pPr>
      <w:bookmarkStart w:id="166" w:name="_Appendix_5_–_1"/>
      <w:bookmarkStart w:id="167" w:name="_Using_images,_diagrams,"/>
      <w:bookmarkStart w:id="168" w:name="_Toc404864984"/>
      <w:bookmarkStart w:id="169" w:name="_Toc416691391"/>
      <w:bookmarkStart w:id="170" w:name="_Toc442354555"/>
      <w:bookmarkStart w:id="171" w:name="_Toc479687381"/>
      <w:bookmarkEnd w:id="166"/>
      <w:bookmarkEnd w:id="167"/>
      <w:r w:rsidRPr="000869F7">
        <w:lastRenderedPageBreak/>
        <w:t xml:space="preserve">Using images, diagrams, </w:t>
      </w:r>
      <w:bookmarkEnd w:id="168"/>
      <w:bookmarkEnd w:id="169"/>
      <w:r w:rsidRPr="000869F7">
        <w:t>graphs and tables accessibly</w:t>
      </w:r>
      <w:bookmarkEnd w:id="170"/>
      <w:bookmarkEnd w:id="171"/>
    </w:p>
    <w:p w:rsidR="00267D5F" w:rsidRDefault="005065F0" w:rsidP="00920A9B">
      <w:pPr>
        <w:pStyle w:val="Heading3"/>
      </w:pPr>
      <w:bookmarkStart w:id="172" w:name="_Toc424551540"/>
      <w:bookmarkStart w:id="173" w:name="_Toc428880914"/>
      <w:bookmarkStart w:id="174" w:name="_Toc429394700"/>
      <w:bookmarkStart w:id="175" w:name="_Toc429406817"/>
      <w:bookmarkStart w:id="176" w:name="_Toc430162250"/>
      <w:bookmarkStart w:id="177" w:name="_Toc430167128"/>
      <w:bookmarkStart w:id="178" w:name="_Toc434393251"/>
      <w:r w:rsidRPr="0063167D">
        <w:t>Using images, diagrams and graphs</w:t>
      </w:r>
      <w:bookmarkEnd w:id="172"/>
      <w:bookmarkEnd w:id="173"/>
      <w:bookmarkEnd w:id="174"/>
      <w:bookmarkEnd w:id="175"/>
      <w:bookmarkEnd w:id="176"/>
      <w:bookmarkEnd w:id="177"/>
      <w:bookmarkEnd w:id="178"/>
    </w:p>
    <w:p w:rsidR="00267D5F" w:rsidRDefault="005065F0" w:rsidP="00920A9B">
      <w:r>
        <w:t xml:space="preserve">When using images, diagrams and graphs, include a brief written description of the image, to help those who are </w:t>
      </w:r>
      <w:r w:rsidRPr="009B4D0A">
        <w:t>blind or vision impair</w:t>
      </w:r>
      <w:r>
        <w:t>ed</w:t>
      </w:r>
      <w:r w:rsidRPr="009B4D0A" w:rsidDel="009B4D0A">
        <w:t xml:space="preserve"> </w:t>
      </w:r>
      <w:r>
        <w:t>engage with the material.</w:t>
      </w:r>
    </w:p>
    <w:p w:rsidR="00920A9B" w:rsidRDefault="00920A9B" w:rsidP="00920A9B"/>
    <w:p w:rsidR="001F07DE" w:rsidRDefault="005065F0" w:rsidP="00920A9B">
      <w:r>
        <w:t>Consider these tips.</w:t>
      </w:r>
    </w:p>
    <w:p w:rsidR="00267D5F" w:rsidRDefault="005065F0" w:rsidP="00920A9B">
      <w:pPr>
        <w:pStyle w:val="Bullet"/>
      </w:pPr>
      <w:r>
        <w:t xml:space="preserve">Some software programmes offer accessibility features for images. For example, Microsoft </w:t>
      </w:r>
      <w:r w:rsidR="00462E9E">
        <w:t>uses</w:t>
      </w:r>
      <w:r>
        <w:t xml:space="preserve"> Alt Text, which allows the writer to include a title and description of the image. The screen reader read</w:t>
      </w:r>
      <w:r w:rsidR="00462E9E">
        <w:t>s</w:t>
      </w:r>
      <w:r>
        <w:t xml:space="preserve"> the title of the image and allow</w:t>
      </w:r>
      <w:r w:rsidR="00462E9E">
        <w:t>s</w:t>
      </w:r>
      <w:r>
        <w:t xml:space="preserve"> the person to choose whether or not to hear the content of the description. Alt Text is accessed by right clicking on the picture, selecting Format Picture, then selecting Alt Text.</w:t>
      </w:r>
    </w:p>
    <w:p w:rsidR="00267D5F" w:rsidRDefault="005065F0" w:rsidP="00920A9B">
      <w:pPr>
        <w:pStyle w:val="Bullet"/>
      </w:pPr>
      <w:r>
        <w:t>When you are presenting in person, descr</w:t>
      </w:r>
      <w:r w:rsidRPr="00A205D6">
        <w:t xml:space="preserve">ibe </w:t>
      </w:r>
      <w:r>
        <w:t>images verbally</w:t>
      </w:r>
      <w:r w:rsidRPr="00A205D6">
        <w:t>.</w:t>
      </w:r>
      <w:r>
        <w:t xml:space="preserve"> Do not tell the whole room that this is for the benefit of a particular person or people who are blind or who have a vision impairment.</w:t>
      </w:r>
    </w:p>
    <w:p w:rsidR="001F07DE" w:rsidRDefault="005065F0" w:rsidP="00920A9B">
      <w:pPr>
        <w:pStyle w:val="Bullet"/>
      </w:pPr>
      <w:r>
        <w:t xml:space="preserve">Microsoft Office 2010 and Acrobat Pro (and some other programmes) have an </w:t>
      </w:r>
      <w:r w:rsidR="00267D5F">
        <w:t>‘</w:t>
      </w:r>
      <w:r w:rsidRPr="006F463D">
        <w:t>Accessibility Checker</w:t>
      </w:r>
      <w:r w:rsidR="00267D5F">
        <w:t>’</w:t>
      </w:r>
      <w:r w:rsidRPr="006F463D">
        <w:t xml:space="preserve"> </w:t>
      </w:r>
      <w:r>
        <w:t>feature that will check a document for accessibility issues. Note that it may not check for all potential issues (</w:t>
      </w:r>
      <w:proofErr w:type="spellStart"/>
      <w:r>
        <w:t>eg</w:t>
      </w:r>
      <w:proofErr w:type="spellEnd"/>
      <w:r>
        <w:t>, it cannot check for colour contrast).</w:t>
      </w:r>
    </w:p>
    <w:p w:rsidR="00920A9B" w:rsidRDefault="00920A9B" w:rsidP="00920A9B"/>
    <w:p w:rsidR="001F07DE" w:rsidRDefault="005065F0" w:rsidP="00920A9B">
      <w:pPr>
        <w:pStyle w:val="Heading4"/>
      </w:pPr>
      <w:r w:rsidRPr="00863659">
        <w:t xml:space="preserve">An example of </w:t>
      </w:r>
      <w:r>
        <w:t xml:space="preserve">an image </w:t>
      </w:r>
      <w:r w:rsidRPr="00863659">
        <w:t>and description</w:t>
      </w:r>
    </w:p>
    <w:p w:rsidR="001F07DE" w:rsidRDefault="00596A81" w:rsidP="00920A9B">
      <w:r>
        <w:rPr>
          <w:noProof/>
          <w:lang w:eastAsia="en-NZ"/>
        </w:rPr>
        <w:drawing>
          <wp:inline distT="0" distB="0" distL="0" distR="0" wp14:anchorId="3909DFFC" wp14:editId="4AE28A0F">
            <wp:extent cx="5934075" cy="3648075"/>
            <wp:effectExtent l="0" t="0" r="9525" b="9525"/>
            <wp:docPr id="1" name="Picture 1" descr="This is a photograph of a young man in his wheelchair on the Wellington waterfront with distant people walking in the background. The man’s attention is focussed past the camera at whatever he is moving to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hotograph of a young man in his wheelchair on the Wellington waterfront with distant people walking in the background. The man’s attention is focussed past the camera at whatever he is moving toward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4075" cy="3648075"/>
                    </a:xfrm>
                    <a:prstGeom prst="rect">
                      <a:avLst/>
                    </a:prstGeom>
                    <a:noFill/>
                    <a:ln>
                      <a:noFill/>
                    </a:ln>
                  </pic:spPr>
                </pic:pic>
              </a:graphicData>
            </a:graphic>
          </wp:inline>
        </w:drawing>
      </w:r>
    </w:p>
    <w:p w:rsidR="001F07DE" w:rsidRDefault="00CD12C9" w:rsidP="00920A9B">
      <w:pPr>
        <w:pStyle w:val="Source"/>
        <w:ind w:left="0" w:right="1134" w:firstLine="0"/>
        <w:rPr>
          <w:color w:val="C00000"/>
          <w:highlight w:val="yellow"/>
        </w:rPr>
      </w:pPr>
      <w:r>
        <w:t>This is a</w:t>
      </w:r>
      <w:r w:rsidR="005065F0" w:rsidRPr="00417582">
        <w:t xml:space="preserve"> photo</w:t>
      </w:r>
      <w:r w:rsidR="005065F0">
        <w:t>graph</w:t>
      </w:r>
      <w:r w:rsidR="005065F0" w:rsidRPr="00417582">
        <w:t xml:space="preserve"> </w:t>
      </w:r>
      <w:r w:rsidR="003938E1">
        <w:t xml:space="preserve">of a </w:t>
      </w:r>
      <w:r>
        <w:t xml:space="preserve">young </w:t>
      </w:r>
      <w:r w:rsidR="003938E1">
        <w:t xml:space="preserve">man </w:t>
      </w:r>
      <w:r>
        <w:t>in</w:t>
      </w:r>
      <w:r w:rsidR="003938E1">
        <w:t xml:space="preserve"> his wheelchair</w:t>
      </w:r>
      <w:r>
        <w:t xml:space="preserve"> on </w:t>
      </w:r>
      <w:r w:rsidR="003938E1">
        <w:t>the Wellington waterfront with distant people walking in the backgroun</w:t>
      </w:r>
      <w:r w:rsidR="0065023A">
        <w:t>d. The man’s attention is focus</w:t>
      </w:r>
      <w:r w:rsidR="003938E1">
        <w:t xml:space="preserve">ed past </w:t>
      </w:r>
      <w:r>
        <w:t xml:space="preserve">the </w:t>
      </w:r>
      <w:r w:rsidR="003938E1">
        <w:t xml:space="preserve">camera at whatever he is moving towards. </w:t>
      </w:r>
    </w:p>
    <w:p w:rsidR="00920A9B" w:rsidRDefault="00920A9B" w:rsidP="00920A9B"/>
    <w:p w:rsidR="001F07DE" w:rsidRDefault="005065F0" w:rsidP="00920A9B">
      <w:pPr>
        <w:pStyle w:val="Heading3"/>
        <w:rPr>
          <w:bCs/>
        </w:rPr>
      </w:pPr>
      <w:bookmarkStart w:id="179" w:name="_Toc424551541"/>
      <w:bookmarkStart w:id="180" w:name="_Toc428880915"/>
      <w:bookmarkStart w:id="181" w:name="_Toc429394701"/>
      <w:bookmarkStart w:id="182" w:name="_Toc429406818"/>
      <w:bookmarkStart w:id="183" w:name="_Toc430162251"/>
      <w:bookmarkStart w:id="184" w:name="_Toc430167129"/>
      <w:bookmarkStart w:id="185" w:name="_Toc434393252"/>
      <w:r w:rsidRPr="0063167D">
        <w:lastRenderedPageBreak/>
        <w:t>Using tables</w:t>
      </w:r>
      <w:bookmarkEnd w:id="179"/>
      <w:bookmarkEnd w:id="180"/>
      <w:bookmarkEnd w:id="181"/>
      <w:bookmarkEnd w:id="182"/>
      <w:bookmarkEnd w:id="183"/>
      <w:bookmarkEnd w:id="184"/>
      <w:bookmarkEnd w:id="185"/>
    </w:p>
    <w:p w:rsidR="00267D5F" w:rsidRDefault="005065F0" w:rsidP="00920A9B">
      <w:pPr>
        <w:keepNext/>
      </w:pPr>
      <w:r w:rsidRPr="00417582">
        <w:t>Information provided in table format</w:t>
      </w:r>
      <w:r>
        <w:t>s</w:t>
      </w:r>
      <w:r w:rsidRPr="00417582">
        <w:t xml:space="preserve"> </w:t>
      </w:r>
      <w:r>
        <w:t xml:space="preserve">is sometimes </w:t>
      </w:r>
      <w:r w:rsidRPr="00417582">
        <w:t xml:space="preserve">incompatible with screen reader software. Tables are also difficult </w:t>
      </w:r>
      <w:r w:rsidRPr="001F07DE">
        <w:t>when</w:t>
      </w:r>
      <w:r w:rsidRPr="00417582">
        <w:t xml:space="preserve"> </w:t>
      </w:r>
      <w:r>
        <w:t xml:space="preserve">you are </w:t>
      </w:r>
      <w:r w:rsidRPr="00417582">
        <w:t xml:space="preserve">producing </w:t>
      </w:r>
      <w:r>
        <w:t>l</w:t>
      </w:r>
      <w:r w:rsidRPr="00417582">
        <w:t xml:space="preserve">arge </w:t>
      </w:r>
      <w:r>
        <w:t>p</w:t>
      </w:r>
      <w:r w:rsidRPr="00417582">
        <w:t>rint</w:t>
      </w:r>
      <w:r>
        <w:t xml:space="preserve"> documents</w:t>
      </w:r>
      <w:r w:rsidRPr="00417582">
        <w:t xml:space="preserve"> – </w:t>
      </w:r>
      <w:r>
        <w:t xml:space="preserve">in this case, </w:t>
      </w:r>
      <w:r w:rsidRPr="00417582">
        <w:t xml:space="preserve">think about other ways </w:t>
      </w:r>
      <w:r>
        <w:t xml:space="preserve">to </w:t>
      </w:r>
      <w:r w:rsidRPr="00417582">
        <w:t>present the same information without a table.</w:t>
      </w:r>
    </w:p>
    <w:p w:rsidR="00920A9B" w:rsidRDefault="00920A9B" w:rsidP="00920A9B">
      <w:pPr>
        <w:keepNext/>
      </w:pPr>
    </w:p>
    <w:p w:rsidR="001F07DE" w:rsidRDefault="005065F0" w:rsidP="005065F0">
      <w:r>
        <w:t>Consider these tips.</w:t>
      </w:r>
    </w:p>
    <w:p w:rsidR="001F07DE" w:rsidRDefault="005065F0" w:rsidP="00920A9B">
      <w:pPr>
        <w:pStyle w:val="Bullet"/>
      </w:pPr>
      <w:r>
        <w:t xml:space="preserve">Use a </w:t>
      </w:r>
      <w:r w:rsidRPr="00E113C9">
        <w:t xml:space="preserve">table </w:t>
      </w:r>
      <w:r>
        <w:t xml:space="preserve">only </w:t>
      </w:r>
      <w:r w:rsidRPr="00E113C9">
        <w:t>for presenting data, rather than for design/layout purposes.</w:t>
      </w:r>
    </w:p>
    <w:p w:rsidR="001F07DE" w:rsidRDefault="005065F0" w:rsidP="00920A9B">
      <w:pPr>
        <w:pStyle w:val="Bullet"/>
      </w:pPr>
      <w:r w:rsidRPr="00E113C9">
        <w:t>Do not merge cells</w:t>
      </w:r>
      <w:r>
        <w:t xml:space="preserve"> or split cells</w:t>
      </w:r>
      <w:r w:rsidRPr="00E113C9">
        <w:t>, as screen readers are unable to interpret this information accurately.</w:t>
      </w:r>
    </w:p>
    <w:p w:rsidR="001F07DE" w:rsidRDefault="005065F0" w:rsidP="00920A9B">
      <w:pPr>
        <w:pStyle w:val="Bullet"/>
      </w:pPr>
      <w:r>
        <w:t xml:space="preserve">Keep tables simple to understand by including </w:t>
      </w:r>
      <w:r w:rsidRPr="00E113C9">
        <w:t>one</w:t>
      </w:r>
      <w:r>
        <w:t xml:space="preserve"> piece of information per cell.</w:t>
      </w:r>
    </w:p>
    <w:p w:rsidR="001F07DE" w:rsidRDefault="005065F0" w:rsidP="00920A9B">
      <w:pPr>
        <w:pStyle w:val="Bullet"/>
      </w:pPr>
      <w:r>
        <w:t>Avoid using blank cells for formatting purposes, as this can be misleading.</w:t>
      </w:r>
    </w:p>
    <w:p w:rsidR="00267D5F" w:rsidRDefault="005065F0" w:rsidP="00920A9B">
      <w:pPr>
        <w:pStyle w:val="Bullet"/>
      </w:pPr>
      <w:r>
        <w:t xml:space="preserve">When using Microsoft Word, use the bookmark feature for tables; this enables people using screen readers to effectively navigate the document. To do this, put the cursor in the top right-hand box of the table, click </w:t>
      </w:r>
      <w:r w:rsidR="00267D5F">
        <w:t>‘</w:t>
      </w:r>
      <w:r>
        <w:t>insert</w:t>
      </w:r>
      <w:r w:rsidR="00267D5F">
        <w:t>’</w:t>
      </w:r>
      <w:r>
        <w:t>, then type a bookmark name (</w:t>
      </w:r>
      <w:proofErr w:type="spellStart"/>
      <w:r>
        <w:t>eg</w:t>
      </w:r>
      <w:proofErr w:type="spellEnd"/>
      <w:r>
        <w:t xml:space="preserve">, </w:t>
      </w:r>
      <w:r w:rsidR="00267D5F">
        <w:t>‘</w:t>
      </w:r>
      <w:r>
        <w:t>title1</w:t>
      </w:r>
      <w:r w:rsidR="00267D5F">
        <w:t>’</w:t>
      </w:r>
      <w:r>
        <w:t xml:space="preserve">) and click </w:t>
      </w:r>
      <w:r w:rsidR="00267D5F">
        <w:t>‘</w:t>
      </w:r>
      <w:r>
        <w:t>add</w:t>
      </w:r>
      <w:r w:rsidR="00267D5F">
        <w:t>’</w:t>
      </w:r>
      <w:r>
        <w:t>. Different bookmark names are needed for each table.</w:t>
      </w:r>
    </w:p>
    <w:p w:rsidR="001F07DE" w:rsidRDefault="005065F0" w:rsidP="00920A9B">
      <w:pPr>
        <w:pStyle w:val="Bullet"/>
      </w:pPr>
      <w:r>
        <w:t>Where available use programmes</w:t>
      </w:r>
      <w:r w:rsidR="00267D5F">
        <w:t>’</w:t>
      </w:r>
      <w:r>
        <w:t xml:space="preserve"> </w:t>
      </w:r>
      <w:r w:rsidR="00267D5F">
        <w:t>‘</w:t>
      </w:r>
      <w:r>
        <w:t>Accessibility Checker</w:t>
      </w:r>
      <w:r w:rsidR="00267D5F">
        <w:t>’</w:t>
      </w:r>
      <w:r>
        <w:t xml:space="preserve"> features, as described in </w:t>
      </w:r>
      <w:r w:rsidR="00267D5F">
        <w:t>‘</w:t>
      </w:r>
      <w:r w:rsidRPr="00E07AA6">
        <w:t>Using images, diagrams and graphs</w:t>
      </w:r>
      <w:r w:rsidR="00267D5F">
        <w:t>’</w:t>
      </w:r>
      <w:r>
        <w:t xml:space="preserve"> above.</w:t>
      </w:r>
    </w:p>
    <w:p w:rsidR="00920A9B" w:rsidRDefault="00920A9B" w:rsidP="00920A9B"/>
    <w:p w:rsidR="00AB3FD5" w:rsidRDefault="00AB3FD5" w:rsidP="00AB3FD5">
      <w:bookmarkStart w:id="186" w:name="_Appendix_6_–"/>
      <w:bookmarkStart w:id="187" w:name="_Using_written_information"/>
      <w:bookmarkStart w:id="188" w:name="_Toc416691395"/>
      <w:bookmarkStart w:id="189" w:name="_Toc442354556"/>
      <w:bookmarkStart w:id="190" w:name="_Toc404864971"/>
      <w:bookmarkEnd w:id="164"/>
      <w:bookmarkEnd w:id="165"/>
      <w:bookmarkEnd w:id="186"/>
      <w:bookmarkEnd w:id="187"/>
      <w:r>
        <w:br w:type="page"/>
      </w:r>
    </w:p>
    <w:p w:rsidR="001F07DE" w:rsidRDefault="005065F0" w:rsidP="00AB3FD5">
      <w:pPr>
        <w:pStyle w:val="Heading2"/>
        <w:spacing w:before="0"/>
      </w:pPr>
      <w:bookmarkStart w:id="191" w:name="_Toc479687382"/>
      <w:r w:rsidRPr="000869F7">
        <w:lastRenderedPageBreak/>
        <w:t>Using written information</w:t>
      </w:r>
      <w:bookmarkEnd w:id="188"/>
      <w:r w:rsidRPr="000869F7">
        <w:t xml:space="preserve"> and printed materials accessibly</w:t>
      </w:r>
      <w:bookmarkEnd w:id="189"/>
      <w:bookmarkEnd w:id="191"/>
    </w:p>
    <w:bookmarkEnd w:id="190"/>
    <w:p w:rsidR="001F07DE" w:rsidRDefault="005065F0" w:rsidP="00920A9B">
      <w:r>
        <w:t>When preparing written information for use within your engagement process, consider the following guidelines.</w:t>
      </w:r>
    </w:p>
    <w:p w:rsidR="001F07DE" w:rsidRDefault="005065F0" w:rsidP="00920A9B">
      <w:pPr>
        <w:pStyle w:val="Bullet"/>
      </w:pPr>
      <w:r>
        <w:t>To meet most people</w:t>
      </w:r>
      <w:r w:rsidR="00267D5F">
        <w:t>’</w:t>
      </w:r>
      <w:r>
        <w:t>s needs, u</w:t>
      </w:r>
      <w:r w:rsidRPr="00417582">
        <w:t>se a larger-than</w:t>
      </w:r>
      <w:r>
        <w:t>-usual font size, and ensure the font size is never less than 12 points</w:t>
      </w:r>
      <w:r w:rsidRPr="00417582">
        <w:t>.</w:t>
      </w:r>
    </w:p>
    <w:p w:rsidR="00267D5F" w:rsidRDefault="005065F0" w:rsidP="00920A9B">
      <w:pPr>
        <w:pStyle w:val="Bullet"/>
      </w:pPr>
      <w:r w:rsidRPr="00417582">
        <w:t xml:space="preserve">Produce a </w:t>
      </w:r>
      <w:r>
        <w:t>l</w:t>
      </w:r>
      <w:r w:rsidRPr="00417582">
        <w:t xml:space="preserve">arge </w:t>
      </w:r>
      <w:r>
        <w:t>p</w:t>
      </w:r>
      <w:r w:rsidRPr="00417582">
        <w:t xml:space="preserve">rint version (a minimum </w:t>
      </w:r>
      <w:r>
        <w:t>of</w:t>
      </w:r>
      <w:r w:rsidRPr="00417582">
        <w:t xml:space="preserve"> 16</w:t>
      </w:r>
      <w:r>
        <w:t>-</w:t>
      </w:r>
      <w:r w:rsidRPr="00417582">
        <w:t xml:space="preserve">point font, but preferably 18) for people with </w:t>
      </w:r>
      <w:r>
        <w:t xml:space="preserve">vision </w:t>
      </w:r>
      <w:r w:rsidRPr="00417582">
        <w:t xml:space="preserve">impairments </w:t>
      </w:r>
      <w:r>
        <w:t>or those with learning/</w:t>
      </w:r>
      <w:r w:rsidRPr="005A632E">
        <w:t xml:space="preserve">intellectual </w:t>
      </w:r>
      <w:r>
        <w:t>disabilities</w:t>
      </w:r>
      <w:r w:rsidRPr="00417582">
        <w:t>.</w:t>
      </w:r>
    </w:p>
    <w:p w:rsidR="001F07DE" w:rsidRDefault="005065F0" w:rsidP="00920A9B">
      <w:pPr>
        <w:pStyle w:val="Bullet"/>
      </w:pPr>
      <w:r w:rsidRPr="00417582">
        <w:t>Use plain sans-serif fonts</w:t>
      </w:r>
      <w:r>
        <w:t xml:space="preserve"> (a font without the </w:t>
      </w:r>
      <w:r w:rsidR="00267D5F">
        <w:t>‘</w:t>
      </w:r>
      <w:r>
        <w:t>serifs</w:t>
      </w:r>
      <w:r w:rsidR="00267D5F">
        <w:t>’</w:t>
      </w:r>
      <w:r>
        <w:t xml:space="preserve"> or small lines attached to the bottom of letters or symbols), such as Arial, Tahoma or </w:t>
      </w:r>
      <w:r w:rsidRPr="00344754">
        <w:t>Calibri</w:t>
      </w:r>
    </w:p>
    <w:p w:rsidR="001F07DE" w:rsidRPr="00FA7CCF" w:rsidRDefault="005065F0" w:rsidP="00920A9B">
      <w:pPr>
        <w:pStyle w:val="Bullet"/>
      </w:pPr>
      <w:r w:rsidRPr="00417582">
        <w:t>Information provided in table format</w:t>
      </w:r>
      <w:r>
        <w:t>s</w:t>
      </w:r>
      <w:r w:rsidRPr="00417582">
        <w:t xml:space="preserve"> </w:t>
      </w:r>
      <w:r>
        <w:t xml:space="preserve">is sometimes </w:t>
      </w:r>
      <w:r w:rsidRPr="00417582">
        <w:t xml:space="preserve">incompatible with screen reader software packages used by </w:t>
      </w:r>
      <w:r>
        <w:t xml:space="preserve">blind </w:t>
      </w:r>
      <w:r w:rsidRPr="00417582">
        <w:t xml:space="preserve">people </w:t>
      </w:r>
      <w:r>
        <w:t xml:space="preserve">or those </w:t>
      </w:r>
      <w:r w:rsidRPr="00417582">
        <w:t xml:space="preserve">with </w:t>
      </w:r>
      <w:r>
        <w:t xml:space="preserve">vision </w:t>
      </w:r>
      <w:r w:rsidRPr="00417582">
        <w:t xml:space="preserve">impairments. Tables are also difficult when producing </w:t>
      </w:r>
      <w:r>
        <w:t>l</w:t>
      </w:r>
      <w:r w:rsidRPr="00417582">
        <w:t xml:space="preserve">arge </w:t>
      </w:r>
      <w:r>
        <w:t>p</w:t>
      </w:r>
      <w:r w:rsidRPr="00417582">
        <w:t xml:space="preserve">rint – think about ways </w:t>
      </w:r>
      <w:r>
        <w:t xml:space="preserve">you could present the same information </w:t>
      </w:r>
      <w:r w:rsidRPr="00417582">
        <w:t>without a table.</w:t>
      </w:r>
      <w:r>
        <w:t xml:space="preserve"> </w:t>
      </w:r>
      <w:r w:rsidRPr="00FA7CCF">
        <w:t xml:space="preserve">See </w:t>
      </w:r>
      <w:r w:rsidR="00267D5F" w:rsidRPr="00FA7CCF">
        <w:t>‘</w:t>
      </w:r>
      <w:hyperlink w:anchor="_Appendix_5_–_1" w:history="1">
        <w:r w:rsidRPr="00FA7CCF">
          <w:rPr>
            <w:rStyle w:val="Hyperlink"/>
            <w:color w:val="auto"/>
          </w:rPr>
          <w:t>Using images, diagrams, graphs and tables accessibly</w:t>
        </w:r>
      </w:hyperlink>
      <w:r w:rsidR="00920A9B" w:rsidRPr="00FA7CCF">
        <w:t>’</w:t>
      </w:r>
      <w:r w:rsidR="009F0D47" w:rsidRPr="00FA7CCF">
        <w:t xml:space="preserve"> (page 15)</w:t>
      </w:r>
      <w:r w:rsidRPr="00FA7CCF">
        <w:t>.</w:t>
      </w:r>
    </w:p>
    <w:p w:rsidR="001F07DE" w:rsidRPr="00FA7CCF" w:rsidRDefault="005065F0" w:rsidP="00920A9B">
      <w:pPr>
        <w:pStyle w:val="Bullet"/>
      </w:pPr>
      <w:r w:rsidRPr="00FA7CCF">
        <w:t>Use paper thick enough so that text from the other side of the page will not show through.</w:t>
      </w:r>
    </w:p>
    <w:p w:rsidR="001F07DE" w:rsidRPr="00FA7CCF" w:rsidRDefault="005065F0" w:rsidP="00920A9B">
      <w:pPr>
        <w:pStyle w:val="Bullet"/>
      </w:pPr>
      <w:r w:rsidRPr="00FA7CCF">
        <w:t>Use standard capital and lower case sentences, even in headings: text in all-capitals is harder to read. Use bold text for emphasis, rather than italics, which are harder to read. Reserve underscored text for hyperlinks.</w:t>
      </w:r>
    </w:p>
    <w:p w:rsidR="001F07DE" w:rsidRPr="00FA7CCF" w:rsidRDefault="005065F0" w:rsidP="00920A9B">
      <w:pPr>
        <w:pStyle w:val="Bullet"/>
      </w:pPr>
      <w:r w:rsidRPr="00FA7CCF">
        <w:t>Have an identical margin width on either side of the text.</w:t>
      </w:r>
    </w:p>
    <w:p w:rsidR="00267D5F" w:rsidRPr="00FA7CCF" w:rsidRDefault="005065F0" w:rsidP="00920A9B">
      <w:pPr>
        <w:pStyle w:val="Bullet"/>
      </w:pPr>
      <w:r w:rsidRPr="00FA7CCF">
        <w:t>Set margins justified to the left, with the right margin unjustified.</w:t>
      </w:r>
    </w:p>
    <w:p w:rsidR="001F07DE" w:rsidRPr="00FA7CCF" w:rsidRDefault="005065F0" w:rsidP="00920A9B">
      <w:pPr>
        <w:pStyle w:val="Bullet"/>
      </w:pPr>
      <w:r w:rsidRPr="00FA7CCF">
        <w:t>Use non-reflective paper in white or pale colours, and print in a dark colour, preferably black: high-contrast text is easier to read. Avoid colour combinations with low contrast (</w:t>
      </w:r>
      <w:proofErr w:type="spellStart"/>
      <w:r w:rsidRPr="00FA7CCF">
        <w:t>eg</w:t>
      </w:r>
      <w:proofErr w:type="spellEnd"/>
      <w:r w:rsidRPr="00FA7CCF">
        <w:t>, blue print on a green background).</w:t>
      </w:r>
    </w:p>
    <w:p w:rsidR="001F07DE" w:rsidRPr="00FA7CCF" w:rsidRDefault="005065F0" w:rsidP="00920A9B">
      <w:pPr>
        <w:pStyle w:val="Bullet"/>
      </w:pPr>
      <w:r w:rsidRPr="00FA7CCF">
        <w:t xml:space="preserve">Include a brief description under images and diagrams. See further </w:t>
      </w:r>
      <w:r w:rsidR="00267D5F" w:rsidRPr="00FA7CCF">
        <w:t>‘</w:t>
      </w:r>
      <w:hyperlink w:anchor="_Appendix_5_–_1" w:history="1">
        <w:r w:rsidRPr="00FA7CCF">
          <w:rPr>
            <w:rStyle w:val="Hyperlink"/>
            <w:color w:val="auto"/>
          </w:rPr>
          <w:t>Using images, diagrams, graphs and tables accessibly</w:t>
        </w:r>
      </w:hyperlink>
      <w:r w:rsidR="00920A9B" w:rsidRPr="00FA7CCF">
        <w:t>’</w:t>
      </w:r>
      <w:r w:rsidR="009F0D47" w:rsidRPr="00FA7CCF">
        <w:t xml:space="preserve"> (page 15)</w:t>
      </w:r>
      <w:r w:rsidRPr="00FA7CCF">
        <w:t>.</w:t>
      </w:r>
    </w:p>
    <w:p w:rsidR="00267D5F" w:rsidRDefault="005065F0" w:rsidP="00920A9B">
      <w:pPr>
        <w:pStyle w:val="Bullet"/>
      </w:pPr>
      <w:r>
        <w:t xml:space="preserve">Do not place </w:t>
      </w:r>
      <w:r w:rsidRPr="00417582">
        <w:t xml:space="preserve">text over graphics, background patterns, </w:t>
      </w:r>
      <w:proofErr w:type="gramStart"/>
      <w:r w:rsidRPr="00417582">
        <w:t>blocks</w:t>
      </w:r>
      <w:proofErr w:type="gramEnd"/>
      <w:r w:rsidRPr="00417582">
        <w:t xml:space="preserve"> of colour or dark shading.</w:t>
      </w:r>
    </w:p>
    <w:p w:rsidR="00267D5F" w:rsidRDefault="005065F0" w:rsidP="00920A9B">
      <w:pPr>
        <w:pStyle w:val="Bullet"/>
      </w:pPr>
      <w:r>
        <w:t>Many PDF</w:t>
      </w:r>
      <w:r w:rsidRPr="00417582">
        <w:t xml:space="preserve"> </w:t>
      </w:r>
      <w:r>
        <w:t>files (</w:t>
      </w:r>
      <w:proofErr w:type="spellStart"/>
      <w:r>
        <w:t>eg</w:t>
      </w:r>
      <w:proofErr w:type="spellEnd"/>
      <w:r>
        <w:t xml:space="preserve">, scanned documents) </w:t>
      </w:r>
      <w:r w:rsidRPr="00417582">
        <w:t xml:space="preserve">are incompatible with screen reader software packages </w:t>
      </w:r>
      <w:r>
        <w:t>(</w:t>
      </w:r>
      <w:r w:rsidRPr="00417582">
        <w:t>which turn text into speech</w:t>
      </w:r>
      <w:r>
        <w:t>)</w:t>
      </w:r>
      <w:r w:rsidRPr="00417582">
        <w:t xml:space="preserve">, and </w:t>
      </w:r>
      <w:r>
        <w:t xml:space="preserve">therefore </w:t>
      </w:r>
      <w:r w:rsidRPr="00417582">
        <w:t xml:space="preserve">people with </w:t>
      </w:r>
      <w:r>
        <w:t xml:space="preserve">vision </w:t>
      </w:r>
      <w:r w:rsidRPr="00417582">
        <w:t>impairments</w:t>
      </w:r>
      <w:r>
        <w:t xml:space="preserve"> might find it difficult to use them</w:t>
      </w:r>
      <w:r w:rsidRPr="00417582">
        <w:t xml:space="preserve">. </w:t>
      </w:r>
      <w:r>
        <w:t>In this case, p</w:t>
      </w:r>
      <w:r w:rsidRPr="00417582">
        <w:t xml:space="preserve">ublish a Word document </w:t>
      </w:r>
      <w:r>
        <w:t xml:space="preserve">or HTML version (if you are publishing on the web) </w:t>
      </w:r>
      <w:r w:rsidRPr="00417582">
        <w:t>alongside PDFs.</w:t>
      </w:r>
    </w:p>
    <w:p w:rsidR="001F07DE" w:rsidRDefault="005065F0" w:rsidP="00920A9B">
      <w:pPr>
        <w:pStyle w:val="Bullet"/>
      </w:pPr>
      <w:r>
        <w:t>Electronic Word documents are generally accessible to people with low or no vision if they are using electronic screen readers.</w:t>
      </w:r>
      <w:r w:rsidR="001F07DE">
        <w:t xml:space="preserve"> </w:t>
      </w:r>
      <w:r>
        <w:t xml:space="preserve">You may also consider providing </w:t>
      </w:r>
      <w:r w:rsidRPr="00417582">
        <w:t xml:space="preserve">an </w:t>
      </w:r>
      <w:r>
        <w:t xml:space="preserve">audible </w:t>
      </w:r>
      <w:r w:rsidRPr="00417582">
        <w:t xml:space="preserve">version of a document </w:t>
      </w:r>
      <w:r>
        <w:t>(</w:t>
      </w:r>
      <w:proofErr w:type="spellStart"/>
      <w:r>
        <w:t>eg</w:t>
      </w:r>
      <w:proofErr w:type="spellEnd"/>
      <w:r>
        <w:t>, in a DVD/CD or MP3 file) or a Braille translation. D</w:t>
      </w:r>
      <w:r w:rsidRPr="00417582">
        <w:t xml:space="preserve">iscuss </w:t>
      </w:r>
      <w:r>
        <w:t>participants</w:t>
      </w:r>
      <w:r w:rsidR="00267D5F">
        <w:t>’</w:t>
      </w:r>
      <w:r>
        <w:t xml:space="preserve"> preferences in this regard </w:t>
      </w:r>
      <w:r w:rsidRPr="00417582">
        <w:t>ahead of time.</w:t>
      </w:r>
    </w:p>
    <w:p w:rsidR="00267D5F" w:rsidRPr="00E81E75" w:rsidRDefault="005065F0" w:rsidP="00920A9B">
      <w:pPr>
        <w:pStyle w:val="Bullet"/>
      </w:pPr>
      <w:r w:rsidRPr="00E81E75">
        <w:t>Use everyday language and avoid jargon.</w:t>
      </w:r>
      <w:r w:rsidR="006F2DE4" w:rsidRPr="00E81E75">
        <w:t xml:space="preserve"> People with autism commonly have trouble understanding figures of speech </w:t>
      </w:r>
      <w:proofErr w:type="spellStart"/>
      <w:r w:rsidR="006F2DE4" w:rsidRPr="00E81E75">
        <w:t>eg</w:t>
      </w:r>
      <w:proofErr w:type="spellEnd"/>
      <w:r w:rsidR="006F2DE4" w:rsidRPr="00E81E75">
        <w:t>, ‘raining cats and dogs’, and may not understand irony or jokes.</w:t>
      </w:r>
    </w:p>
    <w:p w:rsidR="00920A9B" w:rsidRDefault="005065F0" w:rsidP="00920A9B">
      <w:pPr>
        <w:pStyle w:val="Bullet"/>
      </w:pPr>
      <w:r>
        <w:t>You may need to provide a</w:t>
      </w:r>
      <w:r w:rsidRPr="00417582">
        <w:t xml:space="preserve">n Easy Read translation of a document </w:t>
      </w:r>
      <w:r>
        <w:t xml:space="preserve">for </w:t>
      </w:r>
      <w:r w:rsidRPr="00417582">
        <w:t xml:space="preserve">people with </w:t>
      </w:r>
      <w:r>
        <w:t>learning/</w:t>
      </w:r>
      <w:r w:rsidRPr="005A632E">
        <w:t xml:space="preserve">intellectual </w:t>
      </w:r>
      <w:r>
        <w:t xml:space="preserve">disabilities. A </w:t>
      </w:r>
      <w:r w:rsidRPr="009B4D0A">
        <w:t>support person</w:t>
      </w:r>
      <w:r>
        <w:t xml:space="preserve"> or meeting assistant</w:t>
      </w:r>
      <w:r w:rsidRPr="009B4D0A">
        <w:t xml:space="preserve"> may be </w:t>
      </w:r>
      <w:r>
        <w:t xml:space="preserve">able </w:t>
      </w:r>
      <w:r w:rsidRPr="009B4D0A">
        <w:t xml:space="preserve">to assist </w:t>
      </w:r>
      <w:r>
        <w:t>the person</w:t>
      </w:r>
      <w:r w:rsidRPr="009B4D0A">
        <w:t xml:space="preserve"> </w:t>
      </w:r>
      <w:r>
        <w:t xml:space="preserve">to </w:t>
      </w:r>
      <w:r w:rsidRPr="009B4D0A">
        <w:t xml:space="preserve">understand </w:t>
      </w:r>
      <w:r>
        <w:t xml:space="preserve">the documents </w:t>
      </w:r>
      <w:r w:rsidRPr="009B4D0A">
        <w:t xml:space="preserve">prior to the meeting. </w:t>
      </w:r>
      <w:r>
        <w:t>Regardless, providing the information in advance to meeting assistants can help them be prepared to support the person during the event. Se</w:t>
      </w:r>
      <w:r w:rsidRPr="00FA7CCF">
        <w:t>e</w:t>
      </w:r>
      <w:bookmarkStart w:id="192" w:name="_Toc404864972"/>
      <w:r w:rsidRPr="00FA7CCF">
        <w:t xml:space="preserve"> </w:t>
      </w:r>
      <w:r w:rsidR="00267D5F" w:rsidRPr="00FA7CCF">
        <w:t>‘</w:t>
      </w:r>
      <w:hyperlink w:anchor="_Appendix_12_–" w:history="1">
        <w:r w:rsidRPr="00FA7CCF">
          <w:rPr>
            <w:rStyle w:val="Hyperlink"/>
            <w:color w:val="auto"/>
          </w:rPr>
          <w:t>Engaging with people with learning/intellectual disabilities</w:t>
        </w:r>
      </w:hyperlink>
      <w:r w:rsidR="00920A9B" w:rsidRPr="005C60AD">
        <w:t>’</w:t>
      </w:r>
      <w:r w:rsidR="00933936">
        <w:t xml:space="preserve"> </w:t>
      </w:r>
      <w:r w:rsidR="00933936" w:rsidRPr="00933936">
        <w:rPr>
          <w:rStyle w:val="Hyperlink"/>
          <w:color w:val="auto"/>
        </w:rPr>
        <w:t>(</w:t>
      </w:r>
      <w:r w:rsidR="0025377E">
        <w:rPr>
          <w:rStyle w:val="Hyperlink"/>
          <w:color w:val="auto"/>
        </w:rPr>
        <w:t>page 30</w:t>
      </w:r>
      <w:r w:rsidR="00933936" w:rsidRPr="00933936">
        <w:rPr>
          <w:rStyle w:val="Hyperlink"/>
          <w:color w:val="auto"/>
        </w:rPr>
        <w:t>)</w:t>
      </w:r>
      <w:r w:rsidRPr="004C0767">
        <w:t>.</w:t>
      </w:r>
    </w:p>
    <w:p w:rsidR="00920A9B" w:rsidRPr="00920A9B" w:rsidRDefault="00920A9B" w:rsidP="00920A9B"/>
    <w:p w:rsidR="001F07DE" w:rsidRDefault="005065F0" w:rsidP="00920A9B">
      <w:pPr>
        <w:pStyle w:val="Heading2"/>
      </w:pPr>
      <w:bookmarkStart w:id="193" w:name="_Appendix_7_–"/>
      <w:bookmarkStart w:id="194" w:name="_Using_testimonials"/>
      <w:bookmarkStart w:id="195" w:name="_Toc442354557"/>
      <w:bookmarkStart w:id="196" w:name="_Toc416691396"/>
      <w:bookmarkStart w:id="197" w:name="_Toc479687383"/>
      <w:bookmarkEnd w:id="193"/>
      <w:bookmarkEnd w:id="194"/>
      <w:r w:rsidRPr="000869F7">
        <w:lastRenderedPageBreak/>
        <w:t>Using testimonials</w:t>
      </w:r>
      <w:bookmarkEnd w:id="195"/>
      <w:bookmarkEnd w:id="197"/>
    </w:p>
    <w:p w:rsidR="001F07DE" w:rsidRDefault="005065F0" w:rsidP="00AB3FD5">
      <w:pPr>
        <w:keepNext/>
      </w:pPr>
      <w:r>
        <w:t>Testimonials are a great way of capturing the voice of your participants at the feedback stage. They enable your audience to better understand the material you have provided. They can add credibility and substantiate the results you are presenting.</w:t>
      </w:r>
    </w:p>
    <w:p w:rsidR="00920A9B" w:rsidRDefault="00920A9B" w:rsidP="00920A9B"/>
    <w:p w:rsidR="001F07DE" w:rsidRDefault="005065F0" w:rsidP="00920A9B">
      <w:r>
        <w:t>Seek permission from participants before using a testimonial.</w:t>
      </w:r>
    </w:p>
    <w:p w:rsidR="00920A9B" w:rsidRDefault="00920A9B" w:rsidP="00920A9B"/>
    <w:p w:rsidR="001F07DE" w:rsidRDefault="005065F0" w:rsidP="00920A9B">
      <w:r>
        <w:t>Here is an example testimonial.</w:t>
      </w:r>
    </w:p>
    <w:p w:rsidR="00920A9B" w:rsidRDefault="00920A9B" w:rsidP="00920A9B"/>
    <w:p w:rsidR="001F07DE" w:rsidRDefault="005065F0" w:rsidP="00920A9B">
      <w:pPr>
        <w:pStyle w:val="Heading3"/>
      </w:pPr>
      <w:bookmarkStart w:id="198" w:name="_Toc404864986"/>
      <w:bookmarkStart w:id="199" w:name="_Toc404865198"/>
      <w:bookmarkStart w:id="200" w:name="_Toc404865421"/>
      <w:bookmarkStart w:id="201" w:name="_Toc404865482"/>
      <w:bookmarkStart w:id="202" w:name="_Toc404866237"/>
      <w:bookmarkStart w:id="203" w:name="_Toc404867055"/>
      <w:bookmarkStart w:id="204" w:name="_Toc404927700"/>
      <w:bookmarkStart w:id="205" w:name="_Toc406753612"/>
      <w:bookmarkStart w:id="206" w:name="_Toc407006520"/>
      <w:bookmarkStart w:id="207" w:name="_Toc407006661"/>
      <w:r w:rsidRPr="006B4C62">
        <w:t>Testimonial</w:t>
      </w:r>
      <w:bookmarkEnd w:id="198"/>
      <w:bookmarkEnd w:id="199"/>
      <w:bookmarkEnd w:id="200"/>
      <w:bookmarkEnd w:id="201"/>
      <w:bookmarkEnd w:id="202"/>
      <w:bookmarkEnd w:id="203"/>
      <w:bookmarkEnd w:id="204"/>
      <w:bookmarkEnd w:id="205"/>
      <w:r w:rsidRPr="006B4C62">
        <w:t>: government disability strategy development</w:t>
      </w:r>
      <w:bookmarkEnd w:id="206"/>
      <w:bookmarkEnd w:id="207"/>
    </w:p>
    <w:p w:rsidR="001F07DE" w:rsidRDefault="005065F0" w:rsidP="00920A9B">
      <w:pPr>
        <w:pStyle w:val="Quote"/>
      </w:pPr>
      <w:r w:rsidRPr="00417582">
        <w:t>During the planning stage of their new disability strategy, one of the government departments got in touch with DPOs [</w:t>
      </w:r>
      <w:r>
        <w:t>d</w:t>
      </w:r>
      <w:r w:rsidRPr="00417582">
        <w:t xml:space="preserve">isabled </w:t>
      </w:r>
      <w:r>
        <w:t>people</w:t>
      </w:r>
      <w:r w:rsidR="00267D5F">
        <w:t>’</w:t>
      </w:r>
      <w:r>
        <w:t>s</w:t>
      </w:r>
      <w:r w:rsidRPr="00417582">
        <w:t xml:space="preserve"> </w:t>
      </w:r>
      <w:r>
        <w:t>o</w:t>
      </w:r>
      <w:r w:rsidRPr="00417582">
        <w:t>rganisations] and asked them the best ways to plan a consultation meeting with disabled people. They wanted advice from a diverse range of disabled people on the development and implementation of the strategy, so we worked with them on planning the content and form of the meeting, and they got a disabled person to facilitate it too. It was really great – I thought the meeting was inclusive, and engaged with the right people. And the department were happy too – they said they received helpful feedback on their new strategy and had ideas about how to move forward.</w:t>
      </w:r>
    </w:p>
    <w:p w:rsidR="001F07DE" w:rsidRDefault="005065F0" w:rsidP="00920A9B">
      <w:pPr>
        <w:pStyle w:val="Quote"/>
        <w:spacing w:before="0"/>
        <w:jc w:val="right"/>
      </w:pPr>
      <w:r>
        <w:t>–</w:t>
      </w:r>
      <w:r w:rsidRPr="00863659">
        <w:t xml:space="preserve"> Feedback from a person </w:t>
      </w:r>
      <w:r>
        <w:t>after attending a joint planning meeting</w:t>
      </w:r>
    </w:p>
    <w:p w:rsidR="001F07DE" w:rsidRDefault="001F07DE" w:rsidP="00920A9B"/>
    <w:p w:rsidR="00AB3FD5" w:rsidRDefault="00AB3FD5" w:rsidP="00AB3FD5">
      <w:bookmarkStart w:id="208" w:name="_Accessible_presentations_and"/>
      <w:bookmarkStart w:id="209" w:name="_Toc442354558"/>
      <w:bookmarkEnd w:id="208"/>
      <w:r>
        <w:br w:type="page"/>
      </w:r>
    </w:p>
    <w:p w:rsidR="001F07DE" w:rsidRDefault="005065F0" w:rsidP="00AB3FD5">
      <w:pPr>
        <w:pStyle w:val="Heading2"/>
        <w:spacing w:before="0"/>
      </w:pPr>
      <w:bookmarkStart w:id="210" w:name="_Toc479687384"/>
      <w:r w:rsidRPr="000869F7">
        <w:lastRenderedPageBreak/>
        <w:t>Accessible presentations and other verbal communication</w:t>
      </w:r>
      <w:bookmarkEnd w:id="196"/>
      <w:bookmarkEnd w:id="209"/>
      <w:bookmarkEnd w:id="210"/>
    </w:p>
    <w:bookmarkEnd w:id="192"/>
    <w:p w:rsidR="001F07DE" w:rsidRDefault="005065F0" w:rsidP="00AB3FD5">
      <w:r>
        <w:t>When preparing for discussions, presentations and any other verbal communication, consider the following guidelines.</w:t>
      </w:r>
    </w:p>
    <w:p w:rsidR="001F07DE" w:rsidRDefault="005065F0" w:rsidP="00AB3FD5">
      <w:pPr>
        <w:pStyle w:val="Bullet"/>
      </w:pPr>
      <w:r w:rsidRPr="00417582">
        <w:t>Speak clearly</w:t>
      </w:r>
      <w:r>
        <w:t>,</w:t>
      </w:r>
      <w:r w:rsidRPr="00417582">
        <w:t xml:space="preserve"> </w:t>
      </w:r>
      <w:r>
        <w:t>at a measured pace, with even intonation</w:t>
      </w:r>
      <w:r w:rsidRPr="00417582">
        <w:t>.</w:t>
      </w:r>
    </w:p>
    <w:p w:rsidR="00267D5F" w:rsidRDefault="005065F0" w:rsidP="00AB3FD5">
      <w:pPr>
        <w:pStyle w:val="Bullet"/>
      </w:pPr>
      <w:r>
        <w:t xml:space="preserve">Consider </w:t>
      </w:r>
      <w:r w:rsidRPr="00417582">
        <w:t xml:space="preserve">how many New Zealand Sign Language interpreters </w:t>
      </w:r>
      <w:r>
        <w:t xml:space="preserve">you </w:t>
      </w:r>
      <w:r w:rsidRPr="00417582">
        <w:t>require</w:t>
      </w:r>
      <w:r>
        <w:t>. You will need t</w:t>
      </w:r>
      <w:r w:rsidRPr="00417582">
        <w:t xml:space="preserve">wo interpreters, </w:t>
      </w:r>
      <w:r>
        <w:t xml:space="preserve">who can </w:t>
      </w:r>
      <w:r w:rsidRPr="00417582">
        <w:t xml:space="preserve">take turns, if a meeting goes longer than 1.5 hours or </w:t>
      </w:r>
      <w:r>
        <w:t xml:space="preserve">requires </w:t>
      </w:r>
      <w:r w:rsidRPr="00417582">
        <w:t>technically complicated signing</w:t>
      </w:r>
      <w:r>
        <w:t>. I</w:t>
      </w:r>
      <w:r w:rsidRPr="00417582">
        <w:t>t is best to discuss this with the interpreting agency.</w:t>
      </w:r>
    </w:p>
    <w:p w:rsidR="001F07DE" w:rsidRDefault="005065F0" w:rsidP="00AB3FD5">
      <w:pPr>
        <w:pStyle w:val="Bullet"/>
      </w:pPr>
      <w:r>
        <w:t>I</w:t>
      </w:r>
      <w:r w:rsidRPr="00417582">
        <w:t>t can be difficult to book New Zealand Sign Language interpreters</w:t>
      </w:r>
      <w:r>
        <w:t>,</w:t>
      </w:r>
      <w:r w:rsidRPr="00417582">
        <w:t xml:space="preserve"> as there is a shortage, so </w:t>
      </w:r>
      <w:r>
        <w:t xml:space="preserve">do so </w:t>
      </w:r>
      <w:r w:rsidRPr="00417582">
        <w:t>in advance – this is particularly true of tri-lingual interpreters (</w:t>
      </w:r>
      <w:proofErr w:type="spellStart"/>
      <w:r>
        <w:t>eg</w:t>
      </w:r>
      <w:proofErr w:type="spellEnd"/>
      <w:r>
        <w:t xml:space="preserve">, </w:t>
      </w:r>
      <w:proofErr w:type="spellStart"/>
      <w:r w:rsidRPr="00417582">
        <w:t>Te</w:t>
      </w:r>
      <w:proofErr w:type="spellEnd"/>
      <w:r w:rsidRPr="00417582">
        <w:t xml:space="preserve"> Reo</w:t>
      </w:r>
      <w:r>
        <w:t>–</w:t>
      </w:r>
      <w:r w:rsidRPr="00417582">
        <w:t>English</w:t>
      </w:r>
      <w:r>
        <w:t>–</w:t>
      </w:r>
      <w:r w:rsidRPr="00417582">
        <w:t>New Zealand Sign Language). S</w:t>
      </w:r>
      <w:r w:rsidRPr="00FA7CCF">
        <w:t xml:space="preserve">ee </w:t>
      </w:r>
      <w:r w:rsidR="00267D5F" w:rsidRPr="00FA7CCF">
        <w:t>‘</w:t>
      </w:r>
      <w:hyperlink w:anchor="_Further_resources_and" w:history="1">
        <w:r w:rsidRPr="00FA7CCF">
          <w:rPr>
            <w:rStyle w:val="Hyperlink"/>
            <w:color w:val="auto"/>
          </w:rPr>
          <w:t>Further resources and organisations</w:t>
        </w:r>
      </w:hyperlink>
      <w:r w:rsidR="00920A9B" w:rsidRPr="00FA7CCF">
        <w:t>’</w:t>
      </w:r>
      <w:r w:rsidRPr="00FA7CCF" w:rsidDel="00E67F9A">
        <w:t xml:space="preserve"> </w:t>
      </w:r>
      <w:r w:rsidR="000B1BD7" w:rsidRPr="00FA7CCF">
        <w:rPr>
          <w:rStyle w:val="Hyperlink"/>
          <w:color w:val="auto"/>
        </w:rPr>
        <w:t xml:space="preserve">(page 39) </w:t>
      </w:r>
      <w:r w:rsidRPr="00FA7CCF">
        <w:t xml:space="preserve">for </w:t>
      </w:r>
      <w:r>
        <w:t xml:space="preserve">information on </w:t>
      </w:r>
      <w:r w:rsidRPr="00417582">
        <w:t>booking New Zealand Sign Language interpreters.</w:t>
      </w:r>
    </w:p>
    <w:p w:rsidR="00267D5F" w:rsidRDefault="005065F0" w:rsidP="00920A9B">
      <w:pPr>
        <w:pStyle w:val="Bullet"/>
      </w:pPr>
      <w:r>
        <w:t>Send any written material to be used at the event to the interpreters ahead of time.</w:t>
      </w:r>
    </w:p>
    <w:p w:rsidR="001F07DE" w:rsidRDefault="005065F0" w:rsidP="00920A9B">
      <w:pPr>
        <w:pStyle w:val="Bullet"/>
      </w:pPr>
      <w:r w:rsidRPr="00417582">
        <w:t xml:space="preserve">If a sign language interpreter is not available, or </w:t>
      </w:r>
      <w:r>
        <w:t xml:space="preserve">you wish to engage with </w:t>
      </w:r>
      <w:r w:rsidRPr="00417582">
        <w:t xml:space="preserve">Deaf participants </w:t>
      </w:r>
      <w:r>
        <w:t xml:space="preserve">who </w:t>
      </w:r>
      <w:r w:rsidRPr="00417582">
        <w:t xml:space="preserve">do not </w:t>
      </w:r>
      <w:r>
        <w:t xml:space="preserve">use </w:t>
      </w:r>
      <w:r w:rsidRPr="00417582">
        <w:t>New Zealand Sign Language, consider using an electronic note-taker</w:t>
      </w:r>
      <w:r>
        <w:t>/live captioning</w:t>
      </w:r>
      <w:r w:rsidRPr="00417582">
        <w:t xml:space="preserve"> </w:t>
      </w:r>
      <w:r>
        <w:t>to</w:t>
      </w:r>
      <w:r w:rsidRPr="00417582">
        <w:t xml:space="preserve"> transcribe the discussion in real time</w:t>
      </w:r>
      <w:r>
        <w:t>; this will transfer your material</w:t>
      </w:r>
      <w:r w:rsidRPr="00417582">
        <w:t xml:space="preserve"> on </w:t>
      </w:r>
      <w:r>
        <w:t xml:space="preserve">to </w:t>
      </w:r>
      <w:r w:rsidRPr="00417582">
        <w:t>a data show or computer screen</w:t>
      </w:r>
      <w:r>
        <w:t xml:space="preserve"> which the participant can read</w:t>
      </w:r>
      <w:r w:rsidRPr="00417582">
        <w:t>.</w:t>
      </w:r>
    </w:p>
    <w:p w:rsidR="001F07DE" w:rsidRDefault="005065F0" w:rsidP="00920A9B">
      <w:pPr>
        <w:pStyle w:val="Bullet"/>
      </w:pPr>
      <w:r>
        <w:t>Ensure there is enough light on the Sign Language interpreter, so that participants can clearly see both the interpreter</w:t>
      </w:r>
      <w:r w:rsidR="00267D5F">
        <w:t>’</w:t>
      </w:r>
      <w:r>
        <w:t>s hand movements as well as their lips.</w:t>
      </w:r>
    </w:p>
    <w:p w:rsidR="001F07DE" w:rsidRDefault="005065F0" w:rsidP="00920A9B">
      <w:pPr>
        <w:pStyle w:val="Bullet"/>
      </w:pPr>
      <w:r>
        <w:t xml:space="preserve">Consider using a hearing loop. Set it up in advance, and test it before the event to ensure it is functioning. </w:t>
      </w:r>
      <w:r w:rsidRPr="00417582">
        <w:t>Always use a microphone when a hearing loop</w:t>
      </w:r>
      <w:r w:rsidRPr="00920A9B">
        <w:rPr>
          <w:rStyle w:val="FootnoteReference"/>
        </w:rPr>
        <w:footnoteReference w:id="5"/>
      </w:r>
      <w:r w:rsidRPr="00417582">
        <w:t xml:space="preserve"> is in use, and say your name before speaking</w:t>
      </w:r>
      <w:r>
        <w:t>.</w:t>
      </w:r>
      <w:r w:rsidRPr="00417582">
        <w:t xml:space="preserve"> </w:t>
      </w:r>
      <w:r>
        <w:t>P</w:t>
      </w:r>
      <w:r w:rsidRPr="00417582">
        <w:t>eople using hearing loops often cannot differentiate between different voices over the loop</w:t>
      </w:r>
      <w:r>
        <w:t>, as all voices tend to sound mechanical</w:t>
      </w:r>
      <w:r w:rsidRPr="00417582">
        <w:t>.</w:t>
      </w:r>
    </w:p>
    <w:p w:rsidR="001F07DE" w:rsidRDefault="005065F0" w:rsidP="00920A9B">
      <w:pPr>
        <w:pStyle w:val="Bullet"/>
      </w:pPr>
      <w:proofErr w:type="spellStart"/>
      <w:r w:rsidRPr="00417582">
        <w:t>Deafblind</w:t>
      </w:r>
      <w:proofErr w:type="spellEnd"/>
      <w:r w:rsidRPr="00417582">
        <w:t xml:space="preserve"> people use a variety of communication strategies</w:t>
      </w:r>
      <w:r>
        <w:t>,</w:t>
      </w:r>
      <w:r w:rsidRPr="00417582">
        <w:t xml:space="preserve"> depending on the nature and extent of their vision and hearing impairment</w:t>
      </w:r>
      <w:r>
        <w:t>/loss,</w:t>
      </w:r>
      <w:r w:rsidRPr="00417582">
        <w:t xml:space="preserve"> including modified sign language and tactile signing. Appropriate lighting is particularly important. </w:t>
      </w:r>
      <w:r>
        <w:t>D</w:t>
      </w:r>
      <w:r w:rsidRPr="00417582">
        <w:t xml:space="preserve">iscuss communication options with </w:t>
      </w:r>
      <w:r>
        <w:t xml:space="preserve">participants, </w:t>
      </w:r>
      <w:r w:rsidRPr="00417582">
        <w:t xml:space="preserve">and contact </w:t>
      </w:r>
      <w:proofErr w:type="spellStart"/>
      <w:r>
        <w:t>Deafblind</w:t>
      </w:r>
      <w:proofErr w:type="spellEnd"/>
      <w:r>
        <w:t xml:space="preserve"> New Zealand for advice</w:t>
      </w:r>
      <w:r w:rsidRPr="00417582">
        <w:t>.</w:t>
      </w:r>
    </w:p>
    <w:p w:rsidR="001F07DE" w:rsidRDefault="005065F0" w:rsidP="00920A9B">
      <w:pPr>
        <w:pStyle w:val="Bullet"/>
      </w:pPr>
      <w:r w:rsidRPr="00417582">
        <w:t xml:space="preserve">If </w:t>
      </w:r>
      <w:r>
        <w:t xml:space="preserve">you are </w:t>
      </w:r>
      <w:r w:rsidRPr="00417582">
        <w:t>conducting a meeting, provide an agenda</w:t>
      </w:r>
      <w:r>
        <w:t>,</w:t>
      </w:r>
      <w:r w:rsidRPr="00417582">
        <w:t xml:space="preserve"> and then </w:t>
      </w:r>
      <w:r>
        <w:t xml:space="preserve">try to </w:t>
      </w:r>
      <w:r w:rsidRPr="00417582">
        <w:t>keep to the agenda topics in the order they are listed</w:t>
      </w:r>
      <w:r>
        <w:t>. T</w:t>
      </w:r>
      <w:r w:rsidRPr="00417582">
        <w:t xml:space="preserve">his will be helpful for people with </w:t>
      </w:r>
      <w:r>
        <w:t>learning/</w:t>
      </w:r>
      <w:r w:rsidRPr="005A632E">
        <w:t xml:space="preserve">intellectual </w:t>
      </w:r>
      <w:r>
        <w:t>disabilities</w:t>
      </w:r>
      <w:r w:rsidR="006F2DE4">
        <w:t xml:space="preserve"> or autism</w:t>
      </w:r>
      <w:r w:rsidRPr="00417582">
        <w:t>.</w:t>
      </w:r>
    </w:p>
    <w:p w:rsidR="00267D5F" w:rsidRDefault="005065F0" w:rsidP="00920A9B">
      <w:pPr>
        <w:pStyle w:val="Bullet"/>
      </w:pPr>
      <w:r>
        <w:t>At times, you may need to conduct conversation and presentations at a slightly slower pace, to enable all participants</w:t>
      </w:r>
      <w:r w:rsidR="006F2DE4">
        <w:t xml:space="preserve"> to understand what is being communicated, and to have the</w:t>
      </w:r>
      <w:r>
        <w:t xml:space="preserve"> time to </w:t>
      </w:r>
      <w:r w:rsidR="006F2DE4">
        <w:t xml:space="preserve">think of their response and </w:t>
      </w:r>
      <w:r>
        <w:t>have their say.</w:t>
      </w:r>
    </w:p>
    <w:p w:rsidR="00267D5F" w:rsidRDefault="005065F0" w:rsidP="00920A9B">
      <w:pPr>
        <w:pStyle w:val="Bullet"/>
      </w:pPr>
      <w:r w:rsidRPr="00417582">
        <w:t xml:space="preserve">When </w:t>
      </w:r>
      <w:r>
        <w:t xml:space="preserve">you are </w:t>
      </w:r>
      <w:r w:rsidRPr="00417582">
        <w:t xml:space="preserve">asking for comments from the audience, have </w:t>
      </w:r>
      <w:r>
        <w:t>at least one person (depending on the size and configuration of the group)</w:t>
      </w:r>
      <w:r w:rsidRPr="00417582">
        <w:t xml:space="preserve"> ready to take </w:t>
      </w:r>
      <w:r>
        <w:t>a</w:t>
      </w:r>
      <w:r w:rsidRPr="00417582">
        <w:t xml:space="preserve"> microphone to </w:t>
      </w:r>
      <w:r>
        <w:t>participants,</w:t>
      </w:r>
      <w:r w:rsidRPr="00417582">
        <w:t xml:space="preserve"> and ensure that </w:t>
      </w:r>
      <w:r>
        <w:t>S</w:t>
      </w:r>
      <w:r w:rsidRPr="00417582">
        <w:t xml:space="preserve">ign </w:t>
      </w:r>
      <w:r>
        <w:t>L</w:t>
      </w:r>
      <w:r w:rsidRPr="00417582">
        <w:t>anguage interpreters have a microphone available.</w:t>
      </w:r>
      <w:r>
        <w:t xml:space="preserve"> Be aware that you may need more than one microphone.</w:t>
      </w:r>
    </w:p>
    <w:p w:rsidR="001F07DE" w:rsidRDefault="005065F0" w:rsidP="00920A9B">
      <w:pPr>
        <w:pStyle w:val="Bullet"/>
      </w:pPr>
      <w:r w:rsidRPr="00417582">
        <w:t xml:space="preserve">Be prepared to offer to have a minute taker. </w:t>
      </w:r>
      <w:r>
        <w:t>A</w:t>
      </w:r>
      <w:r w:rsidRPr="00417582">
        <w:t>lso</w:t>
      </w:r>
      <w:r>
        <w:t xml:space="preserve"> consider the use of</w:t>
      </w:r>
      <w:r w:rsidRPr="00417582">
        <w:t xml:space="preserve"> a reader/writer for people who have short-term memory</w:t>
      </w:r>
      <w:r>
        <w:t xml:space="preserve"> loss</w:t>
      </w:r>
      <w:r w:rsidRPr="00417582">
        <w:t xml:space="preserve"> and for </w:t>
      </w:r>
      <w:r>
        <w:t xml:space="preserve">those </w:t>
      </w:r>
      <w:r w:rsidRPr="00417582">
        <w:t xml:space="preserve">with </w:t>
      </w:r>
      <w:r>
        <w:t>learning/</w:t>
      </w:r>
      <w:r w:rsidRPr="005A632E">
        <w:t xml:space="preserve">intellectual </w:t>
      </w:r>
      <w:r>
        <w:t xml:space="preserve">disabilities, </w:t>
      </w:r>
      <w:r w:rsidRPr="00417582">
        <w:t>when conducting surveys or asking for feedback.</w:t>
      </w:r>
    </w:p>
    <w:p w:rsidR="001F07DE" w:rsidRDefault="005065F0" w:rsidP="00920A9B">
      <w:pPr>
        <w:pStyle w:val="Bullet"/>
      </w:pPr>
      <w:r w:rsidRPr="00417582">
        <w:t>Avoid using acronyms</w:t>
      </w:r>
      <w:r>
        <w:t>,</w:t>
      </w:r>
      <w:r w:rsidRPr="00417582">
        <w:t xml:space="preserve"> and say </w:t>
      </w:r>
      <w:r>
        <w:t xml:space="preserve">all </w:t>
      </w:r>
      <w:r w:rsidRPr="00417582">
        <w:t>name</w:t>
      </w:r>
      <w:r>
        <w:t>s in full</w:t>
      </w:r>
      <w:r w:rsidRPr="00417582">
        <w:t>.</w:t>
      </w:r>
    </w:p>
    <w:p w:rsidR="00920A9B" w:rsidRDefault="00920A9B" w:rsidP="00920A9B"/>
    <w:p w:rsidR="001F07DE" w:rsidRDefault="005065F0" w:rsidP="00920A9B">
      <w:pPr>
        <w:pStyle w:val="Heading3"/>
      </w:pPr>
      <w:r w:rsidRPr="0063167D">
        <w:lastRenderedPageBreak/>
        <w:t>Presentations</w:t>
      </w:r>
    </w:p>
    <w:p w:rsidR="001F07DE" w:rsidRDefault="005065F0" w:rsidP="00920A9B">
      <w:pPr>
        <w:pStyle w:val="Bullet"/>
      </w:pPr>
      <w:r>
        <w:t>When planning for a presentation, find out the specific needs of the audience in advance, so that you can prepare accessible materials.</w:t>
      </w:r>
    </w:p>
    <w:p w:rsidR="001F07DE" w:rsidRDefault="005065F0" w:rsidP="00920A9B">
      <w:pPr>
        <w:pStyle w:val="Bullet"/>
      </w:pPr>
      <w:r>
        <w:t xml:space="preserve">When using </w:t>
      </w:r>
      <w:r w:rsidRPr="00A205D6">
        <w:t>a PowerPoint or overhead presentation, keep sentences short and easy to read. Limit key ideas to four per slide.</w:t>
      </w:r>
    </w:p>
    <w:p w:rsidR="001F07DE" w:rsidRPr="00FA7CCF" w:rsidRDefault="005065F0" w:rsidP="00920A9B">
      <w:pPr>
        <w:pStyle w:val="Bullet"/>
      </w:pPr>
      <w:r w:rsidRPr="00A205D6">
        <w:t xml:space="preserve">Read presentations in full, and describe </w:t>
      </w:r>
      <w:r>
        <w:t xml:space="preserve">images, </w:t>
      </w:r>
      <w:r w:rsidRPr="00A205D6">
        <w:t>diagrams</w:t>
      </w:r>
      <w:r>
        <w:t>, graphs</w:t>
      </w:r>
      <w:r w:rsidRPr="00A205D6">
        <w:t xml:space="preserve"> and </w:t>
      </w:r>
      <w:r>
        <w:t>tables</w:t>
      </w:r>
      <w:r w:rsidRPr="00A205D6">
        <w:t>.</w:t>
      </w:r>
      <w:r>
        <w:t xml:space="preserve"> Do not tell the whole room that this is for the benefit of people who are blind or have a vision impairment. </w:t>
      </w:r>
      <w:r w:rsidRPr="00FA7CCF">
        <w:t xml:space="preserve">See </w:t>
      </w:r>
      <w:r w:rsidR="00267D5F" w:rsidRPr="00FA7CCF">
        <w:t>‘</w:t>
      </w:r>
      <w:hyperlink w:anchor="_Appendix_5_–_1" w:history="1">
        <w:r w:rsidRPr="00FA7CCF">
          <w:rPr>
            <w:rStyle w:val="Hyperlink"/>
            <w:color w:val="auto"/>
          </w:rPr>
          <w:t>Using images, diagrams, graphs and tables accessibly</w:t>
        </w:r>
      </w:hyperlink>
      <w:r w:rsidR="00920A9B" w:rsidRPr="00FA7CCF">
        <w:t>’</w:t>
      </w:r>
      <w:r w:rsidR="009F0D47" w:rsidRPr="00FA7CCF">
        <w:t xml:space="preserve"> (page 15)</w:t>
      </w:r>
      <w:r w:rsidRPr="00FA7CCF">
        <w:t>.</w:t>
      </w:r>
    </w:p>
    <w:p w:rsidR="001F07DE" w:rsidRPr="00FA7CCF" w:rsidRDefault="005065F0" w:rsidP="00920A9B">
      <w:pPr>
        <w:pStyle w:val="Bullet"/>
      </w:pPr>
      <w:r w:rsidRPr="00FA7CCF">
        <w:t xml:space="preserve">If possible, prior to the meeting, provide a copy of PowerPoint presentations or Word documents electronically and/or in large font to anyone with a vision impairment, and to meeting assistants. </w:t>
      </w:r>
      <w:r w:rsidR="00933936" w:rsidRPr="00FA7CCF">
        <w:t>For more information on meeting assistants, s</w:t>
      </w:r>
      <w:r w:rsidRPr="00FA7CCF">
        <w:t xml:space="preserve">ee </w:t>
      </w:r>
      <w:r w:rsidR="00267D5F" w:rsidRPr="00FA7CCF">
        <w:t>‘</w:t>
      </w:r>
      <w:hyperlink w:anchor="_Appendix_12_–" w:history="1">
        <w:r w:rsidRPr="00FA7CCF">
          <w:rPr>
            <w:rStyle w:val="Hyperlink"/>
            <w:color w:val="auto"/>
          </w:rPr>
          <w:t>Engaging with people with learning/intellectual disabilities</w:t>
        </w:r>
      </w:hyperlink>
      <w:r w:rsidR="00920A9B" w:rsidRPr="00FA7CCF">
        <w:t>’</w:t>
      </w:r>
      <w:r w:rsidR="00933936" w:rsidRPr="00FA7CCF">
        <w:t xml:space="preserve"> (</w:t>
      </w:r>
      <w:r w:rsidR="0025377E" w:rsidRPr="00FA7CCF">
        <w:t>page 30</w:t>
      </w:r>
      <w:r w:rsidR="00933936" w:rsidRPr="00FA7CCF">
        <w:t>)</w:t>
      </w:r>
      <w:r w:rsidRPr="00FA7CCF">
        <w:t>.</w:t>
      </w:r>
    </w:p>
    <w:p w:rsidR="00267D5F" w:rsidRDefault="005065F0" w:rsidP="00920A9B">
      <w:pPr>
        <w:pStyle w:val="Bullet"/>
      </w:pPr>
      <w:r w:rsidRPr="00FA7CCF">
        <w:t>Provide a copy of your presentation to New Zealand Sign Language interpreters in advance, so that they can fa</w:t>
      </w:r>
      <w:r w:rsidRPr="00A205D6">
        <w:t>miliarise themselves with the content.</w:t>
      </w:r>
    </w:p>
    <w:p w:rsidR="001F07DE" w:rsidRDefault="005065F0" w:rsidP="00920A9B">
      <w:pPr>
        <w:pStyle w:val="Bullet"/>
      </w:pPr>
      <w:r>
        <w:t>Consider providing information in ad</w:t>
      </w:r>
      <w:r w:rsidRPr="000F63A2">
        <w:t xml:space="preserve">vance </w:t>
      </w:r>
      <w:r>
        <w:t xml:space="preserve">to </w:t>
      </w:r>
      <w:r w:rsidRPr="000F63A2">
        <w:t xml:space="preserve">people with </w:t>
      </w:r>
      <w:r>
        <w:t>learning/</w:t>
      </w:r>
      <w:r w:rsidRPr="005A632E">
        <w:t xml:space="preserve">intellectual </w:t>
      </w:r>
      <w:r w:rsidRPr="000F63A2">
        <w:t>disabilities</w:t>
      </w:r>
      <w:r>
        <w:t>, to allow them</w:t>
      </w:r>
      <w:r w:rsidRPr="000F63A2">
        <w:t xml:space="preserve"> time to </w:t>
      </w:r>
      <w:r>
        <w:t>read</w:t>
      </w:r>
      <w:r w:rsidRPr="000F63A2">
        <w:t xml:space="preserve"> </w:t>
      </w:r>
      <w:r>
        <w:t xml:space="preserve">and understand </w:t>
      </w:r>
      <w:r w:rsidRPr="000F63A2">
        <w:t>your material.</w:t>
      </w:r>
    </w:p>
    <w:p w:rsidR="001F07DE" w:rsidRDefault="005065F0" w:rsidP="00920A9B">
      <w:pPr>
        <w:pStyle w:val="Bullet"/>
      </w:pPr>
      <w:r w:rsidRPr="00A205D6">
        <w:t xml:space="preserve">If </w:t>
      </w:r>
      <w:r>
        <w:t xml:space="preserve">you are engaging </w:t>
      </w:r>
      <w:r w:rsidRPr="00A205D6">
        <w:t xml:space="preserve">New Zealand Sign Language interpreters, discuss </w:t>
      </w:r>
      <w:r>
        <w:t xml:space="preserve">with them </w:t>
      </w:r>
      <w:r w:rsidRPr="00A205D6">
        <w:t xml:space="preserve">the speed at which </w:t>
      </w:r>
      <w:r>
        <w:t>presenters</w:t>
      </w:r>
      <w:r w:rsidRPr="00A205D6">
        <w:t xml:space="preserve"> should speak</w:t>
      </w:r>
      <w:r>
        <w:t>,</w:t>
      </w:r>
      <w:r w:rsidRPr="00A205D6">
        <w:t xml:space="preserve"> and whether </w:t>
      </w:r>
      <w:r>
        <w:t xml:space="preserve">they will need to </w:t>
      </w:r>
      <w:r w:rsidRPr="00A205D6">
        <w:t xml:space="preserve">pause to allow </w:t>
      </w:r>
      <w:r>
        <w:t>interpreters t</w:t>
      </w:r>
      <w:r w:rsidRPr="00A205D6">
        <w:t>o swap over.</w:t>
      </w:r>
    </w:p>
    <w:p w:rsidR="001F07DE" w:rsidRDefault="005065F0" w:rsidP="00920A9B">
      <w:pPr>
        <w:pStyle w:val="Bullet"/>
      </w:pPr>
      <w:r>
        <w:t xml:space="preserve">If you are going to use </w:t>
      </w:r>
      <w:r w:rsidRPr="00A205D6">
        <w:t>video</w:t>
      </w:r>
      <w:r>
        <w:t xml:space="preserve">s in </w:t>
      </w:r>
      <w:r w:rsidRPr="00A205D6">
        <w:t>presentation</w:t>
      </w:r>
      <w:r>
        <w:t>s</w:t>
      </w:r>
      <w:r w:rsidRPr="00A205D6">
        <w:t>, consider inserting captions or video clips of New Zealand Sign Language interpreters.</w:t>
      </w:r>
    </w:p>
    <w:p w:rsidR="00920A9B" w:rsidRDefault="005065F0" w:rsidP="00920A9B">
      <w:pPr>
        <w:pStyle w:val="Bullet"/>
      </w:pPr>
      <w:r>
        <w:t>Where possible, do not have presenters stand in front of windows or with a lot of light behind them. Lighting may obstruct some people</w:t>
      </w:r>
      <w:r w:rsidR="00267D5F">
        <w:t>’</w:t>
      </w:r>
      <w:r>
        <w:t>s ability to pick up on visual cues and other non-verbal messages, such as gestures. It also restricts communication with people who depend on lip-reading.</w:t>
      </w:r>
    </w:p>
    <w:p w:rsidR="00920A9B" w:rsidRDefault="00920A9B" w:rsidP="00920A9B"/>
    <w:p w:rsidR="00AB3FD5" w:rsidRDefault="00AB3FD5" w:rsidP="00AB3FD5">
      <w:bookmarkStart w:id="211" w:name="_Appendix_8_–"/>
      <w:bookmarkStart w:id="212" w:name="_Web_accessibility_and"/>
      <w:bookmarkStart w:id="213" w:name="_Venue_accessibility"/>
      <w:bookmarkStart w:id="214" w:name="_Toc416691397"/>
      <w:bookmarkStart w:id="215" w:name="_Toc442354559"/>
      <w:bookmarkEnd w:id="211"/>
      <w:bookmarkEnd w:id="212"/>
      <w:bookmarkEnd w:id="213"/>
      <w:r>
        <w:br w:type="page"/>
      </w:r>
    </w:p>
    <w:p w:rsidR="001F07DE" w:rsidRDefault="005065F0" w:rsidP="00AB3FD5">
      <w:pPr>
        <w:pStyle w:val="Heading2"/>
        <w:spacing w:before="0"/>
      </w:pPr>
      <w:bookmarkStart w:id="216" w:name="_Toc479687385"/>
      <w:r w:rsidRPr="000869F7">
        <w:lastRenderedPageBreak/>
        <w:t>Venue accessibility</w:t>
      </w:r>
      <w:bookmarkEnd w:id="214"/>
      <w:bookmarkEnd w:id="215"/>
      <w:bookmarkEnd w:id="216"/>
    </w:p>
    <w:p w:rsidR="00267D5F" w:rsidRDefault="00323862" w:rsidP="00920A9B">
      <w:r w:rsidRPr="00323862">
        <w:t>New Zealand Standard 4121</w:t>
      </w:r>
      <w:r w:rsidR="005065F0">
        <w:t xml:space="preserve"> sets out the accessibility requirements for many public buildings. It is a useful resource to help understand accessibility requirements for a venue and when looking to confirm if a venue meets these requirements.</w:t>
      </w:r>
    </w:p>
    <w:p w:rsidR="00323862" w:rsidRPr="00263088" w:rsidRDefault="008A337B" w:rsidP="00920A9B">
      <w:hyperlink r:id="rId34" w:history="1">
        <w:r w:rsidR="00323862" w:rsidRPr="00263088">
          <w:rPr>
            <w:rStyle w:val="Hyperlink"/>
            <w:color w:val="auto"/>
          </w:rPr>
          <w:t>www.standards.co.nz/assets/Publication-files/NZS4121-2001.pdf</w:t>
        </w:r>
      </w:hyperlink>
      <w:r w:rsidR="00323862" w:rsidRPr="00263088">
        <w:t xml:space="preserve"> </w:t>
      </w:r>
    </w:p>
    <w:p w:rsidR="006732BD" w:rsidRDefault="006732BD" w:rsidP="006732BD"/>
    <w:p w:rsidR="001F07DE" w:rsidRDefault="005065F0" w:rsidP="006732BD">
      <w:r>
        <w:t>Some key points to consider when choosing a venue are as follows.</w:t>
      </w:r>
    </w:p>
    <w:p w:rsidR="00267D5F" w:rsidRDefault="005065F0" w:rsidP="006732BD">
      <w:pPr>
        <w:pStyle w:val="Bullet"/>
      </w:pPr>
      <w:r>
        <w:t>When planning events with an open invitation, ensure the venue is accessible for all people with disabilities.</w:t>
      </w:r>
    </w:p>
    <w:p w:rsidR="00267D5F" w:rsidRPr="00263088" w:rsidRDefault="005065F0" w:rsidP="00323862">
      <w:pPr>
        <w:pStyle w:val="Bullet"/>
      </w:pPr>
      <w:r>
        <w:t xml:space="preserve">Often an accessible venue uses the </w:t>
      </w:r>
      <w:r w:rsidR="00323862" w:rsidRPr="00323862">
        <w:t>International Symbol of Access</w:t>
      </w:r>
      <w:r>
        <w:t xml:space="preserve"> (the symbol of a person in a wheelchair) to indicate that it meets this standard and can be used by people with disabilities (not just by people who use wheelchairs).</w:t>
      </w:r>
      <w:r w:rsidR="00323862">
        <w:br/>
      </w:r>
      <w:hyperlink r:id="rId35" w:anchor="aid2" w:history="1">
        <w:r w:rsidR="00323862" w:rsidRPr="00263088">
          <w:rPr>
            <w:rStyle w:val="Hyperlink"/>
            <w:color w:val="auto"/>
          </w:rPr>
          <w:t>www.building.govt.nz/international-symbol#aid2</w:t>
        </w:r>
      </w:hyperlink>
      <w:r w:rsidR="00323862" w:rsidRPr="00263088">
        <w:t xml:space="preserve"> </w:t>
      </w:r>
    </w:p>
    <w:p w:rsidR="001F07DE" w:rsidRDefault="005065F0" w:rsidP="006732BD">
      <w:pPr>
        <w:pStyle w:val="Bullet"/>
      </w:pPr>
      <w:r>
        <w:t>Allow time to secure an accessible venue for your engagement. Before you book a venue, visit it to ensure that it meets the needs of your intended participants. If you are unsure, consult intended participants themselves.</w:t>
      </w:r>
    </w:p>
    <w:p w:rsidR="001F07DE" w:rsidRDefault="005065F0" w:rsidP="006732BD">
      <w:pPr>
        <w:pStyle w:val="Bullet"/>
      </w:pPr>
      <w:r w:rsidRPr="00417582">
        <w:t xml:space="preserve">Consider availability </w:t>
      </w:r>
      <w:r>
        <w:t xml:space="preserve">and cost </w:t>
      </w:r>
      <w:r w:rsidRPr="00417582">
        <w:t xml:space="preserve">of transport to and from the venue. </w:t>
      </w:r>
      <w:r>
        <w:t xml:space="preserve">Venues should be accessible by public transport. </w:t>
      </w:r>
      <w:r w:rsidRPr="00417582">
        <w:t>Provide direc</w:t>
      </w:r>
      <w:r>
        <w:t xml:space="preserve">tions and transport information. This is likely to include </w:t>
      </w:r>
      <w:r w:rsidRPr="00417582">
        <w:t xml:space="preserve">public transport options, </w:t>
      </w:r>
      <w:r>
        <w:t xml:space="preserve">the availability of </w:t>
      </w:r>
      <w:r w:rsidRPr="00417582">
        <w:t>mobility</w:t>
      </w:r>
      <w:r>
        <w:t>/accessible</w:t>
      </w:r>
      <w:r w:rsidRPr="00417582">
        <w:t xml:space="preserve"> parking </w:t>
      </w:r>
      <w:r>
        <w:t xml:space="preserve">and </w:t>
      </w:r>
      <w:r w:rsidRPr="00417582">
        <w:t>kerb ramps,</w:t>
      </w:r>
      <w:r>
        <w:t xml:space="preserve"> and</w:t>
      </w:r>
      <w:r w:rsidRPr="00417582">
        <w:t xml:space="preserve"> whether there is a telephone in the venue for ringing taxis. It may be appropriate to organise accessible transport if </w:t>
      </w:r>
      <w:r>
        <w:t>several</w:t>
      </w:r>
      <w:r w:rsidRPr="00417582">
        <w:t xml:space="preserve"> people require it.</w:t>
      </w:r>
    </w:p>
    <w:p w:rsidR="001F07DE" w:rsidRDefault="005065F0" w:rsidP="006732BD">
      <w:pPr>
        <w:pStyle w:val="Bullet"/>
      </w:pPr>
      <w:r w:rsidRPr="00417582">
        <w:t>Check whether venue</w:t>
      </w:r>
      <w:r>
        <w:t>, the toilets and the dining areas,</w:t>
      </w:r>
      <w:r w:rsidRPr="00417582">
        <w:t xml:space="preserve"> </w:t>
      </w:r>
      <w:r>
        <w:t>are</w:t>
      </w:r>
      <w:r w:rsidRPr="00417582">
        <w:t xml:space="preserve"> wheelchair accessible.</w:t>
      </w:r>
    </w:p>
    <w:p w:rsidR="001F07DE" w:rsidRDefault="005065F0" w:rsidP="006732BD">
      <w:pPr>
        <w:pStyle w:val="Bullet"/>
      </w:pPr>
      <w:r>
        <w:t>Ideally, d</w:t>
      </w:r>
      <w:r w:rsidRPr="00417582">
        <w:t>oor widths should be 850mm</w:t>
      </w:r>
      <w:r>
        <w:t>,</w:t>
      </w:r>
      <w:r w:rsidRPr="00417582">
        <w:t xml:space="preserve"> to accommodate wheelchairs and mobility scooters, and should be easy to open</w:t>
      </w:r>
      <w:r>
        <w:t xml:space="preserve">. Doors should be light, preferably sliding, and with low </w:t>
      </w:r>
      <w:r w:rsidRPr="00417582">
        <w:t xml:space="preserve">door handles. If doors are difficult to open, consider having someone to assist people to open </w:t>
      </w:r>
      <w:r>
        <w:t>them</w:t>
      </w:r>
      <w:r w:rsidRPr="00417582">
        <w:t>.</w:t>
      </w:r>
    </w:p>
    <w:p w:rsidR="001F07DE" w:rsidRDefault="005065F0" w:rsidP="006732BD">
      <w:pPr>
        <w:pStyle w:val="Bullet"/>
      </w:pPr>
      <w:r w:rsidRPr="00417582">
        <w:t>Plan and communicate emergency evacuation procedures</w:t>
      </w:r>
      <w:r>
        <w:t>.</w:t>
      </w:r>
      <w:r w:rsidRPr="00417582">
        <w:t xml:space="preserve"> </w:t>
      </w:r>
      <w:r>
        <w:t>A</w:t>
      </w:r>
      <w:r w:rsidRPr="00417582">
        <w:t>sk people if they require assistance in an emergency</w:t>
      </w:r>
      <w:r>
        <w:t>,</w:t>
      </w:r>
      <w:r w:rsidRPr="00417582">
        <w:t xml:space="preserve"> and be prepared to provide the necessary support. </w:t>
      </w:r>
      <w:r>
        <w:t>Note how many people indicated that they would require such assistance, and make sure you have a plan to provide it to everybody.</w:t>
      </w:r>
    </w:p>
    <w:p w:rsidR="00267D5F" w:rsidRDefault="005065F0" w:rsidP="006732BD">
      <w:pPr>
        <w:pStyle w:val="Bullet"/>
      </w:pPr>
      <w:r>
        <w:t>Ideally, if there are s</w:t>
      </w:r>
      <w:r w:rsidRPr="00417582">
        <w:t xml:space="preserve">tairs </w:t>
      </w:r>
      <w:r>
        <w:t xml:space="preserve">at the venue they should </w:t>
      </w:r>
      <w:r w:rsidRPr="00417582">
        <w:t>have handrails.</w:t>
      </w:r>
    </w:p>
    <w:p w:rsidR="001F07DE" w:rsidRDefault="005065F0" w:rsidP="006732BD">
      <w:pPr>
        <w:pStyle w:val="Bullet"/>
      </w:pPr>
      <w:r w:rsidRPr="00417582">
        <w:t xml:space="preserve">Check the venue has </w:t>
      </w:r>
      <w:r>
        <w:t xml:space="preserve">toilets </w:t>
      </w:r>
      <w:r w:rsidRPr="00417582">
        <w:t>that are able to be accessed by people using wheelchairs or other mobility aids</w:t>
      </w:r>
      <w:r>
        <w:t xml:space="preserve">. Note toilets </w:t>
      </w:r>
      <w:r w:rsidRPr="00417582">
        <w:t>are not accessible if they are up or down a flight of stairs.</w:t>
      </w:r>
    </w:p>
    <w:p w:rsidR="001F07DE" w:rsidRDefault="005065F0" w:rsidP="006732BD">
      <w:pPr>
        <w:pStyle w:val="Bullet"/>
      </w:pPr>
      <w:r>
        <w:t>Preferably, t</w:t>
      </w:r>
      <w:r w:rsidRPr="00417582">
        <w:t>he venue should include a lawn area for guide or assistance dogs, or one should be available close enough that the handler can safely toilet their dogs.</w:t>
      </w:r>
    </w:p>
    <w:p w:rsidR="001F07DE" w:rsidRDefault="005065F0" w:rsidP="006732BD">
      <w:pPr>
        <w:pStyle w:val="Bullet"/>
      </w:pPr>
      <w:r>
        <w:t xml:space="preserve">Ideally, the venue should have </w:t>
      </w:r>
      <w:r w:rsidRPr="00417582">
        <w:t>high</w:t>
      </w:r>
      <w:r>
        <w:t>-</w:t>
      </w:r>
      <w:r w:rsidRPr="00417582">
        <w:t xml:space="preserve">contrast signage on entries, exits, and </w:t>
      </w:r>
      <w:r>
        <w:t xml:space="preserve">toilet </w:t>
      </w:r>
      <w:r w:rsidRPr="00417582">
        <w:t>facilities for people with vision impairments. The signs should include pictures, as well as text, for people who find reading difficult.</w:t>
      </w:r>
    </w:p>
    <w:p w:rsidR="001F07DE" w:rsidRDefault="005065F0" w:rsidP="006732BD">
      <w:pPr>
        <w:pStyle w:val="Bullet"/>
      </w:pPr>
      <w:r w:rsidRPr="00417582">
        <w:t xml:space="preserve">Make sure </w:t>
      </w:r>
      <w:r>
        <w:t xml:space="preserve">the venue has </w:t>
      </w:r>
      <w:r w:rsidRPr="00417582">
        <w:t xml:space="preserve">appropriate lighting for people with </w:t>
      </w:r>
      <w:r>
        <w:t xml:space="preserve">vision </w:t>
      </w:r>
      <w:r w:rsidRPr="00417582">
        <w:t xml:space="preserve">impairments and for users of </w:t>
      </w:r>
      <w:r>
        <w:t>New Zealand S</w:t>
      </w:r>
      <w:r w:rsidRPr="00417582">
        <w:t xml:space="preserve">ign </w:t>
      </w:r>
      <w:r>
        <w:t>L</w:t>
      </w:r>
      <w:r w:rsidRPr="00417582">
        <w:t>anguage</w:t>
      </w:r>
      <w:r>
        <w:t>.</w:t>
      </w:r>
      <w:r w:rsidRPr="00417582">
        <w:t xml:space="preserve"> </w:t>
      </w:r>
      <w:r>
        <w:t>S</w:t>
      </w:r>
      <w:r w:rsidRPr="00417582">
        <w:t xml:space="preserve">ign </w:t>
      </w:r>
      <w:r>
        <w:t>l</w:t>
      </w:r>
      <w:r w:rsidRPr="00417582">
        <w:t xml:space="preserve">anguage interpreters need to be well </w:t>
      </w:r>
      <w:r>
        <w:t>positioned</w:t>
      </w:r>
      <w:r w:rsidRPr="00417582">
        <w:t xml:space="preserve">, so that their face, hands and body can be easily seen. </w:t>
      </w:r>
      <w:r>
        <w:t>R</w:t>
      </w:r>
      <w:r w:rsidRPr="00417582">
        <w:t>eserve seats opposite the sign language</w:t>
      </w:r>
      <w:r>
        <w:t xml:space="preserve"> interpreter(s) for Deaf people. Ensure there are no</w:t>
      </w:r>
      <w:r w:rsidRPr="00417582">
        <w:t xml:space="preserve"> barriers, such as poles, </w:t>
      </w:r>
      <w:r>
        <w:t xml:space="preserve">that may </w:t>
      </w:r>
      <w:r w:rsidRPr="00417582">
        <w:t xml:space="preserve">obstruct the </w:t>
      </w:r>
      <w:r>
        <w:t>Deaf person</w:t>
      </w:r>
      <w:r w:rsidR="00267D5F">
        <w:t>’</w:t>
      </w:r>
      <w:r>
        <w:t xml:space="preserve">s </w:t>
      </w:r>
      <w:r w:rsidRPr="00417582">
        <w:t>view of the interpreters.</w:t>
      </w:r>
    </w:p>
    <w:p w:rsidR="00267D5F" w:rsidRDefault="005065F0" w:rsidP="00454CE4">
      <w:pPr>
        <w:pStyle w:val="Bullet"/>
      </w:pPr>
      <w:r>
        <w:t>M</w:t>
      </w:r>
      <w:r w:rsidRPr="00417582">
        <w:t xml:space="preserve">any </w:t>
      </w:r>
      <w:r>
        <w:t xml:space="preserve">people who use </w:t>
      </w:r>
      <w:r w:rsidRPr="00417582">
        <w:t>wheelchair</w:t>
      </w:r>
      <w:r>
        <w:t>s</w:t>
      </w:r>
      <w:r w:rsidRPr="00417582">
        <w:t xml:space="preserve"> prefer to sit at tables in meetings.</w:t>
      </w:r>
    </w:p>
    <w:p w:rsidR="00267D5F" w:rsidRDefault="005065F0" w:rsidP="00AB3FD5">
      <w:pPr>
        <w:pStyle w:val="Bullet"/>
        <w:keepNext/>
      </w:pPr>
      <w:r w:rsidRPr="00417582">
        <w:lastRenderedPageBreak/>
        <w:t>Check the venue has sufficient space for</w:t>
      </w:r>
      <w:r>
        <w:t xml:space="preserve"> people using </w:t>
      </w:r>
      <w:r w:rsidRPr="00417582">
        <w:t>wheelchairs and mobility scooters to enter, exit and circulate easily</w:t>
      </w:r>
      <w:r>
        <w:t>. Ideally, h</w:t>
      </w:r>
      <w:r w:rsidRPr="00417582">
        <w:t xml:space="preserve">allways should be able to accommodate two </w:t>
      </w:r>
      <w:r>
        <w:t xml:space="preserve">people using </w:t>
      </w:r>
      <w:r w:rsidRPr="00417582">
        <w:t>wheelchairs side</w:t>
      </w:r>
      <w:r>
        <w:t xml:space="preserve"> </w:t>
      </w:r>
      <w:r w:rsidRPr="00417582">
        <w:t>by</w:t>
      </w:r>
      <w:r>
        <w:t xml:space="preserve"> </w:t>
      </w:r>
      <w:r w:rsidRPr="00417582">
        <w:t>side.</w:t>
      </w:r>
    </w:p>
    <w:p w:rsidR="00267D5F" w:rsidRDefault="005065F0" w:rsidP="00AB3FD5">
      <w:pPr>
        <w:pStyle w:val="Bullet"/>
        <w:keepNext/>
      </w:pPr>
      <w:r w:rsidRPr="00417582">
        <w:t>Check whether the venue has a hearing loop</w:t>
      </w:r>
      <w:r>
        <w:t xml:space="preserve">; if not, consider </w:t>
      </w:r>
      <w:r w:rsidRPr="00417582">
        <w:t>hir</w:t>
      </w:r>
      <w:r>
        <w:t>ing one</w:t>
      </w:r>
      <w:r w:rsidRPr="00417582">
        <w:t>.</w:t>
      </w:r>
      <w:r>
        <w:t xml:space="preserve"> Set it up in advance, and test it before the event to ensure it is functioning.</w:t>
      </w:r>
    </w:p>
    <w:p w:rsidR="001F07DE" w:rsidRDefault="005065F0" w:rsidP="00454CE4">
      <w:pPr>
        <w:pStyle w:val="Bullet"/>
      </w:pPr>
      <w:r>
        <w:t>Some</w:t>
      </w:r>
      <w:r w:rsidRPr="00417582">
        <w:t xml:space="preserve"> people with </w:t>
      </w:r>
      <w:r>
        <w:t>disabilities</w:t>
      </w:r>
      <w:r w:rsidRPr="00417582">
        <w:t xml:space="preserve"> use electronic equipment such as laptops and tablets for communication, and will need access to a multi-plug power outlet</w:t>
      </w:r>
      <w:r>
        <w:t>.</w:t>
      </w:r>
    </w:p>
    <w:p w:rsidR="00267D5F" w:rsidRDefault="005065F0" w:rsidP="00454CE4">
      <w:pPr>
        <w:pStyle w:val="Bullet"/>
      </w:pPr>
      <w:r w:rsidRPr="00417582">
        <w:t xml:space="preserve">Provide </w:t>
      </w:r>
      <w:r>
        <w:t xml:space="preserve">participants with </w:t>
      </w:r>
      <w:r w:rsidRPr="00417582">
        <w:t xml:space="preserve">the name of a contact person </w:t>
      </w:r>
      <w:r>
        <w:t xml:space="preserve">(and </w:t>
      </w:r>
      <w:r w:rsidRPr="00417582">
        <w:t>their phone number and email address</w:t>
      </w:r>
      <w:r>
        <w:t>)</w:t>
      </w:r>
      <w:r w:rsidRPr="00417582">
        <w:t xml:space="preserve"> </w:t>
      </w:r>
      <w:r>
        <w:t xml:space="preserve">who will be </w:t>
      </w:r>
      <w:r w:rsidRPr="00417582">
        <w:t>available to answer questions or address issues on the day.</w:t>
      </w:r>
    </w:p>
    <w:p w:rsidR="00267D5F" w:rsidRDefault="005065F0" w:rsidP="00454CE4">
      <w:pPr>
        <w:pStyle w:val="Bullet"/>
      </w:pPr>
      <w:r w:rsidRPr="00417582">
        <w:t>There may be people unable to attend a venue regardless of its level of accessibility. In this case</w:t>
      </w:r>
      <w:r>
        <w:t>, c</w:t>
      </w:r>
      <w:r w:rsidRPr="00417582">
        <w:t xml:space="preserve">onsider </w:t>
      </w:r>
      <w:r>
        <w:t xml:space="preserve">using </w:t>
      </w:r>
      <w:r w:rsidRPr="00417582">
        <w:t>teleconferencing facilities</w:t>
      </w:r>
      <w:r>
        <w:t>.</w:t>
      </w:r>
      <w:r w:rsidRPr="00417582">
        <w:t xml:space="preserve"> Bear in mind that teleconferences do not work well for people with </w:t>
      </w:r>
      <w:r>
        <w:t>learning/</w:t>
      </w:r>
      <w:r w:rsidRPr="005A632E">
        <w:t xml:space="preserve">intellectual </w:t>
      </w:r>
      <w:r>
        <w:t xml:space="preserve">disabilities </w:t>
      </w:r>
      <w:r w:rsidRPr="00417582">
        <w:t>and Deaf people, and do not work at all for people who use hearing loops.</w:t>
      </w:r>
    </w:p>
    <w:p w:rsidR="001F07DE" w:rsidRDefault="005065F0" w:rsidP="00454CE4">
      <w:pPr>
        <w:pStyle w:val="Bullet"/>
      </w:pPr>
      <w:r>
        <w:t>If you are planning a standing-only event, provide some seating for those who may require it.</w:t>
      </w:r>
    </w:p>
    <w:p w:rsidR="001F07DE" w:rsidRDefault="005065F0" w:rsidP="00454CE4">
      <w:pPr>
        <w:pStyle w:val="Bullet"/>
      </w:pPr>
      <w:r>
        <w:t>Consider how to accommodate people who benefit from a quiet space free from a lot of people and noise.</w:t>
      </w:r>
    </w:p>
    <w:p w:rsidR="00454CE4" w:rsidRDefault="00454CE4" w:rsidP="00454CE4"/>
    <w:p w:rsidR="00AB3FD5" w:rsidRDefault="00AB3FD5" w:rsidP="00AB3FD5">
      <w:bookmarkStart w:id="217" w:name="_Appendix_9_–"/>
      <w:bookmarkStart w:id="218" w:name="_Engaging_with_people_1"/>
      <w:bookmarkStart w:id="219" w:name="_Toc416691398"/>
      <w:bookmarkStart w:id="220" w:name="_Toc442354560"/>
      <w:bookmarkEnd w:id="217"/>
      <w:bookmarkEnd w:id="218"/>
      <w:r>
        <w:br w:type="page"/>
      </w:r>
    </w:p>
    <w:p w:rsidR="001F07DE" w:rsidRDefault="005065F0" w:rsidP="00AB3FD5">
      <w:pPr>
        <w:pStyle w:val="Heading2"/>
        <w:spacing w:before="0"/>
      </w:pPr>
      <w:bookmarkStart w:id="221" w:name="_Toc479687386"/>
      <w:r w:rsidRPr="000869F7">
        <w:lastRenderedPageBreak/>
        <w:t>Engaging with people who are blind or vision impaired</w:t>
      </w:r>
      <w:bookmarkEnd w:id="219"/>
      <w:bookmarkEnd w:id="220"/>
      <w:bookmarkEnd w:id="221"/>
    </w:p>
    <w:p w:rsidR="001F07DE" w:rsidRDefault="005065F0" w:rsidP="00AB3FD5">
      <w:bookmarkStart w:id="222" w:name="_Toc404927650"/>
      <w:bookmarkStart w:id="223" w:name="_Toc404927715"/>
      <w:bookmarkStart w:id="224" w:name="_Toc406753630"/>
      <w:r>
        <w:t>This section provides a summary of the information in this guide, and additional tips to support an effective engagement process with people who are blind or who have a vision impairment.</w:t>
      </w:r>
    </w:p>
    <w:p w:rsidR="00454CE4" w:rsidRDefault="00454CE4" w:rsidP="00AB3FD5"/>
    <w:p w:rsidR="001F07DE" w:rsidRDefault="005065F0" w:rsidP="00454CE4">
      <w:pPr>
        <w:pStyle w:val="Heading3"/>
      </w:pPr>
      <w:r w:rsidRPr="0063167D">
        <w:t>General</w:t>
      </w:r>
    </w:p>
    <w:p w:rsidR="001F07DE" w:rsidRDefault="005065F0" w:rsidP="00454CE4">
      <w:r w:rsidRPr="00B56C0F">
        <w:t xml:space="preserve">The term </w:t>
      </w:r>
      <w:r w:rsidR="00267D5F">
        <w:t>‘</w:t>
      </w:r>
      <w:r w:rsidRPr="00B56C0F">
        <w:t>vision impaired</w:t>
      </w:r>
      <w:r w:rsidR="00267D5F">
        <w:t>’</w:t>
      </w:r>
      <w:r w:rsidRPr="00B56C0F">
        <w:t xml:space="preserve"> is generally accepted by most people. The term </w:t>
      </w:r>
      <w:r w:rsidR="00267D5F">
        <w:t>‘</w:t>
      </w:r>
      <w:r w:rsidRPr="00B56C0F">
        <w:t>blind</w:t>
      </w:r>
      <w:r w:rsidR="00267D5F">
        <w:t>’</w:t>
      </w:r>
      <w:r w:rsidRPr="00B56C0F">
        <w:t xml:space="preserve"> may not be acceptable, particularly</w:t>
      </w:r>
      <w:r>
        <w:t xml:space="preserve"> among</w:t>
      </w:r>
      <w:r w:rsidRPr="00B56C0F">
        <w:t xml:space="preserve"> those who consider they are vision impaired, </w:t>
      </w:r>
      <w:r>
        <w:t xml:space="preserve">are </w:t>
      </w:r>
      <w:r w:rsidRPr="00B56C0F">
        <w:t xml:space="preserve">partially sighted or have low vision. The term </w:t>
      </w:r>
      <w:r w:rsidR="00267D5F">
        <w:t>‘</w:t>
      </w:r>
      <w:r w:rsidRPr="00B56C0F">
        <w:t>legally blind</w:t>
      </w:r>
      <w:r w:rsidR="00267D5F">
        <w:t>’</w:t>
      </w:r>
      <w:r w:rsidRPr="00B56C0F">
        <w:t xml:space="preserve"> </w:t>
      </w:r>
      <w:r>
        <w:t xml:space="preserve">has different meanings </w:t>
      </w:r>
      <w:r w:rsidRPr="00B56C0F">
        <w:t>in New Zealand (</w:t>
      </w:r>
      <w:proofErr w:type="spellStart"/>
      <w:r>
        <w:t>eg</w:t>
      </w:r>
      <w:proofErr w:type="spellEnd"/>
      <w:r>
        <w:t>,</w:t>
      </w:r>
      <w:r w:rsidRPr="00B56C0F">
        <w:t xml:space="preserve"> within the Social Security Act </w:t>
      </w:r>
      <w:r>
        <w:t xml:space="preserve">1964 </w:t>
      </w:r>
      <w:r w:rsidRPr="00B56C0F">
        <w:t>and within the Blind Foundation</w:t>
      </w:r>
      <w:r w:rsidR="00267D5F">
        <w:t>’</w:t>
      </w:r>
      <w:r w:rsidRPr="00B56C0F">
        <w:t xml:space="preserve">s criteria). </w:t>
      </w:r>
      <w:r>
        <w:t>Therefore, although s</w:t>
      </w:r>
      <w:r w:rsidRPr="00B56C0F">
        <w:t xml:space="preserve">ome people may use this term to describe themselves, </w:t>
      </w:r>
      <w:r>
        <w:t xml:space="preserve">you should avoid using it </w:t>
      </w:r>
      <w:r w:rsidRPr="00B56C0F">
        <w:t>as a generic term.</w:t>
      </w:r>
    </w:p>
    <w:p w:rsidR="00454CE4" w:rsidRDefault="00454CE4" w:rsidP="00454CE4"/>
    <w:p w:rsidR="001F07DE" w:rsidRDefault="005065F0" w:rsidP="00454CE4">
      <w:r>
        <w:t xml:space="preserve">As a general principle, when you are undertaking engagement with people who are blind or vision impaired, </w:t>
      </w:r>
      <w:r w:rsidRPr="000B3EEE">
        <w:t xml:space="preserve">let people know what </w:t>
      </w:r>
      <w:r>
        <w:t xml:space="preserve">is happening. For example, </w:t>
      </w:r>
      <w:r w:rsidRPr="000B3EEE">
        <w:t>let people know where their chair is,</w:t>
      </w:r>
      <w:r>
        <w:t xml:space="preserve"> and</w:t>
      </w:r>
      <w:r w:rsidRPr="000B3EEE">
        <w:t xml:space="preserve"> where </w:t>
      </w:r>
      <w:r>
        <w:t>you have placed t</w:t>
      </w:r>
      <w:r w:rsidRPr="000B3EEE">
        <w:t>heir tea or coffee</w:t>
      </w:r>
      <w:r>
        <w:t>, or what food is available.</w:t>
      </w:r>
    </w:p>
    <w:p w:rsidR="00454CE4" w:rsidRDefault="00454CE4" w:rsidP="00454CE4"/>
    <w:p w:rsidR="001F07DE" w:rsidRDefault="005065F0" w:rsidP="00454CE4">
      <w:r w:rsidRPr="000B3EEE">
        <w:t>Where possible, keep pathways clear to allow people to easily navigate throughout the room.</w:t>
      </w:r>
    </w:p>
    <w:p w:rsidR="00454CE4" w:rsidRDefault="00454CE4" w:rsidP="00454CE4"/>
    <w:p w:rsidR="001F07DE" w:rsidRDefault="005065F0" w:rsidP="00454CE4">
      <w:pPr>
        <w:pStyle w:val="Heading3"/>
      </w:pPr>
      <w:r w:rsidRPr="0063167D">
        <w:t>Accessible materials</w:t>
      </w:r>
    </w:p>
    <w:p w:rsidR="001F07DE" w:rsidRDefault="005065F0" w:rsidP="00454CE4">
      <w:r>
        <w:t>In creating accessible materials for people who are blind or vision impaired, follow these guidelines.</w:t>
      </w:r>
    </w:p>
    <w:p w:rsidR="00267D5F" w:rsidRDefault="005065F0" w:rsidP="00454CE4">
      <w:pPr>
        <w:pStyle w:val="Bullet"/>
        <w:rPr>
          <w:lang w:eastAsia="en-NZ"/>
        </w:rPr>
      </w:pPr>
      <w:r>
        <w:rPr>
          <w:lang w:eastAsia="en-NZ"/>
        </w:rPr>
        <w:t xml:space="preserve">Consider providing </w:t>
      </w:r>
      <w:r w:rsidRPr="00417582">
        <w:rPr>
          <w:lang w:eastAsia="en-NZ"/>
        </w:rPr>
        <w:t>writ</w:t>
      </w:r>
      <w:r>
        <w:rPr>
          <w:lang w:eastAsia="en-NZ"/>
        </w:rPr>
        <w:t>ten information in advance in l</w:t>
      </w:r>
      <w:r w:rsidRPr="00417582">
        <w:rPr>
          <w:lang w:eastAsia="en-NZ"/>
        </w:rPr>
        <w:t xml:space="preserve">arge </w:t>
      </w:r>
      <w:r>
        <w:rPr>
          <w:lang w:eastAsia="en-NZ"/>
        </w:rPr>
        <w:t>print format,</w:t>
      </w:r>
      <w:r w:rsidRPr="00417582">
        <w:rPr>
          <w:lang w:eastAsia="en-NZ"/>
        </w:rPr>
        <w:t xml:space="preserve"> </w:t>
      </w:r>
      <w:r>
        <w:rPr>
          <w:lang w:eastAsia="en-NZ"/>
        </w:rPr>
        <w:t xml:space="preserve">as a Word document (so that it may be read aloud using screen reader software), </w:t>
      </w:r>
      <w:r w:rsidRPr="00417582">
        <w:rPr>
          <w:lang w:eastAsia="en-NZ"/>
        </w:rPr>
        <w:t>in Braille or in audi</w:t>
      </w:r>
      <w:r>
        <w:rPr>
          <w:lang w:eastAsia="en-NZ"/>
        </w:rPr>
        <w:t xml:space="preserve">ble </w:t>
      </w:r>
      <w:r w:rsidRPr="00417582">
        <w:rPr>
          <w:lang w:eastAsia="en-NZ"/>
        </w:rPr>
        <w:t>format.</w:t>
      </w:r>
    </w:p>
    <w:p w:rsidR="00267D5F" w:rsidRPr="00FA7CCF" w:rsidRDefault="005065F0" w:rsidP="00454CE4">
      <w:pPr>
        <w:pStyle w:val="Bullet"/>
      </w:pPr>
      <w:r>
        <w:t>In electronic publications, provide descriptions below images, or, alternatively, use Microsoft</w:t>
      </w:r>
      <w:r w:rsidR="00267D5F">
        <w:t>’</w:t>
      </w:r>
      <w:r>
        <w:t xml:space="preserve">s feature for screen readers called Alt Text. Alt Text allows the writer to include a title and description of the image. The screen reader will read the title of the image and allow the person to choose whether or not to hear the description of its content. Alt Text is accessed </w:t>
      </w:r>
      <w:r w:rsidRPr="00FA7CCF">
        <w:t xml:space="preserve">by right clicking on the picture, selecting Format Picture, then selecting Alt Text. Other software programmes may offer similar features. See </w:t>
      </w:r>
      <w:r w:rsidR="00267D5F" w:rsidRPr="00FA7CCF">
        <w:t>‘</w:t>
      </w:r>
      <w:hyperlink w:anchor="_Appendix_5_–_1" w:history="1">
        <w:r w:rsidRPr="00FA7CCF">
          <w:rPr>
            <w:rStyle w:val="Hyperlink"/>
            <w:color w:val="auto"/>
          </w:rPr>
          <w:t>Using images, diagrams, graphs and tables accessibly</w:t>
        </w:r>
      </w:hyperlink>
      <w:r w:rsidR="00454CE4" w:rsidRPr="00FA7CCF">
        <w:t>’</w:t>
      </w:r>
      <w:r w:rsidR="009F0D47" w:rsidRPr="00FA7CCF">
        <w:t xml:space="preserve"> (page 15)</w:t>
      </w:r>
      <w:r w:rsidRPr="00FA7CCF">
        <w:t>.</w:t>
      </w:r>
    </w:p>
    <w:p w:rsidR="00267D5F" w:rsidRPr="00FA7CCF" w:rsidRDefault="005065F0" w:rsidP="00454CE4">
      <w:pPr>
        <w:pStyle w:val="Bullet"/>
      </w:pPr>
      <w:r w:rsidRPr="00FA7CCF">
        <w:t>Information provided in table formats is sometimes incompatible with screen reader software packages used by blind people or those with vision impairments. Again the Alt Text function can be used to give the table a title and description which can be read by the electronic screen reader.</w:t>
      </w:r>
    </w:p>
    <w:p w:rsidR="00267D5F" w:rsidRPr="00FA7CCF" w:rsidRDefault="005065F0" w:rsidP="00454CE4">
      <w:pPr>
        <w:pStyle w:val="Bullet"/>
      </w:pPr>
      <w:r w:rsidRPr="00FA7CCF">
        <w:t xml:space="preserve">Tables are also difficult when producing large print – think about ways you could present the same information without a table. See </w:t>
      </w:r>
      <w:r w:rsidR="00267D5F" w:rsidRPr="00FA7CCF">
        <w:t>‘</w:t>
      </w:r>
      <w:hyperlink w:anchor="_Appendix_5_–_1" w:history="1">
        <w:r w:rsidRPr="00FA7CCF">
          <w:rPr>
            <w:rStyle w:val="Hyperlink"/>
            <w:color w:val="auto"/>
          </w:rPr>
          <w:t>Using images, diagrams, graphs and tables accessibly</w:t>
        </w:r>
      </w:hyperlink>
      <w:r w:rsidR="00454CE4" w:rsidRPr="00FA7CCF">
        <w:t>’</w:t>
      </w:r>
      <w:r w:rsidR="009F0D47" w:rsidRPr="00FA7CCF">
        <w:t xml:space="preserve"> (page 15)</w:t>
      </w:r>
      <w:r w:rsidRPr="00FA7CCF">
        <w:t>.</w:t>
      </w:r>
    </w:p>
    <w:p w:rsidR="00267D5F" w:rsidRPr="00FA7CCF" w:rsidRDefault="005065F0" w:rsidP="00454CE4">
      <w:pPr>
        <w:pStyle w:val="Bullet"/>
      </w:pPr>
      <w:r w:rsidRPr="00FA7CCF">
        <w:t>Expense claim and feedback forms need to be accessible. If possible provide these to people in advance or accept feedback in alternative forms, such as electronically after the meeting.</w:t>
      </w:r>
    </w:p>
    <w:p w:rsidR="001F07DE" w:rsidRDefault="005065F0" w:rsidP="00454CE4">
      <w:pPr>
        <w:pStyle w:val="Bullet"/>
      </w:pPr>
      <w:bookmarkStart w:id="225" w:name="_Toc404927651"/>
      <w:bookmarkStart w:id="226" w:name="_Toc404927716"/>
      <w:bookmarkStart w:id="227" w:name="_Toc406753631"/>
      <w:bookmarkStart w:id="228" w:name="_Toc407006539"/>
      <w:bookmarkStart w:id="229" w:name="_Toc407006680"/>
      <w:bookmarkEnd w:id="222"/>
      <w:bookmarkEnd w:id="223"/>
      <w:bookmarkEnd w:id="224"/>
      <w:r w:rsidRPr="00FA7CCF">
        <w:t>Microsoft Office 2010 and Acrobat Pro (and some other</w:t>
      </w:r>
      <w:r>
        <w:t xml:space="preserve"> programmes) have an </w:t>
      </w:r>
      <w:r w:rsidR="00267D5F">
        <w:t>‘</w:t>
      </w:r>
      <w:r w:rsidRPr="006F463D">
        <w:t>Accessibility Checker</w:t>
      </w:r>
      <w:r w:rsidR="00267D5F">
        <w:t>’</w:t>
      </w:r>
      <w:r w:rsidRPr="006F463D">
        <w:t xml:space="preserve"> </w:t>
      </w:r>
      <w:r>
        <w:t>feature that will check a document for accessibility issues. Note that it cannot check for all potential issues (</w:t>
      </w:r>
      <w:proofErr w:type="spellStart"/>
      <w:r>
        <w:t>eg</w:t>
      </w:r>
      <w:proofErr w:type="spellEnd"/>
      <w:r>
        <w:t>, it cannot check for colour contrast).</w:t>
      </w:r>
    </w:p>
    <w:p w:rsidR="001F07DE" w:rsidRDefault="001F07DE" w:rsidP="00454CE4"/>
    <w:p w:rsidR="001F07DE" w:rsidRDefault="005065F0" w:rsidP="00454CE4">
      <w:pPr>
        <w:pStyle w:val="Heading3"/>
      </w:pPr>
      <w:r w:rsidRPr="0063167D">
        <w:lastRenderedPageBreak/>
        <w:t>Presentations</w:t>
      </w:r>
    </w:p>
    <w:p w:rsidR="001F07DE" w:rsidRDefault="005065F0" w:rsidP="00454CE4">
      <w:pPr>
        <w:keepNext/>
      </w:pPr>
      <w:r>
        <w:t>In planning presentations for people who are blind or vision impaired, follow these guidelines.</w:t>
      </w:r>
    </w:p>
    <w:p w:rsidR="00267D5F" w:rsidRDefault="005065F0" w:rsidP="00454CE4">
      <w:pPr>
        <w:pStyle w:val="Bullet"/>
      </w:pPr>
      <w:r>
        <w:t>At the beginning of a meeting, facilitate a round of introductions.</w:t>
      </w:r>
      <w:r w:rsidRPr="00F37BE0">
        <w:t xml:space="preserve"> </w:t>
      </w:r>
      <w:r>
        <w:t xml:space="preserve">If it is not possible to introduce everyone, ensure you note key people and presenters. One important purpose of this is to help people who are </w:t>
      </w:r>
      <w:r w:rsidRPr="00F37BE0">
        <w:t xml:space="preserve">blind </w:t>
      </w:r>
      <w:r>
        <w:t>o</w:t>
      </w:r>
      <w:r w:rsidRPr="00F37BE0">
        <w:t>r those with low vision know who is in the room.</w:t>
      </w:r>
    </w:p>
    <w:p w:rsidR="001F07DE" w:rsidRDefault="005065F0" w:rsidP="00454CE4">
      <w:pPr>
        <w:pStyle w:val="Bullet"/>
      </w:pPr>
      <w:r w:rsidRPr="00A205D6">
        <w:t xml:space="preserve">Read presentations in full, and describe </w:t>
      </w:r>
      <w:r>
        <w:t xml:space="preserve">images, </w:t>
      </w:r>
      <w:r w:rsidRPr="00A205D6">
        <w:t>diagrams</w:t>
      </w:r>
      <w:r>
        <w:t>, graphs</w:t>
      </w:r>
      <w:r w:rsidRPr="00A205D6">
        <w:t xml:space="preserve"> and </w:t>
      </w:r>
      <w:r>
        <w:t>tables</w:t>
      </w:r>
      <w:r w:rsidRPr="00A205D6">
        <w:t>.</w:t>
      </w:r>
      <w:r>
        <w:t xml:space="preserve"> Do not tell the whole room that this is for the benefit of people who are blind or have a vision impairment. </w:t>
      </w:r>
      <w:r w:rsidRPr="00FA7CCF">
        <w:t xml:space="preserve">See further </w:t>
      </w:r>
      <w:r w:rsidR="00267D5F" w:rsidRPr="00FA7CCF">
        <w:t>‘</w:t>
      </w:r>
      <w:hyperlink w:anchor="_Appendix_5_–_1" w:history="1">
        <w:r w:rsidRPr="00FA7CCF">
          <w:rPr>
            <w:rStyle w:val="Hyperlink"/>
            <w:color w:val="auto"/>
          </w:rPr>
          <w:t>Using images, diagrams, graphs and tables accessibly</w:t>
        </w:r>
      </w:hyperlink>
      <w:r w:rsidR="00454CE4" w:rsidRPr="005C60AD">
        <w:t>’</w:t>
      </w:r>
      <w:r w:rsidR="009F0D47">
        <w:t xml:space="preserve"> (page 15)</w:t>
      </w:r>
      <w:r w:rsidRPr="005B218E">
        <w:t>.</w:t>
      </w:r>
    </w:p>
    <w:p w:rsidR="001F07DE" w:rsidRDefault="001F07DE" w:rsidP="00454CE4"/>
    <w:p w:rsidR="001F07DE" w:rsidRDefault="005065F0" w:rsidP="00454CE4">
      <w:pPr>
        <w:pStyle w:val="Heading3"/>
      </w:pPr>
      <w:bookmarkStart w:id="230" w:name="_Toc416691399"/>
      <w:bookmarkStart w:id="231" w:name="_Toc424549011"/>
      <w:bookmarkStart w:id="232" w:name="_Toc424551549"/>
      <w:bookmarkStart w:id="233" w:name="_Toc424553676"/>
      <w:bookmarkStart w:id="234" w:name="_Toc428880923"/>
      <w:bookmarkStart w:id="235" w:name="_Toc429394709"/>
      <w:bookmarkStart w:id="236" w:name="_Toc429406826"/>
      <w:bookmarkStart w:id="237" w:name="_Toc430162259"/>
      <w:bookmarkStart w:id="238" w:name="_Toc430167137"/>
      <w:bookmarkStart w:id="239" w:name="_Toc434393260"/>
      <w:bookmarkStart w:id="240" w:name="_Toc436730677"/>
      <w:r w:rsidRPr="0063167D">
        <w:rPr>
          <w:noProof/>
          <w:lang w:eastAsia="en-NZ"/>
        </w:rPr>
        <w:drawing>
          <wp:anchor distT="0" distB="0" distL="114300" distR="114300" simplePos="0" relativeHeight="251656704" behindDoc="1" locked="0" layoutInCell="1" allowOverlap="1" wp14:anchorId="6FD72E2C" wp14:editId="2D134E30">
            <wp:simplePos x="0" y="0"/>
            <wp:positionH relativeFrom="margin">
              <wp:posOffset>5017770</wp:posOffset>
            </wp:positionH>
            <wp:positionV relativeFrom="paragraph">
              <wp:posOffset>143510</wp:posOffset>
            </wp:positionV>
            <wp:extent cx="1000760" cy="1025525"/>
            <wp:effectExtent l="0" t="0" r="8890" b="3175"/>
            <wp:wrapTight wrapText="left">
              <wp:wrapPolygon edited="0">
                <wp:start x="0" y="0"/>
                <wp:lineTo x="0" y="21266"/>
                <wp:lineTo x="21381" y="21266"/>
                <wp:lineTo x="21381" y="0"/>
                <wp:lineTo x="0" y="0"/>
              </wp:wrapPolygon>
            </wp:wrapTight>
            <wp:docPr id="5" name="Picture 5" title="Logo: Blind Citizens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1000760"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167D">
        <w:t>Inclusive meeting practices for blind participants</w:t>
      </w:r>
      <w:bookmarkEnd w:id="230"/>
      <w:bookmarkEnd w:id="231"/>
      <w:bookmarkEnd w:id="232"/>
      <w:bookmarkEnd w:id="233"/>
      <w:bookmarkEnd w:id="234"/>
      <w:bookmarkEnd w:id="235"/>
      <w:bookmarkEnd w:id="236"/>
      <w:bookmarkEnd w:id="237"/>
      <w:bookmarkEnd w:id="238"/>
      <w:bookmarkEnd w:id="239"/>
      <w:bookmarkEnd w:id="240"/>
    </w:p>
    <w:p w:rsidR="001F07DE" w:rsidRDefault="009F0D47" w:rsidP="00454CE4">
      <w:r w:rsidRPr="009F0D47">
        <w:rPr>
          <w:szCs w:val="25"/>
        </w:rPr>
        <w:t>Blind Citizens NZ</w:t>
      </w:r>
      <w:r w:rsidR="005065F0" w:rsidRPr="007225DE">
        <w:t xml:space="preserve"> is a </w:t>
      </w:r>
      <w:r w:rsidR="005065F0">
        <w:t>d</w:t>
      </w:r>
      <w:r w:rsidR="005065F0" w:rsidRPr="007225DE">
        <w:t xml:space="preserve">isabled </w:t>
      </w:r>
      <w:r w:rsidR="005065F0">
        <w:t>p</w:t>
      </w:r>
      <w:r w:rsidR="005065F0" w:rsidRPr="007225DE">
        <w:t>eople</w:t>
      </w:r>
      <w:r w:rsidR="00267D5F">
        <w:t>’</w:t>
      </w:r>
      <w:r w:rsidR="005065F0" w:rsidRPr="007225DE">
        <w:t xml:space="preserve">s </w:t>
      </w:r>
      <w:r w:rsidR="005065F0">
        <w:t>o</w:t>
      </w:r>
      <w:r w:rsidR="005065F0" w:rsidRPr="007225DE">
        <w:t xml:space="preserve">rganisation that provides advocacy for blind and vision impaired people. </w:t>
      </w:r>
      <w:r w:rsidR="005065F0" w:rsidRPr="009F0D47">
        <w:rPr>
          <w:rStyle w:val="Hyperlink"/>
          <w:color w:val="auto"/>
          <w:szCs w:val="25"/>
        </w:rPr>
        <w:t xml:space="preserve">The material that appears here was </w:t>
      </w:r>
      <w:r w:rsidR="005065F0">
        <w:t>o</w:t>
      </w:r>
      <w:r w:rsidR="005065F0" w:rsidRPr="007225DE">
        <w:t xml:space="preserve">riginally produced by the Association of Blind Citizens </w:t>
      </w:r>
      <w:r w:rsidR="005065F0">
        <w:t>NZ,</w:t>
      </w:r>
      <w:r w:rsidR="005065F0" w:rsidRPr="007225DE">
        <w:t xml:space="preserve"> and </w:t>
      </w:r>
      <w:r w:rsidR="005065F0">
        <w:t xml:space="preserve">is </w:t>
      </w:r>
      <w:r w:rsidR="005065F0" w:rsidRPr="007225DE">
        <w:t>reproduced with their kind permission.</w:t>
      </w:r>
    </w:p>
    <w:p w:rsidR="009F0D47" w:rsidRPr="00263088" w:rsidRDefault="008A337B" w:rsidP="00454CE4">
      <w:hyperlink r:id="rId37" w:history="1">
        <w:r w:rsidR="009F0D47" w:rsidRPr="00263088">
          <w:rPr>
            <w:rStyle w:val="Hyperlink"/>
            <w:color w:val="auto"/>
          </w:rPr>
          <w:t>www.abcnz.org.nz</w:t>
        </w:r>
      </w:hyperlink>
      <w:r w:rsidR="009F0D47" w:rsidRPr="00263088">
        <w:t xml:space="preserve"> </w:t>
      </w:r>
    </w:p>
    <w:p w:rsidR="00454CE4" w:rsidRDefault="00454CE4" w:rsidP="00454CE4"/>
    <w:p w:rsidR="001F07DE" w:rsidRDefault="005065F0" w:rsidP="00454CE4">
      <w:r w:rsidRPr="00362797">
        <w:t xml:space="preserve">The following guidelines are designed to assist organisations to make their meeting practices and/or </w:t>
      </w:r>
      <w:r>
        <w:t>c</w:t>
      </w:r>
      <w:r w:rsidRPr="00362797">
        <w:t xml:space="preserve">ommittee processes inclusive of the </w:t>
      </w:r>
      <w:r w:rsidRPr="00810495">
        <w:t>needs</w:t>
      </w:r>
      <w:r w:rsidRPr="00362797">
        <w:t xml:space="preserve"> of </w:t>
      </w:r>
      <w:r w:rsidRPr="00E106DD">
        <w:t>blind</w:t>
      </w:r>
      <w:r w:rsidRPr="00362797">
        <w:t xml:space="preserve"> and vision impaired people.</w:t>
      </w:r>
    </w:p>
    <w:p w:rsidR="001F07DE" w:rsidRPr="00454CE4" w:rsidRDefault="00454CE4" w:rsidP="00454CE4">
      <w:pPr>
        <w:spacing w:before="180"/>
        <w:ind w:left="567" w:hanging="567"/>
      </w:pPr>
      <w:r>
        <w:t>1.</w:t>
      </w:r>
      <w:r>
        <w:tab/>
      </w:r>
      <w:r w:rsidR="005065F0" w:rsidRPr="009C41C5">
        <w:rPr>
          <w:b/>
        </w:rPr>
        <w:t xml:space="preserve">Meeting </w:t>
      </w:r>
      <w:r w:rsidR="005065F0">
        <w:rPr>
          <w:b/>
        </w:rPr>
        <w:t>a</w:t>
      </w:r>
      <w:r w:rsidR="005065F0" w:rsidRPr="009C41C5">
        <w:rPr>
          <w:b/>
        </w:rPr>
        <w:t xml:space="preserve">gendas and </w:t>
      </w:r>
      <w:r w:rsidR="005065F0">
        <w:rPr>
          <w:b/>
        </w:rPr>
        <w:t>m</w:t>
      </w:r>
      <w:r w:rsidR="005065F0" w:rsidRPr="009C41C5">
        <w:rPr>
          <w:b/>
        </w:rPr>
        <w:t>inutes:</w:t>
      </w:r>
      <w:r w:rsidR="005065F0" w:rsidRPr="00362797">
        <w:t xml:space="preserve"> Blind representatives must be able to specify the format in which they choose to receive these documents </w:t>
      </w:r>
      <w:r w:rsidR="005065F0">
        <w:t>(</w:t>
      </w:r>
      <w:proofErr w:type="spellStart"/>
      <w:r w:rsidR="005065F0" w:rsidRPr="00362797">
        <w:t>ie</w:t>
      </w:r>
      <w:proofErr w:type="spellEnd"/>
      <w:r w:rsidR="005065F0">
        <w:t>,</w:t>
      </w:r>
      <w:r w:rsidR="005065F0" w:rsidRPr="00362797">
        <w:t xml:space="preserve"> large print, Braille, audio cassette or an electronic format</w:t>
      </w:r>
      <w:r w:rsidR="005065F0">
        <w:t>)</w:t>
      </w:r>
      <w:r w:rsidR="005065F0" w:rsidRPr="00362797">
        <w:t>. Their first choice should be honoured regardless of their ability to access the material by other means. Some forward planning may be needed to ensure that blind participants receive their material at approximately the same time as sighted participants receive theirs.</w:t>
      </w:r>
    </w:p>
    <w:p w:rsidR="00267D5F" w:rsidRDefault="00454CE4" w:rsidP="00454CE4">
      <w:pPr>
        <w:spacing w:before="180"/>
        <w:ind w:left="567" w:hanging="567"/>
      </w:pPr>
      <w:r>
        <w:t>2.</w:t>
      </w:r>
      <w:r>
        <w:tab/>
      </w:r>
      <w:r w:rsidR="005065F0" w:rsidRPr="00BF7871">
        <w:rPr>
          <w:b/>
        </w:rPr>
        <w:t>V</w:t>
      </w:r>
      <w:r w:rsidR="005065F0" w:rsidRPr="009C41C5">
        <w:rPr>
          <w:b/>
        </w:rPr>
        <w:t>enue:</w:t>
      </w:r>
      <w:r w:rsidR="005065F0" w:rsidRPr="00362797">
        <w:t xml:space="preserve"> As a common courtesy, it is often helpful for a blind person to receive information about and/or a </w:t>
      </w:r>
      <w:r w:rsidR="00267D5F">
        <w:t>‘</w:t>
      </w:r>
      <w:r w:rsidR="005065F0" w:rsidRPr="00362797">
        <w:t>conducted tour</w:t>
      </w:r>
      <w:r w:rsidR="00267D5F">
        <w:t>’</w:t>
      </w:r>
      <w:r w:rsidR="005065F0" w:rsidRPr="00362797">
        <w:t xml:space="preserve"> of the facilities being used. If the blind participant uses a guide dog as a mobility aid, the dog</w:t>
      </w:r>
      <w:r w:rsidR="00267D5F">
        <w:t>’</w:t>
      </w:r>
      <w:r w:rsidR="005065F0" w:rsidRPr="00362797">
        <w:t>s toileting requirements must also be considered when choosing a venue. If the venue has no grass or garden area, or such areas are not in easy reach of the venue, then some other party may need to be on hand to accompany the blind dog</w:t>
      </w:r>
      <w:r w:rsidR="005065F0">
        <w:t>-</w:t>
      </w:r>
      <w:r w:rsidR="005065F0" w:rsidRPr="00362797">
        <w:t>handler to find a suitable area.</w:t>
      </w:r>
    </w:p>
    <w:p w:rsidR="00267D5F" w:rsidRDefault="00454CE4" w:rsidP="00454CE4">
      <w:pPr>
        <w:spacing w:before="180"/>
        <w:ind w:left="567" w:hanging="567"/>
      </w:pPr>
      <w:r>
        <w:t>3.</w:t>
      </w:r>
      <w:r>
        <w:tab/>
      </w:r>
      <w:r w:rsidR="005065F0" w:rsidRPr="00BF7871">
        <w:rPr>
          <w:b/>
        </w:rPr>
        <w:t>Ro</w:t>
      </w:r>
      <w:r w:rsidR="005065F0" w:rsidRPr="009C41C5">
        <w:rPr>
          <w:b/>
        </w:rPr>
        <w:t xml:space="preserve">ll </w:t>
      </w:r>
      <w:r w:rsidR="005065F0">
        <w:rPr>
          <w:b/>
        </w:rPr>
        <w:t>c</w:t>
      </w:r>
      <w:r w:rsidR="005065F0" w:rsidRPr="009C41C5">
        <w:rPr>
          <w:b/>
        </w:rPr>
        <w:t>all:</w:t>
      </w:r>
      <w:r w:rsidR="005065F0" w:rsidRPr="00362797">
        <w:t xml:space="preserve"> Every meeting should begin with a </w:t>
      </w:r>
      <w:r w:rsidR="00267D5F">
        <w:t>‘</w:t>
      </w:r>
      <w:r w:rsidR="005065F0" w:rsidRPr="00362797">
        <w:t>roll call</w:t>
      </w:r>
      <w:r w:rsidR="00267D5F">
        <w:t>’</w:t>
      </w:r>
      <w:r w:rsidR="005065F0" w:rsidRPr="00362797">
        <w:t xml:space="preserve"> in which participants are asked to clearly identify themselves. This also indicates to the blind person where everyone is seated. If someone arrives late or departs during the meeting, this information should also be conveyed at the earliest possible opportunity. These steps are critical, since even if all meeting participants are known to one another, a blind person can often be unaware of who is in the room. </w:t>
      </w:r>
      <w:r w:rsidR="005065F0" w:rsidRPr="00292A9A">
        <w:t>The roll call should be repeated in future sessions if a change has occurred in those present or seating arrangements have altered.</w:t>
      </w:r>
    </w:p>
    <w:p w:rsidR="001F07DE" w:rsidRPr="00454CE4" w:rsidRDefault="00454CE4" w:rsidP="00454CE4">
      <w:pPr>
        <w:spacing w:before="180"/>
        <w:ind w:left="567" w:hanging="567"/>
      </w:pPr>
      <w:r>
        <w:t>4.</w:t>
      </w:r>
      <w:r>
        <w:tab/>
      </w:r>
      <w:r w:rsidR="005065F0" w:rsidRPr="00BF7871">
        <w:rPr>
          <w:b/>
        </w:rPr>
        <w:t>Establishing t</w:t>
      </w:r>
      <w:r w:rsidR="005065F0" w:rsidRPr="009C41C5">
        <w:rPr>
          <w:b/>
        </w:rPr>
        <w:t xml:space="preserve">he </w:t>
      </w:r>
      <w:r w:rsidR="005065F0">
        <w:rPr>
          <w:b/>
        </w:rPr>
        <w:t>p</w:t>
      </w:r>
      <w:r w:rsidR="005065F0" w:rsidRPr="009C41C5">
        <w:rPr>
          <w:b/>
        </w:rPr>
        <w:t xml:space="preserve">rocess for </w:t>
      </w:r>
      <w:r w:rsidR="005065F0">
        <w:rPr>
          <w:b/>
        </w:rPr>
        <w:t>s</w:t>
      </w:r>
      <w:r w:rsidR="005065F0" w:rsidRPr="009C41C5">
        <w:rPr>
          <w:b/>
        </w:rPr>
        <w:t xml:space="preserve">eeking the </w:t>
      </w:r>
      <w:r w:rsidR="005065F0">
        <w:rPr>
          <w:b/>
        </w:rPr>
        <w:t>f</w:t>
      </w:r>
      <w:r w:rsidR="005065F0" w:rsidRPr="009C41C5">
        <w:rPr>
          <w:b/>
        </w:rPr>
        <w:t>loor:</w:t>
      </w:r>
      <w:r w:rsidR="005065F0" w:rsidRPr="00362797">
        <w:t xml:space="preserve"> The process for gaining the right to speak at a meeting should be made clear by the </w:t>
      </w:r>
      <w:r w:rsidR="005065F0">
        <w:t>c</w:t>
      </w:r>
      <w:r w:rsidR="005065F0" w:rsidRPr="00362797">
        <w:t>hair</w:t>
      </w:r>
      <w:r w:rsidR="005065F0">
        <w:t>person</w:t>
      </w:r>
      <w:r w:rsidR="005065F0" w:rsidRPr="00362797">
        <w:t xml:space="preserve"> at the beginning of discussion.</w:t>
      </w:r>
      <w:r w:rsidR="005065F0">
        <w:t xml:space="preserve"> </w:t>
      </w:r>
      <w:r w:rsidR="005065F0" w:rsidRPr="00292A9A">
        <w:t xml:space="preserve">Unless clearly indicated, a blind person may be unclear as to whether hands are being raised to catch the attention of the </w:t>
      </w:r>
      <w:r w:rsidR="005065F0">
        <w:t>c</w:t>
      </w:r>
      <w:r w:rsidR="005065F0" w:rsidRPr="00362797">
        <w:t>hair</w:t>
      </w:r>
      <w:r w:rsidR="005065F0">
        <w:t>person</w:t>
      </w:r>
      <w:r w:rsidR="005065F0" w:rsidRPr="00292A9A">
        <w:t xml:space="preserve">, whether people simply speak up, or some other method is being used. Whatever the method, visual techniques such as catching the </w:t>
      </w:r>
      <w:r w:rsidR="005065F0">
        <w:t>c</w:t>
      </w:r>
      <w:r w:rsidR="005065F0" w:rsidRPr="00292A9A">
        <w:t>hair</w:t>
      </w:r>
      <w:r w:rsidR="005065F0">
        <w:t>person</w:t>
      </w:r>
      <w:r w:rsidR="00267D5F">
        <w:t>’</w:t>
      </w:r>
      <w:r w:rsidR="005065F0" w:rsidRPr="00292A9A">
        <w:t>s eye to get their attention should be avoided.</w:t>
      </w:r>
    </w:p>
    <w:p w:rsidR="001F07DE" w:rsidRPr="00454CE4" w:rsidRDefault="00454CE4" w:rsidP="003C1F1D">
      <w:pPr>
        <w:spacing w:before="180"/>
        <w:ind w:left="567" w:hanging="567"/>
      </w:pPr>
      <w:r>
        <w:t>5.</w:t>
      </w:r>
      <w:r>
        <w:tab/>
      </w:r>
      <w:r w:rsidR="005065F0" w:rsidRPr="00BF7871">
        <w:rPr>
          <w:b/>
        </w:rPr>
        <w:t xml:space="preserve">Use of </w:t>
      </w:r>
      <w:r w:rsidR="005065F0">
        <w:rPr>
          <w:b/>
        </w:rPr>
        <w:t>p</w:t>
      </w:r>
      <w:r w:rsidR="005065F0" w:rsidRPr="00BF7871">
        <w:rPr>
          <w:b/>
        </w:rPr>
        <w:t xml:space="preserve">rinted or </w:t>
      </w:r>
      <w:r w:rsidR="005065F0">
        <w:rPr>
          <w:b/>
        </w:rPr>
        <w:t>v</w:t>
      </w:r>
      <w:r w:rsidR="005065F0" w:rsidRPr="00BF7871">
        <w:rPr>
          <w:b/>
        </w:rPr>
        <w:t xml:space="preserve">isual </w:t>
      </w:r>
      <w:r w:rsidR="005065F0">
        <w:rPr>
          <w:b/>
        </w:rPr>
        <w:t>m</w:t>
      </w:r>
      <w:r w:rsidR="005065F0" w:rsidRPr="00BF7871">
        <w:rPr>
          <w:b/>
        </w:rPr>
        <w:t xml:space="preserve">aterial </w:t>
      </w:r>
      <w:r w:rsidR="005065F0" w:rsidRPr="009C41C5">
        <w:rPr>
          <w:b/>
        </w:rPr>
        <w:t xml:space="preserve">in </w:t>
      </w:r>
      <w:r w:rsidR="005065F0">
        <w:rPr>
          <w:b/>
        </w:rPr>
        <w:t>m</w:t>
      </w:r>
      <w:r w:rsidR="005065F0" w:rsidRPr="009C41C5">
        <w:rPr>
          <w:b/>
        </w:rPr>
        <w:t>eetings:</w:t>
      </w:r>
      <w:r w:rsidR="005065F0" w:rsidRPr="00362797">
        <w:t xml:space="preserve"> Any material distributed in print during a meeting must also be available in the blind participant</w:t>
      </w:r>
      <w:r w:rsidR="00267D5F">
        <w:t>’</w:t>
      </w:r>
      <w:r w:rsidR="005065F0" w:rsidRPr="00362797">
        <w:t xml:space="preserve">s preferred format. As the reading speed of some participants may not permit them to read the information as quickly as a standard print user, and certain computer </w:t>
      </w:r>
      <w:r w:rsidR="005065F0" w:rsidRPr="009C41C5">
        <w:t>technologies</w:t>
      </w:r>
      <w:r w:rsidR="005065F0" w:rsidRPr="00362797">
        <w:t xml:space="preserve"> may not be portable, such material should be circulated in advance if at all possible. The use of overheads and </w:t>
      </w:r>
      <w:r w:rsidR="005065F0" w:rsidRPr="00362797">
        <w:lastRenderedPageBreak/>
        <w:t>black/whiteboards should be accompanied with copies of the material in the blind person</w:t>
      </w:r>
      <w:r w:rsidR="00267D5F">
        <w:t>’</w:t>
      </w:r>
      <w:r w:rsidR="005065F0" w:rsidRPr="00362797">
        <w:t>s preferred format in advance of the meeting. At the very least, a verbal description of the content of each overhead or white/blackboard currently displayed should be standard practice.</w:t>
      </w:r>
    </w:p>
    <w:p w:rsidR="001F07DE" w:rsidRDefault="00454CE4" w:rsidP="00454CE4">
      <w:pPr>
        <w:spacing w:before="180"/>
        <w:ind w:left="567" w:hanging="567"/>
      </w:pPr>
      <w:r>
        <w:t>6.</w:t>
      </w:r>
      <w:r>
        <w:tab/>
      </w:r>
      <w:r w:rsidR="005065F0" w:rsidRPr="00BF7871">
        <w:rPr>
          <w:b/>
        </w:rPr>
        <w:t xml:space="preserve">Taking </w:t>
      </w:r>
      <w:r w:rsidR="005065F0">
        <w:rPr>
          <w:b/>
        </w:rPr>
        <w:t>n</w:t>
      </w:r>
      <w:r w:rsidR="005065F0" w:rsidRPr="00BF7871">
        <w:rPr>
          <w:b/>
        </w:rPr>
        <w:t>ot</w:t>
      </w:r>
      <w:r w:rsidR="005065F0" w:rsidRPr="009C41C5">
        <w:rPr>
          <w:b/>
        </w:rPr>
        <w:t>es:</w:t>
      </w:r>
      <w:r w:rsidR="005065F0" w:rsidRPr="00292A9A">
        <w:t xml:space="preserve"> When a blind participant wishes to take notes of a meeting, and an audio recording is the only option available to them, they should be allowed to do so but must inform the meeting that a recording is being made. It must be clear that the audio recording is for the blind participant</w:t>
      </w:r>
      <w:r w:rsidR="00267D5F">
        <w:t>’</w:t>
      </w:r>
      <w:r w:rsidR="005065F0" w:rsidRPr="00292A9A">
        <w:t>s exclusive use unless otherwise agreed, that recording will take place only in those parts of the meeting when taking notes is permitted and that any misuse of the recording may constitute a breach of confidentiality</w:t>
      </w:r>
      <w:r w:rsidR="005065F0">
        <w:t>.</w:t>
      </w:r>
    </w:p>
    <w:p w:rsidR="00454CE4" w:rsidRDefault="00454CE4" w:rsidP="00454CE4"/>
    <w:p w:rsidR="00267D5F" w:rsidRDefault="005065F0" w:rsidP="00454CE4">
      <w:pPr>
        <w:pStyle w:val="Heading3"/>
      </w:pPr>
      <w:bookmarkStart w:id="241" w:name="_Toc416691400"/>
      <w:bookmarkStart w:id="242" w:name="_Toc424549012"/>
      <w:bookmarkStart w:id="243" w:name="_Toc424551550"/>
      <w:bookmarkStart w:id="244" w:name="_Toc407006538"/>
      <w:bookmarkStart w:id="245" w:name="_Toc407006679"/>
      <w:bookmarkEnd w:id="225"/>
      <w:bookmarkEnd w:id="226"/>
      <w:bookmarkEnd w:id="227"/>
      <w:bookmarkEnd w:id="228"/>
      <w:bookmarkEnd w:id="229"/>
      <w:r w:rsidRPr="0063167D">
        <w:t>Guidelines for interacting with guide dog</w:t>
      </w:r>
      <w:bookmarkEnd w:id="241"/>
      <w:r w:rsidRPr="0063167D">
        <w:t>s</w:t>
      </w:r>
      <w:bookmarkEnd w:id="242"/>
      <w:bookmarkEnd w:id="243"/>
    </w:p>
    <w:bookmarkEnd w:id="244"/>
    <w:bookmarkEnd w:id="245"/>
    <w:p w:rsidR="00267D5F" w:rsidRDefault="00454CE4" w:rsidP="00454CE4">
      <w:r w:rsidRPr="0063167D">
        <w:rPr>
          <w:noProof/>
          <w:lang w:eastAsia="en-NZ"/>
        </w:rPr>
        <w:drawing>
          <wp:anchor distT="0" distB="0" distL="71755" distR="114300" simplePos="0" relativeHeight="251659776" behindDoc="1" locked="0" layoutInCell="1" allowOverlap="1" wp14:anchorId="58AB592F" wp14:editId="4089406F">
            <wp:simplePos x="0" y="0"/>
            <wp:positionH relativeFrom="column">
              <wp:posOffset>3232150</wp:posOffset>
            </wp:positionH>
            <wp:positionV relativeFrom="paragraph">
              <wp:posOffset>38735</wp:posOffset>
            </wp:positionV>
            <wp:extent cx="2703195" cy="824230"/>
            <wp:effectExtent l="0" t="0" r="1905" b="0"/>
            <wp:wrapTight wrapText="left">
              <wp:wrapPolygon edited="0">
                <wp:start x="2131" y="0"/>
                <wp:lineTo x="1066" y="1498"/>
                <wp:lineTo x="0" y="5991"/>
                <wp:lineTo x="0" y="13479"/>
                <wp:lineTo x="304" y="16974"/>
                <wp:lineTo x="1827" y="20468"/>
                <wp:lineTo x="2283" y="20968"/>
                <wp:lineTo x="4110" y="20968"/>
                <wp:lineTo x="21463" y="18971"/>
                <wp:lineTo x="21463" y="10983"/>
                <wp:lineTo x="13395" y="4992"/>
                <wp:lineTo x="4262" y="0"/>
                <wp:lineTo x="2131" y="0"/>
              </wp:wrapPolygon>
            </wp:wrapTight>
            <wp:docPr id="6" name="Picture 6" title="Logo: Blind Foundation Guid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31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5F0" w:rsidRPr="007225DE">
        <w:t xml:space="preserve">The </w:t>
      </w:r>
      <w:r w:rsidR="009F0D47" w:rsidRPr="009F0D47">
        <w:rPr>
          <w:szCs w:val="25"/>
        </w:rPr>
        <w:t>Blind Foundation</w:t>
      </w:r>
      <w:r w:rsidR="005065F0" w:rsidRPr="007225DE">
        <w:t xml:space="preserve"> is an organisation that provides</w:t>
      </w:r>
      <w:r w:rsidR="005065F0">
        <w:t xml:space="preserve"> </w:t>
      </w:r>
      <w:r w:rsidR="005065F0" w:rsidRPr="007225DE">
        <w:t>support to people who are blind or have low vision</w:t>
      </w:r>
      <w:r w:rsidR="005065F0" w:rsidRPr="009F0D47">
        <w:t xml:space="preserve">. </w:t>
      </w:r>
      <w:r w:rsidR="005065F0" w:rsidRPr="009F0D47">
        <w:rPr>
          <w:rStyle w:val="Hyperlink"/>
          <w:color w:val="auto"/>
          <w:szCs w:val="25"/>
        </w:rPr>
        <w:t xml:space="preserve">The material that appears here was </w:t>
      </w:r>
      <w:r w:rsidR="005065F0">
        <w:t>o</w:t>
      </w:r>
      <w:r w:rsidR="005065F0" w:rsidRPr="007225DE">
        <w:t>riginally produced by the Blind Foundation</w:t>
      </w:r>
      <w:r w:rsidR="005065F0">
        <w:t>,</w:t>
      </w:r>
      <w:r w:rsidR="005065F0" w:rsidRPr="007225DE">
        <w:t xml:space="preserve"> and </w:t>
      </w:r>
      <w:r w:rsidR="005065F0">
        <w:t xml:space="preserve">is </w:t>
      </w:r>
      <w:r w:rsidR="005065F0" w:rsidRPr="007225DE">
        <w:t>reproduced with their kind permission.</w:t>
      </w:r>
    </w:p>
    <w:p w:rsidR="009F0D47" w:rsidRPr="00454CE4" w:rsidRDefault="008A337B" w:rsidP="00454CE4">
      <w:hyperlink r:id="rId39" w:history="1">
        <w:r w:rsidR="009F0D47" w:rsidRPr="00263088">
          <w:rPr>
            <w:rStyle w:val="Hyperlink"/>
            <w:color w:val="auto"/>
          </w:rPr>
          <w:t>www.blindfoundation.org.nz</w:t>
        </w:r>
      </w:hyperlink>
      <w:r w:rsidR="009F0D47">
        <w:t xml:space="preserve"> </w:t>
      </w:r>
    </w:p>
    <w:p w:rsidR="00454CE4" w:rsidRDefault="00454CE4" w:rsidP="00454CE4"/>
    <w:p w:rsidR="00267D5F" w:rsidRDefault="005065F0" w:rsidP="00454CE4">
      <w:r w:rsidRPr="00913765">
        <w:t xml:space="preserve">Guide dogs are </w:t>
      </w:r>
      <w:r>
        <w:t xml:space="preserve">friendly </w:t>
      </w:r>
      <w:r w:rsidRPr="00913765">
        <w:t>by nature</w:t>
      </w:r>
      <w:r>
        <w:t>;</w:t>
      </w:r>
      <w:r w:rsidRPr="00913765">
        <w:t xml:space="preserve"> your help is required to maintain their good manners.</w:t>
      </w:r>
    </w:p>
    <w:p w:rsidR="00454CE4" w:rsidRDefault="00454CE4" w:rsidP="00454CE4"/>
    <w:p w:rsidR="00267D5F" w:rsidRDefault="005065F0" w:rsidP="00454CE4">
      <w:r>
        <w:t>Please DO NOT interact with a guide dog unless the dog</w:t>
      </w:r>
      <w:r w:rsidR="00267D5F">
        <w:t>’</w:t>
      </w:r>
      <w:r>
        <w:t>s handler</w:t>
      </w:r>
      <w:r w:rsidRPr="00A06BAD">
        <w:t xml:space="preserve"> </w:t>
      </w:r>
      <w:r>
        <w:t xml:space="preserve">gives </w:t>
      </w:r>
      <w:r w:rsidRPr="00A06BAD">
        <w:t>permission</w:t>
      </w:r>
      <w:r>
        <w:t>.</w:t>
      </w:r>
    </w:p>
    <w:p w:rsidR="00454CE4" w:rsidRDefault="00454CE4" w:rsidP="00454CE4"/>
    <w:p w:rsidR="001F07DE" w:rsidRDefault="005065F0" w:rsidP="00454CE4">
      <w:r>
        <w:t>When settling a guide dog into a new environment, no interaction is advisable for the first couple of weeks. Once the dog has settled in, the handler may start to allow limited interaction, dependent on the dog</w:t>
      </w:r>
      <w:r w:rsidR="00267D5F">
        <w:t>’</w:t>
      </w:r>
      <w:r>
        <w:t>s behaviour.</w:t>
      </w:r>
    </w:p>
    <w:p w:rsidR="00454CE4" w:rsidRDefault="00454CE4" w:rsidP="00454CE4"/>
    <w:p w:rsidR="00267D5F" w:rsidRDefault="005065F0" w:rsidP="00454CE4">
      <w:r>
        <w:t>No interaction includes:</w:t>
      </w:r>
    </w:p>
    <w:p w:rsidR="001F07DE" w:rsidRDefault="005065F0" w:rsidP="00454CE4">
      <w:pPr>
        <w:pStyle w:val="Bullet"/>
      </w:pPr>
      <w:r>
        <w:t>avoid eye contact with the dog</w:t>
      </w:r>
    </w:p>
    <w:p w:rsidR="00267D5F" w:rsidRDefault="005065F0" w:rsidP="00454CE4">
      <w:pPr>
        <w:pStyle w:val="Bullet"/>
      </w:pPr>
      <w:r>
        <w:t>don</w:t>
      </w:r>
      <w:r w:rsidR="00267D5F">
        <w:t>’</w:t>
      </w:r>
      <w:r>
        <w:t>t talk to the dog</w:t>
      </w:r>
    </w:p>
    <w:p w:rsidR="001F07DE" w:rsidRDefault="005065F0" w:rsidP="00454CE4">
      <w:pPr>
        <w:pStyle w:val="Bullet"/>
      </w:pPr>
      <w:proofErr w:type="gramStart"/>
      <w:r>
        <w:t>don</w:t>
      </w:r>
      <w:r w:rsidR="00267D5F">
        <w:t>’</w:t>
      </w:r>
      <w:r>
        <w:t>t</w:t>
      </w:r>
      <w:proofErr w:type="gramEnd"/>
      <w:r>
        <w:t xml:space="preserve"> feed the dog.</w:t>
      </w:r>
    </w:p>
    <w:p w:rsidR="00454CE4" w:rsidRDefault="00454CE4" w:rsidP="00454CE4"/>
    <w:p w:rsidR="001F07DE" w:rsidRDefault="005065F0" w:rsidP="00454CE4">
      <w:r>
        <w:t>If</w:t>
      </w:r>
      <w:r w:rsidRPr="00913765">
        <w:t xml:space="preserve"> the dog attempts to inte</w:t>
      </w:r>
      <w:r>
        <w:t>ract with you, please ignore it, move away if necessary, or turn your back on the dog.</w:t>
      </w:r>
    </w:p>
    <w:p w:rsidR="00454CE4" w:rsidRDefault="00454CE4" w:rsidP="00454CE4"/>
    <w:p w:rsidR="001F07DE" w:rsidRDefault="005065F0" w:rsidP="00454CE4">
      <w:r>
        <w:t>These guidelines are for the safety of the guide dog handler. If a guide dog gets distracted or excited by people then it can be a safety risk and may have to be withdrawn from guiding work.</w:t>
      </w:r>
    </w:p>
    <w:p w:rsidR="00454CE4" w:rsidRDefault="00454CE4" w:rsidP="00454CE4"/>
    <w:p w:rsidR="001F07DE" w:rsidRDefault="005065F0" w:rsidP="00454CE4">
      <w:r w:rsidRPr="00AB430C">
        <w:t xml:space="preserve">If the handler does give permission for you to interact with the </w:t>
      </w:r>
      <w:r>
        <w:t>g</w:t>
      </w:r>
      <w:r w:rsidRPr="00AB430C">
        <w:t xml:space="preserve">uide </w:t>
      </w:r>
      <w:r>
        <w:t>d</w:t>
      </w:r>
      <w:r w:rsidRPr="00AB430C">
        <w:t xml:space="preserve">og, please ensure you maintain a calm voice and gentle handling. The aim is not to excite the dog too much in a workplace or public place. Guide </w:t>
      </w:r>
      <w:r>
        <w:t>d</w:t>
      </w:r>
      <w:r w:rsidRPr="00AB430C">
        <w:t xml:space="preserve">ogs get plenty of time to play and have fun when off duty. But when in a workplace we must ensure appropriate </w:t>
      </w:r>
      <w:r>
        <w:t>behaviour is maintained</w:t>
      </w:r>
      <w:r w:rsidRPr="00AB430C">
        <w:t>.</w:t>
      </w:r>
    </w:p>
    <w:p w:rsidR="00454CE4" w:rsidRDefault="00454CE4" w:rsidP="00454CE4"/>
    <w:p w:rsidR="001F07DE" w:rsidRDefault="005065F0" w:rsidP="00454CE4">
      <w:r>
        <w:t>If you have any questions please feel free to contact Blind Foundation Guide Dogs (09</w:t>
      </w:r>
      <w:r w:rsidR="00454CE4">
        <w:t> </w:t>
      </w:r>
      <w:r>
        <w:t>269</w:t>
      </w:r>
      <w:r w:rsidR="00454CE4">
        <w:t> </w:t>
      </w:r>
      <w:r>
        <w:t>0400) or talk to the guide dog handler directly.</w:t>
      </w:r>
    </w:p>
    <w:p w:rsidR="00454CE4" w:rsidRDefault="00454CE4" w:rsidP="00454CE4"/>
    <w:p w:rsidR="00267D5F" w:rsidRDefault="005065F0" w:rsidP="003C1F1D">
      <w:r w:rsidRPr="009C41C5">
        <w:t>For more information also see:</w:t>
      </w:r>
    </w:p>
    <w:p w:rsidR="001F07DE" w:rsidRPr="00FA7CCF" w:rsidRDefault="008A337B" w:rsidP="00454CE4">
      <w:pPr>
        <w:pStyle w:val="Bullet"/>
      </w:pPr>
      <w:hyperlink w:anchor="_Using_written_information" w:history="1">
        <w:r w:rsidR="005065F0" w:rsidRPr="00FA7CCF">
          <w:rPr>
            <w:rStyle w:val="Hyperlink"/>
            <w:color w:val="auto"/>
          </w:rPr>
          <w:t>Using written information and printed materials accessibly</w:t>
        </w:r>
      </w:hyperlink>
      <w:r w:rsidR="00384BD3" w:rsidRPr="00FA7CCF">
        <w:rPr>
          <w:rStyle w:val="Hyperlink"/>
          <w:color w:val="auto"/>
        </w:rPr>
        <w:t xml:space="preserve"> (page 17)</w:t>
      </w:r>
    </w:p>
    <w:p w:rsidR="00454CE4" w:rsidRPr="00FA7CCF" w:rsidRDefault="008A337B" w:rsidP="00D0599F">
      <w:pPr>
        <w:pStyle w:val="Bullet"/>
      </w:pPr>
      <w:hyperlink w:anchor="_Accessible_presentations_and" w:history="1">
        <w:r w:rsidR="005065F0" w:rsidRPr="00FA7CCF">
          <w:rPr>
            <w:rStyle w:val="Hyperlink"/>
            <w:color w:val="auto"/>
          </w:rPr>
          <w:t>Accessible presentations and other verbal communication</w:t>
        </w:r>
      </w:hyperlink>
      <w:r w:rsidR="00F63D19" w:rsidRPr="00FA7CCF">
        <w:rPr>
          <w:rStyle w:val="Hyperlink"/>
          <w:color w:val="auto"/>
        </w:rPr>
        <w:t xml:space="preserve"> (page 19)</w:t>
      </w:r>
      <w:r w:rsidR="005065F0" w:rsidRPr="00FA7CCF">
        <w:t>.</w:t>
      </w:r>
    </w:p>
    <w:p w:rsidR="003C1F1D" w:rsidRPr="00FA7CCF" w:rsidRDefault="003C1F1D" w:rsidP="003C1F1D">
      <w:bookmarkStart w:id="246" w:name="_Appendix_10_–"/>
      <w:bookmarkStart w:id="247" w:name="_Appendix_10_–_1"/>
      <w:bookmarkStart w:id="248" w:name="_Toc416691401"/>
      <w:bookmarkStart w:id="249" w:name="_Toc442354561"/>
      <w:bookmarkStart w:id="250" w:name="_Toc404864981"/>
      <w:bookmarkStart w:id="251" w:name="_Toc404864982"/>
      <w:bookmarkEnd w:id="246"/>
      <w:bookmarkEnd w:id="247"/>
      <w:r w:rsidRPr="00FA7CCF">
        <w:br w:type="page"/>
      </w:r>
    </w:p>
    <w:p w:rsidR="001F07DE" w:rsidRDefault="005065F0" w:rsidP="003C1F1D">
      <w:pPr>
        <w:pStyle w:val="Heading2"/>
        <w:spacing w:before="0"/>
      </w:pPr>
      <w:bookmarkStart w:id="252" w:name="_Toc479687387"/>
      <w:r w:rsidRPr="000869F7">
        <w:lastRenderedPageBreak/>
        <w:t xml:space="preserve">Engaging with people </w:t>
      </w:r>
      <w:bookmarkEnd w:id="248"/>
      <w:r w:rsidRPr="000869F7">
        <w:t>with hearing loss, who are hard of hearing or who are Deaf</w:t>
      </w:r>
      <w:bookmarkEnd w:id="249"/>
      <w:bookmarkEnd w:id="252"/>
    </w:p>
    <w:p w:rsidR="001F07DE" w:rsidRDefault="005065F0" w:rsidP="00454CE4">
      <w:r>
        <w:t xml:space="preserve">This section provides a summary of the </w:t>
      </w:r>
      <w:r w:rsidRPr="00487A78">
        <w:t xml:space="preserve">information </w:t>
      </w:r>
      <w:r>
        <w:t>in</w:t>
      </w:r>
      <w:r w:rsidRPr="00487A78">
        <w:t xml:space="preserve"> this guide</w:t>
      </w:r>
      <w:r>
        <w:t>,</w:t>
      </w:r>
      <w:r w:rsidRPr="00487A78">
        <w:t xml:space="preserve"> and </w:t>
      </w:r>
      <w:r>
        <w:t xml:space="preserve">gives additional tips to </w:t>
      </w:r>
      <w:r w:rsidRPr="00C66708">
        <w:t xml:space="preserve">support an effective engagement process with people with a hearing loss, </w:t>
      </w:r>
      <w:r>
        <w:t xml:space="preserve">who are </w:t>
      </w:r>
      <w:r w:rsidRPr="00C66708">
        <w:t>hard of hearing or who are Deaf.</w:t>
      </w:r>
    </w:p>
    <w:p w:rsidR="00454CE4" w:rsidRDefault="00454CE4" w:rsidP="00454CE4"/>
    <w:p w:rsidR="002C07BF" w:rsidRDefault="002C07BF" w:rsidP="002C07BF">
      <w:pPr>
        <w:pStyle w:val="Heading3"/>
      </w:pPr>
      <w:r w:rsidRPr="0063167D">
        <w:t>General</w:t>
      </w:r>
    </w:p>
    <w:p w:rsidR="002C07BF" w:rsidRDefault="002C07BF" w:rsidP="002C07BF">
      <w:pPr>
        <w:keepNext/>
      </w:pPr>
      <w:r>
        <w:t>In general, follow these guidelines.</w:t>
      </w:r>
    </w:p>
    <w:p w:rsidR="002C07BF" w:rsidRDefault="002C07BF" w:rsidP="002C07BF">
      <w:pPr>
        <w:pStyle w:val="Bullet"/>
      </w:pPr>
      <w:r w:rsidRPr="00F37BE0">
        <w:t>Make sure that only one person speaks at a time</w:t>
      </w:r>
      <w:r>
        <w:t xml:space="preserve">; this will make it easier for everyone, including </w:t>
      </w:r>
      <w:r w:rsidRPr="00417582">
        <w:t>New Zealand Sign Language</w:t>
      </w:r>
      <w:r>
        <w:t xml:space="preserve"> interpreters.</w:t>
      </w:r>
      <w:r w:rsidRPr="00F37BE0">
        <w:t xml:space="preserve"> Ask people to raise their hands</w:t>
      </w:r>
      <w:r>
        <w:t xml:space="preserve"> if they wish to speak</w:t>
      </w:r>
      <w:r w:rsidRPr="00F37BE0">
        <w:t xml:space="preserve">, or otherwise </w:t>
      </w:r>
      <w:r>
        <w:t xml:space="preserve">visually </w:t>
      </w:r>
      <w:r w:rsidRPr="00F37BE0">
        <w:t>indicate</w:t>
      </w:r>
      <w:r>
        <w:t xml:space="preserve"> the intention;</w:t>
      </w:r>
      <w:r w:rsidRPr="00F37BE0">
        <w:t xml:space="preserve"> this will give Deaf people </w:t>
      </w:r>
      <w:r>
        <w:t>an equal</w:t>
      </w:r>
      <w:r w:rsidRPr="00F37BE0">
        <w:t xml:space="preserve"> opportunity to contribute.</w:t>
      </w:r>
    </w:p>
    <w:p w:rsidR="002C07BF" w:rsidRDefault="002C07BF" w:rsidP="002C07BF">
      <w:pPr>
        <w:pStyle w:val="Bullet"/>
      </w:pPr>
      <w:r>
        <w:t>S</w:t>
      </w:r>
      <w:r w:rsidRPr="00417582">
        <w:t xml:space="preserve">ome people </w:t>
      </w:r>
      <w:r>
        <w:t>who have a hearing loss identify as being D</w:t>
      </w:r>
      <w:r w:rsidRPr="00417582">
        <w:t>eaf</w:t>
      </w:r>
      <w:r>
        <w:t>.</w:t>
      </w:r>
      <w:r w:rsidRPr="00417582">
        <w:t xml:space="preserve"> </w:t>
      </w:r>
      <w:r>
        <w:t xml:space="preserve">This identity is grounded within the Deaf </w:t>
      </w:r>
      <w:r w:rsidRPr="00417582">
        <w:t>cultur</w:t>
      </w:r>
      <w:r>
        <w:t>e</w:t>
      </w:r>
      <w:r w:rsidRPr="00417582">
        <w:t xml:space="preserve"> </w:t>
      </w:r>
      <w:r>
        <w:t xml:space="preserve">with its own </w:t>
      </w:r>
      <w:r w:rsidRPr="00417582">
        <w:t>language, values and history.</w:t>
      </w:r>
    </w:p>
    <w:p w:rsidR="002C07BF" w:rsidRPr="002C07BF" w:rsidRDefault="002C07BF" w:rsidP="002C07BF">
      <w:pPr>
        <w:pStyle w:val="Bullet"/>
        <w:rPr>
          <w:rFonts w:ascii="Times New Roman" w:hAnsi="Times New Roman"/>
          <w:sz w:val="24"/>
          <w:szCs w:val="24"/>
          <w:lang w:eastAsia="en-NZ"/>
        </w:rPr>
      </w:pPr>
      <w:r w:rsidRPr="002C07BF">
        <w:rPr>
          <w:lang w:eastAsia="en-NZ"/>
        </w:rPr>
        <w:t>Many people with a hearing loss do not use sign language interpreters. They may however use a personal assistive listening system. This can either be in the form of a personal microphone which amplifies sound, or it may use FM radio frequencies to send sound from the source e.g. a presenter using a microphone, directly to the listener. The system can be connected to a hearing aid, a cochlear implant, or received through a headset.</w:t>
      </w:r>
      <w:r w:rsidRPr="002C07BF">
        <w:rPr>
          <w:rFonts w:ascii="Times New Roman" w:hAnsi="Times New Roman"/>
          <w:sz w:val="24"/>
          <w:szCs w:val="24"/>
          <w:lang w:eastAsia="en-NZ"/>
        </w:rPr>
        <w:t xml:space="preserve"> </w:t>
      </w:r>
    </w:p>
    <w:p w:rsidR="002C07BF" w:rsidRPr="002C07BF" w:rsidRDefault="002C07BF" w:rsidP="002C07BF">
      <w:pPr>
        <w:pStyle w:val="Bullet"/>
        <w:rPr>
          <w:rFonts w:ascii="Times New Roman" w:hAnsi="Times New Roman"/>
          <w:sz w:val="24"/>
          <w:szCs w:val="24"/>
          <w:lang w:eastAsia="en-NZ"/>
        </w:rPr>
      </w:pPr>
      <w:r w:rsidRPr="002C07BF">
        <w:rPr>
          <w:lang w:eastAsia="en-NZ"/>
        </w:rPr>
        <w:t xml:space="preserve">Make sure that people with hearing impairments have the option of sitting near the front of the room as many people </w:t>
      </w:r>
      <w:r>
        <w:rPr>
          <w:lang w:eastAsia="en-NZ"/>
        </w:rPr>
        <w:t xml:space="preserve">with hearing loss </w:t>
      </w:r>
      <w:r w:rsidRPr="002C07BF">
        <w:rPr>
          <w:lang w:eastAsia="en-NZ"/>
        </w:rPr>
        <w:t>need to be able to see</w:t>
      </w:r>
      <w:r>
        <w:rPr>
          <w:lang w:eastAsia="en-NZ"/>
        </w:rPr>
        <w:t xml:space="preserve"> body language and lip movements</w:t>
      </w:r>
      <w:r w:rsidRPr="002C07BF">
        <w:rPr>
          <w:lang w:eastAsia="en-NZ"/>
        </w:rPr>
        <w:t xml:space="preserve"> in order to </w:t>
      </w:r>
      <w:r>
        <w:rPr>
          <w:lang w:eastAsia="en-NZ"/>
        </w:rPr>
        <w:t>understand what is being said</w:t>
      </w:r>
      <w:r w:rsidRPr="002C07BF">
        <w:rPr>
          <w:lang w:eastAsia="en-NZ"/>
        </w:rPr>
        <w:t>.</w:t>
      </w:r>
      <w:r w:rsidRPr="002C07BF">
        <w:rPr>
          <w:rFonts w:ascii="Times New Roman" w:hAnsi="Times New Roman"/>
          <w:sz w:val="24"/>
          <w:szCs w:val="24"/>
          <w:lang w:eastAsia="en-NZ"/>
        </w:rPr>
        <w:t xml:space="preserve"> </w:t>
      </w:r>
    </w:p>
    <w:p w:rsidR="002C07BF" w:rsidRPr="002C07BF" w:rsidRDefault="002C07BF" w:rsidP="002C07BF">
      <w:pPr>
        <w:pStyle w:val="Bullet"/>
        <w:rPr>
          <w:rFonts w:ascii="Times New Roman" w:hAnsi="Times New Roman"/>
          <w:sz w:val="24"/>
          <w:szCs w:val="24"/>
          <w:lang w:eastAsia="en-NZ"/>
        </w:rPr>
      </w:pPr>
      <w:r w:rsidRPr="002C07BF">
        <w:rPr>
          <w:lang w:eastAsia="en-NZ"/>
        </w:rPr>
        <w:t>If you are using breakout groups, be prepared to offer a separate room for people with hearing impairments, as the background noise of multiple groups working in the same room can make it very difficult for people using hearing aids or other assistive listening devices to hear what is being said in their own group.</w:t>
      </w:r>
      <w:r w:rsidRPr="002C07BF">
        <w:rPr>
          <w:rFonts w:ascii="Times New Roman" w:hAnsi="Times New Roman"/>
          <w:sz w:val="24"/>
          <w:szCs w:val="24"/>
          <w:lang w:eastAsia="en-NZ"/>
        </w:rPr>
        <w:t xml:space="preserve"> </w:t>
      </w:r>
    </w:p>
    <w:p w:rsidR="002C07BF" w:rsidRDefault="002C07BF" w:rsidP="002C07BF">
      <w:pPr>
        <w:pStyle w:val="Bullet"/>
      </w:pPr>
      <w:r w:rsidRPr="00417582">
        <w:t>Always use a microphone when a hearing loop is in use, and</w:t>
      </w:r>
      <w:r>
        <w:t xml:space="preserve"> request speakers </w:t>
      </w:r>
      <w:proofErr w:type="gramStart"/>
      <w:r>
        <w:t>to  say</w:t>
      </w:r>
      <w:proofErr w:type="gramEnd"/>
      <w:r>
        <w:t xml:space="preserve"> their names</w:t>
      </w:r>
      <w:r w:rsidRPr="00417582">
        <w:t xml:space="preserve"> before speaking</w:t>
      </w:r>
      <w:r>
        <w:t>.</w:t>
      </w:r>
      <w:r w:rsidRPr="00417582">
        <w:t xml:space="preserve"> </w:t>
      </w:r>
      <w:r>
        <w:t>Pe</w:t>
      </w:r>
      <w:r w:rsidRPr="00417582">
        <w:t>ople using hearing loops often can</w:t>
      </w:r>
      <w:r>
        <w:t>n</w:t>
      </w:r>
      <w:r w:rsidRPr="00417582">
        <w:t>ot differentiate between different voices</w:t>
      </w:r>
      <w:r>
        <w:t>, as all tend to sound mechanical</w:t>
      </w:r>
      <w:r w:rsidRPr="00417582">
        <w:t>.</w:t>
      </w:r>
    </w:p>
    <w:p w:rsidR="002C07BF" w:rsidRDefault="002C07BF" w:rsidP="00454CE4"/>
    <w:p w:rsidR="001F07DE" w:rsidRDefault="005065F0" w:rsidP="00454CE4">
      <w:pPr>
        <w:pStyle w:val="Heading3"/>
      </w:pPr>
      <w:r>
        <w:t>New Zealand S</w:t>
      </w:r>
      <w:r w:rsidRPr="0063167D">
        <w:t xml:space="preserve">ign </w:t>
      </w:r>
      <w:r>
        <w:t>L</w:t>
      </w:r>
      <w:r w:rsidRPr="0063167D">
        <w:t>anguage interpreters</w:t>
      </w:r>
    </w:p>
    <w:p w:rsidR="001F07DE" w:rsidRDefault="005065F0" w:rsidP="00454CE4">
      <w:r>
        <w:t>If you are considering hiring a New Zealand Sign Language interpreter, follow these guidelines.</w:t>
      </w:r>
    </w:p>
    <w:p w:rsidR="00267D5F" w:rsidRDefault="005065F0" w:rsidP="00454CE4">
      <w:pPr>
        <w:pStyle w:val="Bullet"/>
      </w:pPr>
      <w:r>
        <w:t>Preferably, b</w:t>
      </w:r>
      <w:r w:rsidRPr="00417582">
        <w:t xml:space="preserve">ook New Zealand Sign Language interpreters </w:t>
      </w:r>
      <w:r>
        <w:t>at least four weeks in advance</w:t>
      </w:r>
      <w:r w:rsidRPr="00417582">
        <w:t>, as there is a shortage of trained interpreters.</w:t>
      </w:r>
      <w:r>
        <w:t xml:space="preserve"> T</w:t>
      </w:r>
      <w:r w:rsidRPr="00417582">
        <w:t>his is particularly true of tri-lingual interpreters (</w:t>
      </w:r>
      <w:proofErr w:type="spellStart"/>
      <w:r>
        <w:t>eg</w:t>
      </w:r>
      <w:proofErr w:type="spellEnd"/>
      <w:r>
        <w:t xml:space="preserve">, </w:t>
      </w:r>
      <w:proofErr w:type="spellStart"/>
      <w:r w:rsidRPr="00417582">
        <w:t>Te</w:t>
      </w:r>
      <w:proofErr w:type="spellEnd"/>
      <w:r w:rsidRPr="00417582">
        <w:t xml:space="preserve"> Reo</w:t>
      </w:r>
      <w:r>
        <w:t>–</w:t>
      </w:r>
      <w:r w:rsidRPr="00417582">
        <w:t>English</w:t>
      </w:r>
      <w:r>
        <w:t>–</w:t>
      </w:r>
      <w:r w:rsidRPr="00417582">
        <w:t>New Zealand Sign Language).</w:t>
      </w:r>
    </w:p>
    <w:p w:rsidR="001F07DE" w:rsidRDefault="005065F0" w:rsidP="00454CE4">
      <w:pPr>
        <w:pStyle w:val="Bullet"/>
      </w:pPr>
      <w:r>
        <w:t>A</w:t>
      </w:r>
      <w:r w:rsidRPr="00417582">
        <w:t>lthough it is unlikely that a qualified tri-lingual sign language interpreter</w:t>
      </w:r>
      <w:r>
        <w:t xml:space="preserve"> will be available</w:t>
      </w:r>
      <w:r w:rsidRPr="00417582">
        <w:t>, a</w:t>
      </w:r>
      <w:r>
        <w:t xml:space="preserve"> </w:t>
      </w:r>
      <w:r w:rsidRPr="00417582">
        <w:t xml:space="preserve">New Zealand Sign Language agency may have alternate suggestions that could assist </w:t>
      </w:r>
      <w:r>
        <w:t>the</w:t>
      </w:r>
      <w:r w:rsidRPr="00417582">
        <w:t xml:space="preserve"> engagement with a particular </w:t>
      </w:r>
      <w:r>
        <w:t xml:space="preserve">non-English speaking </w:t>
      </w:r>
      <w:r w:rsidRPr="00417582">
        <w:t>group</w:t>
      </w:r>
      <w:r>
        <w:t>;</w:t>
      </w:r>
      <w:r w:rsidRPr="00417582">
        <w:t xml:space="preserve"> discuss your needs with them.</w:t>
      </w:r>
    </w:p>
    <w:p w:rsidR="00267D5F" w:rsidRDefault="005065F0" w:rsidP="00454CE4">
      <w:pPr>
        <w:pStyle w:val="Bullet"/>
      </w:pPr>
      <w:r>
        <w:t xml:space="preserve">Consider </w:t>
      </w:r>
      <w:r w:rsidRPr="00417582">
        <w:t xml:space="preserve">how </w:t>
      </w:r>
      <w:r>
        <w:t>many interpreters you require. You will need at least t</w:t>
      </w:r>
      <w:r w:rsidRPr="00417582">
        <w:t xml:space="preserve">wo interpreters, </w:t>
      </w:r>
      <w:r>
        <w:t xml:space="preserve">who can </w:t>
      </w:r>
      <w:r w:rsidRPr="00417582">
        <w:t xml:space="preserve">take turns, if a meeting goes longer than 1.5 hours or </w:t>
      </w:r>
      <w:r>
        <w:t>requires</w:t>
      </w:r>
      <w:r w:rsidRPr="00417582">
        <w:t xml:space="preserve"> technically complicated signing</w:t>
      </w:r>
      <w:r>
        <w:t>. It</w:t>
      </w:r>
      <w:r w:rsidRPr="00417582">
        <w:t xml:space="preserve"> is best to discuss this with the interpreting agency.</w:t>
      </w:r>
    </w:p>
    <w:p w:rsidR="001F07DE" w:rsidRDefault="005065F0" w:rsidP="00454CE4">
      <w:pPr>
        <w:pStyle w:val="Bullet"/>
      </w:pPr>
      <w:r w:rsidRPr="00A205D6">
        <w:t xml:space="preserve">If </w:t>
      </w:r>
      <w:r>
        <w:t xml:space="preserve">you are engaging </w:t>
      </w:r>
      <w:r w:rsidRPr="00A205D6">
        <w:t xml:space="preserve">interpreters, discuss </w:t>
      </w:r>
      <w:r>
        <w:t xml:space="preserve">with them </w:t>
      </w:r>
      <w:r w:rsidRPr="00A205D6">
        <w:t xml:space="preserve">the speed at which </w:t>
      </w:r>
      <w:r>
        <w:t xml:space="preserve">presenters </w:t>
      </w:r>
      <w:r w:rsidRPr="00A205D6">
        <w:t>should speak</w:t>
      </w:r>
      <w:r>
        <w:t>,</w:t>
      </w:r>
      <w:r w:rsidRPr="00A205D6">
        <w:t xml:space="preserve"> and whether </w:t>
      </w:r>
      <w:r>
        <w:t xml:space="preserve">they will need a pause </w:t>
      </w:r>
      <w:r w:rsidRPr="00A205D6">
        <w:t xml:space="preserve">to allow </w:t>
      </w:r>
      <w:r>
        <w:t>interpreters</w:t>
      </w:r>
      <w:r w:rsidRPr="00A205D6">
        <w:t xml:space="preserve"> to swap over.</w:t>
      </w:r>
    </w:p>
    <w:p w:rsidR="001F07DE" w:rsidRDefault="005065F0" w:rsidP="00454CE4">
      <w:pPr>
        <w:pStyle w:val="Bullet"/>
      </w:pPr>
      <w:r>
        <w:t>Send any written material you will use at the event to the interpreters ahead of time, to</w:t>
      </w:r>
      <w:r w:rsidRPr="00A205D6">
        <w:t xml:space="preserve"> allow them to familiarise themselves with the content.</w:t>
      </w:r>
    </w:p>
    <w:p w:rsidR="001F07DE" w:rsidRDefault="005065F0" w:rsidP="00454CE4">
      <w:pPr>
        <w:pStyle w:val="Bullet"/>
      </w:pPr>
      <w:r w:rsidRPr="00417582">
        <w:lastRenderedPageBreak/>
        <w:t xml:space="preserve">Make sure </w:t>
      </w:r>
      <w:r>
        <w:t xml:space="preserve">the venue has </w:t>
      </w:r>
      <w:r w:rsidRPr="00417582">
        <w:t>appropriate lighting</w:t>
      </w:r>
      <w:r>
        <w:t xml:space="preserve"> </w:t>
      </w:r>
      <w:r w:rsidRPr="00417582">
        <w:t xml:space="preserve">for </w:t>
      </w:r>
      <w:r>
        <w:t>hard of hearing people who rely on lip-reading</w:t>
      </w:r>
      <w:r w:rsidRPr="00417582">
        <w:t xml:space="preserve"> and for users of sign language</w:t>
      </w:r>
      <w:r>
        <w:t>. S</w:t>
      </w:r>
      <w:r w:rsidRPr="00417582">
        <w:t xml:space="preserve">ign language interpreters need to be well lit, so that their face, hands and body can be easily seen. </w:t>
      </w:r>
      <w:r>
        <w:t>R</w:t>
      </w:r>
      <w:r w:rsidRPr="00417582">
        <w:t xml:space="preserve">eserve seats opposite </w:t>
      </w:r>
      <w:r>
        <w:t>interpreters for Deaf people. Ensure there are no</w:t>
      </w:r>
      <w:r w:rsidRPr="00417582">
        <w:t xml:space="preserve"> barriers, such as poles, </w:t>
      </w:r>
      <w:r>
        <w:t xml:space="preserve">that may </w:t>
      </w:r>
      <w:r w:rsidRPr="00417582">
        <w:t xml:space="preserve">obstruct </w:t>
      </w:r>
      <w:r>
        <w:t>people</w:t>
      </w:r>
      <w:r w:rsidR="00267D5F">
        <w:t>’</w:t>
      </w:r>
      <w:r>
        <w:t>s</w:t>
      </w:r>
      <w:r w:rsidRPr="00417582">
        <w:t xml:space="preserve"> view of the interpreters.</w:t>
      </w:r>
    </w:p>
    <w:p w:rsidR="001F07DE" w:rsidRDefault="005065F0" w:rsidP="00454CE4">
      <w:pPr>
        <w:pStyle w:val="Bullet"/>
      </w:pPr>
      <w:r w:rsidRPr="00417582">
        <w:t xml:space="preserve">When </w:t>
      </w:r>
      <w:r>
        <w:t xml:space="preserve">you are </w:t>
      </w:r>
      <w:r w:rsidRPr="00417582">
        <w:t>asking for comments from the audience,</w:t>
      </w:r>
      <w:r>
        <w:t xml:space="preserve"> have at least one person (depending on the size and configuration of the group)</w:t>
      </w:r>
      <w:r w:rsidRPr="00417582">
        <w:t xml:space="preserve"> ready to take </w:t>
      </w:r>
      <w:r>
        <w:t>a</w:t>
      </w:r>
      <w:r w:rsidRPr="00417582">
        <w:t xml:space="preserve"> microphone to </w:t>
      </w:r>
      <w:r>
        <w:t>participants</w:t>
      </w:r>
      <w:r w:rsidRPr="00417582">
        <w:t>, and ensure that sign language interpreters have a microphone available.</w:t>
      </w:r>
      <w:r>
        <w:t xml:space="preserve"> Be aware that you may need more than one microphone.</w:t>
      </w:r>
    </w:p>
    <w:p w:rsidR="00267D5F" w:rsidRDefault="005065F0" w:rsidP="00454CE4">
      <w:pPr>
        <w:pStyle w:val="Bullet"/>
      </w:pPr>
      <w:r w:rsidRPr="00417582">
        <w:t xml:space="preserve">If a New Zealand Sign Language interpreter is not available, or </w:t>
      </w:r>
      <w:r>
        <w:t xml:space="preserve">you wish to engage with </w:t>
      </w:r>
      <w:r w:rsidRPr="00417582">
        <w:t xml:space="preserve">Deaf participants </w:t>
      </w:r>
      <w:r>
        <w:t xml:space="preserve">who </w:t>
      </w:r>
      <w:r w:rsidRPr="00417582">
        <w:t xml:space="preserve">do not </w:t>
      </w:r>
      <w:r>
        <w:t>use</w:t>
      </w:r>
      <w:r w:rsidRPr="00601F52">
        <w:t xml:space="preserve"> </w:t>
      </w:r>
      <w:r>
        <w:t>New Zealand Sign Language,</w:t>
      </w:r>
      <w:r w:rsidRPr="00417582">
        <w:t xml:space="preserve"> consider using an electronic note-taker</w:t>
      </w:r>
      <w:r>
        <w:t>/live captioning to</w:t>
      </w:r>
      <w:r w:rsidRPr="00417582">
        <w:t xml:space="preserve"> transcribe the discussion in real time</w:t>
      </w:r>
      <w:r>
        <w:t>; this will transfer your material on to</w:t>
      </w:r>
      <w:r w:rsidRPr="00417582">
        <w:t xml:space="preserve"> a data show or computer screen</w:t>
      </w:r>
      <w:r>
        <w:t xml:space="preserve"> which the participant can read</w:t>
      </w:r>
      <w:r w:rsidRPr="00417582">
        <w:t>.</w:t>
      </w:r>
    </w:p>
    <w:p w:rsidR="001F07DE" w:rsidRDefault="005065F0" w:rsidP="00454CE4">
      <w:pPr>
        <w:pStyle w:val="Bullet"/>
      </w:pPr>
      <w:r w:rsidRPr="00A205D6">
        <w:t xml:space="preserve">If </w:t>
      </w:r>
      <w:r>
        <w:t xml:space="preserve">you are going to use </w:t>
      </w:r>
      <w:r w:rsidRPr="00A205D6">
        <w:t>video</w:t>
      </w:r>
      <w:r>
        <w:t>s</w:t>
      </w:r>
      <w:r w:rsidRPr="00A205D6">
        <w:t xml:space="preserve"> </w:t>
      </w:r>
      <w:r>
        <w:t xml:space="preserve">in </w:t>
      </w:r>
      <w:r w:rsidRPr="00A205D6">
        <w:t>presentation</w:t>
      </w:r>
      <w:r>
        <w:t>s</w:t>
      </w:r>
      <w:r w:rsidRPr="00A205D6">
        <w:t xml:space="preserve">, consider inserting captions or video clips of </w:t>
      </w:r>
      <w:r>
        <w:t>New Zealand Sign Language</w:t>
      </w:r>
      <w:r w:rsidRPr="00A205D6">
        <w:t xml:space="preserve"> interpreters.</w:t>
      </w:r>
    </w:p>
    <w:p w:rsidR="001F07DE" w:rsidRDefault="005065F0" w:rsidP="00454CE4">
      <w:pPr>
        <w:pStyle w:val="Bullet"/>
      </w:pPr>
      <w:r w:rsidRPr="00417582">
        <w:t>S</w:t>
      </w:r>
      <w:r w:rsidRPr="00FA7CCF">
        <w:t xml:space="preserve">ee </w:t>
      </w:r>
      <w:r w:rsidR="00267D5F" w:rsidRPr="00FA7CCF">
        <w:t>‘</w:t>
      </w:r>
      <w:hyperlink w:anchor="_Further_resources_and" w:history="1">
        <w:r w:rsidRPr="00FA7CCF">
          <w:rPr>
            <w:rStyle w:val="Hyperlink"/>
            <w:color w:val="auto"/>
          </w:rPr>
          <w:t>Further resources and organisations</w:t>
        </w:r>
      </w:hyperlink>
      <w:r w:rsidR="00454CE4" w:rsidRPr="00FA7CCF">
        <w:t>’</w:t>
      </w:r>
      <w:r w:rsidRPr="00FA7CCF" w:rsidDel="00E67F9A">
        <w:t xml:space="preserve"> </w:t>
      </w:r>
      <w:r w:rsidR="000B1BD7" w:rsidRPr="00FA7CCF">
        <w:rPr>
          <w:rStyle w:val="Hyperlink"/>
          <w:color w:val="auto"/>
        </w:rPr>
        <w:t xml:space="preserve">(page </w:t>
      </w:r>
      <w:r w:rsidR="000B1BD7" w:rsidRPr="000B1BD7">
        <w:rPr>
          <w:rStyle w:val="Hyperlink"/>
          <w:color w:val="auto"/>
        </w:rPr>
        <w:t>39)</w:t>
      </w:r>
      <w:r w:rsidR="000B1BD7">
        <w:rPr>
          <w:rStyle w:val="Hyperlink"/>
          <w:color w:val="auto"/>
        </w:rPr>
        <w:t xml:space="preserve"> </w:t>
      </w:r>
      <w:r w:rsidRPr="00417582">
        <w:t xml:space="preserve">for </w:t>
      </w:r>
      <w:r>
        <w:t xml:space="preserve">information on </w:t>
      </w:r>
      <w:r w:rsidRPr="00417582">
        <w:t>booking New Zealand Sign Language interpreters.</w:t>
      </w:r>
    </w:p>
    <w:p w:rsidR="001F07DE" w:rsidRPr="00263088" w:rsidRDefault="005065F0" w:rsidP="009F0D47">
      <w:pPr>
        <w:pStyle w:val="Bullet"/>
      </w:pPr>
      <w:r>
        <w:t xml:space="preserve">For more information about working with interpreters, see </w:t>
      </w:r>
      <w:r w:rsidR="009F0D47" w:rsidRPr="009F0D47">
        <w:rPr>
          <w:i/>
        </w:rPr>
        <w:t>Effective communication with deaf people: A guide to working with New Zealand Sign Language interpreters</w:t>
      </w:r>
      <w:r>
        <w:t>, produced by the Office for Disability Issues.</w:t>
      </w:r>
      <w:r w:rsidR="009F0D47">
        <w:br/>
      </w:r>
      <w:hyperlink r:id="rId40" w:history="1">
        <w:r w:rsidR="009F0D47" w:rsidRPr="00263088">
          <w:rPr>
            <w:rStyle w:val="Hyperlink"/>
            <w:color w:val="auto"/>
          </w:rPr>
          <w:t>www.odi.govt.nz/resources/guides-and-toolkits/working-with-nzsl-interpreters/index.html</w:t>
        </w:r>
      </w:hyperlink>
      <w:r w:rsidR="009F0D47" w:rsidRPr="00263088">
        <w:t xml:space="preserve"> </w:t>
      </w:r>
    </w:p>
    <w:p w:rsidR="00454CE4" w:rsidRDefault="00454CE4" w:rsidP="00454CE4"/>
    <w:p w:rsidR="001F07DE" w:rsidRDefault="005065F0" w:rsidP="00454CE4">
      <w:pPr>
        <w:pStyle w:val="Heading3"/>
      </w:pPr>
      <w:r w:rsidRPr="0063167D">
        <w:t>Working with hearing dogs</w:t>
      </w:r>
    </w:p>
    <w:p w:rsidR="001F07DE" w:rsidRDefault="005065F0" w:rsidP="00454CE4">
      <w:r w:rsidRPr="00550B2F">
        <w:t>This information is adapted from the information produced by the Blind Foundation</w:t>
      </w:r>
      <w:r w:rsidR="00267D5F">
        <w:t>’</w:t>
      </w:r>
      <w:r w:rsidRPr="00550B2F">
        <w:t>s guidelines for interacting with guide dogs.</w:t>
      </w:r>
    </w:p>
    <w:p w:rsidR="00267D5F" w:rsidRDefault="005065F0" w:rsidP="00454CE4">
      <w:pPr>
        <w:pStyle w:val="Bullet"/>
      </w:pPr>
      <w:r>
        <w:t>Hearing</w:t>
      </w:r>
      <w:r w:rsidRPr="000B3EEE">
        <w:t xml:space="preserve"> dogs need to concentrate on doing their job.</w:t>
      </w:r>
      <w:r>
        <w:t xml:space="preserve"> </w:t>
      </w:r>
      <w:r w:rsidRPr="000B3EEE">
        <w:t>Do</w:t>
      </w:r>
      <w:r>
        <w:t xml:space="preserve"> </w:t>
      </w:r>
      <w:r w:rsidRPr="000B3EEE">
        <w:t>n</w:t>
      </w:r>
      <w:r>
        <w:t>o</w:t>
      </w:r>
      <w:r w:rsidRPr="000B3EEE">
        <w:t xml:space="preserve">t interact with </w:t>
      </w:r>
      <w:r>
        <w:t xml:space="preserve">them </w:t>
      </w:r>
      <w:r w:rsidRPr="000B3EEE">
        <w:t>unless the</w:t>
      </w:r>
      <w:r>
        <w:t xml:space="preserve"> dog</w:t>
      </w:r>
      <w:r w:rsidR="00267D5F">
        <w:t>’</w:t>
      </w:r>
      <w:r>
        <w:t>s handler gives permission – avoid eye contact with the dog, do</w:t>
      </w:r>
      <w:r w:rsidRPr="000B3EEE">
        <w:t xml:space="preserve"> not talk to </w:t>
      </w:r>
      <w:r>
        <w:t xml:space="preserve">or pat </w:t>
      </w:r>
      <w:r w:rsidRPr="000B3EEE">
        <w:t>the dog and do not feed him/her.</w:t>
      </w:r>
    </w:p>
    <w:p w:rsidR="00267D5F" w:rsidRDefault="005065F0" w:rsidP="00454CE4">
      <w:pPr>
        <w:pStyle w:val="Bullet"/>
      </w:pPr>
      <w:r>
        <w:t>Ideally, t</w:t>
      </w:r>
      <w:r w:rsidRPr="000B3EEE">
        <w:t xml:space="preserve">he venue should include a lawn area for </w:t>
      </w:r>
      <w:r>
        <w:t>hearing or assistance</w:t>
      </w:r>
      <w:r w:rsidRPr="000B3EEE">
        <w:t xml:space="preserve"> dogs, or one should be available close enough that the handler can safely toilet their dogs.</w:t>
      </w:r>
    </w:p>
    <w:p w:rsidR="001F07DE" w:rsidRPr="00263088" w:rsidRDefault="005065F0" w:rsidP="009F0D47">
      <w:pPr>
        <w:pStyle w:val="Bullet"/>
      </w:pPr>
      <w:r w:rsidRPr="000B3EEE">
        <w:t xml:space="preserve">For more information contact </w:t>
      </w:r>
      <w:r w:rsidR="009F0D47" w:rsidRPr="009F0D47">
        <w:t>Hearing Dogs New Zealand</w:t>
      </w:r>
      <w:r w:rsidRPr="00417582">
        <w:t>.</w:t>
      </w:r>
      <w:r w:rsidR="009F0D47">
        <w:br/>
      </w:r>
      <w:hyperlink r:id="rId41" w:history="1">
        <w:r w:rsidR="009F0D47" w:rsidRPr="00263088">
          <w:rPr>
            <w:rStyle w:val="Hyperlink"/>
            <w:color w:val="auto"/>
          </w:rPr>
          <w:t>www.hearingdogs.org.nz</w:t>
        </w:r>
      </w:hyperlink>
    </w:p>
    <w:p w:rsidR="00454CE4" w:rsidRDefault="00454CE4" w:rsidP="00454CE4">
      <w:bookmarkStart w:id="253" w:name="_Toc416691402"/>
    </w:p>
    <w:p w:rsidR="00267D5F" w:rsidRDefault="005065F0" w:rsidP="00454CE4">
      <w:r w:rsidRPr="009C41C5">
        <w:t>For more information</w:t>
      </w:r>
      <w:r>
        <w:t>,</w:t>
      </w:r>
      <w:r w:rsidRPr="009C41C5">
        <w:t xml:space="preserve"> see</w:t>
      </w:r>
      <w:r>
        <w:t xml:space="preserve"> also</w:t>
      </w:r>
      <w:r w:rsidRPr="009C41C5">
        <w:t>:</w:t>
      </w:r>
    </w:p>
    <w:p w:rsidR="001F07DE" w:rsidRPr="00E30965" w:rsidRDefault="008A337B" w:rsidP="00454CE4">
      <w:pPr>
        <w:pStyle w:val="Bullet"/>
      </w:pPr>
      <w:hyperlink w:anchor="_Using_written_information" w:history="1">
        <w:r w:rsidR="005065F0" w:rsidRPr="00E30965">
          <w:rPr>
            <w:rStyle w:val="Hyperlink"/>
            <w:color w:val="auto"/>
          </w:rPr>
          <w:t>Using written information and printed materials accessibly</w:t>
        </w:r>
      </w:hyperlink>
      <w:r w:rsidR="00F63D19" w:rsidRPr="00E30965">
        <w:rPr>
          <w:rStyle w:val="Hyperlink"/>
          <w:color w:val="auto"/>
        </w:rPr>
        <w:t xml:space="preserve"> (page 17)</w:t>
      </w:r>
    </w:p>
    <w:p w:rsidR="001F07DE" w:rsidRPr="00E30965" w:rsidRDefault="008A337B" w:rsidP="00454CE4">
      <w:pPr>
        <w:pStyle w:val="Bullet"/>
      </w:pPr>
      <w:hyperlink w:anchor="_Accessible_presentations_and" w:history="1">
        <w:r w:rsidR="005065F0" w:rsidRPr="00E30965">
          <w:rPr>
            <w:rStyle w:val="Hyperlink"/>
            <w:color w:val="auto"/>
          </w:rPr>
          <w:t>Accessible presentations and other verbal communication</w:t>
        </w:r>
      </w:hyperlink>
      <w:r w:rsidR="00F63D19" w:rsidRPr="00E30965">
        <w:rPr>
          <w:rStyle w:val="Hyperlink"/>
          <w:color w:val="auto"/>
        </w:rPr>
        <w:t xml:space="preserve"> (page 19)</w:t>
      </w:r>
      <w:r w:rsidR="005065F0" w:rsidRPr="00E30965">
        <w:t>.</w:t>
      </w:r>
    </w:p>
    <w:p w:rsidR="00454CE4" w:rsidRPr="00E30965" w:rsidRDefault="00454CE4" w:rsidP="00454CE4"/>
    <w:p w:rsidR="003C1F1D" w:rsidRDefault="003C1F1D" w:rsidP="003C1F1D">
      <w:bookmarkStart w:id="254" w:name="_Appendix_11_–"/>
      <w:bookmarkStart w:id="255" w:name="_Toc442354562"/>
      <w:bookmarkEnd w:id="254"/>
      <w:r>
        <w:br w:type="page"/>
      </w:r>
    </w:p>
    <w:p w:rsidR="001F07DE" w:rsidRDefault="005065F0" w:rsidP="003C1F1D">
      <w:pPr>
        <w:pStyle w:val="Heading2"/>
        <w:spacing w:before="0"/>
      </w:pPr>
      <w:bookmarkStart w:id="256" w:name="_Toc479687388"/>
      <w:r w:rsidRPr="000869F7">
        <w:lastRenderedPageBreak/>
        <w:t>Engaging with people with complex communication needs</w:t>
      </w:r>
      <w:bookmarkEnd w:id="253"/>
      <w:bookmarkEnd w:id="255"/>
      <w:bookmarkEnd w:id="256"/>
    </w:p>
    <w:p w:rsidR="001F07DE" w:rsidRDefault="005065F0" w:rsidP="00454CE4">
      <w:r>
        <w:t xml:space="preserve">This section provides a </w:t>
      </w:r>
      <w:r w:rsidRPr="00487A78">
        <w:t xml:space="preserve">summary </w:t>
      </w:r>
      <w:r>
        <w:t xml:space="preserve">of </w:t>
      </w:r>
      <w:r w:rsidRPr="00487A78">
        <w:t xml:space="preserve">the information </w:t>
      </w:r>
      <w:r>
        <w:t>in</w:t>
      </w:r>
      <w:r w:rsidRPr="00487A78">
        <w:t xml:space="preserve"> this guide</w:t>
      </w:r>
      <w:r>
        <w:t>,</w:t>
      </w:r>
      <w:r w:rsidRPr="00487A78">
        <w:t xml:space="preserve"> and </w:t>
      </w:r>
      <w:r>
        <w:t>gives additional tips to support an effective engagement process with people with complex communication needs.</w:t>
      </w:r>
    </w:p>
    <w:p w:rsidR="00454CE4" w:rsidRDefault="00454CE4" w:rsidP="00454CE4"/>
    <w:p w:rsidR="00267D5F" w:rsidRDefault="005065F0" w:rsidP="00454CE4">
      <w:pPr>
        <w:pStyle w:val="Heading3"/>
      </w:pPr>
      <w:r w:rsidRPr="0063167D">
        <w:t>General</w:t>
      </w:r>
    </w:p>
    <w:p w:rsidR="001F07DE" w:rsidRDefault="005065F0" w:rsidP="00454CE4">
      <w:r>
        <w:t>In general, follow these guidelines.</w:t>
      </w:r>
    </w:p>
    <w:p w:rsidR="00267D5F" w:rsidRDefault="005065F0" w:rsidP="00454CE4">
      <w:pPr>
        <w:pStyle w:val="Bullet"/>
      </w:pPr>
      <w:r>
        <w:t>P</w:t>
      </w:r>
      <w:r w:rsidRPr="008C6A73">
        <w:t xml:space="preserve">eople experience communication difficulties </w:t>
      </w:r>
      <w:r>
        <w:t>for</w:t>
      </w:r>
      <w:r w:rsidRPr="008C6A73">
        <w:t xml:space="preserve"> a range of reasons</w:t>
      </w:r>
      <w:r>
        <w:t>,</w:t>
      </w:r>
      <w:r w:rsidRPr="008C6A73">
        <w:t xml:space="preserve"> including</w:t>
      </w:r>
      <w:r>
        <w:t xml:space="preserve"> learning/</w:t>
      </w:r>
      <w:r w:rsidRPr="008C6A73">
        <w:t>intellectual disabilities, autism spectrum disorder</w:t>
      </w:r>
      <w:r>
        <w:t xml:space="preserve"> (ASD)</w:t>
      </w:r>
      <w:r w:rsidRPr="008C6A73">
        <w:t>, brain injuries, cerebral palsy</w:t>
      </w:r>
      <w:r w:rsidRPr="005A632E">
        <w:t xml:space="preserve"> </w:t>
      </w:r>
      <w:r>
        <w:t xml:space="preserve">and </w:t>
      </w:r>
      <w:r w:rsidRPr="005A632E">
        <w:t>motor neurone disease.</w:t>
      </w:r>
    </w:p>
    <w:p w:rsidR="00267D5F" w:rsidRDefault="005065F0" w:rsidP="00454CE4">
      <w:pPr>
        <w:pStyle w:val="Bullet"/>
      </w:pPr>
      <w:r w:rsidRPr="00422879">
        <w:t>People</w:t>
      </w:r>
      <w:r>
        <w:t xml:space="preserve"> </w:t>
      </w:r>
      <w:r w:rsidRPr="00422879">
        <w:t>experience communication difficulties</w:t>
      </w:r>
      <w:r>
        <w:t xml:space="preserve"> differently. Some may have </w:t>
      </w:r>
      <w:r w:rsidRPr="00422879">
        <w:t xml:space="preserve">difficulty in </w:t>
      </w:r>
      <w:r w:rsidRPr="002D773D">
        <w:t xml:space="preserve">understanding </w:t>
      </w:r>
      <w:r>
        <w:t>information,</w:t>
      </w:r>
      <w:r w:rsidRPr="002D773D">
        <w:t xml:space="preserve"> or </w:t>
      </w:r>
      <w:r>
        <w:t xml:space="preserve">knowing </w:t>
      </w:r>
      <w:r w:rsidRPr="002D773D">
        <w:t>how to respond</w:t>
      </w:r>
      <w:r>
        <w:t>. Others may have a</w:t>
      </w:r>
      <w:r w:rsidRPr="002D773D">
        <w:t xml:space="preserve"> physical impairment related to the muscles </w:t>
      </w:r>
      <w:r>
        <w:t>connected</w:t>
      </w:r>
      <w:r w:rsidRPr="002D773D">
        <w:t xml:space="preserve"> to voice or speech. People with ASD experience social and communication impairments</w:t>
      </w:r>
      <w:r w:rsidR="00384BD3">
        <w:t>. S</w:t>
      </w:r>
      <w:r>
        <w:t>ee</w:t>
      </w:r>
      <w:r w:rsidRPr="002D773D">
        <w:t xml:space="preserve"> </w:t>
      </w:r>
      <w:r w:rsidR="00267D5F">
        <w:t>‘</w:t>
      </w:r>
      <w:hyperlink w:anchor="_Appendix_13_–" w:history="1">
        <w:r w:rsidRPr="00E30965">
          <w:rPr>
            <w:rStyle w:val="Hyperlink"/>
            <w:color w:val="auto"/>
          </w:rPr>
          <w:t>Engaging with people with autism spectrum disorder</w:t>
        </w:r>
      </w:hyperlink>
      <w:r w:rsidR="00454CE4" w:rsidRPr="00E30965">
        <w:t>’</w:t>
      </w:r>
      <w:r w:rsidR="00384BD3" w:rsidRPr="00E30965">
        <w:t xml:space="preserve"> </w:t>
      </w:r>
      <w:r w:rsidR="00384BD3" w:rsidRPr="00E30965">
        <w:rPr>
          <w:rStyle w:val="Hyperlink"/>
          <w:color w:val="auto"/>
        </w:rPr>
        <w:t>(</w:t>
      </w:r>
      <w:r w:rsidR="00384BD3">
        <w:rPr>
          <w:rStyle w:val="Hyperlink"/>
          <w:color w:val="auto"/>
        </w:rPr>
        <w:t>page 32)</w:t>
      </w:r>
      <w:r w:rsidRPr="00BF4D31">
        <w:t>.</w:t>
      </w:r>
    </w:p>
    <w:p w:rsidR="001F07DE" w:rsidRDefault="005065F0" w:rsidP="003C1F1D">
      <w:pPr>
        <w:pStyle w:val="Bullet"/>
      </w:pPr>
      <w:r>
        <w:t>Take the time to understand these needs</w:t>
      </w:r>
      <w:r w:rsidRPr="00605B0D">
        <w:t xml:space="preserve"> </w:t>
      </w:r>
      <w:r w:rsidRPr="002D773D">
        <w:t>– start by asking them how they prefer to communicate.</w:t>
      </w:r>
    </w:p>
    <w:p w:rsidR="00267D5F" w:rsidRDefault="005065F0" w:rsidP="003C1F1D">
      <w:pPr>
        <w:pStyle w:val="Bullet"/>
      </w:pPr>
      <w:r>
        <w:t>S</w:t>
      </w:r>
      <w:r w:rsidRPr="002D773D">
        <w:t>peak to the person, not their support person.</w:t>
      </w:r>
      <w:r w:rsidRPr="00A2640E">
        <w:rPr>
          <w:vertAlign w:val="superscript"/>
        </w:rPr>
        <w:endnoteReference w:id="12"/>
      </w:r>
    </w:p>
    <w:p w:rsidR="002665BC" w:rsidRDefault="005065F0" w:rsidP="002665BC">
      <w:pPr>
        <w:pStyle w:val="Bullet"/>
      </w:pPr>
      <w:r w:rsidRPr="002D773D">
        <w:t>Start by assuming a person can understand</w:t>
      </w:r>
      <w:r>
        <w:t xml:space="preserve"> you</w:t>
      </w:r>
      <w:r w:rsidRPr="002D773D">
        <w:t xml:space="preserve">, and then adjust </w:t>
      </w:r>
      <w:r>
        <w:t xml:space="preserve">your </w:t>
      </w:r>
      <w:r w:rsidRPr="002D773D">
        <w:t xml:space="preserve">approach according to their response. For example, some people find it difficult to respond to open-ended questions. Try these first, and if </w:t>
      </w:r>
      <w:r>
        <w:t xml:space="preserve">you </w:t>
      </w:r>
      <w:r w:rsidRPr="002D773D">
        <w:t xml:space="preserve">need </w:t>
      </w:r>
      <w:r>
        <w:t xml:space="preserve">to, </w:t>
      </w:r>
      <w:r w:rsidRPr="002D773D">
        <w:t xml:space="preserve">move to yes or no or closed option questions. If using closed questions, consider including </w:t>
      </w:r>
      <w:r>
        <w:t xml:space="preserve">a </w:t>
      </w:r>
      <w:r w:rsidR="00267D5F">
        <w:t>‘</w:t>
      </w:r>
      <w:r w:rsidRPr="002D773D">
        <w:t>something else</w:t>
      </w:r>
      <w:r w:rsidR="00267D5F">
        <w:t>’</w:t>
      </w:r>
      <w:r>
        <w:t xml:space="preserve"> option,</w:t>
      </w:r>
      <w:r w:rsidRPr="002D773D">
        <w:t xml:space="preserve"> so </w:t>
      </w:r>
      <w:r>
        <w:t xml:space="preserve">the person is </w:t>
      </w:r>
      <w:r w:rsidRPr="002D773D">
        <w:t xml:space="preserve">not limited to the options </w:t>
      </w:r>
      <w:r>
        <w:t xml:space="preserve">you have </w:t>
      </w:r>
      <w:r w:rsidRPr="007D67D8">
        <w:t>provided.</w:t>
      </w:r>
      <w:r>
        <w:t xml:space="preserve"> For example, ask, </w:t>
      </w:r>
      <w:r w:rsidR="00267D5F">
        <w:t>‘</w:t>
      </w:r>
      <w:r>
        <w:t>would you like a coffee, tea or something else?</w:t>
      </w:r>
      <w:r w:rsidR="00267D5F">
        <w:t>’</w:t>
      </w:r>
    </w:p>
    <w:p w:rsidR="00FB228E" w:rsidRDefault="005065F0" w:rsidP="002665BC">
      <w:pPr>
        <w:pStyle w:val="Bullet"/>
      </w:pPr>
      <w:r w:rsidRPr="002D773D">
        <w:t xml:space="preserve">Some people may prefer </w:t>
      </w:r>
      <w:proofErr w:type="spellStart"/>
      <w:r>
        <w:t>whānau</w:t>
      </w:r>
      <w:proofErr w:type="spellEnd"/>
      <w:r w:rsidRPr="002D773D">
        <w:t xml:space="preserve"> </w:t>
      </w:r>
      <w:r>
        <w:t xml:space="preserve">members or carers to express their preferences on their behalf, as they trust them to </w:t>
      </w:r>
      <w:r w:rsidRPr="002D773D">
        <w:t xml:space="preserve">understand </w:t>
      </w:r>
      <w:r>
        <w:t xml:space="preserve">and communicate </w:t>
      </w:r>
      <w:r w:rsidRPr="002D773D">
        <w:t>their individual needs and communication methods.</w:t>
      </w:r>
      <w:r w:rsidRPr="00CF667E">
        <w:t xml:space="preserve"> </w:t>
      </w:r>
      <w:r>
        <w:t>Ask permission from the person to gather this information</w:t>
      </w:r>
    </w:p>
    <w:p w:rsidR="007B1B7E" w:rsidRPr="00E81E75" w:rsidRDefault="007B1B7E" w:rsidP="00454CE4">
      <w:pPr>
        <w:pStyle w:val="Bullet"/>
      </w:pPr>
      <w:r w:rsidRPr="00E81E75">
        <w:t xml:space="preserve">Some people with high and complex disability needs are unable to communicate or to understand the concept of giving permission for someone to communicate on their behalf, and are best represented by someone who knows them well e.g. </w:t>
      </w:r>
      <w:r w:rsidR="002665BC" w:rsidRPr="00E81E75">
        <w:t>their family,</w:t>
      </w:r>
      <w:r w:rsidRPr="00E81E75">
        <w:t xml:space="preserve"> carer</w:t>
      </w:r>
      <w:r w:rsidR="002665BC" w:rsidRPr="00E81E75">
        <w:t xml:space="preserve"> or </w:t>
      </w:r>
      <w:r w:rsidRPr="00E81E75">
        <w:t>advocate.</w:t>
      </w:r>
    </w:p>
    <w:p w:rsidR="001F07DE" w:rsidRDefault="005065F0" w:rsidP="00454CE4">
      <w:pPr>
        <w:pStyle w:val="Bullet"/>
        <w:rPr>
          <w:lang w:eastAsia="en-NZ"/>
        </w:rPr>
      </w:pPr>
      <w:r>
        <w:rPr>
          <w:lang w:eastAsia="en-NZ"/>
        </w:rPr>
        <w:t>People with complex communication needs may make use of various m</w:t>
      </w:r>
      <w:r w:rsidRPr="002D773D">
        <w:rPr>
          <w:lang w:eastAsia="en-NZ"/>
        </w:rPr>
        <w:t xml:space="preserve">ethods of </w:t>
      </w:r>
      <w:r w:rsidRPr="002D773D">
        <w:t>communication</w:t>
      </w:r>
      <w:r>
        <w:t>,</w:t>
      </w:r>
      <w:r w:rsidRPr="002D773D">
        <w:rPr>
          <w:lang w:eastAsia="en-NZ"/>
        </w:rPr>
        <w:t xml:space="preserve"> </w:t>
      </w:r>
      <w:r>
        <w:rPr>
          <w:lang w:eastAsia="en-NZ"/>
        </w:rPr>
        <w:t xml:space="preserve">including </w:t>
      </w:r>
      <w:r w:rsidRPr="002D773D">
        <w:rPr>
          <w:lang w:eastAsia="en-NZ"/>
        </w:rPr>
        <w:t>communication aids or devices</w:t>
      </w:r>
      <w:r>
        <w:rPr>
          <w:lang w:eastAsia="en-NZ"/>
        </w:rPr>
        <w:t xml:space="preserve"> (</w:t>
      </w:r>
      <w:proofErr w:type="spellStart"/>
      <w:r>
        <w:rPr>
          <w:lang w:eastAsia="en-NZ"/>
        </w:rPr>
        <w:t>eg</w:t>
      </w:r>
      <w:proofErr w:type="spellEnd"/>
      <w:r>
        <w:rPr>
          <w:lang w:eastAsia="en-NZ"/>
        </w:rPr>
        <w:t xml:space="preserve">, computer </w:t>
      </w:r>
      <w:r>
        <w:t>technologies/software, picture-based communication boards, whiteboards or speaking devices)</w:t>
      </w:r>
      <w:r w:rsidRPr="002D773D">
        <w:rPr>
          <w:lang w:eastAsia="en-NZ"/>
        </w:rPr>
        <w:t>, gestures (</w:t>
      </w:r>
      <w:proofErr w:type="spellStart"/>
      <w:r w:rsidRPr="002D773D">
        <w:rPr>
          <w:lang w:eastAsia="en-NZ"/>
        </w:rPr>
        <w:t>eg</w:t>
      </w:r>
      <w:proofErr w:type="spellEnd"/>
      <w:r w:rsidRPr="002D773D">
        <w:rPr>
          <w:lang w:eastAsia="en-NZ"/>
        </w:rPr>
        <w:t xml:space="preserve">, eye gaze </w:t>
      </w:r>
      <w:r>
        <w:rPr>
          <w:lang w:eastAsia="en-NZ"/>
        </w:rPr>
        <w:t xml:space="preserve">or </w:t>
      </w:r>
      <w:r w:rsidRPr="002D773D">
        <w:rPr>
          <w:lang w:eastAsia="en-NZ"/>
        </w:rPr>
        <w:t>head/hand movements), facial expressions or visual aids (</w:t>
      </w:r>
      <w:proofErr w:type="spellStart"/>
      <w:r w:rsidRPr="002D773D">
        <w:rPr>
          <w:lang w:eastAsia="en-NZ"/>
        </w:rPr>
        <w:t>eg</w:t>
      </w:r>
      <w:proofErr w:type="spellEnd"/>
      <w:r w:rsidRPr="002D773D">
        <w:rPr>
          <w:lang w:eastAsia="en-NZ"/>
        </w:rPr>
        <w:t xml:space="preserve">, pictures, diagrams, signs </w:t>
      </w:r>
      <w:r>
        <w:rPr>
          <w:lang w:eastAsia="en-NZ"/>
        </w:rPr>
        <w:t xml:space="preserve">or </w:t>
      </w:r>
      <w:r w:rsidRPr="002D773D">
        <w:rPr>
          <w:lang w:eastAsia="en-NZ"/>
        </w:rPr>
        <w:t>objects).</w:t>
      </w:r>
    </w:p>
    <w:p w:rsidR="00454CE4" w:rsidRDefault="00454CE4" w:rsidP="00454CE4">
      <w:pPr>
        <w:rPr>
          <w:lang w:eastAsia="en-NZ"/>
        </w:rPr>
      </w:pPr>
    </w:p>
    <w:p w:rsidR="001F07DE" w:rsidRDefault="005065F0" w:rsidP="00454CE4">
      <w:pPr>
        <w:pStyle w:val="Heading3"/>
      </w:pPr>
      <w:r w:rsidRPr="0063167D">
        <w:t>Communication aids/technologies</w:t>
      </w:r>
    </w:p>
    <w:p w:rsidR="00267D5F" w:rsidRDefault="005065F0" w:rsidP="00454CE4">
      <w:r>
        <w:t>In terms of communication aids/technologies used by people with complex needs, consider the following.</w:t>
      </w:r>
    </w:p>
    <w:p w:rsidR="00267D5F" w:rsidRDefault="005065F0" w:rsidP="00454CE4">
      <w:pPr>
        <w:pStyle w:val="Bullet"/>
      </w:pPr>
      <w:r>
        <w:t>The tips in the above section also apply when you are having a conversation with someone who uses a communication aid. It is important to respect a person</w:t>
      </w:r>
      <w:r w:rsidR="00267D5F">
        <w:t>’</w:t>
      </w:r>
      <w:r>
        <w:t>s individual methods of communication.</w:t>
      </w:r>
    </w:p>
    <w:p w:rsidR="001F07DE" w:rsidRDefault="005065F0" w:rsidP="00454CE4">
      <w:pPr>
        <w:pStyle w:val="Bullet"/>
      </w:pPr>
      <w:r>
        <w:t>Allow the conversation to take place at a slightly slower pace. Allow the person time to respond to questions, and take the time to listen and understand their response.</w:t>
      </w:r>
      <w:r>
        <w:rPr>
          <w:rStyle w:val="EndnoteReference"/>
        </w:rPr>
        <w:endnoteReference w:id="13"/>
      </w:r>
    </w:p>
    <w:p w:rsidR="001F07DE" w:rsidRDefault="005065F0" w:rsidP="00454CE4">
      <w:pPr>
        <w:pStyle w:val="Bullet"/>
      </w:pPr>
      <w:r>
        <w:lastRenderedPageBreak/>
        <w:t>Be patient, and allow the person sufficient time to use an aid</w:t>
      </w:r>
      <w:r w:rsidRPr="00F37BE0">
        <w:t xml:space="preserve"> to finish what they are saying. </w:t>
      </w:r>
      <w:r w:rsidRPr="00417582">
        <w:t xml:space="preserve">Never attempt to finish a sentence for the person. </w:t>
      </w:r>
      <w:r>
        <w:t>If it is not clear what the person has said, politely ask them to repeat themselves.</w:t>
      </w:r>
    </w:p>
    <w:p w:rsidR="00454CE4" w:rsidRDefault="00454CE4" w:rsidP="00454CE4"/>
    <w:p w:rsidR="00267D5F" w:rsidRDefault="005065F0" w:rsidP="003C1F1D">
      <w:pPr>
        <w:keepNext/>
      </w:pPr>
      <w:bookmarkStart w:id="257" w:name="_Toc416691403"/>
      <w:r w:rsidRPr="009C41C5">
        <w:t>For more information</w:t>
      </w:r>
      <w:r>
        <w:t>,</w:t>
      </w:r>
      <w:r w:rsidRPr="009C41C5">
        <w:t xml:space="preserve"> </w:t>
      </w:r>
      <w:r>
        <w:t xml:space="preserve">see </w:t>
      </w:r>
      <w:r w:rsidRPr="009C41C5">
        <w:t>also:</w:t>
      </w:r>
    </w:p>
    <w:p w:rsidR="001F07DE" w:rsidRPr="00E30965" w:rsidRDefault="008A337B" w:rsidP="00454CE4">
      <w:pPr>
        <w:pStyle w:val="Bullet"/>
      </w:pPr>
      <w:hyperlink w:anchor="_Using_written_information" w:history="1">
        <w:r w:rsidR="005065F0" w:rsidRPr="00E30965">
          <w:rPr>
            <w:rStyle w:val="Hyperlink"/>
            <w:color w:val="auto"/>
          </w:rPr>
          <w:t>Using written information and printed materials accessibly</w:t>
        </w:r>
      </w:hyperlink>
      <w:r w:rsidR="00F63D19" w:rsidRPr="00E30965">
        <w:rPr>
          <w:rStyle w:val="Hyperlink"/>
          <w:color w:val="auto"/>
        </w:rPr>
        <w:t xml:space="preserve"> (page 17)</w:t>
      </w:r>
    </w:p>
    <w:p w:rsidR="001F07DE" w:rsidRPr="00E30965" w:rsidRDefault="008A337B" w:rsidP="00454CE4">
      <w:pPr>
        <w:pStyle w:val="Bullet"/>
      </w:pPr>
      <w:hyperlink w:anchor="_Accessible_presentations_and" w:history="1">
        <w:r w:rsidR="005065F0" w:rsidRPr="00E30965">
          <w:rPr>
            <w:rStyle w:val="Hyperlink"/>
            <w:color w:val="auto"/>
          </w:rPr>
          <w:t>Accessible presentations and other verbal communication</w:t>
        </w:r>
      </w:hyperlink>
      <w:r w:rsidR="00F63D19" w:rsidRPr="00E30965">
        <w:rPr>
          <w:rStyle w:val="Hyperlink"/>
          <w:color w:val="auto"/>
        </w:rPr>
        <w:t xml:space="preserve"> (page 19)</w:t>
      </w:r>
    </w:p>
    <w:p w:rsidR="00454CE4" w:rsidRPr="00E30965" w:rsidRDefault="008A337B" w:rsidP="00454CE4">
      <w:pPr>
        <w:pStyle w:val="Bullet"/>
      </w:pPr>
      <w:hyperlink w:anchor="_Appendix_12_–" w:history="1">
        <w:r w:rsidR="005065F0" w:rsidRPr="00E30965">
          <w:rPr>
            <w:rStyle w:val="Hyperlink"/>
            <w:color w:val="auto"/>
          </w:rPr>
          <w:t>Engaging with people with learning/intellectual disabilities</w:t>
        </w:r>
      </w:hyperlink>
      <w:r w:rsidR="00933936" w:rsidRPr="00E30965">
        <w:rPr>
          <w:rStyle w:val="Hyperlink"/>
          <w:color w:val="auto"/>
        </w:rPr>
        <w:t xml:space="preserve"> (</w:t>
      </w:r>
      <w:r w:rsidR="0025377E" w:rsidRPr="00E30965">
        <w:rPr>
          <w:rStyle w:val="Hyperlink"/>
          <w:color w:val="auto"/>
        </w:rPr>
        <w:t>page 30</w:t>
      </w:r>
      <w:r w:rsidR="00933936" w:rsidRPr="00E30965">
        <w:rPr>
          <w:rStyle w:val="Hyperlink"/>
          <w:color w:val="auto"/>
        </w:rPr>
        <w:t>)</w:t>
      </w:r>
      <w:r w:rsidR="005065F0" w:rsidRPr="00E30965">
        <w:t>.</w:t>
      </w:r>
    </w:p>
    <w:p w:rsidR="00454CE4" w:rsidRPr="00E30965" w:rsidRDefault="00454CE4" w:rsidP="00454CE4"/>
    <w:p w:rsidR="003C1F1D" w:rsidRDefault="003C1F1D" w:rsidP="003C1F1D">
      <w:bookmarkStart w:id="258" w:name="_Appendix_12_–"/>
      <w:bookmarkStart w:id="259" w:name="_Engaging_with_people"/>
      <w:bookmarkStart w:id="260" w:name="_Toc442354563"/>
      <w:bookmarkEnd w:id="258"/>
      <w:bookmarkEnd w:id="259"/>
      <w:r>
        <w:br w:type="page"/>
      </w:r>
    </w:p>
    <w:p w:rsidR="001F07DE" w:rsidRDefault="005065F0" w:rsidP="003C1F1D">
      <w:pPr>
        <w:pStyle w:val="Heading2"/>
        <w:spacing w:before="0"/>
      </w:pPr>
      <w:bookmarkStart w:id="261" w:name="_Toc479687389"/>
      <w:r w:rsidRPr="000869F7">
        <w:lastRenderedPageBreak/>
        <w:t>Engaging with people with learning/intellectual disabilities</w:t>
      </w:r>
      <w:bookmarkEnd w:id="257"/>
      <w:bookmarkEnd w:id="260"/>
      <w:bookmarkEnd w:id="261"/>
    </w:p>
    <w:p w:rsidR="001F07DE" w:rsidRDefault="005065F0" w:rsidP="003C1F1D">
      <w:r>
        <w:t xml:space="preserve">This section provides a </w:t>
      </w:r>
      <w:r w:rsidRPr="00487A78">
        <w:t xml:space="preserve">summary </w:t>
      </w:r>
      <w:r>
        <w:t xml:space="preserve">of </w:t>
      </w:r>
      <w:r w:rsidRPr="00487A78">
        <w:t xml:space="preserve">the information </w:t>
      </w:r>
      <w:r>
        <w:t>in</w:t>
      </w:r>
      <w:r w:rsidRPr="00487A78">
        <w:t xml:space="preserve"> this guide</w:t>
      </w:r>
      <w:r>
        <w:t>,</w:t>
      </w:r>
      <w:r w:rsidRPr="00487A78">
        <w:t xml:space="preserve"> and </w:t>
      </w:r>
      <w:r>
        <w:t>additional tips to support an effective engagement process with people with learning/intellectual disabilities.</w:t>
      </w:r>
    </w:p>
    <w:p w:rsidR="00454CE4" w:rsidRDefault="00454CE4" w:rsidP="003C1F1D"/>
    <w:p w:rsidR="001F07DE" w:rsidRDefault="005065F0" w:rsidP="00454CE4">
      <w:pPr>
        <w:pStyle w:val="Heading3"/>
      </w:pPr>
      <w:r w:rsidRPr="0063167D">
        <w:t>Meeting protocols</w:t>
      </w:r>
    </w:p>
    <w:p w:rsidR="001F07DE" w:rsidRDefault="005065F0" w:rsidP="003C1F1D">
      <w:r>
        <w:t>In planning a meeting involving participants who have learning/intellectual disabilities, follow these guidelines.</w:t>
      </w:r>
    </w:p>
    <w:p w:rsidR="001F07DE" w:rsidRDefault="005065F0" w:rsidP="00454CE4">
      <w:pPr>
        <w:pStyle w:val="Bullet"/>
      </w:pPr>
      <w:r>
        <w:t xml:space="preserve">When considering </w:t>
      </w:r>
      <w:r w:rsidRPr="003D450C">
        <w:t xml:space="preserve">a suitable time, keep in mind that </w:t>
      </w:r>
      <w:r>
        <w:t>some</w:t>
      </w:r>
      <w:r w:rsidRPr="00417582">
        <w:t xml:space="preserve"> people with </w:t>
      </w:r>
      <w:r>
        <w:t>learning/</w:t>
      </w:r>
      <w:r w:rsidRPr="005A632E">
        <w:t xml:space="preserve">intellectual </w:t>
      </w:r>
      <w:r>
        <w:t xml:space="preserve">disabilities </w:t>
      </w:r>
      <w:r w:rsidRPr="00417582">
        <w:t xml:space="preserve">prefer mornings, as they are more rested </w:t>
      </w:r>
      <w:r>
        <w:t xml:space="preserve">at this time of the day, </w:t>
      </w:r>
      <w:r w:rsidRPr="00417582">
        <w:t>and find it easier to concentrate.</w:t>
      </w:r>
    </w:p>
    <w:p w:rsidR="00267D5F" w:rsidRDefault="005065F0" w:rsidP="00454CE4">
      <w:pPr>
        <w:pStyle w:val="Bullet"/>
      </w:pPr>
      <w:r>
        <w:t>P</w:t>
      </w:r>
      <w:r w:rsidRPr="00417582">
        <w:t>rovide an agenda and then keep to the agenda topi</w:t>
      </w:r>
      <w:r>
        <w:t>cs in the order they are listed.</w:t>
      </w:r>
    </w:p>
    <w:p w:rsidR="00267D5F" w:rsidRDefault="005065F0" w:rsidP="00454CE4">
      <w:pPr>
        <w:pStyle w:val="Bullet"/>
      </w:pPr>
      <w:r w:rsidRPr="00417582">
        <w:t>Be prepared to offer to have a minute taker</w:t>
      </w:r>
      <w:r>
        <w:t xml:space="preserve">. Also consider the use of </w:t>
      </w:r>
      <w:r w:rsidRPr="00417582">
        <w:t>a reader/writer when conducting surveys or asking for feedback.</w:t>
      </w:r>
    </w:p>
    <w:p w:rsidR="00267D5F" w:rsidRDefault="005065F0" w:rsidP="00454CE4">
      <w:pPr>
        <w:pStyle w:val="Bullet"/>
      </w:pPr>
      <w:r>
        <w:t xml:space="preserve">Avoid </w:t>
      </w:r>
      <w:r w:rsidRPr="00417582">
        <w:t>teleconferences</w:t>
      </w:r>
      <w:r>
        <w:t>. This will make it easier to ensure information is provided at the right pace and is understood.</w:t>
      </w:r>
    </w:p>
    <w:p w:rsidR="00267D5F" w:rsidRDefault="005065F0" w:rsidP="00454CE4">
      <w:pPr>
        <w:pStyle w:val="Bullet"/>
      </w:pPr>
      <w:r w:rsidRPr="00F37BE0">
        <w:t>Make sure that o</w:t>
      </w:r>
      <w:r>
        <w:t>nly one person speaks at a time.</w:t>
      </w:r>
    </w:p>
    <w:p w:rsidR="00454CE4" w:rsidRDefault="00454CE4" w:rsidP="00454CE4"/>
    <w:p w:rsidR="001F07DE" w:rsidRDefault="005065F0" w:rsidP="00454CE4">
      <w:pPr>
        <w:pStyle w:val="Heading3"/>
      </w:pPr>
      <w:r w:rsidRPr="0063167D">
        <w:t>Verbal information</w:t>
      </w:r>
    </w:p>
    <w:p w:rsidR="001F07DE" w:rsidRDefault="005065F0" w:rsidP="00454CE4">
      <w:r>
        <w:t>In providing verbal information, follow these guidelines.</w:t>
      </w:r>
    </w:p>
    <w:p w:rsidR="001F07DE" w:rsidRDefault="005065F0" w:rsidP="00454CE4">
      <w:pPr>
        <w:pStyle w:val="Bullet"/>
      </w:pPr>
      <w:r>
        <w:t>Keep information simple, and avoid jargon. Also a</w:t>
      </w:r>
      <w:r w:rsidRPr="00417582">
        <w:t>void using acronyms</w:t>
      </w:r>
      <w:r>
        <w:t>,</w:t>
      </w:r>
      <w:r w:rsidRPr="00417582">
        <w:t xml:space="preserve"> and say </w:t>
      </w:r>
      <w:r>
        <w:t xml:space="preserve">all </w:t>
      </w:r>
      <w:r w:rsidRPr="00417582">
        <w:t>name</w:t>
      </w:r>
      <w:r>
        <w:t>s in full</w:t>
      </w:r>
      <w:r w:rsidRPr="00417582">
        <w:t>.</w:t>
      </w:r>
    </w:p>
    <w:p w:rsidR="001F07DE" w:rsidRDefault="005065F0" w:rsidP="00454CE4">
      <w:pPr>
        <w:pStyle w:val="Bullet"/>
      </w:pPr>
      <w:r>
        <w:t>Where possible, accompany information with relevant pictures or visual aids.</w:t>
      </w:r>
    </w:p>
    <w:p w:rsidR="001F07DE" w:rsidRDefault="005065F0" w:rsidP="00454CE4">
      <w:pPr>
        <w:pStyle w:val="Bullet"/>
      </w:pPr>
      <w:r>
        <w:t>Speak at a pace that allows people time to consider your questions and how they might respond. Pause where you need to. Ask one question at a time.</w:t>
      </w:r>
    </w:p>
    <w:p w:rsidR="001F07DE" w:rsidRDefault="005065F0" w:rsidP="00454CE4">
      <w:pPr>
        <w:pStyle w:val="Bullet"/>
      </w:pPr>
      <w:r>
        <w:t>P</w:t>
      </w:r>
      <w:r w:rsidRPr="00A205D6">
        <w:t xml:space="preserve">rovide a copy of your presentation </w:t>
      </w:r>
      <w:r>
        <w:t xml:space="preserve">to participants in advance, to </w:t>
      </w:r>
      <w:r w:rsidRPr="00A205D6">
        <w:t>allow</w:t>
      </w:r>
      <w:r>
        <w:t xml:space="preserve"> them time </w:t>
      </w:r>
      <w:r w:rsidRPr="00A205D6">
        <w:t xml:space="preserve">to familiarise themselves with </w:t>
      </w:r>
      <w:r>
        <w:t>it</w:t>
      </w:r>
      <w:r w:rsidRPr="00A205D6">
        <w:t>.</w:t>
      </w:r>
    </w:p>
    <w:p w:rsidR="001F07DE" w:rsidRDefault="005065F0" w:rsidP="00454CE4">
      <w:pPr>
        <w:pStyle w:val="Bullet"/>
      </w:pPr>
      <w:r>
        <w:t>Let people know they are entitled to their opinion.</w:t>
      </w:r>
    </w:p>
    <w:p w:rsidR="00267D5F" w:rsidRDefault="005065F0" w:rsidP="00454CE4">
      <w:pPr>
        <w:pStyle w:val="Bullet"/>
      </w:pPr>
      <w:r w:rsidRPr="00417582">
        <w:t>Allow tim</w:t>
      </w:r>
      <w:r>
        <w:t>e for people to have their say,</w:t>
      </w:r>
      <w:r w:rsidRPr="00417582">
        <w:t xml:space="preserve"> and listen </w:t>
      </w:r>
      <w:r>
        <w:t xml:space="preserve">to them </w:t>
      </w:r>
      <w:r w:rsidRPr="00417582">
        <w:t>carefully.</w:t>
      </w:r>
    </w:p>
    <w:p w:rsidR="001F07DE" w:rsidRDefault="005065F0" w:rsidP="00454CE4">
      <w:pPr>
        <w:pStyle w:val="Bullet"/>
      </w:pPr>
      <w:r>
        <w:t>Check your understanding of what people have said. Ask questions to clarify your understanding, or get people to repeat what they have said so that you are sure you understand. Do not pretend to understand.</w:t>
      </w:r>
    </w:p>
    <w:p w:rsidR="001F07DE" w:rsidRDefault="005065F0" w:rsidP="00454CE4">
      <w:pPr>
        <w:pStyle w:val="Bullet"/>
      </w:pPr>
      <w:r>
        <w:t xml:space="preserve">Check that people have understood what has been said. If someone does not understand, consider using an alternative approach; for example, by moving from open-ended to closed questions (yes or no, </w:t>
      </w:r>
      <w:proofErr w:type="spellStart"/>
      <w:r>
        <w:t>etc</w:t>
      </w:r>
      <w:proofErr w:type="spellEnd"/>
      <w:r>
        <w:t>), re</w:t>
      </w:r>
      <w:r w:rsidRPr="00A325D0">
        <w:t xml:space="preserve">peating </w:t>
      </w:r>
      <w:r>
        <w:t>or rephrasing information, or using pictures or visual aids.</w:t>
      </w:r>
    </w:p>
    <w:p w:rsidR="001F07DE" w:rsidRDefault="005065F0" w:rsidP="00454CE4">
      <w:pPr>
        <w:pStyle w:val="Bullet"/>
      </w:pPr>
      <w:r>
        <w:t xml:space="preserve">To check that someone has understood, consider asking them to put the information into their own words. This will eliminate the risk of people saying </w:t>
      </w:r>
      <w:r w:rsidR="00267D5F">
        <w:t>‘</w:t>
      </w:r>
      <w:r>
        <w:t>yes</w:t>
      </w:r>
      <w:r w:rsidR="00267D5F">
        <w:t>’</w:t>
      </w:r>
      <w:r>
        <w:t xml:space="preserve"> because that is what they believe they should say, and allow them to avoid having to answer </w:t>
      </w:r>
      <w:r w:rsidR="00267D5F">
        <w:t>‘</w:t>
      </w:r>
      <w:r>
        <w:t>no</w:t>
      </w:r>
      <w:r w:rsidR="00267D5F">
        <w:t>’</w:t>
      </w:r>
      <w:r>
        <w:t xml:space="preserve"> to the question </w:t>
      </w:r>
      <w:r w:rsidR="00267D5F">
        <w:t>‘</w:t>
      </w:r>
      <w:r>
        <w:t>Do you understand?</w:t>
      </w:r>
      <w:r w:rsidR="00267D5F">
        <w:t>’</w:t>
      </w:r>
      <w:r>
        <w:t>.</w:t>
      </w:r>
    </w:p>
    <w:p w:rsidR="001F07DE" w:rsidRDefault="005065F0" w:rsidP="00454CE4">
      <w:pPr>
        <w:pStyle w:val="Bullet"/>
      </w:pPr>
      <w:r w:rsidRPr="002D773D">
        <w:t xml:space="preserve">Some people may prefer </w:t>
      </w:r>
      <w:r>
        <w:t xml:space="preserve">that </w:t>
      </w:r>
      <w:proofErr w:type="spellStart"/>
      <w:r>
        <w:t>whānau</w:t>
      </w:r>
      <w:proofErr w:type="spellEnd"/>
      <w:r w:rsidRPr="002D773D">
        <w:t xml:space="preserve"> </w:t>
      </w:r>
      <w:r>
        <w:t xml:space="preserve">members or carers express their preferences on their behalf, as they trust them to </w:t>
      </w:r>
      <w:r w:rsidRPr="002D773D">
        <w:t xml:space="preserve">understand </w:t>
      </w:r>
      <w:r>
        <w:t xml:space="preserve">and communicate </w:t>
      </w:r>
      <w:r w:rsidRPr="002D773D">
        <w:t>their individual needs.</w:t>
      </w:r>
      <w:r w:rsidRPr="00CF667E">
        <w:t xml:space="preserve"> </w:t>
      </w:r>
      <w:r>
        <w:t>Ask permission from the person to gather this information.</w:t>
      </w:r>
    </w:p>
    <w:p w:rsidR="00454CE4" w:rsidRDefault="00454CE4" w:rsidP="00454CE4"/>
    <w:p w:rsidR="001F07DE" w:rsidRDefault="005065F0" w:rsidP="00454CE4">
      <w:pPr>
        <w:pStyle w:val="Heading3"/>
      </w:pPr>
      <w:r w:rsidRPr="0063167D">
        <w:lastRenderedPageBreak/>
        <w:t>Meeting assistants</w:t>
      </w:r>
    </w:p>
    <w:p w:rsidR="001F07DE" w:rsidRDefault="005065F0" w:rsidP="00454CE4">
      <w:r>
        <w:t xml:space="preserve">In relation to meeting assistants for people with </w:t>
      </w:r>
      <w:r w:rsidRPr="001405D6">
        <w:t>a learning/intellectual disability</w:t>
      </w:r>
      <w:r>
        <w:t>, follow these guidelines.</w:t>
      </w:r>
    </w:p>
    <w:p w:rsidR="001F07DE" w:rsidRDefault="005065F0" w:rsidP="00653585">
      <w:pPr>
        <w:pStyle w:val="Bullet"/>
      </w:pPr>
      <w:r>
        <w:t>The role of</w:t>
      </w:r>
      <w:r w:rsidRPr="001405D6">
        <w:t xml:space="preserve"> </w:t>
      </w:r>
      <w:r>
        <w:t>m</w:t>
      </w:r>
      <w:r w:rsidRPr="001405D6">
        <w:t xml:space="preserve">eeting </w:t>
      </w:r>
      <w:r>
        <w:t>a</w:t>
      </w:r>
      <w:r w:rsidRPr="001405D6">
        <w:t xml:space="preserve">ssistant can be helpful </w:t>
      </w:r>
      <w:r>
        <w:t xml:space="preserve">for a person with </w:t>
      </w:r>
      <w:r w:rsidRPr="001405D6">
        <w:t xml:space="preserve">a learning/intellectual disability when meetings </w:t>
      </w:r>
      <w:r>
        <w:t>run at</w:t>
      </w:r>
      <w:r w:rsidRPr="001405D6">
        <w:t xml:space="preserve"> a fast pace or use complex or conceptual information that can be a barrier to </w:t>
      </w:r>
      <w:r>
        <w:t xml:space="preserve">that </w:t>
      </w:r>
      <w:r w:rsidRPr="001405D6">
        <w:t>person</w:t>
      </w:r>
      <w:r w:rsidR="00267D5F">
        <w:t>’</w:t>
      </w:r>
      <w:r w:rsidRPr="001405D6">
        <w:t xml:space="preserve">s equal participation. Meeting </w:t>
      </w:r>
      <w:r>
        <w:t>a</w:t>
      </w:r>
      <w:r w:rsidRPr="001405D6">
        <w:t>ssistants guide people to build trusting relationships within the group/meeting</w:t>
      </w:r>
      <w:r>
        <w:t>.</w:t>
      </w:r>
    </w:p>
    <w:p w:rsidR="00267D5F" w:rsidRDefault="005065F0" w:rsidP="00653585">
      <w:pPr>
        <w:pStyle w:val="Bullet"/>
      </w:pPr>
      <w:r w:rsidRPr="001405D6">
        <w:t>A</w:t>
      </w:r>
      <w:r>
        <w:t>n a</w:t>
      </w:r>
      <w:r w:rsidRPr="001405D6">
        <w:t>ssistant</w:t>
      </w:r>
      <w:r w:rsidR="00267D5F">
        <w:t>’</w:t>
      </w:r>
      <w:r w:rsidRPr="001405D6">
        <w:t>s role depend</w:t>
      </w:r>
      <w:r>
        <w:t>s</w:t>
      </w:r>
      <w:r w:rsidRPr="001405D6">
        <w:t xml:space="preserve"> on </w:t>
      </w:r>
      <w:r>
        <w:t>the individual</w:t>
      </w:r>
      <w:r w:rsidR="00267D5F">
        <w:t>’</w:t>
      </w:r>
      <w:r>
        <w:t xml:space="preserve">s </w:t>
      </w:r>
      <w:r w:rsidRPr="001405D6">
        <w:t>support needs</w:t>
      </w:r>
      <w:r>
        <w:t>.</w:t>
      </w:r>
      <w:r w:rsidRPr="001405D6">
        <w:t xml:space="preserve"> </w:t>
      </w:r>
      <w:r>
        <w:t>T</w:t>
      </w:r>
      <w:r w:rsidRPr="001405D6">
        <w:t>he person and the</w:t>
      </w:r>
      <w:r>
        <w:t>ir</w:t>
      </w:r>
      <w:r w:rsidRPr="001405D6">
        <w:t xml:space="preserve"> assistant </w:t>
      </w:r>
      <w:r>
        <w:t xml:space="preserve">agree on a plan </w:t>
      </w:r>
      <w:r w:rsidRPr="001405D6">
        <w:t>prior to the meeting.</w:t>
      </w:r>
      <w:r>
        <w:t xml:space="preserve"> The focus is always on </w:t>
      </w:r>
      <w:r w:rsidRPr="001405D6">
        <w:t>enhancing the person</w:t>
      </w:r>
      <w:r w:rsidR="00267D5F">
        <w:t>’</w:t>
      </w:r>
      <w:r w:rsidRPr="001405D6">
        <w:t xml:space="preserve">s participation </w:t>
      </w:r>
      <w:r>
        <w:t xml:space="preserve">and </w:t>
      </w:r>
      <w:r w:rsidRPr="001405D6">
        <w:t xml:space="preserve">understanding and providing support for equal opportunities </w:t>
      </w:r>
      <w:r>
        <w:t xml:space="preserve">for </w:t>
      </w:r>
      <w:r w:rsidRPr="001405D6">
        <w:t>the person to contribute to discussions and decisions.</w:t>
      </w:r>
    </w:p>
    <w:p w:rsidR="001F07DE" w:rsidRDefault="005065F0" w:rsidP="00653585">
      <w:pPr>
        <w:pStyle w:val="Bullet"/>
      </w:pPr>
      <w:r>
        <w:t xml:space="preserve">A meeting assistant </w:t>
      </w:r>
      <w:r w:rsidRPr="007A39C6">
        <w:t>often:</w:t>
      </w:r>
    </w:p>
    <w:p w:rsidR="00267D5F" w:rsidRDefault="005065F0" w:rsidP="00653585">
      <w:pPr>
        <w:pStyle w:val="Dash"/>
      </w:pPr>
      <w:r w:rsidRPr="007A39C6">
        <w:t>help</w:t>
      </w:r>
      <w:r>
        <w:t>s</w:t>
      </w:r>
      <w:r w:rsidRPr="007A39C6">
        <w:t xml:space="preserve"> to translate complex information </w:t>
      </w:r>
      <w:r>
        <w:t xml:space="preserve">so as to </w:t>
      </w:r>
      <w:r w:rsidRPr="007A39C6">
        <w:t>aid the person</w:t>
      </w:r>
      <w:r w:rsidR="00267D5F">
        <w:t>’</w:t>
      </w:r>
      <w:r w:rsidRPr="007A39C6">
        <w:t>s understanding</w:t>
      </w:r>
    </w:p>
    <w:p w:rsidR="001F07DE" w:rsidRDefault="005065F0" w:rsidP="00653585">
      <w:pPr>
        <w:pStyle w:val="Dash"/>
      </w:pPr>
      <w:r w:rsidRPr="007A39C6">
        <w:t>helps with the complex social skills required to engage within a large group at a meeting, or during break times</w:t>
      </w:r>
    </w:p>
    <w:p w:rsidR="00267D5F" w:rsidRDefault="005065F0" w:rsidP="00653585">
      <w:pPr>
        <w:pStyle w:val="Dash"/>
      </w:pPr>
      <w:proofErr w:type="gramStart"/>
      <w:r w:rsidRPr="007A39C6">
        <w:t>discuss</w:t>
      </w:r>
      <w:r>
        <w:t>es</w:t>
      </w:r>
      <w:proofErr w:type="gramEnd"/>
      <w:r w:rsidRPr="007A39C6">
        <w:t xml:space="preserve"> items or complete</w:t>
      </w:r>
      <w:r>
        <w:t>s</w:t>
      </w:r>
      <w:r w:rsidRPr="007A39C6">
        <w:t xml:space="preserve"> tasks </w:t>
      </w:r>
      <w:r>
        <w:t xml:space="preserve">with the person </w:t>
      </w:r>
      <w:r w:rsidRPr="007A39C6">
        <w:t>after the meeting.</w:t>
      </w:r>
    </w:p>
    <w:p w:rsidR="00267D5F" w:rsidRDefault="005065F0" w:rsidP="00653585">
      <w:pPr>
        <w:pStyle w:val="Bullet"/>
      </w:pPr>
      <w:r>
        <w:t>A</w:t>
      </w:r>
      <w:r w:rsidRPr="007A39C6">
        <w:t xml:space="preserve">ssistants often quietly talk to the person they are assisting during the meeting. Often </w:t>
      </w:r>
      <w:r>
        <w:t xml:space="preserve">at this time </w:t>
      </w:r>
      <w:r w:rsidRPr="007A39C6">
        <w:t xml:space="preserve">the assistants </w:t>
      </w:r>
      <w:r>
        <w:t xml:space="preserve">are helping to foster </w:t>
      </w:r>
      <w:r w:rsidRPr="007A39C6">
        <w:t>the person</w:t>
      </w:r>
      <w:r w:rsidR="00267D5F">
        <w:t>’</w:t>
      </w:r>
      <w:r>
        <w:t>s</w:t>
      </w:r>
      <w:r w:rsidRPr="007A39C6">
        <w:t xml:space="preserve"> better understanding of conceptual or complex information.</w:t>
      </w:r>
    </w:p>
    <w:p w:rsidR="00267D5F" w:rsidRDefault="005065F0" w:rsidP="00653585">
      <w:pPr>
        <w:pStyle w:val="Bullet"/>
      </w:pPr>
      <w:r>
        <w:t>Allow t</w:t>
      </w:r>
      <w:r w:rsidRPr="007A39C6">
        <w:t xml:space="preserve">ime for people to have </w:t>
      </w:r>
      <w:r>
        <w:t xml:space="preserve">their </w:t>
      </w:r>
      <w:r w:rsidRPr="007A39C6">
        <w:t>say in whatever way suits them.</w:t>
      </w:r>
    </w:p>
    <w:p w:rsidR="001F07DE" w:rsidRPr="00263088" w:rsidRDefault="00384BD3" w:rsidP="00384BD3">
      <w:pPr>
        <w:pStyle w:val="Bullet"/>
        <w:rPr>
          <w:szCs w:val="25"/>
          <w:u w:val="single"/>
        </w:rPr>
      </w:pPr>
      <w:r w:rsidRPr="00384BD3">
        <w:t xml:space="preserve">People First New Zealand </w:t>
      </w:r>
      <w:proofErr w:type="spellStart"/>
      <w:r w:rsidRPr="00384BD3">
        <w:t>Ngā</w:t>
      </w:r>
      <w:proofErr w:type="spellEnd"/>
      <w:r w:rsidRPr="00384BD3">
        <w:t xml:space="preserve"> </w:t>
      </w:r>
      <w:proofErr w:type="spellStart"/>
      <w:r w:rsidRPr="00384BD3">
        <w:t>Tangata</w:t>
      </w:r>
      <w:proofErr w:type="spellEnd"/>
      <w:r w:rsidRPr="00384BD3">
        <w:t xml:space="preserve"> </w:t>
      </w:r>
      <w:proofErr w:type="spellStart"/>
      <w:r w:rsidRPr="00384BD3">
        <w:t>Tuatahi</w:t>
      </w:r>
      <w:proofErr w:type="spellEnd"/>
      <w:r w:rsidR="005065F0">
        <w:t>, a disabled people</w:t>
      </w:r>
      <w:r w:rsidR="00267D5F">
        <w:t>’</w:t>
      </w:r>
      <w:r w:rsidR="005065F0">
        <w:t>s o</w:t>
      </w:r>
      <w:r w:rsidR="005065F0" w:rsidRPr="007A39C6">
        <w:t xml:space="preserve">rganisation directed by </w:t>
      </w:r>
      <w:r w:rsidR="005065F0" w:rsidRPr="001F07DE">
        <w:t xml:space="preserve">people with </w:t>
      </w:r>
      <w:r w:rsidR="005065F0" w:rsidRPr="007A39C6">
        <w:t>learning</w:t>
      </w:r>
      <w:r w:rsidR="005065F0">
        <w:t>/</w:t>
      </w:r>
      <w:r w:rsidR="005065F0" w:rsidRPr="005A632E">
        <w:t xml:space="preserve">intellectual </w:t>
      </w:r>
      <w:r w:rsidR="005065F0" w:rsidRPr="001F07DE">
        <w:t>disabilities,</w:t>
      </w:r>
      <w:r w:rsidR="005065F0" w:rsidRPr="007A39C6">
        <w:t xml:space="preserve"> provides trained </w:t>
      </w:r>
      <w:r w:rsidR="005065F0">
        <w:t>m</w:t>
      </w:r>
      <w:r w:rsidR="005065F0" w:rsidRPr="007A39C6">
        <w:t xml:space="preserve">eeting </w:t>
      </w:r>
      <w:r w:rsidR="005065F0">
        <w:t>a</w:t>
      </w:r>
      <w:r w:rsidR="005065F0" w:rsidRPr="007A39C6">
        <w:t xml:space="preserve">ssistants. </w:t>
      </w:r>
      <w:r w:rsidR="005065F0">
        <w:t xml:space="preserve">See </w:t>
      </w:r>
      <w:r w:rsidR="00267D5F" w:rsidRPr="00E30965">
        <w:t>‘</w:t>
      </w:r>
      <w:hyperlink w:anchor="_Disabled_people’s_organisations" w:history="1">
        <w:r w:rsidR="005065F0" w:rsidRPr="00E30965">
          <w:rPr>
            <w:rStyle w:val="Hyperlink"/>
            <w:color w:val="auto"/>
          </w:rPr>
          <w:t>Disabled people</w:t>
        </w:r>
        <w:r w:rsidR="00267D5F" w:rsidRPr="00E30965">
          <w:rPr>
            <w:rStyle w:val="Hyperlink"/>
            <w:color w:val="auto"/>
          </w:rPr>
          <w:t>’</w:t>
        </w:r>
        <w:r w:rsidR="005065F0" w:rsidRPr="00E30965">
          <w:rPr>
            <w:rStyle w:val="Hyperlink"/>
            <w:color w:val="auto"/>
          </w:rPr>
          <w:t>s organisations and resources</w:t>
        </w:r>
      </w:hyperlink>
      <w:r w:rsidR="00653585" w:rsidRPr="00E30965">
        <w:t>’</w:t>
      </w:r>
      <w:r w:rsidRPr="00E30965">
        <w:t xml:space="preserve"> </w:t>
      </w:r>
      <w:r w:rsidRPr="00E30965">
        <w:rPr>
          <w:rStyle w:val="Hyperlink"/>
          <w:color w:val="auto"/>
        </w:rPr>
        <w:t>(page 36)</w:t>
      </w:r>
      <w:r w:rsidR="005065F0" w:rsidRPr="00E30965">
        <w:t xml:space="preserve"> for more information on People </w:t>
      </w:r>
      <w:r w:rsidR="005065F0">
        <w:t>First.</w:t>
      </w:r>
      <w:r>
        <w:br/>
      </w:r>
      <w:hyperlink r:id="rId42" w:history="1">
        <w:r w:rsidRPr="00263088">
          <w:rPr>
            <w:rStyle w:val="Hyperlink"/>
            <w:color w:val="auto"/>
            <w:szCs w:val="25"/>
          </w:rPr>
          <w:t>www.peoplefirst.org.nz</w:t>
        </w:r>
      </w:hyperlink>
      <w:r w:rsidRPr="00263088">
        <w:rPr>
          <w:szCs w:val="25"/>
          <w:u w:val="single"/>
        </w:rPr>
        <w:t xml:space="preserve"> </w:t>
      </w:r>
    </w:p>
    <w:p w:rsidR="00653585" w:rsidRDefault="00653585" w:rsidP="00653585"/>
    <w:p w:rsidR="00267D5F" w:rsidRDefault="005065F0" w:rsidP="00653585">
      <w:pPr>
        <w:pStyle w:val="Heading3"/>
      </w:pPr>
      <w:bookmarkStart w:id="262" w:name="_Written_information_and"/>
      <w:bookmarkEnd w:id="262"/>
      <w:r w:rsidRPr="0063167D">
        <w:t>Written information and Easy Read documents</w:t>
      </w:r>
    </w:p>
    <w:p w:rsidR="001F07DE" w:rsidRDefault="005065F0" w:rsidP="00653585">
      <w:r w:rsidRPr="00C34B29">
        <w:t xml:space="preserve">Easy </w:t>
      </w:r>
      <w:r>
        <w:t>R</w:t>
      </w:r>
      <w:r w:rsidRPr="00C34B29">
        <w:t xml:space="preserve">ead is a way of producing information </w:t>
      </w:r>
      <w:r>
        <w:t>in e</w:t>
      </w:r>
      <w:r w:rsidRPr="00C34B29">
        <w:t>v</w:t>
      </w:r>
      <w:r>
        <w:t>er</w:t>
      </w:r>
      <w:r w:rsidRPr="00C34B29">
        <w:t>yday language</w:t>
      </w:r>
      <w:r>
        <w:t xml:space="preserve"> </w:t>
      </w:r>
      <w:r w:rsidRPr="00C34B29">
        <w:t xml:space="preserve">that is </w:t>
      </w:r>
      <w:r>
        <w:t>consistent,</w:t>
      </w:r>
      <w:r w:rsidRPr="00C34B29">
        <w:t xml:space="preserve"> acronym</w:t>
      </w:r>
      <w:r>
        <w:t>- and jargon-</w:t>
      </w:r>
      <w:r w:rsidRPr="00C34B29">
        <w:t xml:space="preserve">free </w:t>
      </w:r>
      <w:r>
        <w:t xml:space="preserve">and </w:t>
      </w:r>
      <w:r w:rsidRPr="00C34B29">
        <w:t xml:space="preserve">includes images to assist meaning. </w:t>
      </w:r>
      <w:r>
        <w:t>Easy Read documents have a large amount of clear/</w:t>
      </w:r>
      <w:r w:rsidRPr="000E4E95">
        <w:t xml:space="preserve">white space. </w:t>
      </w:r>
      <w:r>
        <w:t xml:space="preserve">Easy Read </w:t>
      </w:r>
      <w:r w:rsidRPr="000E4E95">
        <w:t>can also be used to support people with low literacy levels, or</w:t>
      </w:r>
      <w:r>
        <w:t xml:space="preserve"> who</w:t>
      </w:r>
      <w:r w:rsidRPr="000E4E95">
        <w:t xml:space="preserve"> have English as a second language.</w:t>
      </w:r>
      <w:r>
        <w:t xml:space="preserve"> When putting together written information including Easy Read documents for people with </w:t>
      </w:r>
      <w:r w:rsidRPr="001405D6">
        <w:t>a learning/intellectual disability</w:t>
      </w:r>
      <w:r>
        <w:t>, follow these guidelines.</w:t>
      </w:r>
    </w:p>
    <w:p w:rsidR="001F07DE" w:rsidRDefault="005065F0" w:rsidP="00653585">
      <w:pPr>
        <w:pStyle w:val="Bullet"/>
        <w:rPr>
          <w:szCs w:val="25"/>
          <w:u w:val="single"/>
        </w:rPr>
      </w:pPr>
      <w:r w:rsidRPr="00912E0D">
        <w:t>Contact People First about thei</w:t>
      </w:r>
      <w:r>
        <w:t>r Easy Read translation service</w:t>
      </w:r>
      <w:r w:rsidRPr="00912E0D">
        <w:t xml:space="preserve">, </w:t>
      </w:r>
      <w:r w:rsidR="00267D5F">
        <w:t>‘</w:t>
      </w:r>
      <w:r w:rsidRPr="00912E0D">
        <w:t>Make it easy</w:t>
      </w:r>
      <w:r w:rsidR="00267D5F">
        <w:t>’</w:t>
      </w:r>
      <w:r>
        <w:t xml:space="preserve">. Make contact early, as translations take a </w:t>
      </w:r>
      <w:r w:rsidRPr="00A2640E">
        <w:t>minimum</w:t>
      </w:r>
      <w:r>
        <w:t xml:space="preserve"> of three weeks.</w:t>
      </w:r>
    </w:p>
    <w:p w:rsidR="001F07DE" w:rsidRDefault="005065F0" w:rsidP="00653585">
      <w:pPr>
        <w:pStyle w:val="Bullet"/>
      </w:pPr>
      <w:r>
        <w:t>Consider p</w:t>
      </w:r>
      <w:r w:rsidRPr="00927D83">
        <w:t>roduc</w:t>
      </w:r>
      <w:r>
        <w:t>ing</w:t>
      </w:r>
      <w:r w:rsidRPr="00927D83">
        <w:t xml:space="preserve"> a </w:t>
      </w:r>
      <w:r>
        <w:t>l</w:t>
      </w:r>
      <w:r w:rsidRPr="00927D83">
        <w:t xml:space="preserve">arge </w:t>
      </w:r>
      <w:r>
        <w:t>p</w:t>
      </w:r>
      <w:r w:rsidRPr="00927D83">
        <w:t>rint version (at minimum a 16</w:t>
      </w:r>
      <w:r>
        <w:t>-</w:t>
      </w:r>
      <w:r w:rsidRPr="00927D83">
        <w:t xml:space="preserve">point font, but preferably 18) </w:t>
      </w:r>
      <w:r>
        <w:t>of written information</w:t>
      </w:r>
      <w:r w:rsidRPr="00927D83">
        <w:t xml:space="preserve">. </w:t>
      </w:r>
      <w:r>
        <w:t xml:space="preserve">If you are not producing an </w:t>
      </w:r>
      <w:r w:rsidRPr="00927D83">
        <w:t xml:space="preserve">Easy Read document, consider the </w:t>
      </w:r>
      <w:r>
        <w:t>clarity</w:t>
      </w:r>
      <w:r w:rsidRPr="00927D83">
        <w:t xml:space="preserve"> of </w:t>
      </w:r>
      <w:r>
        <w:t>your</w:t>
      </w:r>
      <w:r w:rsidRPr="00927D83">
        <w:t xml:space="preserve"> documents </w:t>
      </w:r>
      <w:r>
        <w:t xml:space="preserve">anyway, </w:t>
      </w:r>
      <w:r w:rsidRPr="00927D83">
        <w:t xml:space="preserve">to ensure </w:t>
      </w:r>
      <w:r>
        <w:t xml:space="preserve">the </w:t>
      </w:r>
      <w:r w:rsidRPr="00927D83">
        <w:t>information will be understood.</w:t>
      </w:r>
    </w:p>
    <w:p w:rsidR="00653585" w:rsidRDefault="00653585" w:rsidP="00653585"/>
    <w:p w:rsidR="00267D5F" w:rsidRDefault="005065F0" w:rsidP="00653585">
      <w:r w:rsidRPr="009C41C5">
        <w:t>For more information</w:t>
      </w:r>
      <w:r>
        <w:t>, see</w:t>
      </w:r>
      <w:r w:rsidRPr="009C41C5">
        <w:t xml:space="preserve"> also:</w:t>
      </w:r>
    </w:p>
    <w:p w:rsidR="001F07DE" w:rsidRPr="00E30965" w:rsidRDefault="008A337B" w:rsidP="00653585">
      <w:pPr>
        <w:pStyle w:val="Bullet"/>
      </w:pPr>
      <w:hyperlink w:anchor="_Using_written_information" w:history="1">
        <w:r w:rsidR="005065F0" w:rsidRPr="00E30965">
          <w:rPr>
            <w:rStyle w:val="Hyperlink"/>
            <w:color w:val="auto"/>
          </w:rPr>
          <w:t>Using written information and printed materials accessibly</w:t>
        </w:r>
      </w:hyperlink>
      <w:r w:rsidR="00F63D19" w:rsidRPr="00E30965">
        <w:rPr>
          <w:rStyle w:val="Hyperlink"/>
          <w:color w:val="auto"/>
        </w:rPr>
        <w:t xml:space="preserve"> (page 17)</w:t>
      </w:r>
    </w:p>
    <w:p w:rsidR="001F07DE" w:rsidRPr="00E30965" w:rsidRDefault="008A337B" w:rsidP="00653585">
      <w:pPr>
        <w:pStyle w:val="Bullet"/>
      </w:pPr>
      <w:hyperlink w:anchor="_Accessible_presentations_and" w:history="1">
        <w:r w:rsidR="005065F0" w:rsidRPr="00E30965">
          <w:rPr>
            <w:rStyle w:val="Hyperlink"/>
            <w:color w:val="auto"/>
          </w:rPr>
          <w:t>Accessible presentations and other verbal communication</w:t>
        </w:r>
      </w:hyperlink>
      <w:r w:rsidR="00F63D19" w:rsidRPr="00E30965">
        <w:rPr>
          <w:rStyle w:val="Hyperlink"/>
          <w:color w:val="auto"/>
        </w:rPr>
        <w:t xml:space="preserve"> (page 19)</w:t>
      </w:r>
    </w:p>
    <w:p w:rsidR="001F07DE" w:rsidRPr="00E30965" w:rsidRDefault="008A337B" w:rsidP="00653585">
      <w:pPr>
        <w:pStyle w:val="Bullet"/>
      </w:pPr>
      <w:hyperlink w:anchor="_Appendix_11_–" w:history="1">
        <w:r w:rsidR="005065F0" w:rsidRPr="00E30965">
          <w:rPr>
            <w:rStyle w:val="Hyperlink"/>
            <w:color w:val="auto"/>
          </w:rPr>
          <w:t>Engaging with people with complex communication needs</w:t>
        </w:r>
      </w:hyperlink>
      <w:r w:rsidR="00F63D19" w:rsidRPr="00E30965">
        <w:rPr>
          <w:rStyle w:val="Hyperlink"/>
          <w:color w:val="auto"/>
        </w:rPr>
        <w:t xml:space="preserve"> (page 28)</w:t>
      </w:r>
      <w:r w:rsidR="005065F0" w:rsidRPr="00E30965">
        <w:t>.</w:t>
      </w:r>
    </w:p>
    <w:p w:rsidR="00653585" w:rsidRPr="00E30965" w:rsidRDefault="00653585" w:rsidP="00653585"/>
    <w:p w:rsidR="001F07DE" w:rsidRDefault="005065F0" w:rsidP="00653585">
      <w:pPr>
        <w:pStyle w:val="Heading2"/>
      </w:pPr>
      <w:bookmarkStart w:id="263" w:name="_Appendix_13_–"/>
      <w:bookmarkStart w:id="264" w:name="_Toc416691404"/>
      <w:bookmarkStart w:id="265" w:name="_Toc442354564"/>
      <w:bookmarkStart w:id="266" w:name="_Toc479687390"/>
      <w:bookmarkEnd w:id="263"/>
      <w:r w:rsidRPr="000869F7">
        <w:lastRenderedPageBreak/>
        <w:t>Engaging with people with autism spectrum disorder</w:t>
      </w:r>
      <w:bookmarkEnd w:id="264"/>
      <w:bookmarkEnd w:id="265"/>
      <w:bookmarkEnd w:id="266"/>
    </w:p>
    <w:p w:rsidR="00267D5F" w:rsidRDefault="005065F0" w:rsidP="00653585">
      <w:r>
        <w:t xml:space="preserve">This section provides a </w:t>
      </w:r>
      <w:r w:rsidRPr="00487A78">
        <w:t xml:space="preserve">summary </w:t>
      </w:r>
      <w:r>
        <w:t xml:space="preserve">of </w:t>
      </w:r>
      <w:r w:rsidRPr="00487A78">
        <w:t>the information found within this guide</w:t>
      </w:r>
      <w:r>
        <w:t>,</w:t>
      </w:r>
      <w:r w:rsidRPr="00487A78">
        <w:t xml:space="preserve"> and</w:t>
      </w:r>
      <w:r>
        <w:t xml:space="preserve"> gives</w:t>
      </w:r>
      <w:r w:rsidRPr="00487A78">
        <w:t xml:space="preserve"> </w:t>
      </w:r>
      <w:r>
        <w:t>additional tips to support an effective engagement process with people with autism spectrum disorder (ASD).</w:t>
      </w:r>
    </w:p>
    <w:p w:rsidR="00653585" w:rsidRDefault="00653585" w:rsidP="00653585"/>
    <w:p w:rsidR="001F07DE" w:rsidRDefault="005065F0" w:rsidP="00653585">
      <w:pPr>
        <w:pStyle w:val="Heading3"/>
      </w:pPr>
      <w:r w:rsidRPr="0063167D">
        <w:t>What is autism spectrum disorder?</w:t>
      </w:r>
    </w:p>
    <w:p w:rsidR="001F07DE" w:rsidRDefault="005065F0" w:rsidP="00653585">
      <w:r>
        <w:t>Autism spectrum disorder refers to a range of conditions that affect communication, social interaction and behaviour. Each person with ASD tends to experience some difficulties with the following areas:</w:t>
      </w:r>
    </w:p>
    <w:p w:rsidR="001F07DE" w:rsidRDefault="005065F0" w:rsidP="00653585">
      <w:pPr>
        <w:pStyle w:val="Bullet"/>
      </w:pPr>
      <w:r>
        <w:t>understanding and using verbal (language) and non-verbal (facial expression, gesture and body language) communication</w:t>
      </w:r>
    </w:p>
    <w:p w:rsidR="00267D5F" w:rsidRDefault="005065F0" w:rsidP="00653585">
      <w:pPr>
        <w:pStyle w:val="Bullet"/>
      </w:pPr>
      <w:r>
        <w:t>understanding social behaviour, which affects their ability to interact with other people</w:t>
      </w:r>
    </w:p>
    <w:p w:rsidR="001F07DE" w:rsidRDefault="005065F0" w:rsidP="00653585">
      <w:pPr>
        <w:pStyle w:val="Bullet"/>
      </w:pPr>
      <w:proofErr w:type="gramStart"/>
      <w:r>
        <w:t>thinking</w:t>
      </w:r>
      <w:proofErr w:type="gramEnd"/>
      <w:r>
        <w:t xml:space="preserve"> and behaving flexibly, which may show in restricted, </w:t>
      </w:r>
      <w:r w:rsidR="00C60447">
        <w:t xml:space="preserve">narrowly focussed </w:t>
      </w:r>
      <w:r>
        <w:t>or repetitive activities.</w:t>
      </w:r>
      <w:r>
        <w:rPr>
          <w:rStyle w:val="EndnoteReference"/>
        </w:rPr>
        <w:endnoteReference w:id="14"/>
      </w:r>
    </w:p>
    <w:p w:rsidR="00653585" w:rsidRDefault="00653585" w:rsidP="00653585"/>
    <w:p w:rsidR="00267D5F" w:rsidRDefault="005065F0" w:rsidP="00653585">
      <w:r>
        <w:t>Some people may experience sensory issues, such as a hypersensitivity to sound.</w:t>
      </w:r>
      <w:r>
        <w:rPr>
          <w:rStyle w:val="EndnoteReference"/>
        </w:rPr>
        <w:endnoteReference w:id="15"/>
      </w:r>
    </w:p>
    <w:p w:rsidR="00653585" w:rsidRDefault="00653585" w:rsidP="00653585"/>
    <w:p w:rsidR="001F07DE" w:rsidRDefault="005065F0" w:rsidP="00653585">
      <w:pPr>
        <w:pStyle w:val="Heading3"/>
      </w:pPr>
      <w:r w:rsidRPr="0063167D">
        <w:t>Verbal information and communication</w:t>
      </w:r>
    </w:p>
    <w:p w:rsidR="001F07DE" w:rsidRDefault="005065F0" w:rsidP="00653585">
      <w:r>
        <w:t>When you are planning to engage with people with ASD, follow these guidelines.</w:t>
      </w:r>
    </w:p>
    <w:p w:rsidR="001F07DE" w:rsidRDefault="005065F0" w:rsidP="00653585">
      <w:pPr>
        <w:pStyle w:val="Bullet"/>
      </w:pPr>
      <w:r w:rsidRPr="002D773D">
        <w:t xml:space="preserve">Some people may prefer </w:t>
      </w:r>
      <w:proofErr w:type="spellStart"/>
      <w:r>
        <w:t>whānau</w:t>
      </w:r>
      <w:proofErr w:type="spellEnd"/>
      <w:r w:rsidRPr="002D773D">
        <w:t xml:space="preserve"> </w:t>
      </w:r>
      <w:r>
        <w:t xml:space="preserve">members or carers to express their preferences on their behalf, as they trust them to </w:t>
      </w:r>
      <w:r w:rsidRPr="002D773D">
        <w:t xml:space="preserve">understand </w:t>
      </w:r>
      <w:r>
        <w:t xml:space="preserve">and communicate </w:t>
      </w:r>
      <w:r w:rsidRPr="002D773D">
        <w:t>their individual needs.</w:t>
      </w:r>
      <w:r w:rsidRPr="00CF667E">
        <w:t xml:space="preserve"> </w:t>
      </w:r>
      <w:r>
        <w:t>Ask permission from the person to gather this information.</w:t>
      </w:r>
    </w:p>
    <w:p w:rsidR="001F07DE" w:rsidRDefault="005065F0" w:rsidP="00653585">
      <w:pPr>
        <w:pStyle w:val="Bullet"/>
      </w:pPr>
      <w:r>
        <w:t>Be aware that some people with ASD may:</w:t>
      </w:r>
    </w:p>
    <w:p w:rsidR="00267D5F" w:rsidRDefault="005065F0" w:rsidP="00653585">
      <w:pPr>
        <w:pStyle w:val="Dash"/>
      </w:pPr>
      <w:proofErr w:type="gramStart"/>
      <w:r>
        <w:t>operate</w:t>
      </w:r>
      <w:proofErr w:type="gramEnd"/>
      <w:r>
        <w:t xml:space="preserve"> according to a particular set of routines or rules. Being aware of these will help you to avoid inadvertently doing or saying something that triggers difficulties</w:t>
      </w:r>
      <w:r>
        <w:rPr>
          <w:rStyle w:val="EndnoteReference"/>
        </w:rPr>
        <w:endnoteReference w:id="16"/>
      </w:r>
    </w:p>
    <w:p w:rsidR="00C60447" w:rsidRDefault="00C60447" w:rsidP="00653585">
      <w:pPr>
        <w:pStyle w:val="Dash"/>
      </w:pPr>
      <w:proofErr w:type="gramStart"/>
      <w:r>
        <w:t>have</w:t>
      </w:r>
      <w:proofErr w:type="gramEnd"/>
      <w:r>
        <w:t xml:space="preserve"> difficulty speaking.  Some people with ASD are non-verbal</w:t>
      </w:r>
    </w:p>
    <w:p w:rsidR="001F07DE" w:rsidRDefault="005065F0" w:rsidP="00653585">
      <w:pPr>
        <w:pStyle w:val="Dash"/>
      </w:pPr>
      <w:proofErr w:type="gramStart"/>
      <w:r>
        <w:t>have</w:t>
      </w:r>
      <w:proofErr w:type="gramEnd"/>
      <w:r>
        <w:t xml:space="preserve"> difficulty engaging in a face-to-face interview. Some people may prefer to sit side by side, to minimise eye contact</w:t>
      </w:r>
      <w:r>
        <w:rPr>
          <w:rStyle w:val="EndnoteReference"/>
        </w:rPr>
        <w:endnoteReference w:id="17"/>
      </w:r>
    </w:p>
    <w:p w:rsidR="00267D5F" w:rsidRDefault="005065F0" w:rsidP="00653585">
      <w:pPr>
        <w:pStyle w:val="Dash"/>
      </w:pPr>
      <w:proofErr w:type="gramStart"/>
      <w:r>
        <w:t>have</w:t>
      </w:r>
      <w:proofErr w:type="gramEnd"/>
      <w:r>
        <w:t xml:space="preserve"> difficulty in understanding and following verbal information. It might be helpful to send questions in advance or have a printed copy for the person to refer to</w:t>
      </w:r>
    </w:p>
    <w:p w:rsidR="00C60447" w:rsidRPr="00E81E75" w:rsidRDefault="00C60447" w:rsidP="00653585">
      <w:pPr>
        <w:pStyle w:val="Dash"/>
      </w:pPr>
      <w:r w:rsidRPr="00E81E75">
        <w:t>have difficulty understanding body language or social norms</w:t>
      </w:r>
    </w:p>
    <w:p w:rsidR="00C60447" w:rsidRPr="00E81E75" w:rsidRDefault="00C60447" w:rsidP="00653585">
      <w:pPr>
        <w:pStyle w:val="Dash"/>
      </w:pPr>
      <w:proofErr w:type="gramStart"/>
      <w:r w:rsidRPr="00E81E75">
        <w:t>have</w:t>
      </w:r>
      <w:proofErr w:type="gramEnd"/>
      <w:r w:rsidRPr="00E81E75">
        <w:t xml:space="preserve"> difficulty with registering, showing or managing emotions.  This may result in stress for the person</w:t>
      </w:r>
    </w:p>
    <w:p w:rsidR="00C60447" w:rsidRPr="00E81E75" w:rsidRDefault="00C60447" w:rsidP="00653585">
      <w:pPr>
        <w:pStyle w:val="Dash"/>
      </w:pPr>
      <w:r w:rsidRPr="00E81E75">
        <w:t xml:space="preserve">experience auditory processing disorder i.e. difficulty deciphering sounds which are experienced as ‘garbled’ </w:t>
      </w:r>
      <w:proofErr w:type="spellStart"/>
      <w:r w:rsidR="00E44719" w:rsidRPr="00E81E75">
        <w:t>eg</w:t>
      </w:r>
      <w:proofErr w:type="spellEnd"/>
      <w:r w:rsidR="00E44719" w:rsidRPr="00E81E75">
        <w:t>, when multiple conversations are occurring at once</w:t>
      </w:r>
    </w:p>
    <w:p w:rsidR="00267D5F" w:rsidRDefault="005065F0" w:rsidP="00653585">
      <w:pPr>
        <w:pStyle w:val="Dash"/>
      </w:pPr>
      <w:r>
        <w:t>have difficulty organising and planning, and recognising what information is important</w:t>
      </w:r>
    </w:p>
    <w:p w:rsidR="001F07DE" w:rsidRDefault="005065F0" w:rsidP="00653585">
      <w:pPr>
        <w:pStyle w:val="Dash"/>
      </w:pPr>
      <w:proofErr w:type="gramStart"/>
      <w:r>
        <w:t>have</w:t>
      </w:r>
      <w:proofErr w:type="gramEnd"/>
      <w:r>
        <w:t xml:space="preserve"> difficulty thinking flexibly and problem solving. For example, the person may return to one or a few specific topics, or may not know how to resolve a particular problem</w:t>
      </w:r>
    </w:p>
    <w:p w:rsidR="001F07DE" w:rsidRDefault="005065F0" w:rsidP="00653585">
      <w:pPr>
        <w:pStyle w:val="Dash"/>
      </w:pPr>
      <w:proofErr w:type="gramStart"/>
      <w:r>
        <w:t>be</w:t>
      </w:r>
      <w:proofErr w:type="gramEnd"/>
      <w:r>
        <w:t xml:space="preserve"> anxious about making mistakes, which may mean they say nothing or too much. They may overanalyse information, or second guess it.</w:t>
      </w:r>
    </w:p>
    <w:p w:rsidR="00E44719" w:rsidRPr="00E81E75" w:rsidRDefault="00E44719" w:rsidP="00653585">
      <w:pPr>
        <w:pStyle w:val="Bullet"/>
      </w:pPr>
      <w:r w:rsidRPr="00E81E75">
        <w:t xml:space="preserve">Be aware that a person with ASD may be too shy to introduce themselves in a group setting.   </w:t>
      </w:r>
    </w:p>
    <w:p w:rsidR="00E44719" w:rsidRPr="00E81E75" w:rsidRDefault="00E44719" w:rsidP="00653585">
      <w:pPr>
        <w:pStyle w:val="Bullet"/>
      </w:pPr>
      <w:r w:rsidRPr="00E81E75">
        <w:t>Presume intelligence.</w:t>
      </w:r>
    </w:p>
    <w:p w:rsidR="00E44719" w:rsidRPr="00E81E75" w:rsidRDefault="00E44719" w:rsidP="00653585">
      <w:pPr>
        <w:pStyle w:val="Bullet"/>
      </w:pPr>
      <w:r w:rsidRPr="00E81E75">
        <w:t>Give as much advance notice as possible, and printed material ahead of time if possible.</w:t>
      </w:r>
    </w:p>
    <w:p w:rsidR="00E44719" w:rsidRPr="00E81E75" w:rsidRDefault="00E44719" w:rsidP="00653585">
      <w:pPr>
        <w:pStyle w:val="Bullet"/>
      </w:pPr>
      <w:r w:rsidRPr="00E81E75">
        <w:lastRenderedPageBreak/>
        <w:t>If food is being served, check dietary needs beforehand</w:t>
      </w:r>
      <w:r w:rsidR="00117E39" w:rsidRPr="00E81E75">
        <w:t>.</w:t>
      </w:r>
    </w:p>
    <w:p w:rsidR="001F07DE" w:rsidRDefault="005065F0" w:rsidP="00653585">
      <w:pPr>
        <w:pStyle w:val="Bullet"/>
      </w:pPr>
      <w:r>
        <w:t>Use simple, clear and concise words. Be mindful of using words that have multiple meanings, sarcasm, irony and figures of speech, as some people with ASD may take words quite literally.</w:t>
      </w:r>
      <w:r>
        <w:rPr>
          <w:rStyle w:val="EndnoteReference"/>
        </w:rPr>
        <w:endnoteReference w:id="18"/>
      </w:r>
      <w:r w:rsidRPr="000A5924">
        <w:rPr>
          <w:rStyle w:val="EndnoteReference"/>
        </w:rPr>
        <w:t>,</w:t>
      </w:r>
      <w:r>
        <w:t xml:space="preserve"> </w:t>
      </w:r>
      <w:r>
        <w:rPr>
          <w:rStyle w:val="EndnoteReference"/>
        </w:rPr>
        <w:endnoteReference w:id="19"/>
      </w:r>
    </w:p>
    <w:p w:rsidR="001F07DE" w:rsidRDefault="005065F0" w:rsidP="00653585">
      <w:pPr>
        <w:pStyle w:val="Bullet"/>
      </w:pPr>
      <w:r>
        <w:t>Allow the conversation to take place at a slightly slower pace. Allow the person time to respond to questions, and take time to listen and understand their response.</w:t>
      </w:r>
      <w:r>
        <w:rPr>
          <w:rStyle w:val="EndnoteReference"/>
        </w:rPr>
        <w:endnoteReference w:id="20"/>
      </w:r>
    </w:p>
    <w:p w:rsidR="00E44719" w:rsidRPr="00E81E75" w:rsidRDefault="00E44719" w:rsidP="00653585">
      <w:pPr>
        <w:pStyle w:val="Bullet"/>
      </w:pPr>
      <w:r w:rsidRPr="00E81E75">
        <w:t>Do not insist on making eye contact.</w:t>
      </w:r>
    </w:p>
    <w:p w:rsidR="00E44719" w:rsidRPr="00E81E75" w:rsidRDefault="00E44719" w:rsidP="00653585">
      <w:pPr>
        <w:pStyle w:val="Bullet"/>
      </w:pPr>
      <w:r w:rsidRPr="00E81E75">
        <w:t>Include breaks in the meeting, and if possible a quiet room to take ‘time out’.</w:t>
      </w:r>
    </w:p>
    <w:p w:rsidR="001F07DE" w:rsidRDefault="005065F0" w:rsidP="00653585">
      <w:pPr>
        <w:pStyle w:val="Bullet"/>
      </w:pPr>
      <w:r w:rsidRPr="00E81E75">
        <w:t>Be prepared to communicate in ways other than verbally, for example through writing or</w:t>
      </w:r>
      <w:r w:rsidRPr="00485BA7">
        <w:t xml:space="preserve"> </w:t>
      </w:r>
      <w:r>
        <w:t xml:space="preserve">using </w:t>
      </w:r>
      <w:r w:rsidRPr="00485BA7">
        <w:t>pictures</w:t>
      </w:r>
      <w:r>
        <w:t xml:space="preserve"> or </w:t>
      </w:r>
      <w:r w:rsidRPr="00485BA7">
        <w:t>visual aids</w:t>
      </w:r>
      <w:r>
        <w:t xml:space="preserve"> (</w:t>
      </w:r>
      <w:proofErr w:type="spellStart"/>
      <w:r>
        <w:t>eg</w:t>
      </w:r>
      <w:proofErr w:type="spellEnd"/>
      <w:r>
        <w:t xml:space="preserve">, </w:t>
      </w:r>
      <w:r w:rsidRPr="00485BA7">
        <w:t>visual timetables, photo</w:t>
      </w:r>
      <w:r>
        <w:t>graph</w:t>
      </w:r>
      <w:r w:rsidRPr="00485BA7">
        <w:t>s/pictures, social stories</w:t>
      </w:r>
      <w:r>
        <w:t>,</w:t>
      </w:r>
      <w:r w:rsidRPr="00485BA7">
        <w:t xml:space="preserve"> objects and symbols</w:t>
      </w:r>
      <w:r>
        <w:t>)</w:t>
      </w:r>
      <w:r w:rsidRPr="00485BA7">
        <w:t>.</w:t>
      </w:r>
      <w:r>
        <w:rPr>
          <w:rStyle w:val="EndnoteReference"/>
        </w:rPr>
        <w:endnoteReference w:id="21"/>
      </w:r>
    </w:p>
    <w:p w:rsidR="001F07DE" w:rsidRDefault="005065F0" w:rsidP="00653585">
      <w:pPr>
        <w:pStyle w:val="Bullet"/>
      </w:pPr>
      <w:r w:rsidRPr="00F3090B">
        <w:t xml:space="preserve">Check </w:t>
      </w:r>
      <w:r>
        <w:t xml:space="preserve">that you have </w:t>
      </w:r>
      <w:r w:rsidRPr="00F3090B">
        <w:t>underst</w:t>
      </w:r>
      <w:r>
        <w:t>ood what the person has communicated. A</w:t>
      </w:r>
      <w:r w:rsidRPr="00F3090B">
        <w:t>sk questions to clarify your understanding</w:t>
      </w:r>
      <w:r>
        <w:t xml:space="preserve">, or get </w:t>
      </w:r>
      <w:r w:rsidRPr="00F3090B">
        <w:t>people</w:t>
      </w:r>
      <w:r>
        <w:t xml:space="preserve"> to repeat what they have said so that you are sure you understand. </w:t>
      </w:r>
      <w:r w:rsidRPr="00F3090B">
        <w:t xml:space="preserve">Do not pretend </w:t>
      </w:r>
      <w:r>
        <w:t>to</w:t>
      </w:r>
      <w:r w:rsidRPr="00F3090B">
        <w:t xml:space="preserve"> understand.</w:t>
      </w:r>
    </w:p>
    <w:p w:rsidR="001F07DE" w:rsidRDefault="005065F0" w:rsidP="00653585">
      <w:pPr>
        <w:pStyle w:val="Bullet"/>
      </w:pPr>
      <w:r>
        <w:t>Try to choose a venue that has minimal distractions. Avoid rooms</w:t>
      </w:r>
      <w:r w:rsidRPr="00793154">
        <w:t xml:space="preserve"> </w:t>
      </w:r>
      <w:r>
        <w:t>with</w:t>
      </w:r>
      <w:r w:rsidRPr="00793154">
        <w:t xml:space="preserve"> high background noise</w:t>
      </w:r>
      <w:r>
        <w:t>,</w:t>
      </w:r>
      <w:r w:rsidRPr="00793154">
        <w:t xml:space="preserve"> </w:t>
      </w:r>
      <w:r>
        <w:t xml:space="preserve">such as </w:t>
      </w:r>
      <w:r w:rsidRPr="00793154">
        <w:t>traffic</w:t>
      </w:r>
      <w:r>
        <w:t>, and rooms with harsh lighting/bright sunlight.</w:t>
      </w:r>
      <w:r w:rsidRPr="00950F5C">
        <w:t xml:space="preserve"> </w:t>
      </w:r>
      <w:r>
        <w:t>Keep distractions to a minimum.</w:t>
      </w:r>
      <w:r>
        <w:rPr>
          <w:rStyle w:val="EndnoteReference"/>
        </w:rPr>
        <w:endnoteReference w:id="22"/>
      </w:r>
      <w:r w:rsidRPr="000715B6">
        <w:rPr>
          <w:rStyle w:val="EndnoteReference"/>
        </w:rPr>
        <w:t xml:space="preserve">, </w:t>
      </w:r>
      <w:r>
        <w:rPr>
          <w:rStyle w:val="EndnoteReference"/>
        </w:rPr>
        <w:endnoteReference w:id="23"/>
      </w:r>
    </w:p>
    <w:p w:rsidR="00653585" w:rsidRDefault="00653585" w:rsidP="00653585">
      <w:bookmarkStart w:id="267" w:name="_Toc416691405"/>
    </w:p>
    <w:p w:rsidR="00267D5F" w:rsidRDefault="005065F0" w:rsidP="00653585">
      <w:r w:rsidRPr="009C41C5">
        <w:t>For more information</w:t>
      </w:r>
      <w:r>
        <w:t>, see</w:t>
      </w:r>
      <w:r w:rsidRPr="009C41C5">
        <w:t xml:space="preserve"> also:</w:t>
      </w:r>
    </w:p>
    <w:p w:rsidR="001F07DE" w:rsidRPr="00E30965" w:rsidRDefault="008A337B" w:rsidP="00653585">
      <w:pPr>
        <w:pStyle w:val="Bullet"/>
      </w:pPr>
      <w:hyperlink w:anchor="_Using_written_information" w:history="1">
        <w:r w:rsidR="005065F0" w:rsidRPr="00E30965">
          <w:rPr>
            <w:rStyle w:val="Hyperlink"/>
            <w:color w:val="auto"/>
          </w:rPr>
          <w:t>Using written information and printed materials accessibly</w:t>
        </w:r>
      </w:hyperlink>
      <w:r w:rsidR="00F63D19" w:rsidRPr="00E30965">
        <w:rPr>
          <w:rStyle w:val="Hyperlink"/>
          <w:color w:val="auto"/>
        </w:rPr>
        <w:t xml:space="preserve"> (page 17)</w:t>
      </w:r>
    </w:p>
    <w:p w:rsidR="001F07DE" w:rsidRPr="00E30965" w:rsidRDefault="008A337B" w:rsidP="00653585">
      <w:pPr>
        <w:pStyle w:val="Bullet"/>
      </w:pPr>
      <w:hyperlink w:anchor="_Accessible_presentations_and" w:history="1">
        <w:r w:rsidR="005065F0" w:rsidRPr="00E30965">
          <w:rPr>
            <w:rStyle w:val="Hyperlink"/>
            <w:color w:val="auto"/>
          </w:rPr>
          <w:t>Accessible presentations and other verbal communication</w:t>
        </w:r>
      </w:hyperlink>
      <w:r w:rsidR="00F63D19" w:rsidRPr="00E30965">
        <w:rPr>
          <w:rStyle w:val="Hyperlink"/>
          <w:color w:val="auto"/>
        </w:rPr>
        <w:t xml:space="preserve"> (page 19)</w:t>
      </w:r>
      <w:r w:rsidR="005065F0" w:rsidRPr="00E30965">
        <w:t>.</w:t>
      </w:r>
    </w:p>
    <w:p w:rsidR="00653585" w:rsidRDefault="00653585" w:rsidP="00653585"/>
    <w:p w:rsidR="003C1F1D" w:rsidRDefault="003C1F1D" w:rsidP="003C1F1D">
      <w:bookmarkStart w:id="268" w:name="_Appendix_14_–"/>
      <w:bookmarkStart w:id="269" w:name="_Toc404864980"/>
      <w:bookmarkStart w:id="270" w:name="_Toc416691390"/>
      <w:bookmarkStart w:id="271" w:name="_Toc442354565"/>
      <w:bookmarkEnd w:id="268"/>
      <w:r>
        <w:br w:type="page"/>
      </w:r>
    </w:p>
    <w:p w:rsidR="001F07DE" w:rsidRDefault="005065F0" w:rsidP="003C1F1D">
      <w:pPr>
        <w:pStyle w:val="Heading2"/>
        <w:spacing w:before="0"/>
      </w:pPr>
      <w:bookmarkStart w:id="272" w:name="_Toc479687391"/>
      <w:r w:rsidRPr="000869F7">
        <w:lastRenderedPageBreak/>
        <w:t>Legal rights and obligations</w:t>
      </w:r>
      <w:bookmarkEnd w:id="269"/>
      <w:bookmarkEnd w:id="270"/>
      <w:bookmarkEnd w:id="271"/>
      <w:bookmarkEnd w:id="272"/>
    </w:p>
    <w:p w:rsidR="001F07DE" w:rsidRDefault="005065F0" w:rsidP="00653585">
      <w:r w:rsidRPr="00417582">
        <w:t xml:space="preserve">Disability is one of the prohibited grounds of discrimination under the Human Rights Act 1993. The New Zealand Human Rights Commission has stated that </w:t>
      </w:r>
      <w:r w:rsidR="00267D5F">
        <w:t>‘</w:t>
      </w:r>
      <w:r w:rsidRPr="00417582">
        <w:t>[the] right to participate in political and public life [is] integral to a functioning democracy</w:t>
      </w:r>
      <w:r>
        <w:t xml:space="preserve"> </w:t>
      </w:r>
      <w:r w:rsidRPr="00417582">
        <w:t>… through involvement in political activity, law and policy reform</w:t>
      </w:r>
      <w:r w:rsidR="00267D5F">
        <w:t>’</w:t>
      </w:r>
      <w:r w:rsidRPr="00417582">
        <w:t>.</w:t>
      </w:r>
      <w:r w:rsidRPr="00417582">
        <w:rPr>
          <w:vertAlign w:val="superscript"/>
        </w:rPr>
        <w:endnoteReference w:id="24"/>
      </w:r>
      <w:r w:rsidRPr="00417582">
        <w:t xml:space="preserve"> The Commission has </w:t>
      </w:r>
      <w:r>
        <w:t>emphasised that</w:t>
      </w:r>
      <w:r w:rsidRPr="00417582">
        <w:t xml:space="preserve"> disabled people</w:t>
      </w:r>
      <w:r w:rsidR="00267D5F">
        <w:t>’</w:t>
      </w:r>
      <w:r w:rsidRPr="00417582">
        <w:t xml:space="preserve">s participation in political process </w:t>
      </w:r>
      <w:r>
        <w:t xml:space="preserve">is </w:t>
      </w:r>
      <w:r w:rsidRPr="00417582">
        <w:t>an integral part of the full realisation of their human rights.</w:t>
      </w:r>
      <w:r w:rsidRPr="00417582">
        <w:rPr>
          <w:vertAlign w:val="superscript"/>
        </w:rPr>
        <w:endnoteReference w:id="25"/>
      </w:r>
      <w:r w:rsidRPr="00417582">
        <w:t xml:space="preserve"> </w:t>
      </w:r>
      <w:r>
        <w:t xml:space="preserve">It has </w:t>
      </w:r>
      <w:r w:rsidRPr="00417582">
        <w:t xml:space="preserve">also noted the </w:t>
      </w:r>
      <w:r>
        <w:t xml:space="preserve">need to provide </w:t>
      </w:r>
      <w:r w:rsidR="00267D5F">
        <w:t>‘</w:t>
      </w:r>
      <w:r w:rsidRPr="00417582">
        <w:t>information intended for the general public to disabled people in accessible formats and technologies appropriate to different kinds of disabilities</w:t>
      </w:r>
      <w:r w:rsidR="00267D5F">
        <w:t>’</w:t>
      </w:r>
      <w:r w:rsidRPr="00417582">
        <w:t>.</w:t>
      </w:r>
      <w:r w:rsidRPr="00417582">
        <w:rPr>
          <w:rStyle w:val="EndnoteReference"/>
          <w:sz w:val="24"/>
          <w:szCs w:val="24"/>
        </w:rPr>
        <w:endnoteReference w:id="26"/>
      </w:r>
    </w:p>
    <w:p w:rsidR="00653585" w:rsidRDefault="00653585" w:rsidP="00653585"/>
    <w:p w:rsidR="001F07DE" w:rsidRDefault="005065F0" w:rsidP="00653585">
      <w:pPr>
        <w:rPr>
          <w:rFonts w:cs="Arial"/>
          <w:lang w:eastAsia="en-NZ"/>
        </w:rPr>
      </w:pPr>
      <w:r w:rsidRPr="00417582">
        <w:t xml:space="preserve">New Zealand was one of the first signatories </w:t>
      </w:r>
      <w:r>
        <w:t>to</w:t>
      </w:r>
      <w:r w:rsidRPr="00417582">
        <w:t xml:space="preserve"> the United Nations Convention on the Rights of </w:t>
      </w:r>
      <w:r>
        <w:t xml:space="preserve">Persons </w:t>
      </w:r>
      <w:r w:rsidRPr="00417582">
        <w:t xml:space="preserve">with Disabilities 2008. The Convention </w:t>
      </w:r>
      <w:r w:rsidRPr="00417582">
        <w:rPr>
          <w:rFonts w:cs="Arial"/>
          <w:lang w:eastAsia="en-NZ"/>
        </w:rPr>
        <w:t xml:space="preserve">aims to </w:t>
      </w:r>
      <w:r w:rsidR="00267D5F">
        <w:rPr>
          <w:rFonts w:cs="Arial"/>
          <w:lang w:eastAsia="en-NZ"/>
        </w:rPr>
        <w:t>‘</w:t>
      </w:r>
      <w:r w:rsidRPr="00417582">
        <w:rPr>
          <w:rFonts w:cs="Arial"/>
          <w:lang w:eastAsia="en-NZ"/>
        </w:rPr>
        <w:t>promote, protect and ensure the full and equal enjoyment of all human rights and fundamental freedoms by all persons with disabilities, and to promote respect for their inherent dignity</w:t>
      </w:r>
      <w:r w:rsidR="00267D5F">
        <w:rPr>
          <w:rFonts w:cs="Arial"/>
          <w:lang w:eastAsia="en-NZ"/>
        </w:rPr>
        <w:t>’</w:t>
      </w:r>
      <w:r w:rsidRPr="00417582">
        <w:rPr>
          <w:rFonts w:cs="Arial"/>
          <w:lang w:eastAsia="en-NZ"/>
        </w:rPr>
        <w:t>.</w:t>
      </w:r>
    </w:p>
    <w:p w:rsidR="00653585" w:rsidRDefault="00653585" w:rsidP="00653585"/>
    <w:p w:rsidR="001F07DE" w:rsidRDefault="005065F0" w:rsidP="00653585">
      <w:r w:rsidRPr="00417582">
        <w:rPr>
          <w:lang w:eastAsia="en-NZ"/>
        </w:rPr>
        <w:t>The Convention does not set out any new human rights</w:t>
      </w:r>
      <w:r>
        <w:rPr>
          <w:lang w:eastAsia="en-NZ"/>
        </w:rPr>
        <w:t>; it</w:t>
      </w:r>
      <w:r w:rsidRPr="00417582">
        <w:rPr>
          <w:lang w:eastAsia="en-NZ"/>
        </w:rPr>
        <w:t xml:space="preserve"> clarifies the </w:t>
      </w:r>
      <w:r>
        <w:rPr>
          <w:lang w:eastAsia="en-NZ"/>
        </w:rPr>
        <w:t>g</w:t>
      </w:r>
      <w:r w:rsidRPr="00417582">
        <w:rPr>
          <w:lang w:eastAsia="en-NZ"/>
        </w:rPr>
        <w:t>overnment</w:t>
      </w:r>
      <w:r w:rsidR="00267D5F">
        <w:rPr>
          <w:lang w:eastAsia="en-NZ"/>
        </w:rPr>
        <w:t>’</w:t>
      </w:r>
      <w:r w:rsidRPr="00417582">
        <w:rPr>
          <w:lang w:eastAsia="en-NZ"/>
        </w:rPr>
        <w:t xml:space="preserve">s role to ensure that </w:t>
      </w:r>
      <w:r>
        <w:rPr>
          <w:lang w:eastAsia="en-NZ"/>
        </w:rPr>
        <w:t>people with disabilities</w:t>
      </w:r>
      <w:r w:rsidRPr="00417582">
        <w:rPr>
          <w:lang w:eastAsia="en-NZ"/>
        </w:rPr>
        <w:t xml:space="preserve"> enjoy human rights on an equal basis with others. The Convention</w:t>
      </w:r>
      <w:r w:rsidR="00267D5F">
        <w:rPr>
          <w:lang w:eastAsia="en-NZ"/>
        </w:rPr>
        <w:t>’</w:t>
      </w:r>
      <w:r>
        <w:rPr>
          <w:lang w:eastAsia="en-NZ"/>
        </w:rPr>
        <w:t>s</w:t>
      </w:r>
      <w:r w:rsidRPr="00417582">
        <w:rPr>
          <w:lang w:eastAsia="en-NZ"/>
        </w:rPr>
        <w:t xml:space="preserve"> 50 articles clarify the rights of </w:t>
      </w:r>
      <w:r>
        <w:rPr>
          <w:lang w:eastAsia="en-NZ"/>
        </w:rPr>
        <w:t>people with disabilities</w:t>
      </w:r>
      <w:r w:rsidRPr="00417582">
        <w:rPr>
          <w:lang w:eastAsia="en-NZ"/>
        </w:rPr>
        <w:t xml:space="preserve"> covering all aspects of economic, </w:t>
      </w:r>
      <w:r w:rsidRPr="00417582">
        <w:t>social</w:t>
      </w:r>
      <w:r w:rsidRPr="00417582">
        <w:rPr>
          <w:lang w:eastAsia="en-NZ"/>
        </w:rPr>
        <w:t>, political, legal and cultural life</w:t>
      </w:r>
      <w:r>
        <w:rPr>
          <w:lang w:eastAsia="en-NZ"/>
        </w:rPr>
        <w:t>.</w:t>
      </w:r>
      <w:r w:rsidRPr="007A1785">
        <w:rPr>
          <w:rStyle w:val="EndnoteReference"/>
          <w:rFonts w:cs="Arial"/>
          <w:sz w:val="24"/>
          <w:szCs w:val="24"/>
          <w:lang w:eastAsia="en-NZ"/>
        </w:rPr>
        <w:endnoteReference w:id="27"/>
      </w:r>
      <w:r w:rsidRPr="00417582">
        <w:rPr>
          <w:lang w:eastAsia="en-NZ"/>
        </w:rPr>
        <w:t xml:space="preserve"> </w:t>
      </w:r>
      <w:r w:rsidRPr="00417582">
        <w:t>One of the core te</w:t>
      </w:r>
      <w:r>
        <w:t xml:space="preserve">nets of the Convention is that people with disabilities </w:t>
      </w:r>
      <w:r w:rsidR="00267D5F">
        <w:t>‘</w:t>
      </w:r>
      <w:r w:rsidRPr="00417582">
        <w:t>should have the opportunity to be actively involved in decision-making processes about policies and programmes, including those directly concerning them</w:t>
      </w:r>
      <w:r w:rsidR="00267D5F">
        <w:t>’</w:t>
      </w:r>
      <w:r w:rsidRPr="00417582">
        <w:t>.</w:t>
      </w:r>
      <w:r w:rsidRPr="00417582">
        <w:rPr>
          <w:vertAlign w:val="superscript"/>
        </w:rPr>
        <w:endnoteReference w:id="28"/>
      </w:r>
    </w:p>
    <w:p w:rsidR="00653585" w:rsidRDefault="00653585" w:rsidP="00653585"/>
    <w:p w:rsidR="001F07DE" w:rsidRDefault="005065F0" w:rsidP="00653585">
      <w:r w:rsidRPr="00417582">
        <w:t xml:space="preserve">The Convention addresses the protection and promotion of the human rights of </w:t>
      </w:r>
      <w:r>
        <w:t>people with disabilities</w:t>
      </w:r>
      <w:r w:rsidRPr="00417582">
        <w:t xml:space="preserve"> in all policies and programmes (Article 4.1c). It specifies the need for government agencies to closely consult with and actively involve </w:t>
      </w:r>
      <w:r>
        <w:t>people</w:t>
      </w:r>
      <w:r w:rsidRPr="00417582">
        <w:t xml:space="preserve">, including children, </w:t>
      </w:r>
      <w:r>
        <w:t>with disabilities</w:t>
      </w:r>
      <w:r w:rsidRPr="00417582">
        <w:t xml:space="preserve"> in the development and implementation of legislation and policies, through their representative organisations (Article 4.3).</w:t>
      </w:r>
    </w:p>
    <w:p w:rsidR="00653585" w:rsidRDefault="00653585" w:rsidP="00653585"/>
    <w:p w:rsidR="00267D5F" w:rsidRDefault="005065F0" w:rsidP="005065F0">
      <w:r w:rsidRPr="00417582">
        <w:t>The Treaty of Waitangi (</w:t>
      </w:r>
      <w:proofErr w:type="spellStart"/>
      <w:r w:rsidRPr="00417582">
        <w:t>Te</w:t>
      </w:r>
      <w:proofErr w:type="spellEnd"/>
      <w:r w:rsidRPr="00417582">
        <w:t xml:space="preserve"> </w:t>
      </w:r>
      <w:proofErr w:type="spellStart"/>
      <w:r w:rsidRPr="00417582">
        <w:t>Tiriti</w:t>
      </w:r>
      <w:proofErr w:type="spellEnd"/>
      <w:r w:rsidRPr="00417582">
        <w:t xml:space="preserve"> o Waitangi) is both the founding document of </w:t>
      </w:r>
      <w:proofErr w:type="spellStart"/>
      <w:r w:rsidRPr="00417582">
        <w:t>Aotearoa</w:t>
      </w:r>
      <w:proofErr w:type="spellEnd"/>
      <w:r w:rsidRPr="00417582">
        <w:t xml:space="preserve"> New Zealand and </w:t>
      </w:r>
      <w:r>
        <w:t xml:space="preserve">includes the concept of </w:t>
      </w:r>
      <w:r w:rsidRPr="00417582">
        <w:t xml:space="preserve">partnership. The principles of the Treaty have been translated as </w:t>
      </w:r>
      <w:r w:rsidR="00267D5F">
        <w:t>‘</w:t>
      </w:r>
      <w:r w:rsidRPr="00417582">
        <w:t>active protection, the […] right to self-regulation, the right of redress for past breaches, and the duty to consult</w:t>
      </w:r>
      <w:r w:rsidR="00267D5F">
        <w:t>’</w:t>
      </w:r>
      <w:r w:rsidRPr="00417582">
        <w:t xml:space="preserve">. The </w:t>
      </w:r>
      <w:r w:rsidRPr="00BC1DED">
        <w:t>duty to consult and the right to self-regulation underpin this guide.</w:t>
      </w:r>
    </w:p>
    <w:p w:rsidR="001F07DE" w:rsidRDefault="001F07DE" w:rsidP="00653585"/>
    <w:p w:rsidR="003C1F1D" w:rsidRDefault="003C1F1D" w:rsidP="003C1F1D">
      <w:bookmarkStart w:id="273" w:name="_Appendix_17_–"/>
      <w:bookmarkStart w:id="274" w:name="_Making_a_complaint"/>
      <w:bookmarkEnd w:id="273"/>
      <w:bookmarkEnd w:id="274"/>
      <w:r>
        <w:br w:type="page"/>
      </w:r>
    </w:p>
    <w:p w:rsidR="001F07DE" w:rsidRPr="001F07DE" w:rsidRDefault="005065F0" w:rsidP="003C1F1D">
      <w:pPr>
        <w:pStyle w:val="Heading2"/>
        <w:spacing w:before="0"/>
      </w:pPr>
      <w:bookmarkStart w:id="275" w:name="_Toc479687392"/>
      <w:r w:rsidRPr="001F07DE">
        <w:lastRenderedPageBreak/>
        <w:t>Making a complaint or raising concerns</w:t>
      </w:r>
      <w:bookmarkEnd w:id="275"/>
    </w:p>
    <w:p w:rsidR="001F07DE" w:rsidRPr="00E30965" w:rsidRDefault="005065F0" w:rsidP="003C1F1D">
      <w:r>
        <w:t xml:space="preserve">This section contains information on how to make a complaint or raise concerns about </w:t>
      </w:r>
      <w:r w:rsidRPr="00C152F3">
        <w:t xml:space="preserve">potential violence, abuse, neglect and exploitation. </w:t>
      </w:r>
      <w:r>
        <w:t xml:space="preserve">For further information see the section on </w:t>
      </w:r>
      <w:r w:rsidR="00267D5F">
        <w:t>‘</w:t>
      </w:r>
      <w:hyperlink w:anchor="_Ensuring_safety_in" w:history="1">
        <w:r w:rsidRPr="00E30965">
          <w:rPr>
            <w:rStyle w:val="Hyperlink"/>
            <w:color w:val="auto"/>
          </w:rPr>
          <w:t>Ensuring safety in the engagement process</w:t>
        </w:r>
      </w:hyperlink>
      <w:r w:rsidR="00FB43CA" w:rsidRPr="00E30965">
        <w:rPr>
          <w:rStyle w:val="Hyperlink"/>
          <w:color w:val="auto"/>
        </w:rPr>
        <w:t>’</w:t>
      </w:r>
      <w:r w:rsidR="00E6671D" w:rsidRPr="00E30965">
        <w:t xml:space="preserve"> (page 9)</w:t>
      </w:r>
      <w:r w:rsidRPr="00E30965">
        <w:t xml:space="preserve"> in this guide.</w:t>
      </w:r>
    </w:p>
    <w:p w:rsidR="00FB43CA" w:rsidRDefault="00FB43CA" w:rsidP="00FB43CA"/>
    <w:p w:rsidR="001F07DE" w:rsidRPr="00FB43CA" w:rsidRDefault="005065F0" w:rsidP="00FB43CA">
      <w:r>
        <w:t>If you s</w:t>
      </w:r>
      <w:r w:rsidRPr="004646CC">
        <w:t xml:space="preserve">uspect a </w:t>
      </w:r>
      <w:r>
        <w:t xml:space="preserve">person </w:t>
      </w:r>
      <w:r w:rsidRPr="004646CC">
        <w:t>is being abuse</w:t>
      </w:r>
      <w:r>
        <w:t>d</w:t>
      </w:r>
      <w:r w:rsidRPr="004646CC">
        <w:t>,</w:t>
      </w:r>
      <w:r>
        <w:t xml:space="preserve"> it is respectful to first </w:t>
      </w:r>
      <w:r w:rsidRPr="004646CC">
        <w:t xml:space="preserve">raise </w:t>
      </w:r>
      <w:r>
        <w:t xml:space="preserve">the </w:t>
      </w:r>
      <w:r w:rsidRPr="00C034E1">
        <w:t xml:space="preserve">concerns </w:t>
      </w:r>
      <w:r>
        <w:t>with the person first and involve them in the decision-making process.</w:t>
      </w:r>
    </w:p>
    <w:p w:rsidR="00FB43CA" w:rsidRDefault="00FB43CA" w:rsidP="00FB43CA"/>
    <w:p w:rsidR="00267D5F" w:rsidRDefault="005065F0" w:rsidP="00FB43CA">
      <w:r w:rsidRPr="004646CC">
        <w:t xml:space="preserve">If </w:t>
      </w:r>
      <w:r>
        <w:t xml:space="preserve">your </w:t>
      </w:r>
      <w:r w:rsidRPr="004646CC">
        <w:t xml:space="preserve">concerns </w:t>
      </w:r>
      <w:r>
        <w:t xml:space="preserve">relate to disability support services funded by the Ministry of Health, </w:t>
      </w:r>
      <w:r w:rsidRPr="004646CC">
        <w:t>contact the manager of the service. The service will have a complaints process which they are required to make known.</w:t>
      </w:r>
    </w:p>
    <w:p w:rsidR="00FB43CA" w:rsidRDefault="00FB43CA" w:rsidP="00FB43CA"/>
    <w:p w:rsidR="001F07DE" w:rsidRDefault="005065F0" w:rsidP="00FB43CA">
      <w:r>
        <w:t>Alternatively, you can contact one of the following organisations if:</w:t>
      </w:r>
    </w:p>
    <w:p w:rsidR="001F07DE" w:rsidRDefault="005065F0" w:rsidP="00FB43CA">
      <w:pPr>
        <w:pStyle w:val="Bullet"/>
      </w:pPr>
      <w:r>
        <w:t>you or the person feel</w:t>
      </w:r>
      <w:r w:rsidRPr="00C152F3">
        <w:t xml:space="preserve"> unable to make a complaint to the organisation that provides </w:t>
      </w:r>
      <w:r>
        <w:t xml:space="preserve">the </w:t>
      </w:r>
      <w:r w:rsidRPr="00C152F3">
        <w:t>services</w:t>
      </w:r>
    </w:p>
    <w:p w:rsidR="00267D5F" w:rsidRDefault="005065F0" w:rsidP="00FB43CA">
      <w:pPr>
        <w:pStyle w:val="Bullet"/>
      </w:pPr>
      <w:r>
        <w:t>the complaint is not about a service provider</w:t>
      </w:r>
    </w:p>
    <w:p w:rsidR="001F07DE" w:rsidRDefault="005065F0" w:rsidP="00FB43CA">
      <w:pPr>
        <w:pStyle w:val="Bullet"/>
      </w:pPr>
      <w:proofErr w:type="gramStart"/>
      <w:r>
        <w:t>y</w:t>
      </w:r>
      <w:r w:rsidRPr="00580B0C">
        <w:t>ou</w:t>
      </w:r>
      <w:proofErr w:type="gramEnd"/>
      <w:r w:rsidRPr="00580B0C">
        <w:t xml:space="preserve"> </w:t>
      </w:r>
      <w:r w:rsidRPr="00C152F3">
        <w:t>want to take your com</w:t>
      </w:r>
      <w:r>
        <w:t>plaint further.</w:t>
      </w:r>
    </w:p>
    <w:p w:rsidR="00FB43CA" w:rsidRDefault="00FB43CA" w:rsidP="00FB43CA"/>
    <w:p w:rsidR="001F07DE" w:rsidRDefault="005065F0" w:rsidP="00FB43CA">
      <w:r w:rsidRPr="00457B0F">
        <w:rPr>
          <w:b/>
        </w:rPr>
        <w:t xml:space="preserve">Disability Support Services </w:t>
      </w:r>
      <w:r>
        <w:rPr>
          <w:b/>
        </w:rPr>
        <w:t xml:space="preserve">within the </w:t>
      </w:r>
      <w:r w:rsidRPr="00457B0F">
        <w:rPr>
          <w:b/>
        </w:rPr>
        <w:t>Ministry of Health</w:t>
      </w:r>
      <w:r>
        <w:t xml:space="preserve">: </w:t>
      </w:r>
      <w:r w:rsidRPr="00457B0F">
        <w:t>responsible for funding support</w:t>
      </w:r>
      <w:r>
        <w:t>s</w:t>
      </w:r>
      <w:r w:rsidRPr="00457B0F">
        <w:t xml:space="preserve"> and services for people with disabilities.</w:t>
      </w:r>
      <w:r>
        <w:t xml:space="preserve"> You have the right to make a complaint about the disability support services you, your </w:t>
      </w:r>
      <w:proofErr w:type="spellStart"/>
      <w:r w:rsidRPr="008450C3">
        <w:rPr>
          <w:szCs w:val="25"/>
          <w:lang w:val="en"/>
        </w:rPr>
        <w:t>wh</w:t>
      </w:r>
      <w:r>
        <w:rPr>
          <w:szCs w:val="25"/>
          <w:lang w:val="en"/>
        </w:rPr>
        <w:t>ā</w:t>
      </w:r>
      <w:r w:rsidRPr="008450C3">
        <w:rPr>
          <w:szCs w:val="25"/>
          <w:lang w:val="en"/>
        </w:rPr>
        <w:t>nau</w:t>
      </w:r>
      <w:proofErr w:type="spellEnd"/>
      <w:r>
        <w:rPr>
          <w:szCs w:val="25"/>
          <w:lang w:val="en"/>
        </w:rPr>
        <w:t>, people you are working with, or others are</w:t>
      </w:r>
      <w:r>
        <w:t xml:space="preserve"> receiving.</w:t>
      </w:r>
    </w:p>
    <w:p w:rsidR="00FB43CA" w:rsidRDefault="00FB43CA" w:rsidP="00FB43CA"/>
    <w:p w:rsidR="001F07DE" w:rsidRDefault="005065F0" w:rsidP="00FB43CA">
      <w:pPr>
        <w:rPr>
          <w:szCs w:val="25"/>
        </w:rPr>
      </w:pPr>
      <w:r>
        <w:rPr>
          <w:b/>
        </w:rPr>
        <w:t xml:space="preserve">The </w:t>
      </w:r>
      <w:r w:rsidRPr="00000A80">
        <w:rPr>
          <w:b/>
        </w:rPr>
        <w:t xml:space="preserve">Health and Disability </w:t>
      </w:r>
      <w:r>
        <w:rPr>
          <w:b/>
        </w:rPr>
        <w:t>C</w:t>
      </w:r>
      <w:r w:rsidRPr="00000A80">
        <w:rPr>
          <w:b/>
        </w:rPr>
        <w:t>ommissioner</w:t>
      </w:r>
      <w:r>
        <w:t>:</w:t>
      </w:r>
      <w:r w:rsidRPr="00000A80">
        <w:t xml:space="preserve"> responsible for ensuring the rights of people receiving health and disability services are upheld.</w:t>
      </w:r>
      <w:r w:rsidRPr="00000A80">
        <w:rPr>
          <w:szCs w:val="25"/>
        </w:rPr>
        <w:t xml:space="preserve"> This includes making sure complaints about health or disability service providers are taken care of fairly and efficiently.</w:t>
      </w:r>
    </w:p>
    <w:p w:rsidR="00FB43CA" w:rsidRDefault="00FB43CA" w:rsidP="00FB43CA"/>
    <w:p w:rsidR="001F07DE" w:rsidRDefault="005065F0" w:rsidP="00FB43CA">
      <w:r w:rsidRPr="00000A80">
        <w:t>If you need support and information to raise your concerns or make a complaint</w:t>
      </w:r>
      <w:r>
        <w:t>,</w:t>
      </w:r>
      <w:r w:rsidRPr="00000A80">
        <w:t xml:space="preserve"> you can contact the Health and Disability Advocacy Service.</w:t>
      </w:r>
    </w:p>
    <w:p w:rsidR="00FB43CA" w:rsidRDefault="00FB43CA" w:rsidP="00FB43CA"/>
    <w:p w:rsidR="00267D5F" w:rsidRDefault="005065F0" w:rsidP="00FB43CA">
      <w:r>
        <w:rPr>
          <w:b/>
        </w:rPr>
        <w:t xml:space="preserve">The </w:t>
      </w:r>
      <w:r w:rsidRPr="001309D0">
        <w:rPr>
          <w:b/>
        </w:rPr>
        <w:t>Human Rights Commission</w:t>
      </w:r>
      <w:r w:rsidRPr="00B8406D">
        <w:t>:</w:t>
      </w:r>
      <w:r w:rsidRPr="001309D0">
        <w:rPr>
          <w:b/>
        </w:rPr>
        <w:t xml:space="preserve"> </w:t>
      </w:r>
      <w:r w:rsidRPr="00FD4650">
        <w:t>promote</w:t>
      </w:r>
      <w:r>
        <w:t>s</w:t>
      </w:r>
      <w:r w:rsidRPr="00FD4650">
        <w:t xml:space="preserve"> and protect</w:t>
      </w:r>
      <w:r>
        <w:t>s</w:t>
      </w:r>
      <w:r w:rsidRPr="00FD4650">
        <w:t xml:space="preserve"> the human rights of all people in </w:t>
      </w:r>
      <w:proofErr w:type="spellStart"/>
      <w:r w:rsidRPr="00FD4650">
        <w:t>Aotearoa</w:t>
      </w:r>
      <w:proofErr w:type="spellEnd"/>
      <w:r w:rsidRPr="00FD4650">
        <w:t xml:space="preserve"> New Zealand.</w:t>
      </w:r>
      <w:r>
        <w:t xml:space="preserve"> </w:t>
      </w:r>
      <w:r w:rsidRPr="004646CC">
        <w:t>The</w:t>
      </w:r>
      <w:r>
        <w:t xml:space="preserve"> Commission c</w:t>
      </w:r>
      <w:r w:rsidRPr="004646CC">
        <w:t>an help if you</w:t>
      </w:r>
      <w:r>
        <w:t xml:space="preserve"> ar</w:t>
      </w:r>
      <w:r w:rsidRPr="004646CC">
        <w:t>e not sure of your rights or want to make a</w:t>
      </w:r>
      <w:r>
        <w:t xml:space="preserve"> complaint about discrimination.</w:t>
      </w:r>
    </w:p>
    <w:p w:rsidR="00FB43CA" w:rsidRDefault="00FB43CA" w:rsidP="00FB43CA"/>
    <w:p w:rsidR="00267D5F" w:rsidRDefault="005065F0" w:rsidP="00FB43CA">
      <w:r>
        <w:t>The Commission</w:t>
      </w:r>
      <w:r w:rsidR="00267D5F">
        <w:t>’</w:t>
      </w:r>
      <w:r>
        <w:t xml:space="preserve">s website publishes a plain language resource about making complaints: </w:t>
      </w:r>
      <w:r w:rsidR="00E6671D" w:rsidRPr="00E6671D">
        <w:rPr>
          <w:i/>
          <w:iCs/>
          <w:lang w:val="en"/>
        </w:rPr>
        <w:t>Your human rights and making complaints: A guide for disabled people and their families</w:t>
      </w:r>
      <w:r w:rsidRPr="00FB43CA">
        <w:t>.</w:t>
      </w:r>
    </w:p>
    <w:p w:rsidR="00E6671D" w:rsidRPr="00263088" w:rsidRDefault="008A337B" w:rsidP="00FB43CA">
      <w:hyperlink r:id="rId43" w:history="1">
        <w:r w:rsidR="00E6671D" w:rsidRPr="00263088">
          <w:rPr>
            <w:rStyle w:val="Hyperlink"/>
            <w:color w:val="auto"/>
          </w:rPr>
          <w:t>www.hrc.co.nz/enquiries-and-complaints/what-you-can-complain-about/disability</w:t>
        </w:r>
      </w:hyperlink>
      <w:r w:rsidR="00E6671D" w:rsidRPr="00263088">
        <w:t xml:space="preserve"> </w:t>
      </w:r>
    </w:p>
    <w:p w:rsidR="00FB43CA" w:rsidRPr="00FB43CA" w:rsidRDefault="00FB43CA" w:rsidP="00FB43CA"/>
    <w:p w:rsidR="001F07DE" w:rsidRDefault="005065F0" w:rsidP="00FB43CA">
      <w:r w:rsidRPr="00EE72F3">
        <w:rPr>
          <w:b/>
        </w:rPr>
        <w:t xml:space="preserve">The </w:t>
      </w:r>
      <w:r>
        <w:rPr>
          <w:b/>
        </w:rPr>
        <w:t>P</w:t>
      </w:r>
      <w:r w:rsidRPr="00EE72F3">
        <w:rPr>
          <w:b/>
        </w:rPr>
        <w:t>olice</w:t>
      </w:r>
      <w:r>
        <w:t>:</w:t>
      </w:r>
      <w:r w:rsidRPr="00EE72F3">
        <w:t xml:space="preserve"> responsible for protecting public safety and maintaining law and order. </w:t>
      </w:r>
      <w:r>
        <w:t>If you feel that your complaint involves a criminal act, you should contact the police.</w:t>
      </w:r>
    </w:p>
    <w:p w:rsidR="00FB43CA" w:rsidRDefault="00FB43CA" w:rsidP="00FB43CA"/>
    <w:p w:rsidR="001F07DE" w:rsidRDefault="007A2FB3" w:rsidP="00FB43CA">
      <w:pPr>
        <w:rPr>
          <w:lang w:val="en"/>
        </w:rPr>
      </w:pPr>
      <w:r w:rsidRPr="00E81E75">
        <w:rPr>
          <w:b/>
        </w:rPr>
        <w:t xml:space="preserve">Ministry for Vulnerable Children – </w:t>
      </w:r>
      <w:proofErr w:type="spellStart"/>
      <w:r w:rsidRPr="00E81E75">
        <w:rPr>
          <w:b/>
        </w:rPr>
        <w:t>Oranga</w:t>
      </w:r>
      <w:proofErr w:type="spellEnd"/>
      <w:r w:rsidRPr="00E81E75">
        <w:rPr>
          <w:b/>
        </w:rPr>
        <w:t xml:space="preserve"> </w:t>
      </w:r>
      <w:proofErr w:type="spellStart"/>
      <w:r w:rsidRPr="00E81E75">
        <w:rPr>
          <w:b/>
        </w:rPr>
        <w:t>Tamariki</w:t>
      </w:r>
      <w:proofErr w:type="spellEnd"/>
      <w:r w:rsidR="005065F0" w:rsidRPr="00E81E75">
        <w:rPr>
          <w:lang w:val="en"/>
        </w:rPr>
        <w:t>:</w:t>
      </w:r>
      <w:r w:rsidR="001F07DE" w:rsidRPr="00E81E75">
        <w:rPr>
          <w:lang w:val="en"/>
        </w:rPr>
        <w:t xml:space="preserve"> </w:t>
      </w:r>
      <w:r w:rsidR="00117E39" w:rsidRPr="00E81E75">
        <w:rPr>
          <w:lang w:val="en"/>
        </w:rPr>
        <w:t>C</w:t>
      </w:r>
      <w:r w:rsidR="005065F0" w:rsidRPr="00E81E75">
        <w:rPr>
          <w:lang w:val="en"/>
        </w:rPr>
        <w:t xml:space="preserve">ontact </w:t>
      </w:r>
      <w:r w:rsidRPr="00E81E75">
        <w:rPr>
          <w:lang w:val="en"/>
        </w:rPr>
        <w:t>the Ministry for Vulnerable Children</w:t>
      </w:r>
      <w:r w:rsidR="005065F0" w:rsidRPr="00E81E75">
        <w:rPr>
          <w:lang w:val="en"/>
        </w:rPr>
        <w:t xml:space="preserve"> if you have concerns about the safety of </w:t>
      </w:r>
      <w:r w:rsidR="00FE274B" w:rsidRPr="00E81E75">
        <w:rPr>
          <w:lang w:val="en"/>
        </w:rPr>
        <w:t xml:space="preserve">any </w:t>
      </w:r>
      <w:r w:rsidR="005065F0" w:rsidRPr="00E81E75">
        <w:rPr>
          <w:lang w:val="en"/>
        </w:rPr>
        <w:t xml:space="preserve">child or young person </w:t>
      </w:r>
      <w:r w:rsidR="00FE274B" w:rsidRPr="00E81E75">
        <w:rPr>
          <w:lang w:val="en"/>
        </w:rPr>
        <w:t xml:space="preserve">(including those with a disability) </w:t>
      </w:r>
      <w:r w:rsidR="005065F0" w:rsidRPr="00E81E75">
        <w:rPr>
          <w:lang w:val="en"/>
        </w:rPr>
        <w:t>and need some advice.</w:t>
      </w:r>
    </w:p>
    <w:p w:rsidR="00FB43CA" w:rsidRDefault="00FB43CA" w:rsidP="00FB43CA"/>
    <w:p w:rsidR="00267D5F" w:rsidRDefault="005065F0" w:rsidP="00FB43CA">
      <w:r w:rsidRPr="00061BB0">
        <w:rPr>
          <w:b/>
        </w:rPr>
        <w:t xml:space="preserve">The </w:t>
      </w:r>
      <w:r>
        <w:rPr>
          <w:b/>
        </w:rPr>
        <w:t>O</w:t>
      </w:r>
      <w:r w:rsidRPr="00061BB0">
        <w:rPr>
          <w:b/>
        </w:rPr>
        <w:t>ffice of the Ombudsman</w:t>
      </w:r>
      <w:r>
        <w:t>:</w:t>
      </w:r>
      <w:r w:rsidRPr="00FA69C9">
        <w:t xml:space="preserve"> an independent resource to help the community deal with government agencies</w:t>
      </w:r>
      <w:r>
        <w:t>, with</w:t>
      </w:r>
      <w:r w:rsidRPr="00FA69C9">
        <w:t xml:space="preserve"> a focus on fairness and impartiality</w:t>
      </w:r>
      <w:r>
        <w:t xml:space="preserve">. It </w:t>
      </w:r>
      <w:r w:rsidRPr="00FA69C9">
        <w:t>will undertake investigations where necessary.</w:t>
      </w:r>
    </w:p>
    <w:p w:rsidR="00FB43CA" w:rsidRDefault="00FB43CA" w:rsidP="00FB43CA"/>
    <w:p w:rsidR="001F07DE" w:rsidRPr="00FB43CA" w:rsidRDefault="005065F0" w:rsidP="00FB43CA">
      <w:r w:rsidRPr="00E30965">
        <w:t xml:space="preserve">See </w:t>
      </w:r>
      <w:r w:rsidR="00267D5F" w:rsidRPr="00E30965">
        <w:t>‘</w:t>
      </w:r>
      <w:hyperlink w:anchor="_Government_agencies_and" w:history="1">
        <w:r w:rsidRPr="00E30965">
          <w:rPr>
            <w:rStyle w:val="Hyperlink"/>
            <w:color w:val="auto"/>
          </w:rPr>
          <w:t>Government agencies and resources</w:t>
        </w:r>
      </w:hyperlink>
      <w:r w:rsidR="00FB43CA" w:rsidRPr="00E30965">
        <w:t>’</w:t>
      </w:r>
      <w:r w:rsidRPr="00E30965">
        <w:t xml:space="preserve"> </w:t>
      </w:r>
      <w:r w:rsidR="00D0599F" w:rsidRPr="00E30965">
        <w:t xml:space="preserve">(page 37) </w:t>
      </w:r>
      <w:r w:rsidRPr="00E30965">
        <w:t xml:space="preserve">for contact details for all of these agencies </w:t>
      </w:r>
      <w:r>
        <w:t>and organisations.</w:t>
      </w:r>
    </w:p>
    <w:p w:rsidR="001F07DE" w:rsidRDefault="001F07DE" w:rsidP="00FB43CA"/>
    <w:p w:rsidR="001F07DE" w:rsidRDefault="005065F0" w:rsidP="00C35EC9">
      <w:pPr>
        <w:pStyle w:val="Heading1"/>
        <w:spacing w:after="240"/>
      </w:pPr>
      <w:bookmarkStart w:id="276" w:name="_Disabled_people’s_organisations"/>
      <w:bookmarkStart w:id="277" w:name="_Toc442354566"/>
      <w:bookmarkStart w:id="278" w:name="_Toc479687393"/>
      <w:bookmarkEnd w:id="276"/>
      <w:r w:rsidRPr="00845D51">
        <w:t>Disabled people</w:t>
      </w:r>
      <w:r w:rsidR="00267D5F">
        <w:t>’</w:t>
      </w:r>
      <w:r w:rsidRPr="00845D51">
        <w:t>s organisations and resources</w:t>
      </w:r>
      <w:bookmarkEnd w:id="277"/>
      <w:bookmarkEnd w:id="278"/>
    </w:p>
    <w:bookmarkEnd w:id="250"/>
    <w:bookmarkEnd w:id="267"/>
    <w:p w:rsidR="00FB43CA" w:rsidRDefault="005065F0" w:rsidP="00C35EC9">
      <w:pPr>
        <w:spacing w:after="120"/>
      </w:pPr>
      <w:r w:rsidRPr="00B85413">
        <w:t xml:space="preserve">Disabled </w:t>
      </w:r>
      <w:r>
        <w:t>p</w:t>
      </w:r>
      <w:r w:rsidRPr="00B85413">
        <w:t>eople</w:t>
      </w:r>
      <w:r w:rsidR="00267D5F">
        <w:t>’</w:t>
      </w:r>
      <w:r w:rsidRPr="00B85413">
        <w:t xml:space="preserve">s </w:t>
      </w:r>
      <w:r>
        <w:t>o</w:t>
      </w:r>
      <w:r w:rsidRPr="00B85413">
        <w:t xml:space="preserve">rganisations are organisations run by and for </w:t>
      </w:r>
      <w:r>
        <w:t>people with disabilities</w:t>
      </w:r>
      <w:r w:rsidRPr="00B85413">
        <w:t xml:space="preserve">. </w:t>
      </w:r>
      <w:r>
        <w:t>T</w:t>
      </w:r>
      <w:r w:rsidRPr="00B85413">
        <w:t xml:space="preserve">he table below </w:t>
      </w:r>
      <w:r w:rsidRPr="00810495">
        <w:t>lists</w:t>
      </w:r>
      <w:r w:rsidRPr="00B85413">
        <w:t xml:space="preserve"> New Zealand </w:t>
      </w:r>
      <w:r>
        <w:t>d</w:t>
      </w:r>
      <w:r w:rsidRPr="00B85413">
        <w:t xml:space="preserve">isabled </w:t>
      </w:r>
      <w:r w:rsidRPr="00E106DD">
        <w:t>people</w:t>
      </w:r>
      <w:r w:rsidR="00267D5F">
        <w:t>’</w:t>
      </w:r>
      <w:r w:rsidRPr="00E106DD">
        <w:t>s</w:t>
      </w:r>
      <w:r w:rsidRPr="00B85413">
        <w:t xml:space="preserve"> </w:t>
      </w:r>
      <w:r>
        <w:t>o</w:t>
      </w:r>
      <w:r w:rsidRPr="00B85413">
        <w:t xml:space="preserve">rganisations </w:t>
      </w:r>
      <w:r>
        <w:t xml:space="preserve">and some of the </w:t>
      </w:r>
      <w:r w:rsidRPr="00B85413">
        <w:t>resources</w:t>
      </w:r>
      <w:r w:rsidRPr="00B85413" w:rsidDel="001A0B90">
        <w:t xml:space="preserve"> </w:t>
      </w:r>
      <w:r>
        <w:t>they produce</w:t>
      </w:r>
      <w:r w:rsidRPr="00B85413">
        <w:t>.</w:t>
      </w:r>
    </w:p>
    <w:tbl>
      <w:tblPr>
        <w:tblStyle w:val="TableGrid"/>
        <w:tblW w:w="5000" w:type="pct"/>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Disabled people's organisations and resources"/>
        <w:tblDescription w:val="Table outlines each organisation and related resources."/>
      </w:tblPr>
      <w:tblGrid>
        <w:gridCol w:w="4338"/>
        <w:gridCol w:w="5017"/>
      </w:tblGrid>
      <w:tr w:rsidR="005065F0" w:rsidRPr="00FB43CA" w:rsidTr="00C35EC9">
        <w:trPr>
          <w:cantSplit/>
          <w:trHeight w:val="154"/>
        </w:trPr>
        <w:tc>
          <w:tcPr>
            <w:tcW w:w="4338" w:type="dxa"/>
            <w:tcBorders>
              <w:top w:val="single" w:sz="4" w:space="0" w:color="auto"/>
              <w:bottom w:val="single" w:sz="4" w:space="0" w:color="auto"/>
            </w:tcBorders>
            <w:shd w:val="clear" w:color="auto" w:fill="auto"/>
            <w:tcMar>
              <w:top w:w="57" w:type="dxa"/>
              <w:bottom w:w="57" w:type="dxa"/>
            </w:tcMar>
          </w:tcPr>
          <w:p w:rsidR="005065F0" w:rsidRPr="00FB43CA" w:rsidRDefault="005065F0" w:rsidP="00C35EC9">
            <w:pPr>
              <w:pStyle w:val="TableText"/>
              <w:spacing w:beforeLines="20" w:before="48" w:after="20"/>
              <w:ind w:right="142"/>
              <w:rPr>
                <w:b/>
              </w:rPr>
            </w:pPr>
            <w:r w:rsidRPr="00FB43CA">
              <w:rPr>
                <w:b/>
              </w:rPr>
              <w:t>Organisatio</w:t>
            </w:r>
            <w:bookmarkStart w:id="279" w:name="ColumnTitle_1"/>
            <w:bookmarkStart w:id="280" w:name="ColumnTitle_2"/>
            <w:bookmarkEnd w:id="279"/>
            <w:bookmarkEnd w:id="280"/>
            <w:r w:rsidRPr="00FB43CA">
              <w:rPr>
                <w:b/>
              </w:rPr>
              <w:t>n</w:t>
            </w:r>
          </w:p>
        </w:tc>
        <w:tc>
          <w:tcPr>
            <w:tcW w:w="5017" w:type="dxa"/>
            <w:tcBorders>
              <w:top w:val="single" w:sz="4" w:space="0" w:color="auto"/>
              <w:bottom w:val="single" w:sz="4" w:space="0" w:color="auto"/>
            </w:tcBorders>
            <w:shd w:val="clear" w:color="auto" w:fill="auto"/>
            <w:tcMar>
              <w:top w:w="57" w:type="dxa"/>
              <w:bottom w:w="57" w:type="dxa"/>
            </w:tcMar>
          </w:tcPr>
          <w:p w:rsidR="005065F0" w:rsidRPr="00FB43CA" w:rsidRDefault="005065F0" w:rsidP="00C35EC9">
            <w:pPr>
              <w:pStyle w:val="TableText"/>
              <w:spacing w:beforeLines="20" w:before="48" w:after="20"/>
              <w:rPr>
                <w:b/>
              </w:rPr>
            </w:pPr>
            <w:r w:rsidRPr="00FB43CA">
              <w:rPr>
                <w:b/>
              </w:rPr>
              <w:t>Resources</w:t>
            </w:r>
          </w:p>
        </w:tc>
      </w:tr>
      <w:tr w:rsidR="005065F0" w:rsidRPr="00263088" w:rsidTr="00C35EC9">
        <w:trPr>
          <w:cantSplit/>
        </w:trPr>
        <w:tc>
          <w:tcPr>
            <w:tcW w:w="4338" w:type="dxa"/>
            <w:tcBorders>
              <w:top w:val="single" w:sz="4" w:space="0" w:color="auto"/>
              <w:bottom w:val="single" w:sz="4" w:space="0" w:color="A6A6A6" w:themeColor="background1" w:themeShade="A6"/>
            </w:tcBorders>
            <w:shd w:val="clear" w:color="auto" w:fill="auto"/>
            <w:tcMar>
              <w:top w:w="57" w:type="dxa"/>
              <w:bottom w:w="57" w:type="dxa"/>
            </w:tcMar>
          </w:tcPr>
          <w:p w:rsidR="001F07DE" w:rsidRPr="00263088" w:rsidRDefault="00E6671D" w:rsidP="00C35EC9">
            <w:pPr>
              <w:pStyle w:val="TableText"/>
              <w:spacing w:beforeLines="20" w:before="48" w:after="20"/>
              <w:ind w:right="142"/>
              <w:rPr>
                <w:rStyle w:val="Hyperlink"/>
                <w:rFonts w:ascii="Arial" w:hAnsi="Arial" w:cs="Arial"/>
                <w:b/>
                <w:color w:val="auto"/>
                <w:sz w:val="18"/>
                <w:szCs w:val="18"/>
              </w:rPr>
            </w:pPr>
            <w:r w:rsidRPr="00263088">
              <w:rPr>
                <w:rFonts w:cs="Arial"/>
                <w:b/>
                <w:szCs w:val="18"/>
              </w:rPr>
              <w:t>Association of Blind Citizens of New Zealand</w:t>
            </w:r>
          </w:p>
          <w:p w:rsidR="005065F0" w:rsidRPr="00263088" w:rsidRDefault="005065F0" w:rsidP="00C35EC9">
            <w:pPr>
              <w:pStyle w:val="TableText"/>
              <w:spacing w:beforeLines="20" w:before="48" w:after="20"/>
              <w:ind w:right="142"/>
              <w:rPr>
                <w:rFonts w:cs="Arial"/>
                <w:szCs w:val="18"/>
              </w:rPr>
            </w:pPr>
            <w:r w:rsidRPr="00263088">
              <w:rPr>
                <w:rFonts w:cs="Arial"/>
                <w:szCs w:val="18"/>
              </w:rPr>
              <w:t>An advocacy organisation for blind and vision impaired people</w:t>
            </w:r>
            <w:r w:rsidR="00FB43CA" w:rsidRPr="00263088">
              <w:rPr>
                <w:rFonts w:cs="Arial"/>
                <w:szCs w:val="18"/>
              </w:rPr>
              <w:t>.</w:t>
            </w:r>
          </w:p>
          <w:p w:rsidR="00E6671D" w:rsidRPr="00263088" w:rsidRDefault="008A337B" w:rsidP="00575784">
            <w:pPr>
              <w:pStyle w:val="TableText"/>
              <w:spacing w:beforeLines="20" w:before="48" w:after="20"/>
              <w:ind w:right="142"/>
              <w:rPr>
                <w:rFonts w:cs="Arial"/>
                <w:szCs w:val="18"/>
              </w:rPr>
            </w:pPr>
            <w:hyperlink r:id="rId44" w:history="1">
              <w:r w:rsidR="00E6671D" w:rsidRPr="00263088">
                <w:rPr>
                  <w:rStyle w:val="Hyperlink"/>
                  <w:rFonts w:ascii="Arial" w:hAnsi="Arial" w:cs="Arial"/>
                  <w:color w:val="auto"/>
                  <w:sz w:val="18"/>
                  <w:szCs w:val="18"/>
                </w:rPr>
                <w:t>www.abcnz.org.nz</w:t>
              </w:r>
            </w:hyperlink>
            <w:r w:rsidR="00E6671D" w:rsidRPr="00263088">
              <w:rPr>
                <w:rFonts w:cs="Arial"/>
                <w:szCs w:val="18"/>
              </w:rPr>
              <w:t xml:space="preserve"> </w:t>
            </w:r>
          </w:p>
        </w:tc>
        <w:tc>
          <w:tcPr>
            <w:tcW w:w="5017" w:type="dxa"/>
            <w:tcBorders>
              <w:top w:val="single" w:sz="4" w:space="0" w:color="auto"/>
              <w:bottom w:val="single" w:sz="4" w:space="0" w:color="A6A6A6" w:themeColor="background1" w:themeShade="A6"/>
            </w:tcBorders>
            <w:shd w:val="clear" w:color="auto" w:fill="auto"/>
            <w:tcMar>
              <w:top w:w="57" w:type="dxa"/>
              <w:bottom w:w="57" w:type="dxa"/>
            </w:tcMar>
          </w:tcPr>
          <w:p w:rsidR="005065F0" w:rsidRPr="00263088" w:rsidRDefault="00E6671D" w:rsidP="00C35EC9">
            <w:pPr>
              <w:pStyle w:val="TableBullet"/>
              <w:spacing w:beforeLines="20" w:before="48" w:after="20"/>
            </w:pPr>
            <w:r w:rsidRPr="00263088">
              <w:rPr>
                <w:rFonts w:cs="Arial"/>
                <w:bCs/>
                <w:szCs w:val="18"/>
              </w:rPr>
              <w:t>Inclusive meeting practices for blind or vision impaired participants</w:t>
            </w:r>
            <w:r w:rsidRPr="00263088">
              <w:rPr>
                <w:rStyle w:val="Hyperlink"/>
                <w:rFonts w:ascii="Arial" w:hAnsi="Arial" w:cs="Arial"/>
                <w:bCs/>
                <w:color w:val="auto"/>
                <w:sz w:val="18"/>
                <w:szCs w:val="18"/>
              </w:rPr>
              <w:br/>
            </w:r>
            <w:hyperlink r:id="rId45" w:history="1">
              <w:r w:rsidRPr="00263088">
                <w:rPr>
                  <w:rStyle w:val="Hyperlink"/>
                  <w:rFonts w:ascii="Arial" w:hAnsi="Arial"/>
                  <w:color w:val="auto"/>
                  <w:sz w:val="18"/>
                </w:rPr>
                <w:t>www.hdc.org.nz/publications/other-publications-from-hdc/disability-resources/inclusive-meeting-practices-for-blind--or-vision-impaired-participants-(association-of-blind-citizens-of-nz)</w:t>
              </w:r>
            </w:hyperlink>
            <w:r w:rsidRPr="00263088">
              <w:t xml:space="preserve"> </w:t>
            </w:r>
          </w:p>
        </w:tc>
      </w:tr>
      <w:tr w:rsidR="005065F0" w:rsidRPr="00263088" w:rsidTr="00C35EC9">
        <w:trPr>
          <w:cantSplit/>
        </w:trPr>
        <w:tc>
          <w:tcPr>
            <w:tcW w:w="4338"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267D5F" w:rsidRPr="00263088" w:rsidRDefault="00E6671D" w:rsidP="00C35EC9">
            <w:pPr>
              <w:pStyle w:val="TableText"/>
              <w:spacing w:beforeLines="20" w:before="48" w:after="20"/>
              <w:ind w:right="142"/>
              <w:rPr>
                <w:rFonts w:cs="Arial"/>
                <w:szCs w:val="18"/>
              </w:rPr>
            </w:pPr>
            <w:r w:rsidRPr="00263088">
              <w:rPr>
                <w:rFonts w:cs="Arial"/>
                <w:b/>
                <w:szCs w:val="18"/>
              </w:rPr>
              <w:t>Balance NZ</w:t>
            </w:r>
          </w:p>
          <w:p w:rsidR="005065F0" w:rsidRPr="00263088" w:rsidRDefault="005065F0" w:rsidP="00C35EC9">
            <w:pPr>
              <w:pStyle w:val="TableText"/>
              <w:spacing w:beforeLines="20" w:before="48" w:after="20"/>
              <w:ind w:right="142"/>
              <w:rPr>
                <w:rFonts w:cs="Arial"/>
                <w:szCs w:val="18"/>
              </w:rPr>
            </w:pPr>
            <w:r w:rsidRPr="00263088">
              <w:rPr>
                <w:rFonts w:cs="Arial"/>
                <w:szCs w:val="18"/>
              </w:rPr>
              <w:t>An organisation of people with mental health issues and mood disorders that provides support and advocacy</w:t>
            </w:r>
            <w:r w:rsidR="00FB43CA" w:rsidRPr="00263088">
              <w:rPr>
                <w:rFonts w:cs="Arial"/>
                <w:szCs w:val="18"/>
              </w:rPr>
              <w:t>.</w:t>
            </w:r>
          </w:p>
          <w:p w:rsidR="00E6671D" w:rsidRPr="00263088" w:rsidRDefault="008A337B" w:rsidP="00575784">
            <w:pPr>
              <w:pStyle w:val="TableText"/>
              <w:spacing w:beforeLines="20" w:before="48" w:after="20"/>
              <w:ind w:right="142"/>
              <w:rPr>
                <w:rFonts w:cs="Arial"/>
                <w:szCs w:val="18"/>
              </w:rPr>
            </w:pPr>
            <w:hyperlink r:id="rId46" w:history="1">
              <w:r w:rsidR="00E6671D" w:rsidRPr="00263088">
                <w:rPr>
                  <w:rStyle w:val="Hyperlink"/>
                  <w:rFonts w:ascii="Arial" w:hAnsi="Arial" w:cs="Arial"/>
                  <w:color w:val="auto"/>
                  <w:sz w:val="18"/>
                  <w:szCs w:val="18"/>
                </w:rPr>
                <w:t>www.balance.org.nz</w:t>
              </w:r>
            </w:hyperlink>
            <w:r w:rsidR="00E6671D" w:rsidRPr="00263088">
              <w:rPr>
                <w:rFonts w:cs="Arial"/>
                <w:szCs w:val="18"/>
              </w:rPr>
              <w:t xml:space="preserve"> </w:t>
            </w:r>
          </w:p>
        </w:tc>
        <w:tc>
          <w:tcPr>
            <w:tcW w:w="5017"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1F07DE" w:rsidRPr="00263088" w:rsidRDefault="00476877" w:rsidP="00C35EC9">
            <w:pPr>
              <w:pStyle w:val="TableBullet"/>
              <w:spacing w:beforeLines="20" w:before="48" w:after="20"/>
            </w:pPr>
            <w:r w:rsidRPr="00263088">
              <w:rPr>
                <w:rFonts w:cs="Arial"/>
                <w:i/>
                <w:szCs w:val="18"/>
              </w:rPr>
              <w:t>Living Well Booklet</w:t>
            </w:r>
            <w:r w:rsidR="005065F0" w:rsidRPr="00263088">
              <w:rPr>
                <w:rStyle w:val="Hyperlink"/>
                <w:rFonts w:ascii="Arial" w:hAnsi="Arial" w:cs="Arial"/>
                <w:color w:val="auto"/>
                <w:sz w:val="18"/>
                <w:szCs w:val="18"/>
              </w:rPr>
              <w:t xml:space="preserve"> (compiled for the information of those who suffer from bipolar disorder (manic depression) and their families and friends</w:t>
            </w:r>
            <w:r w:rsidRPr="00263088">
              <w:rPr>
                <w:rStyle w:val="Hyperlink"/>
                <w:rFonts w:ascii="Arial" w:hAnsi="Arial" w:cs="Arial"/>
                <w:color w:val="auto"/>
                <w:sz w:val="18"/>
                <w:szCs w:val="18"/>
              </w:rPr>
              <w:br/>
            </w:r>
            <w:hyperlink r:id="rId47" w:history="1">
              <w:r w:rsidRPr="00263088">
                <w:rPr>
                  <w:rStyle w:val="Hyperlink"/>
                  <w:rFonts w:ascii="Arial" w:hAnsi="Arial"/>
                  <w:color w:val="auto"/>
                  <w:sz w:val="18"/>
                </w:rPr>
                <w:t>www.balance.org.nz/index.php/information/bipolar-disorder/living-well-booklet</w:t>
              </w:r>
            </w:hyperlink>
            <w:r w:rsidRPr="00263088">
              <w:t xml:space="preserve"> </w:t>
            </w:r>
          </w:p>
          <w:p w:rsidR="001F07DE" w:rsidRPr="00263088" w:rsidRDefault="00476877" w:rsidP="00C35EC9">
            <w:pPr>
              <w:pStyle w:val="TableBullet"/>
              <w:spacing w:beforeLines="20" w:before="48" w:after="20"/>
              <w:rPr>
                <w:rStyle w:val="Hyperlink"/>
                <w:rFonts w:ascii="Arial" w:hAnsi="Arial" w:cs="Arial"/>
                <w:color w:val="auto"/>
                <w:sz w:val="18"/>
                <w:szCs w:val="18"/>
              </w:rPr>
            </w:pPr>
            <w:r w:rsidRPr="00263088">
              <w:rPr>
                <w:rFonts w:cs="Arial"/>
                <w:szCs w:val="18"/>
              </w:rPr>
              <w:t>Information on bipolar disorder for families</w:t>
            </w:r>
            <w:r w:rsidRPr="00263088">
              <w:rPr>
                <w:rStyle w:val="Hyperlink"/>
                <w:rFonts w:ascii="Arial" w:hAnsi="Arial" w:cs="Arial"/>
                <w:color w:val="auto"/>
                <w:sz w:val="18"/>
                <w:szCs w:val="18"/>
              </w:rPr>
              <w:br/>
            </w:r>
            <w:hyperlink r:id="rId48" w:history="1">
              <w:r w:rsidRPr="00263088">
                <w:rPr>
                  <w:rStyle w:val="Hyperlink"/>
                  <w:rFonts w:ascii="Arial" w:hAnsi="Arial" w:cs="Arial"/>
                  <w:color w:val="auto"/>
                  <w:sz w:val="18"/>
                  <w:szCs w:val="18"/>
                </w:rPr>
                <w:t>www.balance.org.nz/index.php/information/bipolar-disorder/family-booklet</w:t>
              </w:r>
            </w:hyperlink>
            <w:r w:rsidRPr="00263088">
              <w:rPr>
                <w:rStyle w:val="Hyperlink"/>
                <w:rFonts w:ascii="Arial" w:hAnsi="Arial" w:cs="Arial"/>
                <w:color w:val="auto"/>
                <w:sz w:val="18"/>
                <w:szCs w:val="18"/>
              </w:rPr>
              <w:t xml:space="preserve"> </w:t>
            </w:r>
          </w:p>
          <w:p w:rsidR="005065F0" w:rsidRPr="00263088" w:rsidRDefault="005065F0" w:rsidP="00C35EC9">
            <w:pPr>
              <w:pStyle w:val="TableBullet"/>
              <w:spacing w:beforeLines="20" w:before="48" w:after="20"/>
              <w:rPr>
                <w:u w:val="single"/>
              </w:rPr>
            </w:pPr>
            <w:r w:rsidRPr="00263088">
              <w:rPr>
                <w:rStyle w:val="Hyperlink"/>
                <w:rFonts w:ascii="Arial" w:hAnsi="Arial" w:cs="Arial"/>
                <w:color w:val="auto"/>
                <w:sz w:val="18"/>
                <w:szCs w:val="18"/>
              </w:rPr>
              <w:t xml:space="preserve">Information on </w:t>
            </w:r>
            <w:r w:rsidR="00476877" w:rsidRPr="00263088">
              <w:rPr>
                <w:rFonts w:cs="Arial"/>
                <w:szCs w:val="18"/>
              </w:rPr>
              <w:t>Seasonal Affective Disorder</w:t>
            </w:r>
            <w:r w:rsidR="00476877" w:rsidRPr="00263088">
              <w:rPr>
                <w:rStyle w:val="Hyperlink"/>
                <w:rFonts w:ascii="Arial" w:hAnsi="Arial" w:cs="Arial"/>
                <w:color w:val="auto"/>
                <w:sz w:val="18"/>
                <w:szCs w:val="18"/>
              </w:rPr>
              <w:br/>
            </w:r>
            <w:hyperlink r:id="rId49" w:history="1">
              <w:r w:rsidR="00476877" w:rsidRPr="00263088">
                <w:rPr>
                  <w:rStyle w:val="Hyperlink"/>
                  <w:rFonts w:ascii="Arial" w:hAnsi="Arial"/>
                  <w:color w:val="auto"/>
                  <w:sz w:val="18"/>
                </w:rPr>
                <w:t>www.balance.org.nz/index.php/information/sad</w:t>
              </w:r>
            </w:hyperlink>
            <w:r w:rsidR="00476877" w:rsidRPr="00263088">
              <w:rPr>
                <w:u w:val="single"/>
              </w:rPr>
              <w:t xml:space="preserve"> </w:t>
            </w:r>
          </w:p>
        </w:tc>
      </w:tr>
      <w:tr w:rsidR="005065F0" w:rsidRPr="00263088" w:rsidTr="00C35EC9">
        <w:trPr>
          <w:cantSplit/>
        </w:trPr>
        <w:tc>
          <w:tcPr>
            <w:tcW w:w="4338"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267D5F" w:rsidRPr="00263088" w:rsidRDefault="00476877" w:rsidP="00C35EC9">
            <w:pPr>
              <w:pStyle w:val="TableText"/>
              <w:spacing w:beforeLines="20" w:before="48" w:after="20"/>
              <w:ind w:right="142"/>
              <w:rPr>
                <w:rFonts w:cs="Arial"/>
                <w:szCs w:val="18"/>
              </w:rPr>
            </w:pPr>
            <w:r w:rsidRPr="00263088">
              <w:rPr>
                <w:rFonts w:cs="Arial"/>
                <w:b/>
                <w:szCs w:val="18"/>
              </w:rPr>
              <w:t xml:space="preserve">Deaf </w:t>
            </w:r>
            <w:proofErr w:type="spellStart"/>
            <w:r w:rsidRPr="00263088">
              <w:rPr>
                <w:rFonts w:cs="Arial"/>
                <w:b/>
                <w:szCs w:val="18"/>
              </w:rPr>
              <w:t>Aotearoa</w:t>
            </w:r>
            <w:proofErr w:type="spellEnd"/>
            <w:r w:rsidRPr="00263088">
              <w:rPr>
                <w:rFonts w:cs="Arial"/>
                <w:b/>
                <w:szCs w:val="18"/>
              </w:rPr>
              <w:t xml:space="preserve"> New Zealand</w:t>
            </w:r>
          </w:p>
          <w:p w:rsidR="005065F0" w:rsidRPr="00263088" w:rsidRDefault="005065F0" w:rsidP="00C35EC9">
            <w:pPr>
              <w:pStyle w:val="TableText"/>
              <w:spacing w:beforeLines="20" w:before="48" w:after="20"/>
              <w:ind w:right="142"/>
              <w:rPr>
                <w:rFonts w:cs="Arial"/>
                <w:szCs w:val="18"/>
                <w:lang w:val="en"/>
              </w:rPr>
            </w:pPr>
            <w:r w:rsidRPr="00263088">
              <w:rPr>
                <w:rFonts w:cs="Arial"/>
                <w:szCs w:val="18"/>
                <w:lang w:val="en"/>
              </w:rPr>
              <w:t xml:space="preserve">An </w:t>
            </w:r>
            <w:r w:rsidRPr="00263088">
              <w:rPr>
                <w:rFonts w:cs="Arial"/>
                <w:szCs w:val="18"/>
              </w:rPr>
              <w:t>organisation</w:t>
            </w:r>
            <w:r w:rsidRPr="00263088">
              <w:rPr>
                <w:rFonts w:cs="Arial"/>
                <w:szCs w:val="18"/>
                <w:lang w:val="en"/>
              </w:rPr>
              <w:t xml:space="preserve"> that provides information and resources on life for Deaf </w:t>
            </w:r>
            <w:r w:rsidRPr="00263088">
              <w:rPr>
                <w:rFonts w:cs="Arial"/>
                <w:szCs w:val="18"/>
              </w:rPr>
              <w:t>New</w:t>
            </w:r>
            <w:r w:rsidRPr="00263088">
              <w:rPr>
                <w:rFonts w:cs="Arial"/>
                <w:szCs w:val="18"/>
                <w:lang w:val="en"/>
              </w:rPr>
              <w:t xml:space="preserve"> Zealanders, Deaf culture and New Zealand Sign Language. </w:t>
            </w:r>
            <w:r w:rsidRPr="00263088">
              <w:rPr>
                <w:rFonts w:cs="Arial"/>
                <w:szCs w:val="18"/>
              </w:rPr>
              <w:t xml:space="preserve">Deaf </w:t>
            </w:r>
            <w:proofErr w:type="spellStart"/>
            <w:r w:rsidRPr="00263088">
              <w:rPr>
                <w:rFonts w:cs="Arial"/>
                <w:szCs w:val="18"/>
              </w:rPr>
              <w:t>Aotearoa</w:t>
            </w:r>
            <w:proofErr w:type="spellEnd"/>
            <w:r w:rsidRPr="00263088">
              <w:rPr>
                <w:rFonts w:cs="Arial"/>
                <w:szCs w:val="18"/>
              </w:rPr>
              <w:t xml:space="preserve"> also provides </w:t>
            </w:r>
            <w:r w:rsidRPr="00263088">
              <w:rPr>
                <w:rFonts w:cs="Arial"/>
                <w:szCs w:val="18"/>
                <w:lang w:val="en"/>
              </w:rPr>
              <w:t>New Zealand Sign Language classes and Deaf awareness training</w:t>
            </w:r>
            <w:r w:rsidR="00FB43CA" w:rsidRPr="00263088">
              <w:rPr>
                <w:rFonts w:cs="Arial"/>
                <w:szCs w:val="18"/>
                <w:lang w:val="en"/>
              </w:rPr>
              <w:t>.</w:t>
            </w:r>
          </w:p>
          <w:p w:rsidR="00476877" w:rsidRPr="00263088" w:rsidRDefault="008A337B" w:rsidP="00575784">
            <w:pPr>
              <w:pStyle w:val="TableText"/>
              <w:spacing w:beforeLines="20" w:before="48" w:after="20"/>
              <w:ind w:right="142"/>
              <w:rPr>
                <w:rFonts w:cs="Arial"/>
                <w:szCs w:val="18"/>
              </w:rPr>
            </w:pPr>
            <w:hyperlink r:id="rId50" w:history="1">
              <w:r w:rsidR="00476877" w:rsidRPr="00263088">
                <w:rPr>
                  <w:rStyle w:val="Hyperlink"/>
                  <w:rFonts w:ascii="Arial" w:hAnsi="Arial" w:cs="Arial"/>
                  <w:color w:val="auto"/>
                  <w:sz w:val="18"/>
                  <w:szCs w:val="18"/>
                </w:rPr>
                <w:t>www.deaf.org.nz</w:t>
              </w:r>
            </w:hyperlink>
            <w:r w:rsidR="00476877" w:rsidRPr="00263088">
              <w:rPr>
                <w:rFonts w:cs="Arial"/>
                <w:szCs w:val="18"/>
              </w:rPr>
              <w:t xml:space="preserve"> </w:t>
            </w:r>
          </w:p>
        </w:tc>
        <w:tc>
          <w:tcPr>
            <w:tcW w:w="5017"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1F07DE" w:rsidRPr="00263088" w:rsidRDefault="00476877" w:rsidP="00C35EC9">
            <w:pPr>
              <w:pStyle w:val="TableBullet"/>
              <w:spacing w:beforeLines="20" w:before="48" w:after="20"/>
            </w:pPr>
            <w:r w:rsidRPr="00263088">
              <w:rPr>
                <w:rFonts w:cs="Arial"/>
                <w:i/>
                <w:szCs w:val="18"/>
              </w:rPr>
              <w:t>Tips for Communicating with Deaf People</w:t>
            </w:r>
            <w:r w:rsidRPr="00263088">
              <w:rPr>
                <w:rStyle w:val="Hyperlink"/>
                <w:rFonts w:ascii="Arial" w:hAnsi="Arial" w:cs="Arial"/>
                <w:i/>
                <w:color w:val="auto"/>
                <w:sz w:val="18"/>
                <w:szCs w:val="18"/>
              </w:rPr>
              <w:br/>
            </w:r>
            <w:hyperlink r:id="rId51" w:history="1">
              <w:r w:rsidRPr="00263088">
                <w:rPr>
                  <w:rStyle w:val="Hyperlink"/>
                  <w:rFonts w:ascii="Arial" w:hAnsi="Arial"/>
                  <w:color w:val="auto"/>
                  <w:sz w:val="18"/>
                </w:rPr>
                <w:t>www.deaf.org.nz/resources/communication-tips</w:t>
              </w:r>
            </w:hyperlink>
            <w:r w:rsidRPr="00263088">
              <w:t xml:space="preserve"> </w:t>
            </w:r>
          </w:p>
          <w:p w:rsidR="00267D5F" w:rsidRPr="00263088" w:rsidRDefault="00476877" w:rsidP="00C35EC9">
            <w:pPr>
              <w:pStyle w:val="TableBullet"/>
              <w:spacing w:beforeLines="20" w:before="48" w:after="20"/>
            </w:pPr>
            <w:r w:rsidRPr="00263088">
              <w:rPr>
                <w:rFonts w:cs="Arial"/>
                <w:szCs w:val="18"/>
              </w:rPr>
              <w:t>Deaf awareness training</w:t>
            </w:r>
            <w:r w:rsidRPr="00263088">
              <w:rPr>
                <w:rStyle w:val="Hyperlink"/>
                <w:rFonts w:ascii="Arial" w:hAnsi="Arial" w:cs="Arial"/>
                <w:color w:val="auto"/>
                <w:sz w:val="18"/>
                <w:szCs w:val="18"/>
              </w:rPr>
              <w:br/>
            </w:r>
            <w:hyperlink r:id="rId52" w:history="1">
              <w:r w:rsidRPr="00263088">
                <w:rPr>
                  <w:rStyle w:val="Hyperlink"/>
                  <w:rFonts w:ascii="Arial" w:hAnsi="Arial"/>
                  <w:color w:val="auto"/>
                  <w:sz w:val="18"/>
                </w:rPr>
                <w:t>www.deaf.org.nz/services/awareness</w:t>
              </w:r>
            </w:hyperlink>
            <w:r w:rsidRPr="00263088">
              <w:t xml:space="preserve"> </w:t>
            </w:r>
          </w:p>
          <w:p w:rsidR="005065F0" w:rsidRPr="00263088" w:rsidRDefault="00476877" w:rsidP="00C35EC9">
            <w:pPr>
              <w:pStyle w:val="TableBullet"/>
              <w:spacing w:beforeLines="20" w:before="48" w:after="20"/>
            </w:pPr>
            <w:r w:rsidRPr="00263088">
              <w:rPr>
                <w:rFonts w:cs="Arial"/>
                <w:szCs w:val="18"/>
              </w:rPr>
              <w:t>New Zealand Sign Language classes</w:t>
            </w:r>
            <w:r w:rsidRPr="00263088">
              <w:rPr>
                <w:rStyle w:val="Hyperlink"/>
                <w:rFonts w:ascii="Arial" w:hAnsi="Arial" w:cs="Arial"/>
                <w:color w:val="auto"/>
                <w:sz w:val="18"/>
                <w:szCs w:val="18"/>
              </w:rPr>
              <w:br/>
            </w:r>
            <w:hyperlink r:id="rId53" w:history="1">
              <w:r w:rsidRPr="00263088">
                <w:rPr>
                  <w:rStyle w:val="Hyperlink"/>
                  <w:rFonts w:ascii="Arial" w:hAnsi="Arial"/>
                  <w:color w:val="auto"/>
                  <w:sz w:val="18"/>
                </w:rPr>
                <w:t>www.deaf.org.nz/services/sign-language</w:t>
              </w:r>
            </w:hyperlink>
            <w:r w:rsidRPr="00263088">
              <w:t xml:space="preserve"> </w:t>
            </w:r>
          </w:p>
        </w:tc>
      </w:tr>
      <w:tr w:rsidR="005065F0" w:rsidRPr="00263088" w:rsidTr="00C35EC9">
        <w:trPr>
          <w:cantSplit/>
        </w:trPr>
        <w:tc>
          <w:tcPr>
            <w:tcW w:w="4338"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1F07DE" w:rsidRPr="00263088" w:rsidRDefault="00C35EC9" w:rsidP="00C35EC9">
            <w:pPr>
              <w:pStyle w:val="TableText"/>
              <w:spacing w:beforeLines="20" w:before="48" w:after="20"/>
              <w:ind w:right="142"/>
              <w:rPr>
                <w:rFonts w:cs="Arial"/>
                <w:szCs w:val="18"/>
              </w:rPr>
            </w:pPr>
            <w:proofErr w:type="spellStart"/>
            <w:r w:rsidRPr="00263088">
              <w:rPr>
                <w:rFonts w:cs="Arial"/>
                <w:b/>
                <w:szCs w:val="18"/>
              </w:rPr>
              <w:t>Deafblind</w:t>
            </w:r>
            <w:proofErr w:type="spellEnd"/>
            <w:r w:rsidRPr="00263088">
              <w:rPr>
                <w:rFonts w:cs="Arial"/>
                <w:b/>
                <w:szCs w:val="18"/>
              </w:rPr>
              <w:t xml:space="preserve"> (NZ) </w:t>
            </w:r>
            <w:proofErr w:type="spellStart"/>
            <w:r w:rsidRPr="00263088">
              <w:rPr>
                <w:rFonts w:cs="Arial"/>
                <w:b/>
                <w:szCs w:val="18"/>
              </w:rPr>
              <w:t>Inc</w:t>
            </w:r>
            <w:proofErr w:type="spellEnd"/>
          </w:p>
          <w:p w:rsidR="005065F0" w:rsidRPr="00263088" w:rsidRDefault="005065F0" w:rsidP="00C35EC9">
            <w:pPr>
              <w:pStyle w:val="TableText"/>
              <w:spacing w:beforeLines="20" w:before="48" w:after="20"/>
              <w:ind w:right="142"/>
              <w:rPr>
                <w:rFonts w:cs="Arial"/>
                <w:szCs w:val="18"/>
              </w:rPr>
            </w:pPr>
            <w:r w:rsidRPr="00263088">
              <w:rPr>
                <w:rFonts w:cs="Arial"/>
                <w:szCs w:val="18"/>
              </w:rPr>
              <w:t xml:space="preserve">An organisation that provides advocacy and support for </w:t>
            </w:r>
            <w:proofErr w:type="spellStart"/>
            <w:r w:rsidRPr="00263088">
              <w:rPr>
                <w:rFonts w:cs="Arial"/>
                <w:szCs w:val="18"/>
              </w:rPr>
              <w:t>Deafblind</w:t>
            </w:r>
            <w:proofErr w:type="spellEnd"/>
            <w:r w:rsidRPr="00263088">
              <w:rPr>
                <w:rFonts w:cs="Arial"/>
                <w:szCs w:val="18"/>
              </w:rPr>
              <w:t xml:space="preserve"> people in New Zealand</w:t>
            </w:r>
            <w:r w:rsidR="00FB43CA" w:rsidRPr="00263088">
              <w:rPr>
                <w:rFonts w:cs="Arial"/>
                <w:szCs w:val="18"/>
              </w:rPr>
              <w:t>.</w:t>
            </w:r>
          </w:p>
          <w:p w:rsidR="00C35EC9" w:rsidRPr="00263088" w:rsidRDefault="008A337B" w:rsidP="00575784">
            <w:pPr>
              <w:pStyle w:val="TableText"/>
              <w:spacing w:beforeLines="20" w:before="48" w:after="20"/>
              <w:ind w:right="142"/>
              <w:rPr>
                <w:rFonts w:cs="Arial"/>
                <w:szCs w:val="18"/>
              </w:rPr>
            </w:pPr>
            <w:hyperlink r:id="rId54" w:history="1">
              <w:r w:rsidR="00C35EC9" w:rsidRPr="00263088">
                <w:rPr>
                  <w:rStyle w:val="Hyperlink"/>
                  <w:rFonts w:ascii="Arial" w:hAnsi="Arial" w:cs="Arial"/>
                  <w:color w:val="auto"/>
                  <w:sz w:val="18"/>
                  <w:szCs w:val="18"/>
                </w:rPr>
                <w:t>www.deafblind.org.nz</w:t>
              </w:r>
            </w:hyperlink>
            <w:r w:rsidR="00C35EC9" w:rsidRPr="00263088">
              <w:rPr>
                <w:rFonts w:cs="Arial"/>
                <w:szCs w:val="18"/>
              </w:rPr>
              <w:t xml:space="preserve"> </w:t>
            </w:r>
          </w:p>
        </w:tc>
        <w:tc>
          <w:tcPr>
            <w:tcW w:w="5017"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5065F0" w:rsidRPr="00263088" w:rsidRDefault="00C35EC9" w:rsidP="00C35EC9">
            <w:pPr>
              <w:pStyle w:val="TableBullet"/>
              <w:spacing w:beforeLines="20" w:before="48" w:after="20"/>
            </w:pPr>
            <w:r w:rsidRPr="00263088">
              <w:rPr>
                <w:rFonts w:cs="Arial"/>
                <w:szCs w:val="18"/>
              </w:rPr>
              <w:t xml:space="preserve">Information about </w:t>
            </w:r>
            <w:proofErr w:type="spellStart"/>
            <w:r w:rsidRPr="00263088">
              <w:rPr>
                <w:rFonts w:cs="Arial"/>
                <w:szCs w:val="18"/>
              </w:rPr>
              <w:t>deafblindness</w:t>
            </w:r>
            <w:proofErr w:type="spellEnd"/>
            <w:r w:rsidRPr="00263088">
              <w:rPr>
                <w:rStyle w:val="Hyperlink"/>
                <w:rFonts w:ascii="Arial" w:hAnsi="Arial" w:cs="Arial"/>
                <w:color w:val="auto"/>
                <w:sz w:val="18"/>
                <w:szCs w:val="18"/>
              </w:rPr>
              <w:br/>
            </w:r>
            <w:hyperlink r:id="rId55" w:history="1">
              <w:r w:rsidRPr="00263088">
                <w:rPr>
                  <w:rStyle w:val="Hyperlink"/>
                  <w:rFonts w:ascii="Arial" w:hAnsi="Arial"/>
                  <w:color w:val="auto"/>
                  <w:sz w:val="18"/>
                </w:rPr>
                <w:t>www.deafblind.org.nz/learn</w:t>
              </w:r>
            </w:hyperlink>
            <w:r w:rsidRPr="00263088">
              <w:t xml:space="preserve"> </w:t>
            </w:r>
          </w:p>
        </w:tc>
      </w:tr>
      <w:tr w:rsidR="005065F0" w:rsidRPr="00263088" w:rsidTr="00C35EC9">
        <w:trPr>
          <w:cantSplit/>
        </w:trPr>
        <w:tc>
          <w:tcPr>
            <w:tcW w:w="4338"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267D5F" w:rsidRPr="00263088" w:rsidRDefault="00C35EC9" w:rsidP="00C35EC9">
            <w:pPr>
              <w:pStyle w:val="TableText"/>
              <w:spacing w:beforeLines="20" w:before="48" w:after="20"/>
              <w:ind w:right="142"/>
              <w:rPr>
                <w:rFonts w:cs="Arial"/>
                <w:szCs w:val="18"/>
              </w:rPr>
            </w:pPr>
            <w:r w:rsidRPr="00263088">
              <w:rPr>
                <w:rFonts w:cs="Arial"/>
                <w:b/>
                <w:szCs w:val="18"/>
              </w:rPr>
              <w:t>Disabled Persons Assembly NZ</w:t>
            </w:r>
          </w:p>
          <w:p w:rsidR="005065F0" w:rsidRPr="00263088" w:rsidRDefault="005065F0" w:rsidP="00C35EC9">
            <w:pPr>
              <w:pStyle w:val="TableText"/>
              <w:spacing w:beforeLines="20" w:before="48" w:after="20"/>
              <w:ind w:right="142"/>
              <w:rPr>
                <w:rFonts w:cs="Arial"/>
                <w:szCs w:val="18"/>
              </w:rPr>
            </w:pPr>
            <w:r w:rsidRPr="00263088">
              <w:rPr>
                <w:rFonts w:cs="Arial"/>
                <w:szCs w:val="18"/>
              </w:rPr>
              <w:t>A national pan-disability organisation. Its website publishes various resources, including on the rights of disabled people</w:t>
            </w:r>
            <w:r w:rsidR="00FB43CA" w:rsidRPr="00263088">
              <w:rPr>
                <w:rFonts w:cs="Arial"/>
                <w:szCs w:val="18"/>
              </w:rPr>
              <w:t>.</w:t>
            </w:r>
          </w:p>
          <w:p w:rsidR="00C35EC9" w:rsidRPr="00263088" w:rsidRDefault="008A337B" w:rsidP="00575784">
            <w:pPr>
              <w:pStyle w:val="TableText"/>
              <w:spacing w:beforeLines="20" w:before="48" w:after="20"/>
              <w:ind w:right="142"/>
              <w:rPr>
                <w:rFonts w:cs="Arial"/>
                <w:szCs w:val="18"/>
              </w:rPr>
            </w:pPr>
            <w:hyperlink r:id="rId56" w:history="1">
              <w:r w:rsidR="00C35EC9" w:rsidRPr="00263088">
                <w:rPr>
                  <w:rStyle w:val="Hyperlink"/>
                  <w:rFonts w:ascii="Arial" w:hAnsi="Arial" w:cs="Arial"/>
                  <w:color w:val="auto"/>
                  <w:sz w:val="18"/>
                  <w:szCs w:val="18"/>
                </w:rPr>
                <w:t>www.dpa.org.nz</w:t>
              </w:r>
            </w:hyperlink>
            <w:r w:rsidR="00C35EC9" w:rsidRPr="00263088">
              <w:rPr>
                <w:rFonts w:cs="Arial"/>
                <w:szCs w:val="18"/>
              </w:rPr>
              <w:t xml:space="preserve"> </w:t>
            </w:r>
          </w:p>
        </w:tc>
        <w:tc>
          <w:tcPr>
            <w:tcW w:w="5017"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5065F0" w:rsidRPr="00263088" w:rsidRDefault="00C35EC9" w:rsidP="00C35EC9">
            <w:pPr>
              <w:pStyle w:val="TableBullet"/>
              <w:spacing w:beforeLines="20" w:before="48" w:after="20"/>
            </w:pPr>
            <w:r w:rsidRPr="00263088">
              <w:rPr>
                <w:rFonts w:cs="Arial"/>
                <w:szCs w:val="18"/>
              </w:rPr>
              <w:t>Disabled Persons Assembly Resources and links to sector resources</w:t>
            </w:r>
            <w:r w:rsidRPr="00263088">
              <w:rPr>
                <w:rStyle w:val="Hyperlink"/>
                <w:rFonts w:ascii="Arial" w:hAnsi="Arial" w:cs="Arial"/>
                <w:color w:val="auto"/>
                <w:sz w:val="18"/>
                <w:szCs w:val="18"/>
              </w:rPr>
              <w:br/>
            </w:r>
            <w:hyperlink r:id="rId57" w:history="1">
              <w:r w:rsidRPr="00263088">
                <w:rPr>
                  <w:rStyle w:val="Hyperlink"/>
                  <w:rFonts w:ascii="Arial" w:hAnsi="Arial"/>
                  <w:color w:val="auto"/>
                  <w:sz w:val="18"/>
                </w:rPr>
                <w:t>www.dpa.org.nz/resources</w:t>
              </w:r>
            </w:hyperlink>
            <w:r w:rsidRPr="00263088">
              <w:t xml:space="preserve"> </w:t>
            </w:r>
          </w:p>
        </w:tc>
      </w:tr>
      <w:tr w:rsidR="005065F0" w:rsidRPr="00263088" w:rsidTr="00C35EC9">
        <w:trPr>
          <w:cantSplit/>
        </w:trPr>
        <w:tc>
          <w:tcPr>
            <w:tcW w:w="4338"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267D5F" w:rsidRPr="00263088" w:rsidRDefault="00C35EC9" w:rsidP="00C35EC9">
            <w:pPr>
              <w:pStyle w:val="TableText"/>
              <w:spacing w:beforeLines="20" w:before="48" w:after="20"/>
              <w:ind w:right="142"/>
              <w:rPr>
                <w:rFonts w:cs="Arial"/>
                <w:szCs w:val="18"/>
              </w:rPr>
            </w:pPr>
            <w:proofErr w:type="spellStart"/>
            <w:r w:rsidRPr="00263088">
              <w:rPr>
                <w:rFonts w:cs="Arial"/>
                <w:b/>
                <w:szCs w:val="18"/>
              </w:rPr>
              <w:t>Kāpō</w:t>
            </w:r>
            <w:proofErr w:type="spellEnd"/>
            <w:r w:rsidRPr="00263088">
              <w:rPr>
                <w:rFonts w:cs="Arial"/>
                <w:b/>
                <w:szCs w:val="18"/>
              </w:rPr>
              <w:t xml:space="preserve"> Māori </w:t>
            </w:r>
            <w:proofErr w:type="spellStart"/>
            <w:r w:rsidRPr="00263088">
              <w:rPr>
                <w:rFonts w:cs="Arial"/>
                <w:b/>
                <w:szCs w:val="18"/>
              </w:rPr>
              <w:t>Aotearoa</w:t>
            </w:r>
            <w:proofErr w:type="spellEnd"/>
            <w:r w:rsidRPr="00263088">
              <w:rPr>
                <w:rFonts w:cs="Arial"/>
                <w:b/>
                <w:szCs w:val="18"/>
              </w:rPr>
              <w:t xml:space="preserve"> New Zealand (</w:t>
            </w:r>
            <w:proofErr w:type="spellStart"/>
            <w:r w:rsidRPr="00263088">
              <w:rPr>
                <w:rFonts w:cs="Arial"/>
                <w:b/>
                <w:szCs w:val="18"/>
              </w:rPr>
              <w:t>Ngāti</w:t>
            </w:r>
            <w:proofErr w:type="spellEnd"/>
            <w:r w:rsidRPr="00263088">
              <w:rPr>
                <w:rFonts w:cs="Arial"/>
                <w:b/>
                <w:szCs w:val="18"/>
              </w:rPr>
              <w:t xml:space="preserve"> </w:t>
            </w:r>
            <w:proofErr w:type="spellStart"/>
            <w:r w:rsidRPr="00263088">
              <w:rPr>
                <w:rFonts w:cs="Arial"/>
                <w:b/>
                <w:szCs w:val="18"/>
              </w:rPr>
              <w:t>Kāpō</w:t>
            </w:r>
            <w:proofErr w:type="spellEnd"/>
            <w:r w:rsidRPr="00263088">
              <w:rPr>
                <w:rFonts w:cs="Arial"/>
                <w:b/>
                <w:szCs w:val="18"/>
              </w:rPr>
              <w:t>)</w:t>
            </w:r>
          </w:p>
          <w:p w:rsidR="005065F0" w:rsidRPr="00263088" w:rsidRDefault="005065F0" w:rsidP="00C35EC9">
            <w:pPr>
              <w:pStyle w:val="TableText"/>
              <w:spacing w:beforeLines="20" w:before="48" w:after="20"/>
              <w:ind w:right="142"/>
              <w:rPr>
                <w:rFonts w:cs="Arial"/>
                <w:szCs w:val="18"/>
              </w:rPr>
            </w:pPr>
            <w:r w:rsidRPr="00263088">
              <w:rPr>
                <w:rFonts w:cs="Arial"/>
                <w:szCs w:val="18"/>
              </w:rPr>
              <w:t xml:space="preserve">An organisation that offers </w:t>
            </w:r>
            <w:proofErr w:type="spellStart"/>
            <w:r w:rsidRPr="00263088">
              <w:rPr>
                <w:rFonts w:cs="Arial"/>
                <w:szCs w:val="18"/>
              </w:rPr>
              <w:t>kaupapa</w:t>
            </w:r>
            <w:proofErr w:type="spellEnd"/>
            <w:r w:rsidRPr="00263088">
              <w:rPr>
                <w:rFonts w:cs="Arial"/>
                <w:szCs w:val="18"/>
              </w:rPr>
              <w:t xml:space="preserve"> Māori-based disability support services with a focus on </w:t>
            </w:r>
            <w:proofErr w:type="spellStart"/>
            <w:r w:rsidRPr="00263088">
              <w:rPr>
                <w:rFonts w:cs="Arial"/>
                <w:szCs w:val="18"/>
              </w:rPr>
              <w:t>kāpo</w:t>
            </w:r>
            <w:proofErr w:type="spellEnd"/>
            <w:r w:rsidRPr="00263088">
              <w:rPr>
                <w:rFonts w:cs="Arial"/>
                <w:szCs w:val="18"/>
              </w:rPr>
              <w:t xml:space="preserve"> Māori and their </w:t>
            </w:r>
            <w:proofErr w:type="spellStart"/>
            <w:r w:rsidRPr="00263088">
              <w:rPr>
                <w:rFonts w:cs="Arial"/>
                <w:szCs w:val="18"/>
              </w:rPr>
              <w:t>whānau</w:t>
            </w:r>
            <w:proofErr w:type="spellEnd"/>
            <w:r w:rsidR="00FB43CA" w:rsidRPr="00263088">
              <w:rPr>
                <w:rFonts w:cs="Arial"/>
                <w:szCs w:val="18"/>
              </w:rPr>
              <w:t>.</w:t>
            </w:r>
          </w:p>
          <w:p w:rsidR="00C35EC9" w:rsidRPr="00263088" w:rsidRDefault="008A337B" w:rsidP="00575784">
            <w:pPr>
              <w:pStyle w:val="TableText"/>
              <w:spacing w:beforeLines="20" w:before="48" w:after="20"/>
              <w:ind w:right="142"/>
              <w:rPr>
                <w:rFonts w:cs="Arial"/>
                <w:szCs w:val="18"/>
              </w:rPr>
            </w:pPr>
            <w:hyperlink r:id="rId58" w:history="1">
              <w:r w:rsidR="00C35EC9" w:rsidRPr="00263088">
                <w:rPr>
                  <w:rStyle w:val="Hyperlink"/>
                  <w:rFonts w:ascii="Arial" w:hAnsi="Arial" w:cs="Arial"/>
                  <w:color w:val="auto"/>
                  <w:sz w:val="18"/>
                  <w:szCs w:val="18"/>
                </w:rPr>
                <w:t>www.kapomaori.com</w:t>
              </w:r>
            </w:hyperlink>
            <w:r w:rsidR="00C35EC9" w:rsidRPr="00263088">
              <w:rPr>
                <w:rFonts w:cs="Arial"/>
                <w:szCs w:val="18"/>
              </w:rPr>
              <w:t xml:space="preserve"> </w:t>
            </w:r>
          </w:p>
        </w:tc>
        <w:tc>
          <w:tcPr>
            <w:tcW w:w="5017" w:type="dxa"/>
            <w:tcBorders>
              <w:top w:val="single" w:sz="4" w:space="0" w:color="A6A6A6" w:themeColor="background1" w:themeShade="A6"/>
              <w:bottom w:val="single" w:sz="4" w:space="0" w:color="A6A6A6" w:themeColor="background1" w:themeShade="A6"/>
            </w:tcBorders>
            <w:shd w:val="clear" w:color="auto" w:fill="auto"/>
            <w:tcMar>
              <w:top w:w="57" w:type="dxa"/>
              <w:bottom w:w="57" w:type="dxa"/>
            </w:tcMar>
          </w:tcPr>
          <w:p w:rsidR="005065F0" w:rsidRPr="00263088" w:rsidRDefault="00C35EC9" w:rsidP="00C35EC9">
            <w:pPr>
              <w:pStyle w:val="TableBullet"/>
              <w:spacing w:beforeLines="20" w:before="48" w:after="20"/>
            </w:pPr>
            <w:proofErr w:type="spellStart"/>
            <w:r w:rsidRPr="00263088">
              <w:rPr>
                <w:rFonts w:cs="Arial"/>
                <w:i/>
                <w:szCs w:val="18"/>
              </w:rPr>
              <w:t>Te</w:t>
            </w:r>
            <w:proofErr w:type="spellEnd"/>
            <w:r w:rsidRPr="00263088">
              <w:rPr>
                <w:rFonts w:cs="Arial"/>
                <w:i/>
                <w:szCs w:val="18"/>
              </w:rPr>
              <w:t xml:space="preserve"> </w:t>
            </w:r>
            <w:proofErr w:type="spellStart"/>
            <w:r w:rsidRPr="00263088">
              <w:rPr>
                <w:rFonts w:cs="Arial"/>
                <w:i/>
                <w:szCs w:val="18"/>
              </w:rPr>
              <w:t>Whakaaheitanga</w:t>
            </w:r>
            <w:proofErr w:type="spellEnd"/>
            <w:r w:rsidRPr="00263088">
              <w:rPr>
                <w:rFonts w:cs="Arial"/>
                <w:i/>
                <w:szCs w:val="18"/>
              </w:rPr>
              <w:t xml:space="preserve"> </w:t>
            </w:r>
            <w:proofErr w:type="spellStart"/>
            <w:r w:rsidRPr="00263088">
              <w:rPr>
                <w:rFonts w:cs="Arial"/>
                <w:i/>
                <w:szCs w:val="18"/>
              </w:rPr>
              <w:t>Marae</w:t>
            </w:r>
            <w:proofErr w:type="spellEnd"/>
            <w:r w:rsidRPr="00263088">
              <w:rPr>
                <w:rFonts w:cs="Arial"/>
                <w:i/>
                <w:szCs w:val="18"/>
              </w:rPr>
              <w:t xml:space="preserve"> – </w:t>
            </w:r>
            <w:proofErr w:type="spellStart"/>
            <w:r w:rsidRPr="00263088">
              <w:rPr>
                <w:rFonts w:cs="Arial"/>
                <w:i/>
                <w:szCs w:val="18"/>
              </w:rPr>
              <w:t>Kua</w:t>
            </w:r>
            <w:proofErr w:type="spellEnd"/>
            <w:r w:rsidRPr="00263088">
              <w:rPr>
                <w:rFonts w:cs="Arial"/>
                <w:i/>
                <w:szCs w:val="18"/>
              </w:rPr>
              <w:t xml:space="preserve"> </w:t>
            </w:r>
            <w:proofErr w:type="spellStart"/>
            <w:r w:rsidRPr="00263088">
              <w:rPr>
                <w:rFonts w:cs="Arial"/>
                <w:i/>
                <w:szCs w:val="18"/>
              </w:rPr>
              <w:t>wātea</w:t>
            </w:r>
            <w:proofErr w:type="spellEnd"/>
            <w:r w:rsidRPr="00263088">
              <w:rPr>
                <w:rFonts w:cs="Arial"/>
                <w:i/>
                <w:szCs w:val="18"/>
              </w:rPr>
              <w:t xml:space="preserve"> </w:t>
            </w:r>
            <w:proofErr w:type="spellStart"/>
            <w:r w:rsidRPr="00263088">
              <w:rPr>
                <w:rFonts w:cs="Arial"/>
                <w:i/>
                <w:szCs w:val="18"/>
              </w:rPr>
              <w:t>te</w:t>
            </w:r>
            <w:proofErr w:type="spellEnd"/>
            <w:r w:rsidRPr="00263088">
              <w:rPr>
                <w:rFonts w:cs="Arial"/>
                <w:i/>
                <w:szCs w:val="18"/>
              </w:rPr>
              <w:t xml:space="preserve"> </w:t>
            </w:r>
            <w:proofErr w:type="spellStart"/>
            <w:r w:rsidRPr="00263088">
              <w:rPr>
                <w:rFonts w:cs="Arial"/>
                <w:szCs w:val="18"/>
              </w:rPr>
              <w:t>haurahi</w:t>
            </w:r>
            <w:proofErr w:type="spellEnd"/>
            <w:r w:rsidRPr="00263088">
              <w:t>:</w:t>
            </w:r>
            <w:r w:rsidR="005065F0" w:rsidRPr="00263088">
              <w:t xml:space="preserve"> a resource which aims to enable </w:t>
            </w:r>
            <w:r w:rsidR="00267D5F" w:rsidRPr="00263088">
              <w:t>‘</w:t>
            </w:r>
            <w:proofErr w:type="spellStart"/>
            <w:r w:rsidR="005065F0" w:rsidRPr="00263088">
              <w:t>Kaumātua</w:t>
            </w:r>
            <w:proofErr w:type="spellEnd"/>
            <w:r w:rsidR="005065F0" w:rsidRPr="00263088">
              <w:t xml:space="preserve"> and </w:t>
            </w:r>
            <w:proofErr w:type="spellStart"/>
            <w:r w:rsidR="005065F0" w:rsidRPr="00263088">
              <w:t>whānau</w:t>
            </w:r>
            <w:proofErr w:type="spellEnd"/>
            <w:r w:rsidR="005065F0" w:rsidRPr="00263088">
              <w:t xml:space="preserve"> with health and disability impairments to actively engage at </w:t>
            </w:r>
            <w:proofErr w:type="spellStart"/>
            <w:r w:rsidR="005065F0" w:rsidRPr="00263088">
              <w:t>marae</w:t>
            </w:r>
            <w:proofErr w:type="spellEnd"/>
            <w:r w:rsidR="005065F0" w:rsidRPr="00263088">
              <w:t xml:space="preserve"> and remain effective contributors to their </w:t>
            </w:r>
            <w:proofErr w:type="spellStart"/>
            <w:r w:rsidR="005065F0" w:rsidRPr="00263088">
              <w:t>marae</w:t>
            </w:r>
            <w:proofErr w:type="spellEnd"/>
            <w:r w:rsidR="00267D5F" w:rsidRPr="00263088">
              <w:t>’</w:t>
            </w:r>
            <w:r w:rsidRPr="00263088">
              <w:br/>
            </w:r>
            <w:hyperlink r:id="rId59" w:history="1">
              <w:r w:rsidRPr="00263088">
                <w:rPr>
                  <w:rStyle w:val="Hyperlink"/>
                  <w:rFonts w:ascii="Arial" w:hAnsi="Arial"/>
                  <w:color w:val="auto"/>
                  <w:sz w:val="18"/>
                </w:rPr>
                <w:t>www.kapomaori.com/docs/accessable_marae_toolkit.pdf</w:t>
              </w:r>
            </w:hyperlink>
            <w:r w:rsidRPr="00263088">
              <w:t xml:space="preserve"> </w:t>
            </w:r>
          </w:p>
        </w:tc>
      </w:tr>
      <w:tr w:rsidR="005065F0" w:rsidRPr="00263088" w:rsidTr="00C35EC9">
        <w:trPr>
          <w:cantSplit/>
        </w:trPr>
        <w:tc>
          <w:tcPr>
            <w:tcW w:w="4338" w:type="dxa"/>
            <w:tcBorders>
              <w:top w:val="single" w:sz="4" w:space="0" w:color="A6A6A6" w:themeColor="background1" w:themeShade="A6"/>
            </w:tcBorders>
            <w:shd w:val="clear" w:color="auto" w:fill="auto"/>
            <w:tcMar>
              <w:top w:w="57" w:type="dxa"/>
              <w:bottom w:w="57" w:type="dxa"/>
            </w:tcMar>
          </w:tcPr>
          <w:p w:rsidR="001F07DE" w:rsidRPr="00263088" w:rsidRDefault="00C35EC9" w:rsidP="00C35EC9">
            <w:pPr>
              <w:pStyle w:val="TableText"/>
              <w:spacing w:beforeLines="20" w:before="48" w:after="20"/>
              <w:ind w:right="142"/>
              <w:rPr>
                <w:rFonts w:cs="Arial"/>
                <w:szCs w:val="18"/>
              </w:rPr>
            </w:pPr>
            <w:r w:rsidRPr="00263088">
              <w:rPr>
                <w:rFonts w:cs="Arial"/>
                <w:b/>
                <w:szCs w:val="18"/>
              </w:rPr>
              <w:lastRenderedPageBreak/>
              <w:t xml:space="preserve">People First New Zealand </w:t>
            </w:r>
            <w:proofErr w:type="spellStart"/>
            <w:r w:rsidRPr="00263088">
              <w:rPr>
                <w:rFonts w:cs="Arial"/>
                <w:b/>
                <w:szCs w:val="18"/>
              </w:rPr>
              <w:t>Ngā</w:t>
            </w:r>
            <w:proofErr w:type="spellEnd"/>
            <w:r w:rsidRPr="00263088">
              <w:rPr>
                <w:rFonts w:cs="Arial"/>
                <w:b/>
                <w:szCs w:val="18"/>
              </w:rPr>
              <w:t xml:space="preserve"> </w:t>
            </w:r>
            <w:proofErr w:type="spellStart"/>
            <w:r w:rsidRPr="00263088">
              <w:rPr>
                <w:rFonts w:cs="Arial"/>
                <w:b/>
                <w:szCs w:val="18"/>
              </w:rPr>
              <w:t>Tangata</w:t>
            </w:r>
            <w:proofErr w:type="spellEnd"/>
            <w:r w:rsidRPr="00263088">
              <w:rPr>
                <w:rFonts w:cs="Arial"/>
                <w:b/>
                <w:szCs w:val="18"/>
              </w:rPr>
              <w:t xml:space="preserve"> </w:t>
            </w:r>
            <w:proofErr w:type="spellStart"/>
            <w:r w:rsidRPr="00263088">
              <w:rPr>
                <w:rFonts w:cs="Arial"/>
                <w:b/>
                <w:szCs w:val="18"/>
              </w:rPr>
              <w:t>Tuatahi</w:t>
            </w:r>
            <w:proofErr w:type="spellEnd"/>
          </w:p>
          <w:p w:rsidR="001F07DE" w:rsidRPr="00263088" w:rsidRDefault="005065F0" w:rsidP="00C35EC9">
            <w:pPr>
              <w:pStyle w:val="TableText"/>
              <w:spacing w:beforeLines="20" w:before="48" w:after="20"/>
              <w:ind w:right="142"/>
              <w:rPr>
                <w:rFonts w:cs="Arial"/>
                <w:szCs w:val="18"/>
              </w:rPr>
            </w:pPr>
            <w:r w:rsidRPr="00263088">
              <w:rPr>
                <w:rFonts w:cs="Arial"/>
                <w:szCs w:val="18"/>
              </w:rPr>
              <w:t>A national self-advocacy organisation that is led and directed by people with learning disabilities.</w:t>
            </w:r>
          </w:p>
          <w:p w:rsidR="005065F0" w:rsidRPr="00263088" w:rsidRDefault="005065F0" w:rsidP="00C35EC9">
            <w:pPr>
              <w:pStyle w:val="TableText"/>
              <w:spacing w:beforeLines="20" w:before="48" w:after="20"/>
              <w:ind w:right="142"/>
              <w:rPr>
                <w:rFonts w:cs="Arial"/>
                <w:szCs w:val="18"/>
              </w:rPr>
            </w:pPr>
            <w:r w:rsidRPr="00263088">
              <w:rPr>
                <w:rFonts w:cs="Arial"/>
                <w:szCs w:val="18"/>
              </w:rPr>
              <w:t xml:space="preserve">The organisation provides an Easy Read </w:t>
            </w:r>
            <w:r w:rsidRPr="00263088">
              <w:rPr>
                <w:rFonts w:cs="Arial"/>
                <w:iCs/>
                <w:szCs w:val="18"/>
              </w:rPr>
              <w:t>translation</w:t>
            </w:r>
            <w:r w:rsidRPr="00263088">
              <w:rPr>
                <w:rFonts w:cs="Arial"/>
                <w:szCs w:val="18"/>
              </w:rPr>
              <w:t xml:space="preserve"> service, which involves translating a document into an accessible format</w:t>
            </w:r>
            <w:r w:rsidR="00C35EC9" w:rsidRPr="00263088">
              <w:rPr>
                <w:rFonts w:cs="Arial"/>
                <w:szCs w:val="18"/>
              </w:rPr>
              <w:t xml:space="preserve">. </w:t>
            </w:r>
            <w:r w:rsidRPr="00263088">
              <w:rPr>
                <w:rFonts w:cs="Arial"/>
                <w:szCs w:val="18"/>
              </w:rPr>
              <w:t>It also provi</w:t>
            </w:r>
            <w:r w:rsidR="00FB43CA" w:rsidRPr="00263088">
              <w:rPr>
                <w:rFonts w:cs="Arial"/>
                <w:szCs w:val="18"/>
              </w:rPr>
              <w:t>des trained meeting assistants.</w:t>
            </w:r>
          </w:p>
          <w:p w:rsidR="00C35EC9" w:rsidRPr="00263088" w:rsidRDefault="008A337B" w:rsidP="00575784">
            <w:pPr>
              <w:pStyle w:val="TableText"/>
              <w:spacing w:beforeLines="20" w:before="48" w:after="20"/>
              <w:ind w:right="142"/>
              <w:rPr>
                <w:rFonts w:cs="Arial"/>
                <w:szCs w:val="18"/>
              </w:rPr>
            </w:pPr>
            <w:hyperlink r:id="rId60" w:history="1">
              <w:r w:rsidR="00C35EC9" w:rsidRPr="00263088">
                <w:rPr>
                  <w:rStyle w:val="Hyperlink"/>
                  <w:rFonts w:ascii="Arial" w:hAnsi="Arial" w:cs="Arial"/>
                  <w:color w:val="auto"/>
                  <w:sz w:val="18"/>
                  <w:szCs w:val="18"/>
                </w:rPr>
                <w:t>www.peoplefirst.org.nz</w:t>
              </w:r>
            </w:hyperlink>
            <w:r w:rsidR="00C35EC9" w:rsidRPr="00263088">
              <w:rPr>
                <w:rFonts w:cs="Arial"/>
                <w:szCs w:val="18"/>
              </w:rPr>
              <w:t xml:space="preserve"> </w:t>
            </w:r>
          </w:p>
        </w:tc>
        <w:tc>
          <w:tcPr>
            <w:tcW w:w="5017" w:type="dxa"/>
            <w:tcBorders>
              <w:top w:val="single" w:sz="4" w:space="0" w:color="A6A6A6" w:themeColor="background1" w:themeShade="A6"/>
            </w:tcBorders>
            <w:shd w:val="clear" w:color="auto" w:fill="auto"/>
            <w:tcMar>
              <w:top w:w="57" w:type="dxa"/>
              <w:bottom w:w="57" w:type="dxa"/>
            </w:tcMar>
          </w:tcPr>
          <w:p w:rsidR="005065F0" w:rsidRPr="00263088" w:rsidRDefault="00267D5F" w:rsidP="00575784">
            <w:pPr>
              <w:pStyle w:val="TableBullet"/>
              <w:spacing w:beforeLines="20" w:before="48" w:after="20"/>
            </w:pPr>
            <w:r w:rsidRPr="00263088">
              <w:t>‘</w:t>
            </w:r>
            <w:r w:rsidR="005065F0" w:rsidRPr="00263088">
              <w:t>Guide to writing Easy Read Information</w:t>
            </w:r>
            <w:r w:rsidR="00FB43CA" w:rsidRPr="00263088">
              <w:t>’</w:t>
            </w:r>
            <w:r w:rsidR="00C35EC9" w:rsidRPr="00263088">
              <w:br/>
              <w:t xml:space="preserve"> - </w:t>
            </w:r>
            <w:r w:rsidR="00C35EC9" w:rsidRPr="00263088">
              <w:rPr>
                <w:rFonts w:cs="Arial"/>
                <w:szCs w:val="18"/>
              </w:rPr>
              <w:t>Easy Read Version</w:t>
            </w:r>
            <w:r w:rsidR="007076EA" w:rsidRPr="00263088">
              <w:rPr>
                <w:rFonts w:cs="Arial"/>
                <w:szCs w:val="18"/>
              </w:rPr>
              <w:br/>
            </w:r>
            <w:r w:rsidR="00C35EC9" w:rsidRPr="00263088" w:rsidDel="00C35EC9">
              <w:t xml:space="preserve"> </w:t>
            </w:r>
            <w:hyperlink r:id="rId61" w:history="1">
              <w:r w:rsidR="00C35EC9" w:rsidRPr="00263088">
                <w:rPr>
                  <w:rStyle w:val="Hyperlink"/>
                  <w:rFonts w:ascii="Arial" w:hAnsi="Arial"/>
                  <w:color w:val="auto"/>
                  <w:sz w:val="18"/>
                </w:rPr>
                <w:t>www.peoplefirst.org.nz/news-and-resources/easy-read-resources</w:t>
              </w:r>
            </w:hyperlink>
            <w:r w:rsidR="00C35EC9" w:rsidRPr="00263088">
              <w:t xml:space="preserve"> </w:t>
            </w:r>
            <w:r w:rsidR="00C35EC9" w:rsidRPr="00263088">
              <w:br/>
            </w:r>
            <w:r w:rsidR="00C35EC9" w:rsidRPr="00263088">
              <w:rPr>
                <w:rFonts w:cs="Arial"/>
                <w:szCs w:val="18"/>
              </w:rPr>
              <w:t xml:space="preserve"> - Online version at</w:t>
            </w:r>
            <w:r w:rsidR="00C35EC9" w:rsidRPr="00263088">
              <w:t xml:space="preserve"> Office for Disability Issues website</w:t>
            </w:r>
            <w:r w:rsidR="00C35EC9" w:rsidRPr="00263088">
              <w:br/>
            </w:r>
            <w:hyperlink r:id="rId62" w:anchor="Aboutthisguide1" w:history="1">
              <w:r w:rsidR="00C35EC9" w:rsidRPr="00263088">
                <w:rPr>
                  <w:rStyle w:val="Hyperlink"/>
                  <w:rFonts w:ascii="Arial" w:hAnsi="Arial"/>
                  <w:color w:val="auto"/>
                  <w:sz w:val="18"/>
                </w:rPr>
                <w:t>www.odi.govt.nz/resources/guides-and-toolkits/disability-perspective/resources/plain-language.html#Aboutthisguide1</w:t>
              </w:r>
            </w:hyperlink>
            <w:r w:rsidR="00C35EC9" w:rsidRPr="00263088">
              <w:t xml:space="preserve"> </w:t>
            </w:r>
          </w:p>
        </w:tc>
      </w:tr>
    </w:tbl>
    <w:p w:rsidR="00E81E75" w:rsidRDefault="00E81E75" w:rsidP="00FB43CA">
      <w:bookmarkStart w:id="281" w:name="_Appendix_15_–"/>
      <w:bookmarkStart w:id="282" w:name="_Government_agencies_and"/>
      <w:bookmarkStart w:id="283" w:name="_Toc416691406"/>
      <w:bookmarkStart w:id="284" w:name="_Toc442354567"/>
      <w:bookmarkEnd w:id="281"/>
      <w:bookmarkEnd w:id="282"/>
    </w:p>
    <w:p w:rsidR="00E81E75" w:rsidRDefault="00E81E75" w:rsidP="00E81E75">
      <w:r>
        <w:br w:type="page"/>
      </w:r>
    </w:p>
    <w:p w:rsidR="001F07DE" w:rsidRPr="00263088" w:rsidRDefault="005065F0" w:rsidP="00FB43CA">
      <w:pPr>
        <w:pStyle w:val="Heading1"/>
      </w:pPr>
      <w:bookmarkStart w:id="285" w:name="_Toc479687394"/>
      <w:r w:rsidRPr="00263088">
        <w:lastRenderedPageBreak/>
        <w:t xml:space="preserve">Government agencies and </w:t>
      </w:r>
      <w:bookmarkEnd w:id="283"/>
      <w:r w:rsidRPr="00263088">
        <w:t>resources</w:t>
      </w:r>
      <w:bookmarkEnd w:id="251"/>
      <w:bookmarkEnd w:id="284"/>
      <w:bookmarkEnd w:id="285"/>
    </w:p>
    <w:p w:rsidR="005065F0" w:rsidRPr="00263088" w:rsidRDefault="005065F0" w:rsidP="00FB43CA">
      <w:r w:rsidRPr="00263088">
        <w:t>The table below lists some government agencies relevant to people with disabilities and some of the resources</w:t>
      </w:r>
      <w:r w:rsidRPr="00263088" w:rsidDel="001A0B90">
        <w:t xml:space="preserve"> </w:t>
      </w:r>
      <w:r w:rsidRPr="00263088">
        <w:t>they produce.</w:t>
      </w:r>
    </w:p>
    <w:p w:rsidR="00FB43CA" w:rsidRPr="00263088" w:rsidRDefault="00FB43CA" w:rsidP="00FB43CA"/>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Government agencies and resouces"/>
        <w:tblDescription w:val="Table outlines each agency and related resources."/>
      </w:tblPr>
      <w:tblGrid>
        <w:gridCol w:w="4479"/>
        <w:gridCol w:w="4877"/>
      </w:tblGrid>
      <w:tr w:rsidR="005065F0" w:rsidRPr="00263088" w:rsidTr="00216E8D">
        <w:trPr>
          <w:cantSplit/>
          <w:tblHeader/>
        </w:trPr>
        <w:tc>
          <w:tcPr>
            <w:tcW w:w="4479" w:type="dxa"/>
            <w:tcBorders>
              <w:top w:val="single" w:sz="4" w:space="0" w:color="auto"/>
              <w:bottom w:val="single" w:sz="4" w:space="0" w:color="auto"/>
            </w:tcBorders>
            <w:shd w:val="clear" w:color="auto" w:fill="auto"/>
          </w:tcPr>
          <w:p w:rsidR="005065F0" w:rsidRPr="00263088" w:rsidRDefault="005065F0" w:rsidP="00FB43CA">
            <w:pPr>
              <w:pStyle w:val="TableText"/>
              <w:ind w:right="142"/>
              <w:rPr>
                <w:b/>
              </w:rPr>
            </w:pPr>
            <w:r w:rsidRPr="00263088">
              <w:rPr>
                <w:b/>
              </w:rPr>
              <w:t>Organi</w:t>
            </w:r>
            <w:bookmarkStart w:id="286" w:name="ColumnTitle_3"/>
            <w:bookmarkEnd w:id="286"/>
            <w:r w:rsidRPr="00263088">
              <w:rPr>
                <w:b/>
              </w:rPr>
              <w:t>sation</w:t>
            </w:r>
          </w:p>
        </w:tc>
        <w:tc>
          <w:tcPr>
            <w:tcW w:w="4877" w:type="dxa"/>
            <w:tcBorders>
              <w:top w:val="single" w:sz="4" w:space="0" w:color="auto"/>
              <w:bottom w:val="single" w:sz="4" w:space="0" w:color="auto"/>
            </w:tcBorders>
            <w:shd w:val="clear" w:color="auto" w:fill="auto"/>
            <w:tcMar>
              <w:top w:w="57" w:type="dxa"/>
            </w:tcMar>
          </w:tcPr>
          <w:p w:rsidR="005065F0" w:rsidRPr="00263088" w:rsidRDefault="005065F0" w:rsidP="00FB43CA">
            <w:pPr>
              <w:pStyle w:val="TableText"/>
              <w:rPr>
                <w:b/>
              </w:rPr>
            </w:pPr>
            <w:r w:rsidRPr="00263088">
              <w:rPr>
                <w:b/>
              </w:rPr>
              <w:t>Resources</w:t>
            </w:r>
          </w:p>
        </w:tc>
      </w:tr>
      <w:tr w:rsidR="005065F0" w:rsidRPr="00263088" w:rsidTr="00216E8D">
        <w:trPr>
          <w:cantSplit/>
        </w:trPr>
        <w:tc>
          <w:tcPr>
            <w:tcW w:w="4479" w:type="dxa"/>
            <w:tcBorders>
              <w:top w:val="single" w:sz="4" w:space="0" w:color="auto"/>
              <w:bottom w:val="single" w:sz="4" w:space="0" w:color="A6A6A6" w:themeColor="background1" w:themeShade="A6"/>
            </w:tcBorders>
            <w:shd w:val="clear" w:color="auto" w:fill="auto"/>
          </w:tcPr>
          <w:p w:rsidR="001F07DE" w:rsidRPr="00263088" w:rsidRDefault="007076EA" w:rsidP="00FB43CA">
            <w:pPr>
              <w:pStyle w:val="TableText"/>
              <w:ind w:right="142"/>
              <w:rPr>
                <w:rFonts w:cs="Arial"/>
                <w:szCs w:val="18"/>
                <w:u w:val="single"/>
              </w:rPr>
            </w:pPr>
            <w:r w:rsidRPr="00263088">
              <w:rPr>
                <w:rFonts w:cs="Arial"/>
                <w:b/>
                <w:szCs w:val="18"/>
              </w:rPr>
              <w:t>Ministry of Health</w:t>
            </w:r>
          </w:p>
          <w:p w:rsidR="00267D5F" w:rsidRPr="00263088" w:rsidRDefault="007076EA" w:rsidP="00FB43CA">
            <w:pPr>
              <w:pStyle w:val="TableText"/>
              <w:ind w:right="142"/>
              <w:rPr>
                <w:rFonts w:cs="Arial"/>
                <w:szCs w:val="18"/>
              </w:rPr>
            </w:pPr>
            <w:r w:rsidRPr="00263088">
              <w:rPr>
                <w:rFonts w:cs="Arial"/>
                <w:szCs w:val="18"/>
              </w:rPr>
              <w:t>Disability Support Services</w:t>
            </w:r>
            <w:r w:rsidR="005065F0" w:rsidRPr="00263088">
              <w:rPr>
                <w:rFonts w:cs="Arial"/>
                <w:szCs w:val="18"/>
              </w:rPr>
              <w:t xml:space="preserve"> (DSS) within the Ministry of Health is responsible for funding support and services for people with disabilities.</w:t>
            </w:r>
          </w:p>
          <w:p w:rsidR="005065F0" w:rsidRPr="00263088" w:rsidRDefault="005065F0" w:rsidP="00FB43CA">
            <w:pPr>
              <w:pStyle w:val="TableText"/>
              <w:ind w:right="142"/>
              <w:rPr>
                <w:rFonts w:cs="Arial"/>
                <w:szCs w:val="18"/>
              </w:rPr>
            </w:pPr>
            <w:r w:rsidRPr="00263088">
              <w:rPr>
                <w:rFonts w:cs="Arial"/>
                <w:szCs w:val="18"/>
              </w:rPr>
              <w:t>It also leads the development and implementation of strategic plans that aim to ensure people with disabilities and their families are supported to live the lives they choose.</w:t>
            </w:r>
          </w:p>
          <w:p w:rsidR="007076EA" w:rsidRPr="00263088" w:rsidRDefault="008A337B" w:rsidP="00FB43CA">
            <w:pPr>
              <w:pStyle w:val="TableText"/>
              <w:ind w:right="142"/>
              <w:rPr>
                <w:rFonts w:cs="Arial"/>
                <w:szCs w:val="18"/>
              </w:rPr>
            </w:pPr>
            <w:hyperlink r:id="rId63" w:history="1">
              <w:r w:rsidR="007076EA" w:rsidRPr="00263088">
                <w:rPr>
                  <w:rStyle w:val="Hyperlink"/>
                  <w:rFonts w:ascii="Arial" w:hAnsi="Arial" w:cs="Arial"/>
                  <w:color w:val="auto"/>
                  <w:sz w:val="18"/>
                  <w:szCs w:val="18"/>
                </w:rPr>
                <w:t>www.health.govt.nz/our-work/disability-services</w:t>
              </w:r>
            </w:hyperlink>
            <w:r w:rsidR="007076EA" w:rsidRPr="00263088">
              <w:rPr>
                <w:rFonts w:cs="Arial"/>
                <w:szCs w:val="18"/>
              </w:rPr>
              <w:t xml:space="preserve"> </w:t>
            </w:r>
          </w:p>
        </w:tc>
        <w:tc>
          <w:tcPr>
            <w:tcW w:w="4877" w:type="dxa"/>
            <w:tcBorders>
              <w:top w:val="single" w:sz="4" w:space="0" w:color="auto"/>
              <w:bottom w:val="single" w:sz="4" w:space="0" w:color="A6A6A6" w:themeColor="background1" w:themeShade="A6"/>
            </w:tcBorders>
            <w:shd w:val="clear" w:color="auto" w:fill="auto"/>
            <w:tcMar>
              <w:top w:w="57" w:type="dxa"/>
            </w:tcMar>
          </w:tcPr>
          <w:p w:rsidR="00267D5F" w:rsidRPr="00263088" w:rsidRDefault="007076EA" w:rsidP="007076EA">
            <w:pPr>
              <w:pStyle w:val="TableBullet"/>
            </w:pPr>
            <w:r w:rsidRPr="00263088">
              <w:rPr>
                <w:rFonts w:cs="Arial"/>
                <w:szCs w:val="18"/>
              </w:rPr>
              <w:t>Disability Support Services Strategic Plan 2014 to 2018</w:t>
            </w:r>
            <w:r w:rsidRPr="00263088">
              <w:rPr>
                <w:rStyle w:val="Hyperlink"/>
                <w:rFonts w:ascii="Arial" w:hAnsi="Arial" w:cs="Arial"/>
                <w:color w:val="auto"/>
                <w:sz w:val="18"/>
                <w:szCs w:val="18"/>
              </w:rPr>
              <w:br/>
            </w:r>
            <w:hyperlink r:id="rId64" w:history="1">
              <w:r w:rsidRPr="00263088">
                <w:rPr>
                  <w:rStyle w:val="Hyperlink"/>
                  <w:rFonts w:ascii="Arial" w:hAnsi="Arial"/>
                  <w:color w:val="auto"/>
                  <w:sz w:val="18"/>
                </w:rPr>
                <w:t>www.health.govt.nz/publication/disability-support-services-strategic-plan-2014-2018</w:t>
              </w:r>
            </w:hyperlink>
            <w:r w:rsidRPr="00263088">
              <w:t xml:space="preserve"> </w:t>
            </w:r>
          </w:p>
          <w:p w:rsidR="00267D5F" w:rsidRPr="00263088" w:rsidRDefault="007076EA" w:rsidP="007076EA">
            <w:pPr>
              <w:pStyle w:val="TableBullet"/>
            </w:pPr>
            <w:proofErr w:type="spellStart"/>
            <w:r w:rsidRPr="00263088">
              <w:rPr>
                <w:rFonts w:cs="Arial"/>
                <w:szCs w:val="18"/>
              </w:rPr>
              <w:t>Whāia</w:t>
            </w:r>
            <w:proofErr w:type="spellEnd"/>
            <w:r w:rsidRPr="00263088">
              <w:rPr>
                <w:rFonts w:cs="Arial"/>
                <w:szCs w:val="18"/>
              </w:rPr>
              <w:t xml:space="preserve"> </w:t>
            </w:r>
            <w:proofErr w:type="spellStart"/>
            <w:r w:rsidRPr="00263088">
              <w:rPr>
                <w:rFonts w:cs="Arial"/>
                <w:szCs w:val="18"/>
              </w:rPr>
              <w:t>Te</w:t>
            </w:r>
            <w:proofErr w:type="spellEnd"/>
            <w:r w:rsidRPr="00263088">
              <w:rPr>
                <w:rFonts w:cs="Arial"/>
                <w:szCs w:val="18"/>
              </w:rPr>
              <w:t xml:space="preserve"> </w:t>
            </w:r>
            <w:proofErr w:type="spellStart"/>
            <w:r w:rsidRPr="00263088">
              <w:rPr>
                <w:rFonts w:cs="Arial"/>
                <w:szCs w:val="18"/>
              </w:rPr>
              <w:t>Ao</w:t>
            </w:r>
            <w:proofErr w:type="spellEnd"/>
            <w:r w:rsidRPr="00263088">
              <w:rPr>
                <w:rFonts w:cs="Arial"/>
                <w:szCs w:val="18"/>
              </w:rPr>
              <w:t xml:space="preserve"> </w:t>
            </w:r>
            <w:proofErr w:type="spellStart"/>
            <w:r w:rsidRPr="00263088">
              <w:rPr>
                <w:rFonts w:cs="Arial"/>
                <w:szCs w:val="18"/>
              </w:rPr>
              <w:t>Mārama</w:t>
            </w:r>
            <w:proofErr w:type="spellEnd"/>
            <w:r w:rsidRPr="00263088">
              <w:rPr>
                <w:rFonts w:cs="Arial"/>
                <w:szCs w:val="18"/>
              </w:rPr>
              <w:t>: The Māori Disability Action Plan for Disability Support Services 2012 to 2017</w:t>
            </w:r>
            <w:r w:rsidRPr="00263088">
              <w:rPr>
                <w:rStyle w:val="Hyperlink"/>
                <w:rFonts w:ascii="Arial" w:hAnsi="Arial" w:cs="Arial"/>
                <w:color w:val="auto"/>
                <w:sz w:val="18"/>
                <w:szCs w:val="18"/>
              </w:rPr>
              <w:br/>
            </w:r>
            <w:hyperlink r:id="rId65" w:history="1">
              <w:r w:rsidRPr="00263088">
                <w:rPr>
                  <w:rStyle w:val="Hyperlink"/>
                  <w:rFonts w:ascii="Arial" w:hAnsi="Arial"/>
                  <w:color w:val="auto"/>
                  <w:sz w:val="18"/>
                </w:rPr>
                <w:t>www.health.govt.nz/publication/whaia-te-ao-marama-maori-disability-action-plan-disability-support-services-2012-2017</w:t>
              </w:r>
            </w:hyperlink>
            <w:r w:rsidRPr="00263088">
              <w:t xml:space="preserve"> </w:t>
            </w:r>
          </w:p>
          <w:p w:rsidR="00267D5F" w:rsidRPr="00263088" w:rsidRDefault="007076EA" w:rsidP="007076EA">
            <w:pPr>
              <w:pStyle w:val="TableBullet"/>
            </w:pPr>
            <w:r w:rsidRPr="00263088">
              <w:rPr>
                <w:rFonts w:cs="Arial"/>
                <w:szCs w:val="18"/>
              </w:rPr>
              <w:t xml:space="preserve">Māori disability support services (including information on accessible </w:t>
            </w:r>
            <w:proofErr w:type="spellStart"/>
            <w:r w:rsidRPr="00263088">
              <w:rPr>
                <w:rFonts w:cs="Arial"/>
                <w:szCs w:val="18"/>
              </w:rPr>
              <w:t>marae</w:t>
            </w:r>
            <w:proofErr w:type="spellEnd"/>
            <w:r w:rsidRPr="00263088">
              <w:rPr>
                <w:rFonts w:cs="Arial"/>
                <w:szCs w:val="18"/>
              </w:rPr>
              <w:t>)</w:t>
            </w:r>
            <w:r w:rsidRPr="00263088">
              <w:rPr>
                <w:rStyle w:val="Hyperlink"/>
                <w:rFonts w:ascii="Arial" w:hAnsi="Arial" w:cs="Arial"/>
                <w:color w:val="auto"/>
                <w:sz w:val="18"/>
                <w:szCs w:val="18"/>
              </w:rPr>
              <w:br/>
            </w:r>
            <w:hyperlink r:id="rId66" w:history="1">
              <w:r w:rsidRPr="00263088">
                <w:rPr>
                  <w:rStyle w:val="Hyperlink"/>
                  <w:rFonts w:ascii="Arial" w:hAnsi="Arial"/>
                  <w:color w:val="auto"/>
                  <w:sz w:val="18"/>
                </w:rPr>
                <w:t>www.health.govt.nz/our-work/disability-services/maori-disability-support-services</w:t>
              </w:r>
            </w:hyperlink>
            <w:r w:rsidRPr="00263088">
              <w:t xml:space="preserve"> </w:t>
            </w:r>
          </w:p>
          <w:p w:rsidR="00267D5F" w:rsidRPr="00263088" w:rsidRDefault="007076EA" w:rsidP="007076EA">
            <w:pPr>
              <w:pStyle w:val="TableBullet"/>
            </w:pPr>
            <w:proofErr w:type="spellStart"/>
            <w:r w:rsidRPr="00263088">
              <w:rPr>
                <w:rFonts w:cs="Arial"/>
                <w:szCs w:val="18"/>
              </w:rPr>
              <w:t>Faiva</w:t>
            </w:r>
            <w:proofErr w:type="spellEnd"/>
            <w:r w:rsidRPr="00263088">
              <w:rPr>
                <w:rFonts w:cs="Arial"/>
                <w:szCs w:val="18"/>
              </w:rPr>
              <w:t xml:space="preserve"> </w:t>
            </w:r>
            <w:proofErr w:type="spellStart"/>
            <w:r w:rsidRPr="00263088">
              <w:rPr>
                <w:rFonts w:cs="Arial"/>
                <w:szCs w:val="18"/>
              </w:rPr>
              <w:t>Ora</w:t>
            </w:r>
            <w:proofErr w:type="spellEnd"/>
            <w:r w:rsidRPr="00263088">
              <w:rPr>
                <w:rFonts w:cs="Arial"/>
                <w:szCs w:val="18"/>
              </w:rPr>
              <w:t xml:space="preserve"> – National </w:t>
            </w:r>
            <w:proofErr w:type="spellStart"/>
            <w:r w:rsidRPr="00263088">
              <w:rPr>
                <w:rFonts w:cs="Arial"/>
                <w:szCs w:val="18"/>
              </w:rPr>
              <w:t>Pasifika</w:t>
            </w:r>
            <w:proofErr w:type="spellEnd"/>
            <w:r w:rsidRPr="00263088">
              <w:rPr>
                <w:rFonts w:cs="Arial"/>
                <w:szCs w:val="18"/>
              </w:rPr>
              <w:t xml:space="preserve"> Disability Plan</w:t>
            </w:r>
            <w:r w:rsidRPr="00263088">
              <w:rPr>
                <w:rStyle w:val="Hyperlink"/>
                <w:rFonts w:ascii="Arial" w:hAnsi="Arial" w:cs="Arial"/>
                <w:color w:val="auto"/>
                <w:sz w:val="18"/>
                <w:szCs w:val="18"/>
              </w:rPr>
              <w:br/>
            </w:r>
            <w:hyperlink r:id="rId67" w:history="1">
              <w:r w:rsidRPr="00263088">
                <w:rPr>
                  <w:rStyle w:val="Hyperlink"/>
                  <w:rFonts w:ascii="Arial" w:hAnsi="Arial"/>
                  <w:color w:val="auto"/>
                  <w:sz w:val="18"/>
                </w:rPr>
                <w:t>www.health.govt.nz/our-work/disability-services/disability-projects-and-programmes/faiva-ora-national-pasifika-disability-plan</w:t>
              </w:r>
            </w:hyperlink>
            <w:r w:rsidRPr="00263088">
              <w:t xml:space="preserve"> </w:t>
            </w:r>
          </w:p>
          <w:p w:rsidR="00267D5F" w:rsidRPr="00263088" w:rsidRDefault="007076EA" w:rsidP="007076EA">
            <w:pPr>
              <w:pStyle w:val="TableBullet"/>
            </w:pPr>
            <w:r w:rsidRPr="00263088">
              <w:rPr>
                <w:rFonts w:cs="Arial"/>
                <w:szCs w:val="18"/>
              </w:rPr>
              <w:t>Refugee health</w:t>
            </w:r>
            <w:r w:rsidRPr="00263088">
              <w:rPr>
                <w:rStyle w:val="Hyperlink"/>
                <w:rFonts w:ascii="Arial" w:hAnsi="Arial" w:cs="Arial"/>
                <w:color w:val="auto"/>
                <w:sz w:val="18"/>
                <w:szCs w:val="18"/>
              </w:rPr>
              <w:br/>
            </w:r>
            <w:hyperlink r:id="rId68" w:history="1">
              <w:r w:rsidRPr="00263088">
                <w:rPr>
                  <w:rStyle w:val="Hyperlink"/>
                  <w:rFonts w:ascii="Arial" w:hAnsi="Arial"/>
                  <w:color w:val="auto"/>
                  <w:sz w:val="18"/>
                </w:rPr>
                <w:t>www.health.govt.nz/our-work/populations/refugee-health</w:t>
              </w:r>
            </w:hyperlink>
            <w:r w:rsidRPr="00263088">
              <w:t xml:space="preserve"> </w:t>
            </w:r>
          </w:p>
          <w:p w:rsidR="005065F0" w:rsidRPr="00263088" w:rsidRDefault="007076EA" w:rsidP="007076EA">
            <w:pPr>
              <w:pStyle w:val="TableBullet"/>
            </w:pPr>
            <w:r w:rsidRPr="00263088">
              <w:rPr>
                <w:rFonts w:cs="Arial"/>
                <w:szCs w:val="18"/>
              </w:rPr>
              <w:t>Information on making a complaint</w:t>
            </w:r>
            <w:r w:rsidRPr="00263088">
              <w:rPr>
                <w:rStyle w:val="Hyperlink"/>
                <w:rFonts w:ascii="Arial" w:hAnsi="Arial" w:cs="Arial"/>
                <w:color w:val="auto"/>
                <w:sz w:val="18"/>
                <w:szCs w:val="18"/>
              </w:rPr>
              <w:br/>
            </w:r>
            <w:hyperlink r:id="rId69" w:history="1">
              <w:r w:rsidRPr="00263088">
                <w:rPr>
                  <w:rStyle w:val="Hyperlink"/>
                  <w:rFonts w:ascii="Arial" w:hAnsi="Arial"/>
                  <w:color w:val="auto"/>
                  <w:sz w:val="18"/>
                </w:rPr>
                <w:t>www.health.govt.nz/your-health/services-and-support/disability-services/more-information-disability-support/contact-disability-support-services</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575784" w:rsidP="00FB43CA">
            <w:pPr>
              <w:pStyle w:val="TableText"/>
              <w:ind w:right="142"/>
              <w:rPr>
                <w:rFonts w:cs="Arial"/>
                <w:szCs w:val="18"/>
              </w:rPr>
            </w:pPr>
            <w:r w:rsidRPr="00263088">
              <w:rPr>
                <w:rFonts w:cs="Arial"/>
                <w:b/>
                <w:szCs w:val="18"/>
              </w:rPr>
              <w:t>Accident Compensation Corporation</w:t>
            </w:r>
          </w:p>
          <w:p w:rsidR="005065F0" w:rsidRPr="00263088" w:rsidRDefault="005065F0" w:rsidP="00FB43CA">
            <w:pPr>
              <w:pStyle w:val="TableText"/>
              <w:ind w:right="142"/>
              <w:rPr>
                <w:rFonts w:cs="Arial"/>
                <w:szCs w:val="18"/>
              </w:rPr>
            </w:pPr>
            <w:r w:rsidRPr="00263088">
              <w:rPr>
                <w:rFonts w:cs="Arial"/>
                <w:szCs w:val="18"/>
              </w:rPr>
              <w:t>The Accident Compensation Corporation (ACC) provides funding and support for individuals who have an impairment as a result of an accident</w:t>
            </w:r>
            <w:r w:rsidR="00214ABB" w:rsidRPr="00263088">
              <w:rPr>
                <w:rFonts w:cs="Arial"/>
                <w:szCs w:val="18"/>
              </w:rPr>
              <w:t>.</w:t>
            </w:r>
          </w:p>
          <w:p w:rsidR="00575784" w:rsidRPr="00263088" w:rsidRDefault="008A337B" w:rsidP="00575784">
            <w:pPr>
              <w:pStyle w:val="TableText"/>
              <w:ind w:right="142"/>
              <w:rPr>
                <w:rFonts w:cs="Arial"/>
                <w:szCs w:val="18"/>
              </w:rPr>
            </w:pPr>
            <w:hyperlink r:id="rId70" w:history="1">
              <w:r w:rsidR="00575784" w:rsidRPr="00263088">
                <w:rPr>
                  <w:rStyle w:val="Hyperlink"/>
                  <w:rFonts w:ascii="Arial" w:hAnsi="Arial" w:cs="Arial"/>
                  <w:color w:val="auto"/>
                  <w:sz w:val="18"/>
                  <w:szCs w:val="18"/>
                </w:rPr>
                <w:t>www.acc.co.nz</w:t>
              </w:r>
            </w:hyperlink>
            <w:r w:rsidR="00575784"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575784" w:rsidP="00575784">
            <w:pPr>
              <w:pStyle w:val="TableBullet"/>
            </w:pPr>
            <w:r w:rsidRPr="00263088">
              <w:rPr>
                <w:rFonts w:cs="Arial"/>
                <w:szCs w:val="18"/>
              </w:rPr>
              <w:t>Serious injury and disability – help for people affected by injury-related disabilities</w:t>
            </w:r>
            <w:r w:rsidRPr="00263088">
              <w:rPr>
                <w:rStyle w:val="Hyperlink"/>
                <w:rFonts w:ascii="Arial" w:hAnsi="Arial" w:cs="Arial"/>
                <w:color w:val="auto"/>
                <w:sz w:val="18"/>
                <w:szCs w:val="18"/>
              </w:rPr>
              <w:br/>
            </w:r>
            <w:hyperlink r:id="rId71" w:history="1">
              <w:r w:rsidRPr="00263088">
                <w:rPr>
                  <w:rStyle w:val="Hyperlink"/>
                  <w:rFonts w:ascii="Arial" w:hAnsi="Arial"/>
                  <w:color w:val="auto"/>
                  <w:sz w:val="18"/>
                </w:rPr>
                <w:t>https://disability.acc.co.nz</w:t>
              </w:r>
            </w:hyperlink>
            <w:r w:rsidRPr="00263088">
              <w:t xml:space="preserve"> </w:t>
            </w:r>
          </w:p>
          <w:p w:rsidR="005065F0" w:rsidRPr="00263088" w:rsidRDefault="00575784" w:rsidP="00575784">
            <w:pPr>
              <w:pStyle w:val="TableBullet"/>
            </w:pPr>
            <w:r w:rsidRPr="00263088">
              <w:t xml:space="preserve">A </w:t>
            </w:r>
            <w:r w:rsidR="005065F0" w:rsidRPr="00263088">
              <w:t>range of resources are available on the ACC website on specific injuries, disabilities, rights and advocacy as well as information for parents, carers</w:t>
            </w:r>
            <w:r w:rsidRPr="00263088">
              <w:br/>
            </w:r>
            <w:hyperlink r:id="rId72" w:history="1">
              <w:r w:rsidRPr="00263088">
                <w:rPr>
                  <w:rStyle w:val="Hyperlink"/>
                  <w:rFonts w:ascii="Arial" w:hAnsi="Arial"/>
                  <w:color w:val="auto"/>
                  <w:sz w:val="18"/>
                </w:rPr>
                <w:t>https://disability.acc.co.nz/useful-resources</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575784" w:rsidP="00FB43CA">
            <w:pPr>
              <w:pStyle w:val="TableText"/>
              <w:ind w:right="142"/>
              <w:rPr>
                <w:rFonts w:cs="Arial"/>
                <w:szCs w:val="18"/>
              </w:rPr>
            </w:pPr>
            <w:r w:rsidRPr="00263088">
              <w:rPr>
                <w:rFonts w:cs="Arial"/>
                <w:b/>
                <w:szCs w:val="18"/>
              </w:rPr>
              <w:t>Department of Internal Affairs</w:t>
            </w:r>
          </w:p>
          <w:p w:rsidR="001F07DE" w:rsidRPr="00263088" w:rsidRDefault="005065F0" w:rsidP="00FB43CA">
            <w:pPr>
              <w:pStyle w:val="TableText"/>
              <w:ind w:right="142"/>
              <w:rPr>
                <w:rFonts w:cs="Arial"/>
                <w:szCs w:val="18"/>
              </w:rPr>
            </w:pPr>
            <w:r w:rsidRPr="00263088">
              <w:rPr>
                <w:rFonts w:cs="Arial"/>
                <w:szCs w:val="18"/>
              </w:rPr>
              <w:t xml:space="preserve">The Department of Internal Affairs (DIA) website hosts the Kia </w:t>
            </w:r>
            <w:proofErr w:type="spellStart"/>
            <w:r w:rsidRPr="00263088">
              <w:rPr>
                <w:rFonts w:cs="Arial"/>
                <w:szCs w:val="18"/>
              </w:rPr>
              <w:t>Tūtahi</w:t>
            </w:r>
            <w:proofErr w:type="spellEnd"/>
            <w:r w:rsidRPr="00263088">
              <w:rPr>
                <w:rFonts w:cs="Arial"/>
                <w:szCs w:val="18"/>
              </w:rPr>
              <w:t xml:space="preserve"> Relationship Accord.</w:t>
            </w:r>
          </w:p>
          <w:p w:rsidR="001F07DE" w:rsidRPr="00263088" w:rsidRDefault="005065F0" w:rsidP="00FB43CA">
            <w:pPr>
              <w:pStyle w:val="TableText"/>
              <w:ind w:right="142"/>
              <w:rPr>
                <w:rFonts w:cs="Arial"/>
                <w:szCs w:val="18"/>
              </w:rPr>
            </w:pPr>
            <w:r w:rsidRPr="00263088">
              <w:rPr>
                <w:rFonts w:cs="Arial"/>
                <w:szCs w:val="18"/>
              </w:rPr>
              <w:t>The DIA</w:t>
            </w:r>
            <w:r w:rsidR="00267D5F" w:rsidRPr="00263088">
              <w:rPr>
                <w:rFonts w:cs="Arial"/>
                <w:szCs w:val="18"/>
              </w:rPr>
              <w:t>’</w:t>
            </w:r>
            <w:r w:rsidRPr="00263088">
              <w:rPr>
                <w:rFonts w:cs="Arial"/>
                <w:szCs w:val="18"/>
              </w:rPr>
              <w:t>s Community Matters website provides advice for involving the community in decision-making, targeted at government officials but generally applicable.</w:t>
            </w:r>
          </w:p>
          <w:p w:rsidR="005065F0" w:rsidRPr="00263088" w:rsidRDefault="005065F0" w:rsidP="00FB43CA">
            <w:pPr>
              <w:pStyle w:val="TableText"/>
              <w:ind w:right="142"/>
              <w:rPr>
                <w:rFonts w:cs="Arial"/>
                <w:iCs/>
                <w:szCs w:val="18"/>
              </w:rPr>
            </w:pPr>
            <w:r w:rsidRPr="00263088">
              <w:rPr>
                <w:rFonts w:cs="Arial"/>
                <w:szCs w:val="18"/>
              </w:rPr>
              <w:t xml:space="preserve">The DIA is also responsible for the New Zealand Government Web </w:t>
            </w:r>
            <w:r w:rsidRPr="00263088">
              <w:rPr>
                <w:rFonts w:cs="Arial"/>
                <w:iCs/>
                <w:szCs w:val="18"/>
              </w:rPr>
              <w:t>Toolkit.</w:t>
            </w:r>
          </w:p>
          <w:p w:rsidR="00575784" w:rsidRPr="00263088" w:rsidRDefault="008A337B" w:rsidP="007B31DC">
            <w:pPr>
              <w:pStyle w:val="TableText"/>
              <w:ind w:right="142"/>
              <w:rPr>
                <w:rFonts w:cs="Arial"/>
                <w:szCs w:val="18"/>
              </w:rPr>
            </w:pPr>
            <w:hyperlink r:id="rId73" w:history="1">
              <w:r w:rsidR="00575784" w:rsidRPr="00263088">
                <w:rPr>
                  <w:rStyle w:val="Hyperlink"/>
                  <w:rFonts w:ascii="Arial" w:hAnsi="Arial" w:cs="Arial"/>
                  <w:color w:val="auto"/>
                  <w:sz w:val="18"/>
                  <w:szCs w:val="18"/>
                </w:rPr>
                <w:t>www.dia.govt.nz</w:t>
              </w:r>
            </w:hyperlink>
            <w:r w:rsidR="00575784"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575784" w:rsidP="00575784">
            <w:pPr>
              <w:pStyle w:val="TableBullet"/>
            </w:pPr>
            <w:r w:rsidRPr="00263088">
              <w:rPr>
                <w:rFonts w:cs="Arial"/>
                <w:szCs w:val="18"/>
              </w:rPr>
              <w:t xml:space="preserve">Kia </w:t>
            </w:r>
            <w:proofErr w:type="spellStart"/>
            <w:r w:rsidRPr="00263088">
              <w:rPr>
                <w:rFonts w:cs="Arial"/>
                <w:szCs w:val="18"/>
              </w:rPr>
              <w:t>Tūtahi</w:t>
            </w:r>
            <w:proofErr w:type="spellEnd"/>
            <w:r w:rsidRPr="00263088">
              <w:rPr>
                <w:rFonts w:cs="Arial"/>
                <w:szCs w:val="18"/>
              </w:rPr>
              <w:t xml:space="preserve"> Relationship Accord</w:t>
            </w:r>
            <w:r w:rsidRPr="00263088">
              <w:rPr>
                <w:rStyle w:val="Hyperlink"/>
                <w:rFonts w:ascii="Arial" w:hAnsi="Arial" w:cs="Arial"/>
                <w:color w:val="auto"/>
                <w:sz w:val="18"/>
                <w:szCs w:val="18"/>
              </w:rPr>
              <w:br/>
            </w:r>
            <w:hyperlink r:id="rId74" w:history="1">
              <w:r w:rsidRPr="00263088">
                <w:rPr>
                  <w:rStyle w:val="Hyperlink"/>
                  <w:rFonts w:ascii="Arial" w:hAnsi="Arial"/>
                  <w:color w:val="auto"/>
                  <w:sz w:val="18"/>
                </w:rPr>
                <w:t>www.dia.govt.nz/kiatutahi</w:t>
              </w:r>
            </w:hyperlink>
            <w:r w:rsidRPr="00263088">
              <w:t xml:space="preserve"> </w:t>
            </w:r>
          </w:p>
          <w:p w:rsidR="00267D5F" w:rsidRPr="00263088" w:rsidRDefault="00575784" w:rsidP="00575784">
            <w:pPr>
              <w:pStyle w:val="TableBullet"/>
            </w:pPr>
            <w:r w:rsidRPr="00263088">
              <w:rPr>
                <w:rFonts w:cs="Arial"/>
                <w:szCs w:val="18"/>
              </w:rPr>
              <w:t>Good Practice Participate</w:t>
            </w:r>
            <w:r w:rsidR="005065F0" w:rsidRPr="00263088">
              <w:t xml:space="preserve"> on Community Matters</w:t>
            </w:r>
            <w:r w:rsidRPr="00263088">
              <w:br/>
            </w:r>
            <w:hyperlink r:id="rId75" w:history="1">
              <w:r w:rsidRPr="00263088">
                <w:rPr>
                  <w:rStyle w:val="Hyperlink"/>
                  <w:rFonts w:ascii="Arial" w:hAnsi="Arial"/>
                  <w:color w:val="auto"/>
                  <w:sz w:val="18"/>
                </w:rPr>
                <w:t>www.communitymatters.govt.nz/good-practice-participate</w:t>
              </w:r>
            </w:hyperlink>
            <w:r w:rsidRPr="00263088">
              <w:t xml:space="preserve"> </w:t>
            </w:r>
          </w:p>
          <w:p w:rsidR="00267D5F" w:rsidRPr="00263088" w:rsidRDefault="00575784" w:rsidP="00575784">
            <w:pPr>
              <w:pStyle w:val="TableBullet"/>
            </w:pPr>
            <w:proofErr w:type="spellStart"/>
            <w:r w:rsidRPr="00263088">
              <w:rPr>
                <w:rFonts w:cs="Arial"/>
                <w:szCs w:val="18"/>
              </w:rPr>
              <w:t>CommunityNet</w:t>
            </w:r>
            <w:proofErr w:type="spellEnd"/>
            <w:r w:rsidRPr="00263088">
              <w:rPr>
                <w:rFonts w:cs="Arial"/>
                <w:szCs w:val="18"/>
              </w:rPr>
              <w:t xml:space="preserve"> </w:t>
            </w:r>
            <w:proofErr w:type="spellStart"/>
            <w:r w:rsidRPr="00263088">
              <w:rPr>
                <w:rFonts w:cs="Arial"/>
                <w:szCs w:val="18"/>
              </w:rPr>
              <w:t>Aotearoa</w:t>
            </w:r>
            <w:proofErr w:type="spellEnd"/>
            <w:r w:rsidR="005065F0" w:rsidRPr="00263088">
              <w:rPr>
                <w:rStyle w:val="Hyperlink"/>
                <w:rFonts w:ascii="Arial" w:hAnsi="Arial" w:cs="Arial"/>
                <w:i/>
                <w:color w:val="auto"/>
                <w:sz w:val="18"/>
                <w:szCs w:val="18"/>
              </w:rPr>
              <w:t xml:space="preserve"> </w:t>
            </w:r>
            <w:hyperlink r:id="rId76" w:history="1"/>
            <w:r w:rsidR="005065F0" w:rsidRPr="00263088">
              <w:t xml:space="preserve">is </w:t>
            </w:r>
            <w:r w:rsidR="00267D5F" w:rsidRPr="00263088">
              <w:t>‘</w:t>
            </w:r>
            <w:r w:rsidR="005065F0" w:rsidRPr="00263088">
              <w:t>an online hub of resources designed to strengthen communities</w:t>
            </w:r>
            <w:r w:rsidR="00267D5F" w:rsidRPr="00263088">
              <w:t>’</w:t>
            </w:r>
            <w:r w:rsidR="005065F0" w:rsidRPr="00263088">
              <w:t>. It enables organisations to post and share resources on a variety of topics, including leadership, communication and evaluation. Materials include Diversity Toolkits, a how-to guide on communications and project management templates</w:t>
            </w:r>
            <w:r w:rsidRPr="00263088">
              <w:br/>
            </w:r>
            <w:hyperlink r:id="rId77" w:history="1">
              <w:r w:rsidRPr="00263088">
                <w:rPr>
                  <w:rStyle w:val="Hyperlink"/>
                  <w:rFonts w:ascii="Arial" w:hAnsi="Arial"/>
                  <w:color w:val="auto"/>
                  <w:sz w:val="18"/>
                </w:rPr>
                <w:t>www.community.net.nz</w:t>
              </w:r>
            </w:hyperlink>
            <w:r w:rsidRPr="00263088">
              <w:t xml:space="preserve">  </w:t>
            </w:r>
          </w:p>
          <w:p w:rsidR="005065F0" w:rsidRPr="00263088" w:rsidRDefault="005065F0" w:rsidP="00575784">
            <w:pPr>
              <w:pStyle w:val="TableBullet"/>
            </w:pPr>
            <w:r w:rsidRPr="00263088">
              <w:t xml:space="preserve">The </w:t>
            </w:r>
            <w:r w:rsidR="00575784" w:rsidRPr="00263088">
              <w:rPr>
                <w:rFonts w:cs="Arial"/>
                <w:szCs w:val="18"/>
              </w:rPr>
              <w:t>New Zealand Government Web Toolkit</w:t>
            </w:r>
            <w:r w:rsidRPr="00263088">
              <w:rPr>
                <w:iCs/>
              </w:rPr>
              <w:t>,</w:t>
            </w:r>
            <w:r w:rsidRPr="00263088">
              <w:t xml:space="preserve"> </w:t>
            </w:r>
            <w:r w:rsidR="00267D5F" w:rsidRPr="00263088">
              <w:t>‘</w:t>
            </w:r>
            <w:r w:rsidRPr="00263088">
              <w:t>provides standards, guidance, tips and strategic advice on effectively using the online channel</w:t>
            </w:r>
            <w:r w:rsidR="00267D5F" w:rsidRPr="00263088">
              <w:t>’</w:t>
            </w:r>
            <w:r w:rsidRPr="00263088">
              <w:t>. It outlines the Web Accessibility Standard</w:t>
            </w:r>
            <w:r w:rsidR="00575784" w:rsidRPr="00263088">
              <w:br/>
            </w:r>
            <w:hyperlink r:id="rId78" w:history="1">
              <w:r w:rsidR="00575784" w:rsidRPr="00263088">
                <w:rPr>
                  <w:rStyle w:val="Hyperlink"/>
                  <w:rFonts w:ascii="Arial" w:hAnsi="Arial"/>
                  <w:color w:val="auto"/>
                  <w:sz w:val="18"/>
                </w:rPr>
                <w:t>www.webtoolkit.govt.nz</w:t>
              </w:r>
            </w:hyperlink>
            <w:r w:rsidR="00575784"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1F07DE" w:rsidRPr="00263088" w:rsidRDefault="007B31DC" w:rsidP="00FB43CA">
            <w:pPr>
              <w:pStyle w:val="TableText"/>
              <w:ind w:right="142"/>
              <w:rPr>
                <w:rFonts w:cs="Arial"/>
                <w:szCs w:val="18"/>
              </w:rPr>
            </w:pPr>
            <w:r w:rsidRPr="00263088">
              <w:rPr>
                <w:rFonts w:cs="Arial"/>
                <w:b/>
                <w:szCs w:val="18"/>
              </w:rPr>
              <w:lastRenderedPageBreak/>
              <w:t>Health and Disability Commissioner</w:t>
            </w:r>
          </w:p>
          <w:p w:rsidR="005065F0" w:rsidRPr="00263088" w:rsidRDefault="005065F0" w:rsidP="00FB43CA">
            <w:pPr>
              <w:pStyle w:val="TableText"/>
              <w:ind w:right="142"/>
              <w:rPr>
                <w:rFonts w:cs="Arial"/>
                <w:szCs w:val="18"/>
              </w:rPr>
            </w:pPr>
            <w:r w:rsidRPr="00263088">
              <w:rPr>
                <w:rFonts w:cs="Arial"/>
                <w:szCs w:val="18"/>
              </w:rPr>
              <w:t xml:space="preserve">The Health and Disability Commissioner (HDC) aims to </w:t>
            </w:r>
            <w:r w:rsidR="00267D5F" w:rsidRPr="00263088">
              <w:rPr>
                <w:rFonts w:cs="Arial"/>
                <w:szCs w:val="18"/>
              </w:rPr>
              <w:t>‘</w:t>
            </w:r>
            <w:r w:rsidRPr="00263088">
              <w:rPr>
                <w:rFonts w:cs="Arial"/>
                <w:szCs w:val="18"/>
              </w:rPr>
              <w:t xml:space="preserve">ensure that the </w:t>
            </w:r>
            <w:r w:rsidRPr="00263088">
              <w:rPr>
                <w:rFonts w:cs="Arial"/>
                <w:iCs/>
                <w:szCs w:val="18"/>
              </w:rPr>
              <w:t>rights of consumers are upheld</w:t>
            </w:r>
            <w:r w:rsidRPr="00263088">
              <w:rPr>
                <w:rFonts w:cs="Arial"/>
                <w:szCs w:val="18"/>
              </w:rPr>
              <w:t>. This includes making sure complaints about health or disability services providers are taken care of fairly and efficiently</w:t>
            </w:r>
            <w:r w:rsidR="00267D5F" w:rsidRPr="00263088">
              <w:rPr>
                <w:rFonts w:cs="Arial"/>
                <w:szCs w:val="18"/>
              </w:rPr>
              <w:t>’</w:t>
            </w:r>
            <w:r w:rsidRPr="00263088">
              <w:rPr>
                <w:rFonts w:cs="Arial"/>
                <w:szCs w:val="18"/>
              </w:rPr>
              <w:t>. The HDC also provides the support of free independent advocates to assist with concerns or complaints about a health or disability service.</w:t>
            </w:r>
          </w:p>
          <w:p w:rsidR="007B31DC" w:rsidRPr="00263088" w:rsidRDefault="008A337B" w:rsidP="007B31DC">
            <w:pPr>
              <w:pStyle w:val="TableText"/>
              <w:ind w:right="142"/>
              <w:rPr>
                <w:rFonts w:cs="Arial"/>
                <w:szCs w:val="18"/>
              </w:rPr>
            </w:pPr>
            <w:hyperlink r:id="rId79" w:history="1">
              <w:r w:rsidR="007B31DC" w:rsidRPr="00263088">
                <w:rPr>
                  <w:rStyle w:val="Hyperlink"/>
                  <w:rFonts w:ascii="Arial" w:hAnsi="Arial" w:cs="Arial"/>
                  <w:color w:val="auto"/>
                  <w:sz w:val="18"/>
                  <w:szCs w:val="18"/>
                </w:rPr>
                <w:t>www.hdc.org.nz</w:t>
              </w:r>
            </w:hyperlink>
            <w:r w:rsidR="007B31DC"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7B31DC" w:rsidP="007B31DC">
            <w:pPr>
              <w:pStyle w:val="TableBullet"/>
            </w:pPr>
            <w:r w:rsidRPr="00263088">
              <w:rPr>
                <w:rFonts w:cs="Arial"/>
                <w:szCs w:val="18"/>
              </w:rPr>
              <w:t>Disability Resources</w:t>
            </w:r>
            <w:r w:rsidRPr="00263088">
              <w:rPr>
                <w:rStyle w:val="Hyperlink"/>
                <w:rFonts w:ascii="Arial" w:hAnsi="Arial" w:cs="Arial"/>
                <w:color w:val="auto"/>
                <w:sz w:val="18"/>
                <w:szCs w:val="18"/>
              </w:rPr>
              <w:br/>
            </w:r>
            <w:hyperlink r:id="rId80" w:history="1">
              <w:r w:rsidRPr="00263088">
                <w:rPr>
                  <w:rStyle w:val="Hyperlink"/>
                  <w:rFonts w:ascii="Arial" w:hAnsi="Arial"/>
                  <w:color w:val="auto"/>
                  <w:sz w:val="18"/>
                </w:rPr>
                <w:t>www.hdc.org.nz/about-us/disability</w:t>
              </w:r>
            </w:hyperlink>
            <w:r w:rsidRPr="00263088">
              <w:t xml:space="preserve"> </w:t>
            </w:r>
          </w:p>
          <w:p w:rsidR="001F07DE" w:rsidRPr="00263088" w:rsidRDefault="007B31DC" w:rsidP="007B31DC">
            <w:pPr>
              <w:pStyle w:val="TableBullet"/>
              <w:rPr>
                <w:rStyle w:val="Hyperlink"/>
                <w:rFonts w:ascii="Arial" w:hAnsi="Arial" w:cs="Arial"/>
                <w:color w:val="auto"/>
                <w:sz w:val="18"/>
                <w:szCs w:val="18"/>
              </w:rPr>
            </w:pPr>
            <w:r w:rsidRPr="00263088">
              <w:rPr>
                <w:rFonts w:cs="Arial"/>
                <w:szCs w:val="18"/>
              </w:rPr>
              <w:t>Health and Disability Advocacy</w:t>
            </w:r>
            <w:r w:rsidRPr="00263088">
              <w:rPr>
                <w:rStyle w:val="Hyperlink"/>
                <w:rFonts w:ascii="Arial" w:hAnsi="Arial" w:cs="Arial"/>
                <w:color w:val="auto"/>
                <w:sz w:val="18"/>
                <w:szCs w:val="18"/>
              </w:rPr>
              <w:br/>
            </w:r>
            <w:hyperlink r:id="rId81" w:history="1">
              <w:r w:rsidRPr="00263088">
                <w:rPr>
                  <w:rStyle w:val="Hyperlink"/>
                  <w:rFonts w:ascii="Arial" w:hAnsi="Arial" w:cs="Arial"/>
                  <w:color w:val="auto"/>
                  <w:sz w:val="18"/>
                  <w:szCs w:val="18"/>
                </w:rPr>
                <w:t>advocacy.hdc.org.nz</w:t>
              </w:r>
            </w:hyperlink>
            <w:r w:rsidRPr="00263088">
              <w:rPr>
                <w:rStyle w:val="Hyperlink"/>
                <w:rFonts w:ascii="Arial" w:hAnsi="Arial" w:cs="Arial"/>
                <w:color w:val="auto"/>
                <w:sz w:val="18"/>
                <w:szCs w:val="18"/>
              </w:rPr>
              <w:t xml:space="preserve"> </w:t>
            </w:r>
          </w:p>
          <w:p w:rsidR="005065F0" w:rsidRPr="00263088" w:rsidRDefault="007B31DC" w:rsidP="007B31DC">
            <w:pPr>
              <w:pStyle w:val="TableBullet"/>
            </w:pPr>
            <w:r w:rsidRPr="00263088">
              <w:rPr>
                <w:rFonts w:cs="Arial"/>
                <w:i/>
                <w:szCs w:val="18"/>
              </w:rPr>
              <w:t>Making communication easy – Useful tips to make it easy to communicate effectively with people with impairments</w:t>
            </w:r>
            <w:r w:rsidRPr="00263088">
              <w:rPr>
                <w:rStyle w:val="Hyperlink"/>
                <w:rFonts w:ascii="Arial" w:hAnsi="Arial" w:cs="Arial"/>
                <w:i/>
                <w:color w:val="auto"/>
                <w:sz w:val="18"/>
                <w:szCs w:val="18"/>
              </w:rPr>
              <w:br/>
            </w:r>
            <w:hyperlink r:id="rId82" w:history="1">
              <w:r w:rsidRPr="00263088">
                <w:rPr>
                  <w:rStyle w:val="Hyperlink"/>
                  <w:rFonts w:ascii="Arial" w:hAnsi="Arial"/>
                  <w:color w:val="auto"/>
                  <w:sz w:val="18"/>
                </w:rPr>
                <w:t>www.hdc.org.nz/publications/other-publications-from-hdc/disability-resources/making-communication-easy---useful-tips-to-make-it-easy-to-communicate-effectively-with-people-with-impairments</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7B31DC" w:rsidP="00FB43CA">
            <w:pPr>
              <w:pStyle w:val="TableText"/>
              <w:ind w:right="142"/>
              <w:rPr>
                <w:rFonts w:cs="Arial"/>
                <w:szCs w:val="18"/>
              </w:rPr>
            </w:pPr>
            <w:r w:rsidRPr="00263088">
              <w:rPr>
                <w:rFonts w:cs="Arial"/>
                <w:b/>
                <w:szCs w:val="18"/>
              </w:rPr>
              <w:t>Human Rights Commission</w:t>
            </w:r>
          </w:p>
          <w:p w:rsidR="00267D5F" w:rsidRPr="00263088" w:rsidRDefault="005065F0" w:rsidP="00FB43CA">
            <w:pPr>
              <w:pStyle w:val="TableText"/>
              <w:ind w:right="142"/>
              <w:rPr>
                <w:rFonts w:cs="Arial"/>
                <w:szCs w:val="18"/>
              </w:rPr>
            </w:pPr>
            <w:r w:rsidRPr="00263088">
              <w:rPr>
                <w:rFonts w:cs="Arial"/>
                <w:szCs w:val="18"/>
              </w:rPr>
              <w:t xml:space="preserve">The Human Rights Commission (HRC) promotes and protects the human rights of all people in </w:t>
            </w:r>
            <w:proofErr w:type="spellStart"/>
            <w:r w:rsidRPr="00263088">
              <w:rPr>
                <w:rFonts w:cs="Arial"/>
                <w:szCs w:val="18"/>
              </w:rPr>
              <w:t>Aotearoa</w:t>
            </w:r>
            <w:proofErr w:type="spellEnd"/>
            <w:r w:rsidRPr="00263088">
              <w:rPr>
                <w:rFonts w:cs="Arial"/>
                <w:szCs w:val="18"/>
              </w:rPr>
              <w:t xml:space="preserve"> New Zealand.</w:t>
            </w:r>
          </w:p>
          <w:p w:rsidR="005065F0" w:rsidRPr="00263088" w:rsidRDefault="005065F0" w:rsidP="00FB43CA">
            <w:pPr>
              <w:pStyle w:val="TableText"/>
              <w:ind w:right="142"/>
              <w:rPr>
                <w:rFonts w:cs="Arial"/>
                <w:szCs w:val="18"/>
              </w:rPr>
            </w:pPr>
            <w:r w:rsidRPr="00263088">
              <w:rPr>
                <w:rFonts w:cs="Arial"/>
                <w:szCs w:val="18"/>
              </w:rPr>
              <w:t>It provides information about discrimination and offers a free and confidential service for people with human rights enquiries or complaints of unlawful discrimination.</w:t>
            </w:r>
          </w:p>
          <w:p w:rsidR="007B31DC" w:rsidRPr="00263088" w:rsidRDefault="008A337B" w:rsidP="007B31DC">
            <w:pPr>
              <w:pStyle w:val="TableText"/>
              <w:ind w:right="142"/>
              <w:rPr>
                <w:rFonts w:cs="Arial"/>
                <w:szCs w:val="18"/>
              </w:rPr>
            </w:pPr>
            <w:hyperlink r:id="rId83" w:history="1">
              <w:r w:rsidR="007B31DC" w:rsidRPr="00263088">
                <w:rPr>
                  <w:rStyle w:val="Hyperlink"/>
                  <w:rFonts w:ascii="Arial" w:hAnsi="Arial" w:cs="Arial"/>
                  <w:color w:val="auto"/>
                  <w:sz w:val="18"/>
                  <w:szCs w:val="18"/>
                </w:rPr>
                <w:t>www.hrc.co.nz</w:t>
              </w:r>
            </w:hyperlink>
            <w:r w:rsidR="007B31DC"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7B31DC" w:rsidP="007B31DC">
            <w:pPr>
              <w:pStyle w:val="TableBullet"/>
            </w:pPr>
            <w:r w:rsidRPr="00263088">
              <w:rPr>
                <w:rFonts w:cs="Arial"/>
                <w:i/>
                <w:szCs w:val="18"/>
              </w:rPr>
              <w:t>Your human rights and making complaints: A guide for disabled people and their families</w:t>
            </w:r>
            <w:r w:rsidRPr="00263088">
              <w:rPr>
                <w:rStyle w:val="Hyperlink"/>
                <w:rFonts w:ascii="Arial" w:hAnsi="Arial" w:cs="Arial"/>
                <w:i/>
                <w:color w:val="auto"/>
                <w:sz w:val="18"/>
                <w:szCs w:val="18"/>
              </w:rPr>
              <w:br/>
            </w:r>
            <w:hyperlink r:id="rId84" w:history="1">
              <w:r w:rsidRPr="00263088">
                <w:rPr>
                  <w:rStyle w:val="Hyperlink"/>
                  <w:rFonts w:ascii="Arial" w:hAnsi="Arial"/>
                  <w:color w:val="auto"/>
                  <w:sz w:val="18"/>
                </w:rPr>
                <w:t>www.hrc.co.nz/enquiries-and-complaints/what-you-can-complain-about/disability</w:t>
              </w:r>
            </w:hyperlink>
            <w:r w:rsidRPr="00263088">
              <w:t xml:space="preserve"> </w:t>
            </w:r>
          </w:p>
          <w:p w:rsidR="005065F0" w:rsidRPr="00263088" w:rsidRDefault="007B31DC" w:rsidP="007B31DC">
            <w:pPr>
              <w:pStyle w:val="TableBullet"/>
            </w:pPr>
            <w:r w:rsidRPr="00263088">
              <w:rPr>
                <w:rFonts w:cs="Arial"/>
                <w:szCs w:val="18"/>
              </w:rPr>
              <w:t>How to make a complaint</w:t>
            </w:r>
            <w:r w:rsidRPr="00263088">
              <w:rPr>
                <w:rStyle w:val="Hyperlink"/>
                <w:rFonts w:ascii="Arial" w:hAnsi="Arial" w:cs="Arial"/>
                <w:color w:val="auto"/>
                <w:sz w:val="18"/>
                <w:szCs w:val="18"/>
              </w:rPr>
              <w:br/>
            </w:r>
            <w:hyperlink r:id="rId85" w:history="1">
              <w:r w:rsidRPr="00263088">
                <w:rPr>
                  <w:rStyle w:val="Hyperlink"/>
                  <w:rFonts w:ascii="Arial" w:hAnsi="Arial"/>
                  <w:color w:val="auto"/>
                  <w:sz w:val="18"/>
                </w:rPr>
                <w:t>www.hrc.co.nz/enquiries-and-complaints/how-make-complaint</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1F07DE" w:rsidRPr="00263088" w:rsidRDefault="007B31DC" w:rsidP="00FB43CA">
            <w:pPr>
              <w:pStyle w:val="TableText"/>
              <w:ind w:right="142"/>
              <w:rPr>
                <w:rFonts w:cs="Arial"/>
                <w:szCs w:val="18"/>
              </w:rPr>
            </w:pPr>
            <w:r w:rsidRPr="00263088">
              <w:rPr>
                <w:rFonts w:cs="Arial"/>
                <w:b/>
                <w:szCs w:val="18"/>
              </w:rPr>
              <w:t>Ministry of Education</w:t>
            </w:r>
          </w:p>
          <w:p w:rsidR="005065F0" w:rsidRPr="00263088" w:rsidRDefault="005065F0" w:rsidP="00FB43CA">
            <w:pPr>
              <w:pStyle w:val="TableText"/>
              <w:ind w:right="142"/>
              <w:rPr>
                <w:rFonts w:cs="Arial"/>
                <w:szCs w:val="18"/>
              </w:rPr>
            </w:pPr>
            <w:r w:rsidRPr="00263088">
              <w:rPr>
                <w:rFonts w:cs="Arial"/>
                <w:szCs w:val="18"/>
              </w:rPr>
              <w:t>Special education supports children and students to access the curriculum by providing extra help, adapted programmes or learning environments, and specialised equipment or materials.</w:t>
            </w:r>
          </w:p>
          <w:p w:rsidR="007B31DC" w:rsidRPr="00263088" w:rsidRDefault="008A337B" w:rsidP="007B31DC">
            <w:pPr>
              <w:pStyle w:val="TableText"/>
              <w:ind w:right="142"/>
              <w:rPr>
                <w:rFonts w:cs="Arial"/>
                <w:szCs w:val="18"/>
              </w:rPr>
            </w:pPr>
            <w:hyperlink r:id="rId86" w:history="1">
              <w:r w:rsidR="007B31DC" w:rsidRPr="00263088">
                <w:rPr>
                  <w:rStyle w:val="Hyperlink"/>
                  <w:rFonts w:ascii="Arial" w:hAnsi="Arial" w:cs="Arial"/>
                  <w:color w:val="auto"/>
                  <w:sz w:val="18"/>
                  <w:szCs w:val="18"/>
                </w:rPr>
                <w:t>www.education.govt.nz</w:t>
              </w:r>
            </w:hyperlink>
            <w:r w:rsidR="007B31DC"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5065F0" w:rsidRPr="00263088" w:rsidRDefault="007B31DC" w:rsidP="007B31DC">
            <w:pPr>
              <w:pStyle w:val="TableBullet"/>
            </w:pPr>
            <w:r w:rsidRPr="00263088">
              <w:rPr>
                <w:rFonts w:cs="Arial"/>
                <w:szCs w:val="18"/>
              </w:rPr>
              <w:t>Students with special education needs</w:t>
            </w:r>
            <w:r w:rsidRPr="00263088">
              <w:rPr>
                <w:rStyle w:val="Hyperlink"/>
                <w:rFonts w:ascii="Arial" w:hAnsi="Arial" w:cs="Arial"/>
                <w:color w:val="auto"/>
                <w:sz w:val="18"/>
                <w:szCs w:val="18"/>
              </w:rPr>
              <w:br/>
            </w:r>
            <w:hyperlink r:id="rId87" w:history="1">
              <w:r w:rsidRPr="00263088">
                <w:rPr>
                  <w:rStyle w:val="Hyperlink"/>
                  <w:rFonts w:ascii="Arial" w:hAnsi="Arial"/>
                  <w:color w:val="auto"/>
                  <w:sz w:val="18"/>
                </w:rPr>
                <w:t>www.education.govt.nz/school/student-support/special-education</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7B31DC" w:rsidP="00FB43CA">
            <w:pPr>
              <w:pStyle w:val="TableText"/>
              <w:ind w:right="142"/>
              <w:rPr>
                <w:rFonts w:cs="Arial"/>
                <w:szCs w:val="18"/>
              </w:rPr>
            </w:pPr>
            <w:r w:rsidRPr="00263088">
              <w:rPr>
                <w:rFonts w:cs="Arial"/>
                <w:b/>
                <w:szCs w:val="18"/>
              </w:rPr>
              <w:t>Ministry of Pacific Island Affairs</w:t>
            </w:r>
          </w:p>
          <w:p w:rsidR="005065F0" w:rsidRPr="00263088" w:rsidRDefault="005065F0" w:rsidP="00FB43CA">
            <w:pPr>
              <w:pStyle w:val="TableText"/>
              <w:ind w:right="142"/>
              <w:rPr>
                <w:rFonts w:cs="Arial"/>
                <w:szCs w:val="18"/>
              </w:rPr>
            </w:pPr>
            <w:r w:rsidRPr="00263088">
              <w:rPr>
                <w:rFonts w:cs="Arial"/>
                <w:szCs w:val="18"/>
              </w:rPr>
              <w:t xml:space="preserve">The Ministry of Pacific Island Affairs liaises and communicates with </w:t>
            </w:r>
            <w:proofErr w:type="spellStart"/>
            <w:r w:rsidRPr="00263088">
              <w:rPr>
                <w:rFonts w:cs="Arial"/>
                <w:iCs/>
                <w:szCs w:val="18"/>
              </w:rPr>
              <w:t>Pasifika</w:t>
            </w:r>
            <w:proofErr w:type="spellEnd"/>
            <w:r w:rsidRPr="00263088">
              <w:rPr>
                <w:rFonts w:cs="Arial"/>
                <w:iCs/>
                <w:szCs w:val="18"/>
              </w:rPr>
              <w:t xml:space="preserve"> communities </w:t>
            </w:r>
            <w:r w:rsidRPr="00263088">
              <w:rPr>
                <w:rFonts w:cs="Arial"/>
                <w:szCs w:val="18"/>
              </w:rPr>
              <w:t xml:space="preserve">about government policies, processes and services. It aims to foster greater engagement with, and participation by, </w:t>
            </w:r>
            <w:proofErr w:type="spellStart"/>
            <w:r w:rsidRPr="00263088">
              <w:rPr>
                <w:rFonts w:cs="Arial"/>
                <w:szCs w:val="18"/>
              </w:rPr>
              <w:t>Pasifika</w:t>
            </w:r>
            <w:proofErr w:type="spellEnd"/>
            <w:r w:rsidRPr="00263088">
              <w:rPr>
                <w:rFonts w:cs="Arial"/>
                <w:szCs w:val="18"/>
              </w:rPr>
              <w:t xml:space="preserve"> peoples in government </w:t>
            </w:r>
            <w:r w:rsidR="00214ABB" w:rsidRPr="00263088">
              <w:rPr>
                <w:rFonts w:cs="Arial"/>
                <w:szCs w:val="18"/>
              </w:rPr>
              <w:t>decision-making.</w:t>
            </w:r>
          </w:p>
          <w:p w:rsidR="007B31DC" w:rsidRPr="00263088" w:rsidRDefault="008A337B" w:rsidP="007B31DC">
            <w:pPr>
              <w:pStyle w:val="TableText"/>
              <w:ind w:right="142"/>
              <w:rPr>
                <w:rFonts w:cs="Arial"/>
                <w:szCs w:val="18"/>
              </w:rPr>
            </w:pPr>
            <w:hyperlink r:id="rId88" w:history="1">
              <w:r w:rsidR="007B31DC" w:rsidRPr="00263088">
                <w:rPr>
                  <w:rStyle w:val="Hyperlink"/>
                  <w:rFonts w:ascii="Arial" w:hAnsi="Arial" w:cs="Arial"/>
                  <w:color w:val="auto"/>
                  <w:sz w:val="18"/>
                  <w:szCs w:val="18"/>
                </w:rPr>
                <w:t>www.mpia.govt.nz</w:t>
              </w:r>
            </w:hyperlink>
            <w:r w:rsidR="007B31DC"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5065F0" w:rsidRPr="00263088" w:rsidRDefault="007B31DC" w:rsidP="007B31DC">
            <w:pPr>
              <w:pStyle w:val="TableBullet"/>
            </w:pPr>
            <w:r w:rsidRPr="00263088">
              <w:rPr>
                <w:rFonts w:cs="Arial"/>
                <w:szCs w:val="18"/>
              </w:rPr>
              <w:t>Pacific Analysis Framework, with Pacific Consultation Guidelines</w:t>
            </w:r>
            <w:r w:rsidR="005065F0" w:rsidRPr="00263088">
              <w:t xml:space="preserve"> (written </w:t>
            </w:r>
            <w:r w:rsidR="00267D5F" w:rsidRPr="00263088">
              <w:t>‘</w:t>
            </w:r>
            <w:r w:rsidR="005065F0" w:rsidRPr="00263088">
              <w:t>to provide assistance to government agencies in the development of policies and programmes aimed at Pacific people</w:t>
            </w:r>
            <w:r w:rsidR="00267D5F" w:rsidRPr="00263088">
              <w:t>’</w:t>
            </w:r>
            <w:r w:rsidR="005065F0" w:rsidRPr="00263088">
              <w:t>)</w:t>
            </w:r>
            <w:r w:rsidRPr="00263088">
              <w:br/>
            </w:r>
            <w:hyperlink r:id="rId89" w:history="1">
              <w:r w:rsidRPr="00263088">
                <w:rPr>
                  <w:rStyle w:val="Hyperlink"/>
                  <w:rFonts w:ascii="Arial" w:hAnsi="Arial"/>
                  <w:color w:val="auto"/>
                  <w:sz w:val="18"/>
                </w:rPr>
                <w:t>www.mpia.govt.nz/engaging-with-pacific-communities</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E81E75" w:rsidRDefault="007B31DC" w:rsidP="00FB43CA">
            <w:pPr>
              <w:pStyle w:val="TableText"/>
              <w:ind w:right="142"/>
              <w:rPr>
                <w:rFonts w:cs="Arial"/>
                <w:szCs w:val="18"/>
              </w:rPr>
            </w:pPr>
            <w:r w:rsidRPr="00E81E75">
              <w:rPr>
                <w:rFonts w:cs="Arial"/>
                <w:b/>
                <w:szCs w:val="18"/>
              </w:rPr>
              <w:t>Ministry of Social Development</w:t>
            </w:r>
          </w:p>
          <w:p w:rsidR="007B31DC" w:rsidRPr="00E81E75" w:rsidRDefault="005065F0" w:rsidP="00FB43CA">
            <w:pPr>
              <w:pStyle w:val="TableText"/>
              <w:ind w:right="142"/>
              <w:rPr>
                <w:rFonts w:cs="Arial"/>
                <w:szCs w:val="18"/>
              </w:rPr>
            </w:pPr>
            <w:r w:rsidRPr="00E81E75">
              <w:rPr>
                <w:rFonts w:cs="Arial"/>
                <w:szCs w:val="18"/>
              </w:rPr>
              <w:t>The Ministry of Social Development (MSD) runs a range of services to support people with disabilities</w:t>
            </w:r>
            <w:r w:rsidR="007B31DC" w:rsidRPr="00E81E75">
              <w:rPr>
                <w:rFonts w:cs="Arial"/>
                <w:szCs w:val="18"/>
              </w:rPr>
              <w:t xml:space="preserve"> through:</w:t>
            </w:r>
            <w:r w:rsidRPr="00E81E75">
              <w:rPr>
                <w:rFonts w:cs="Arial"/>
                <w:szCs w:val="18"/>
              </w:rPr>
              <w:t xml:space="preserve"> </w:t>
            </w:r>
          </w:p>
          <w:p w:rsidR="007B31DC" w:rsidRPr="00E81E75" w:rsidRDefault="007B31DC" w:rsidP="007B31DC">
            <w:pPr>
              <w:pStyle w:val="TableText"/>
              <w:numPr>
                <w:ilvl w:val="0"/>
                <w:numId w:val="20"/>
              </w:numPr>
              <w:ind w:left="312" w:right="142" w:hanging="284"/>
              <w:rPr>
                <w:rFonts w:cs="Arial"/>
                <w:szCs w:val="18"/>
              </w:rPr>
            </w:pPr>
            <w:r w:rsidRPr="00E81E75">
              <w:rPr>
                <w:rFonts w:cs="Arial"/>
                <w:szCs w:val="18"/>
              </w:rPr>
              <w:t>Community Investment</w:t>
            </w:r>
            <w:r w:rsidR="005065F0" w:rsidRPr="00E81E75">
              <w:rPr>
                <w:rFonts w:cs="Arial"/>
                <w:szCs w:val="18"/>
              </w:rPr>
              <w:t xml:space="preserve"> </w:t>
            </w:r>
            <w:hyperlink r:id="rId90" w:history="1">
              <w:r w:rsidR="00113FFF" w:rsidRPr="00E81E75">
                <w:rPr>
                  <w:rStyle w:val="Hyperlink"/>
                  <w:rFonts w:ascii="Arial" w:hAnsi="Arial" w:cs="Arial"/>
                  <w:color w:val="auto"/>
                  <w:sz w:val="18"/>
                  <w:szCs w:val="18"/>
                </w:rPr>
                <w:t>www.familyservices.govt.nz</w:t>
              </w:r>
            </w:hyperlink>
            <w:r w:rsidRPr="00E81E75">
              <w:rPr>
                <w:rFonts w:cs="Arial"/>
                <w:szCs w:val="18"/>
              </w:rPr>
              <w:t xml:space="preserve"> </w:t>
            </w:r>
          </w:p>
          <w:p w:rsidR="007B31DC" w:rsidRPr="00E81E75" w:rsidRDefault="007B31DC" w:rsidP="007B31DC">
            <w:pPr>
              <w:pStyle w:val="TableText"/>
              <w:numPr>
                <w:ilvl w:val="0"/>
                <w:numId w:val="20"/>
              </w:numPr>
              <w:ind w:left="312" w:right="142" w:hanging="284"/>
              <w:rPr>
                <w:rFonts w:cs="Arial"/>
                <w:szCs w:val="18"/>
              </w:rPr>
            </w:pPr>
            <w:r w:rsidRPr="00E81E75">
              <w:rPr>
                <w:rFonts w:cs="Arial"/>
                <w:bCs/>
                <w:iCs/>
                <w:szCs w:val="18"/>
              </w:rPr>
              <w:t>Community</w:t>
            </w:r>
            <w:r w:rsidRPr="00E81E75">
              <w:rPr>
                <w:rFonts w:cs="Arial"/>
                <w:szCs w:val="18"/>
              </w:rPr>
              <w:t xml:space="preserve"> Link</w:t>
            </w:r>
            <w:r w:rsidRPr="00E81E75">
              <w:rPr>
                <w:rFonts w:cs="Arial"/>
                <w:szCs w:val="18"/>
              </w:rPr>
              <w:br/>
            </w:r>
            <w:hyperlink r:id="rId91" w:history="1">
              <w:r w:rsidRPr="00E81E75">
                <w:rPr>
                  <w:rStyle w:val="Hyperlink"/>
                  <w:rFonts w:ascii="Arial" w:hAnsi="Arial" w:cs="Arial"/>
                  <w:color w:val="auto"/>
                  <w:sz w:val="18"/>
                  <w:szCs w:val="18"/>
                </w:rPr>
                <w:t>www.msd.govt.nz/what-we-can-do/community/community-link</w:t>
              </w:r>
            </w:hyperlink>
            <w:r w:rsidRPr="00E81E75">
              <w:rPr>
                <w:rFonts w:cs="Arial"/>
                <w:szCs w:val="18"/>
              </w:rPr>
              <w:t xml:space="preserve"> </w:t>
            </w:r>
          </w:p>
          <w:p w:rsidR="007B31DC" w:rsidRPr="00E81E75" w:rsidRDefault="007B31DC" w:rsidP="007B31DC">
            <w:pPr>
              <w:pStyle w:val="TableText"/>
              <w:numPr>
                <w:ilvl w:val="0"/>
                <w:numId w:val="20"/>
              </w:numPr>
              <w:ind w:left="312" w:right="142" w:hanging="284"/>
              <w:rPr>
                <w:rFonts w:cs="Arial"/>
                <w:szCs w:val="18"/>
              </w:rPr>
            </w:pPr>
            <w:r w:rsidRPr="00E81E75">
              <w:rPr>
                <w:rFonts w:cs="Arial"/>
                <w:szCs w:val="18"/>
              </w:rPr>
              <w:t>Work and Income</w:t>
            </w:r>
            <w:r w:rsidRPr="00E81E75">
              <w:rPr>
                <w:rFonts w:cs="Arial"/>
                <w:szCs w:val="18"/>
              </w:rPr>
              <w:br/>
            </w:r>
            <w:hyperlink r:id="rId92" w:history="1">
              <w:r w:rsidRPr="00E81E75">
                <w:rPr>
                  <w:rStyle w:val="Hyperlink"/>
                  <w:rFonts w:ascii="Arial" w:hAnsi="Arial" w:cs="Arial"/>
                  <w:color w:val="auto"/>
                  <w:sz w:val="18"/>
                  <w:szCs w:val="18"/>
                </w:rPr>
                <w:t>www.workandincome.govt.nz</w:t>
              </w:r>
            </w:hyperlink>
            <w:r w:rsidRPr="00E81E75">
              <w:rPr>
                <w:rFonts w:cs="Arial"/>
                <w:szCs w:val="18"/>
              </w:rPr>
              <w:t xml:space="preserve"> </w:t>
            </w:r>
          </w:p>
          <w:p w:rsidR="001F07DE" w:rsidRPr="00E81E75" w:rsidRDefault="001F07DE" w:rsidP="007B31DC">
            <w:pPr>
              <w:pStyle w:val="TableText"/>
              <w:ind w:left="28" w:right="142"/>
              <w:rPr>
                <w:rFonts w:cs="Arial"/>
                <w:szCs w:val="18"/>
              </w:rPr>
            </w:pPr>
          </w:p>
          <w:p w:rsidR="007B31DC" w:rsidRPr="00E81E75" w:rsidRDefault="007B31DC" w:rsidP="007B31DC">
            <w:pPr>
              <w:pStyle w:val="TableText"/>
              <w:ind w:right="142"/>
              <w:rPr>
                <w:rFonts w:cs="Arial"/>
                <w:szCs w:val="18"/>
              </w:rPr>
            </w:pPr>
            <w:r w:rsidRPr="00E81E75">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E81E75" w:rsidRDefault="005065F0" w:rsidP="00216E8D">
            <w:pPr>
              <w:pStyle w:val="TableBullet"/>
            </w:pPr>
            <w:r w:rsidRPr="00E81E75">
              <w:rPr>
                <w:rStyle w:val="Hyperlink"/>
                <w:rFonts w:ascii="Arial" w:hAnsi="Arial" w:cs="Arial"/>
                <w:color w:val="auto"/>
                <w:sz w:val="18"/>
                <w:szCs w:val="18"/>
                <w:lang w:val="en"/>
              </w:rPr>
              <w:t>Think</w:t>
            </w:r>
            <w:r w:rsidRPr="00E81E75">
              <w:t xml:space="preserve"> </w:t>
            </w:r>
            <w:proofErr w:type="gramStart"/>
            <w:r w:rsidRPr="00E81E75">
              <w:t>Differently</w:t>
            </w:r>
            <w:proofErr w:type="gramEnd"/>
            <w:r w:rsidRPr="00E81E75">
              <w:t xml:space="preserve"> is a social change campaign to encourage and support a fundamental shift in attitudes and behaviour towards disabled people. It</w:t>
            </w:r>
            <w:r w:rsidR="00267D5F" w:rsidRPr="00E81E75">
              <w:t>’</w:t>
            </w:r>
            <w:r w:rsidRPr="00E81E75">
              <w:t>s about maximising opportunities and focusing on what people can do rather than what they can</w:t>
            </w:r>
            <w:r w:rsidR="00267D5F" w:rsidRPr="00E81E75">
              <w:t>’</w:t>
            </w:r>
            <w:r w:rsidRPr="00E81E75">
              <w:t>t</w:t>
            </w:r>
            <w:r w:rsidR="00267D5F" w:rsidRPr="00E81E75">
              <w:t>’</w:t>
            </w:r>
            <w:r w:rsidRPr="00E81E75">
              <w:t xml:space="preserve">. The campaign is led in partnership with the Office for Disability Issues. </w:t>
            </w:r>
            <w:r w:rsidR="00513CDB" w:rsidRPr="00E81E75">
              <w:br/>
            </w:r>
            <w:hyperlink r:id="rId93" w:history="1">
              <w:r w:rsidR="00513CDB" w:rsidRPr="00E81E75">
                <w:rPr>
                  <w:rStyle w:val="Hyperlink"/>
                  <w:rFonts w:ascii="Arial" w:hAnsi="Arial"/>
                  <w:color w:val="auto"/>
                  <w:sz w:val="18"/>
                </w:rPr>
                <w:t>www.thinkdifferently.org.nz</w:t>
              </w:r>
            </w:hyperlink>
            <w:r w:rsidR="00513CDB" w:rsidRPr="00E81E75">
              <w:t xml:space="preserve"> </w:t>
            </w:r>
            <w:r w:rsidR="00513CDB" w:rsidRPr="00E81E75">
              <w:br/>
            </w:r>
            <w:r w:rsidRPr="00E81E75">
              <w:t xml:space="preserve">Think Differently produces a </w:t>
            </w:r>
            <w:r w:rsidR="00513CDB" w:rsidRPr="00E81E75">
              <w:rPr>
                <w:rFonts w:cs="Arial"/>
                <w:szCs w:val="18"/>
              </w:rPr>
              <w:t>Social Change Toolkit</w:t>
            </w:r>
            <w:r w:rsidRPr="00E81E75">
              <w:t xml:space="preserve"> with a range of useful resources, templates and tips.</w:t>
            </w:r>
            <w:r w:rsidR="00513CDB" w:rsidRPr="00E81E75">
              <w:br/>
            </w:r>
            <w:hyperlink r:id="rId94" w:history="1">
              <w:r w:rsidR="00513CDB" w:rsidRPr="00E81E75">
                <w:rPr>
                  <w:rStyle w:val="Hyperlink"/>
                  <w:rFonts w:ascii="Arial" w:hAnsi="Arial"/>
                  <w:color w:val="auto"/>
                  <w:sz w:val="18"/>
                </w:rPr>
                <w:t>socialchangetoolkit.org.nz</w:t>
              </w:r>
            </w:hyperlink>
            <w:r w:rsidR="00513CDB" w:rsidRPr="00E81E75">
              <w:t xml:space="preserve"> </w:t>
            </w:r>
          </w:p>
          <w:p w:rsidR="005065F0" w:rsidRPr="00E81E75" w:rsidRDefault="005065F0" w:rsidP="003A071C">
            <w:pPr>
              <w:pStyle w:val="TableBullet"/>
              <w:numPr>
                <w:ilvl w:val="0"/>
                <w:numId w:val="0"/>
              </w:numPr>
              <w:ind w:left="284"/>
            </w:pPr>
          </w:p>
        </w:tc>
      </w:tr>
      <w:tr w:rsidR="00314DDF"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314DDF" w:rsidRPr="00E81E75" w:rsidRDefault="00314DDF" w:rsidP="00FB43CA">
            <w:pPr>
              <w:pStyle w:val="TableText"/>
              <w:ind w:right="142"/>
              <w:rPr>
                <w:rFonts w:cs="Arial"/>
                <w:szCs w:val="18"/>
              </w:rPr>
            </w:pPr>
            <w:r w:rsidRPr="00E81E75">
              <w:rPr>
                <w:rFonts w:cs="Arial"/>
                <w:b/>
                <w:szCs w:val="18"/>
              </w:rPr>
              <w:t>Ministry of Vulnerable Children</w:t>
            </w:r>
          </w:p>
          <w:p w:rsidR="00314DDF" w:rsidRPr="00E81E75" w:rsidRDefault="00314DDF" w:rsidP="00314DDF">
            <w:pPr>
              <w:pStyle w:val="TableText"/>
              <w:ind w:right="142"/>
              <w:rPr>
                <w:rFonts w:cs="Arial"/>
                <w:szCs w:val="18"/>
              </w:rPr>
            </w:pPr>
            <w:r w:rsidRPr="00E81E75">
              <w:rPr>
                <w:rFonts w:cs="Arial"/>
                <w:szCs w:val="18"/>
              </w:rPr>
              <w:t xml:space="preserve">This new Ministry came into existence on 1 April 2017. It brings a whole of sector child-centred approach to working with vulnerable children and young people. </w:t>
            </w:r>
            <w:r w:rsidRPr="00E81E75">
              <w:rPr>
                <w:lang w:val="en"/>
              </w:rPr>
              <w:t>It establishes the new Ministry as a single point of accountability which will ensure that government agencies work together to provide coherent and complete services to these children, young people and their families.</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314DDF" w:rsidRPr="00E81E75" w:rsidRDefault="00314DDF" w:rsidP="00216E8D">
            <w:pPr>
              <w:pStyle w:val="TableBullet"/>
              <w:rPr>
                <w:rStyle w:val="Hyperlink"/>
                <w:rFonts w:ascii="Arial" w:hAnsi="Arial" w:cs="Arial"/>
                <w:color w:val="auto"/>
                <w:sz w:val="18"/>
                <w:szCs w:val="18"/>
                <w:lang w:val="en"/>
              </w:rPr>
            </w:pPr>
            <w:r w:rsidRPr="00E81E75">
              <w:rPr>
                <w:rFonts w:cs="Arial"/>
                <w:i/>
                <w:szCs w:val="18"/>
                <w:lang w:val="en"/>
              </w:rPr>
              <w:t>‘If you are worried’</w:t>
            </w:r>
            <w:r w:rsidRPr="00E81E75">
              <w:rPr>
                <w:rStyle w:val="Hyperlink"/>
                <w:rFonts w:ascii="Arial" w:hAnsi="Arial" w:cs="Arial"/>
                <w:i/>
                <w:color w:val="auto"/>
                <w:sz w:val="18"/>
                <w:szCs w:val="18"/>
                <w:lang w:val="en"/>
              </w:rPr>
              <w:br/>
            </w:r>
            <w:hyperlink r:id="rId95" w:history="1">
              <w:r w:rsidRPr="00E81E75">
                <w:rPr>
                  <w:rStyle w:val="Hyperlink"/>
                  <w:rFonts w:ascii="Arial" w:hAnsi="Arial"/>
                  <w:color w:val="auto"/>
                  <w:sz w:val="18"/>
                </w:rPr>
                <w:t>www.cyf.govt.nz/keeping-kids-safe/if-you-are-worried</w:t>
              </w:r>
            </w:hyperlink>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216E8D" w:rsidP="00FB43CA">
            <w:pPr>
              <w:pStyle w:val="TableText"/>
              <w:ind w:right="142"/>
              <w:rPr>
                <w:rFonts w:cs="Arial"/>
                <w:szCs w:val="18"/>
              </w:rPr>
            </w:pPr>
            <w:r w:rsidRPr="00263088">
              <w:rPr>
                <w:rFonts w:cs="Arial"/>
                <w:b/>
                <w:szCs w:val="18"/>
              </w:rPr>
              <w:lastRenderedPageBreak/>
              <w:t>New Zealand Police</w:t>
            </w:r>
          </w:p>
          <w:p w:rsidR="005065F0" w:rsidRPr="00263088" w:rsidRDefault="005065F0" w:rsidP="00FB43CA">
            <w:pPr>
              <w:pStyle w:val="TableText"/>
              <w:ind w:right="142"/>
              <w:rPr>
                <w:rFonts w:cs="Arial"/>
                <w:szCs w:val="18"/>
              </w:rPr>
            </w:pPr>
            <w:r w:rsidRPr="00263088">
              <w:rPr>
                <w:rFonts w:cs="Arial"/>
                <w:szCs w:val="18"/>
              </w:rPr>
              <w:t>The Police are responsible for protecting public safety and maintaining law an</w:t>
            </w:r>
            <w:r w:rsidR="006F48CC" w:rsidRPr="00263088">
              <w:rPr>
                <w:rFonts w:cs="Arial"/>
                <w:szCs w:val="18"/>
              </w:rPr>
              <w:t>d order.</w:t>
            </w:r>
          </w:p>
          <w:p w:rsidR="00513CDB" w:rsidRPr="00263088" w:rsidRDefault="008A337B" w:rsidP="00FB43CA">
            <w:pPr>
              <w:pStyle w:val="TableText"/>
              <w:ind w:right="142"/>
              <w:rPr>
                <w:rFonts w:cs="Arial"/>
                <w:szCs w:val="18"/>
              </w:rPr>
            </w:pPr>
            <w:hyperlink r:id="rId96" w:history="1">
              <w:r w:rsidR="00513CDB" w:rsidRPr="00263088">
                <w:rPr>
                  <w:rStyle w:val="Hyperlink"/>
                  <w:rFonts w:ascii="Arial" w:hAnsi="Arial" w:cs="Arial"/>
                  <w:color w:val="auto"/>
                  <w:sz w:val="18"/>
                  <w:szCs w:val="18"/>
                </w:rPr>
                <w:t>www.police.govt.nz</w:t>
              </w:r>
            </w:hyperlink>
            <w:r w:rsidR="00513CDB"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B83D42" w:rsidP="006F48CC">
            <w:pPr>
              <w:pStyle w:val="TableBullet"/>
              <w:spacing w:before="60"/>
            </w:pPr>
            <w:r w:rsidRPr="00263088">
              <w:rPr>
                <w:rFonts w:cs="Arial"/>
                <w:szCs w:val="18"/>
              </w:rPr>
              <w:t>How to report a crime</w:t>
            </w:r>
            <w:r w:rsidRPr="00263088">
              <w:rPr>
                <w:rStyle w:val="Hyperlink"/>
                <w:rFonts w:ascii="Arial" w:hAnsi="Arial" w:cs="Arial"/>
                <w:color w:val="auto"/>
                <w:sz w:val="18"/>
                <w:szCs w:val="18"/>
              </w:rPr>
              <w:br/>
            </w:r>
            <w:hyperlink r:id="rId97" w:history="1">
              <w:r w:rsidRPr="00263088">
                <w:rPr>
                  <w:rStyle w:val="Hyperlink"/>
                  <w:rFonts w:ascii="Arial" w:hAnsi="Arial"/>
                  <w:color w:val="auto"/>
                  <w:sz w:val="18"/>
                </w:rPr>
                <w:t>www.police.govt.nz/contact-us/how-report-crime</w:t>
              </w:r>
            </w:hyperlink>
          </w:p>
          <w:p w:rsidR="005065F0" w:rsidRPr="00263088" w:rsidRDefault="00B83D42" w:rsidP="00B83D42">
            <w:pPr>
              <w:pStyle w:val="TableBullet"/>
            </w:pPr>
            <w:r w:rsidRPr="00263088">
              <w:rPr>
                <w:rFonts w:cs="Arial"/>
                <w:szCs w:val="18"/>
              </w:rPr>
              <w:t>‘I suspect a child is being abused. What should I do?’</w:t>
            </w:r>
            <w:r w:rsidRPr="00263088">
              <w:rPr>
                <w:rStyle w:val="Hyperlink"/>
                <w:rFonts w:ascii="Arial" w:hAnsi="Arial" w:cs="Arial"/>
                <w:color w:val="auto"/>
                <w:sz w:val="18"/>
                <w:szCs w:val="18"/>
              </w:rPr>
              <w:br/>
            </w:r>
            <w:hyperlink r:id="rId98" w:history="1">
              <w:r w:rsidRPr="00263088">
                <w:rPr>
                  <w:rStyle w:val="Hyperlink"/>
                  <w:rFonts w:ascii="Arial" w:hAnsi="Arial"/>
                  <w:color w:val="auto"/>
                  <w:sz w:val="18"/>
                </w:rPr>
                <w:t>www.police.govt.nz/faq/i-suspect-a-child-is-being-abused-what-should-i-do</w:t>
              </w:r>
            </w:hyperlink>
            <w:r w:rsidRPr="00263088">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267D5F" w:rsidRPr="00263088" w:rsidRDefault="00DA3F06" w:rsidP="00FB43CA">
            <w:pPr>
              <w:pStyle w:val="TableText"/>
              <w:ind w:right="142"/>
              <w:rPr>
                <w:rFonts w:cs="Arial"/>
                <w:szCs w:val="18"/>
              </w:rPr>
            </w:pPr>
            <w:r w:rsidRPr="00263088">
              <w:rPr>
                <w:rFonts w:cs="Arial"/>
                <w:b/>
                <w:szCs w:val="18"/>
              </w:rPr>
              <w:t>Office for Disability Issues</w:t>
            </w:r>
          </w:p>
          <w:p w:rsidR="00267D5F" w:rsidRPr="00263088" w:rsidRDefault="005065F0" w:rsidP="00FB43CA">
            <w:pPr>
              <w:pStyle w:val="TableText"/>
              <w:ind w:right="142"/>
              <w:rPr>
                <w:rFonts w:cs="Arial"/>
                <w:szCs w:val="18"/>
              </w:rPr>
            </w:pPr>
            <w:r w:rsidRPr="00263088">
              <w:rPr>
                <w:rFonts w:cs="Arial"/>
                <w:szCs w:val="18"/>
              </w:rPr>
              <w:t>The Office for Disability Issues (ODI) is a strategic and whole-of-government focused policy group, located within the MSD.</w:t>
            </w:r>
          </w:p>
          <w:p w:rsidR="001F07DE" w:rsidRPr="00263088" w:rsidRDefault="005065F0" w:rsidP="00216E8D">
            <w:pPr>
              <w:pStyle w:val="TableText"/>
              <w:ind w:right="142"/>
              <w:rPr>
                <w:rFonts w:cs="Arial"/>
                <w:szCs w:val="18"/>
              </w:rPr>
            </w:pPr>
            <w:r w:rsidRPr="00263088">
              <w:rPr>
                <w:rFonts w:cs="Arial"/>
                <w:szCs w:val="18"/>
              </w:rPr>
              <w:t>It promotes and monitors the implementation of</w:t>
            </w:r>
            <w:r w:rsidR="00216E8D" w:rsidRPr="00263088">
              <w:rPr>
                <w:rFonts w:cs="Arial"/>
                <w:szCs w:val="18"/>
              </w:rPr>
              <w:t xml:space="preserve"> </w:t>
            </w:r>
            <w:r w:rsidRPr="00263088">
              <w:rPr>
                <w:rFonts w:cs="Arial"/>
                <w:szCs w:val="18"/>
              </w:rPr>
              <w:t xml:space="preserve">the </w:t>
            </w:r>
            <w:r w:rsidR="00216E8D" w:rsidRPr="00263088">
              <w:rPr>
                <w:rFonts w:cs="Arial"/>
                <w:szCs w:val="18"/>
              </w:rPr>
              <w:t>New Zealand Disability Strategy</w:t>
            </w:r>
            <w:r w:rsidRPr="00263088">
              <w:rPr>
                <w:rFonts w:cs="Arial"/>
                <w:iCs/>
                <w:szCs w:val="18"/>
              </w:rPr>
              <w:t xml:space="preserve"> </w:t>
            </w:r>
            <w:r w:rsidR="00216E8D" w:rsidRPr="00263088">
              <w:rPr>
                <w:rFonts w:cs="Arial"/>
                <w:iCs/>
                <w:szCs w:val="18"/>
              </w:rPr>
              <w:t xml:space="preserve">and </w:t>
            </w:r>
            <w:r w:rsidRPr="00263088">
              <w:rPr>
                <w:rFonts w:cs="Arial"/>
                <w:szCs w:val="18"/>
              </w:rPr>
              <w:t xml:space="preserve">the </w:t>
            </w:r>
            <w:r w:rsidR="00216E8D" w:rsidRPr="00263088">
              <w:rPr>
                <w:rFonts w:cs="Arial"/>
                <w:bCs/>
                <w:iCs/>
                <w:szCs w:val="18"/>
              </w:rPr>
              <w:t>United Nations Convention</w:t>
            </w:r>
            <w:r w:rsidR="00216E8D" w:rsidRPr="00263088">
              <w:rPr>
                <w:rFonts w:cs="Arial"/>
                <w:b/>
                <w:bCs/>
                <w:iCs/>
                <w:szCs w:val="18"/>
              </w:rPr>
              <w:t xml:space="preserve"> </w:t>
            </w:r>
            <w:r w:rsidR="00216E8D" w:rsidRPr="00263088">
              <w:rPr>
                <w:rFonts w:cs="Arial"/>
                <w:bCs/>
                <w:iCs/>
                <w:szCs w:val="18"/>
              </w:rPr>
              <w:t xml:space="preserve">on the Rights of </w:t>
            </w:r>
            <w:r w:rsidR="00216E8D" w:rsidRPr="00263088">
              <w:rPr>
                <w:rFonts w:cs="Arial"/>
                <w:szCs w:val="18"/>
              </w:rPr>
              <w:t>Persons</w:t>
            </w:r>
            <w:r w:rsidR="00216E8D" w:rsidRPr="00263088">
              <w:rPr>
                <w:rFonts w:cs="Arial"/>
                <w:bCs/>
                <w:iCs/>
                <w:szCs w:val="18"/>
              </w:rPr>
              <w:t xml:space="preserve"> with Disabilities</w:t>
            </w:r>
            <w:r w:rsidRPr="00263088">
              <w:rPr>
                <w:rFonts w:cs="Arial"/>
                <w:iCs/>
                <w:szCs w:val="18"/>
              </w:rPr>
              <w:t>.</w:t>
            </w:r>
            <w:r w:rsidRPr="00263088">
              <w:rPr>
                <w:rFonts w:cs="Arial"/>
                <w:szCs w:val="18"/>
              </w:rPr>
              <w:t xml:space="preserve"> It also works in partnership with the MSD to lead the </w:t>
            </w:r>
            <w:r w:rsidRPr="00263088">
              <w:rPr>
                <w:rFonts w:cs="Arial"/>
                <w:iCs/>
                <w:szCs w:val="18"/>
              </w:rPr>
              <w:t xml:space="preserve">Think </w:t>
            </w:r>
            <w:r w:rsidRPr="00263088">
              <w:rPr>
                <w:rFonts w:cs="Arial"/>
                <w:szCs w:val="18"/>
              </w:rPr>
              <w:t>Differently campaign (see the MSD resource list above).</w:t>
            </w:r>
          </w:p>
          <w:p w:rsidR="005065F0" w:rsidRPr="00263088" w:rsidRDefault="005065F0" w:rsidP="00FB43CA">
            <w:pPr>
              <w:pStyle w:val="TableText"/>
              <w:ind w:right="142"/>
              <w:rPr>
                <w:rFonts w:cs="Arial"/>
                <w:szCs w:val="18"/>
              </w:rPr>
            </w:pPr>
            <w:r w:rsidRPr="00263088">
              <w:rPr>
                <w:rFonts w:cs="Arial"/>
                <w:szCs w:val="18"/>
              </w:rPr>
              <w:t>The ODI</w:t>
            </w:r>
            <w:r w:rsidR="00267D5F" w:rsidRPr="00263088">
              <w:rPr>
                <w:rFonts w:cs="Arial"/>
                <w:szCs w:val="18"/>
              </w:rPr>
              <w:t>’</w:t>
            </w:r>
            <w:r w:rsidRPr="00263088">
              <w:rPr>
                <w:rFonts w:cs="Arial"/>
                <w:szCs w:val="18"/>
              </w:rPr>
              <w:t xml:space="preserve">s website publishes helpful access guides and </w:t>
            </w:r>
            <w:r w:rsidR="00214ABB" w:rsidRPr="00263088">
              <w:rPr>
                <w:rFonts w:cs="Arial"/>
                <w:szCs w:val="18"/>
              </w:rPr>
              <w:t>toolkits to inclusive practice.</w:t>
            </w:r>
          </w:p>
          <w:p w:rsidR="00B83D42" w:rsidRPr="00263088" w:rsidRDefault="008A337B" w:rsidP="00FB43CA">
            <w:pPr>
              <w:pStyle w:val="TableText"/>
              <w:ind w:right="142"/>
              <w:rPr>
                <w:rFonts w:cs="Arial"/>
                <w:szCs w:val="18"/>
              </w:rPr>
            </w:pPr>
            <w:hyperlink r:id="rId99" w:history="1">
              <w:r w:rsidR="00B83D42" w:rsidRPr="00263088">
                <w:rPr>
                  <w:rStyle w:val="Hyperlink"/>
                  <w:rFonts w:ascii="Arial" w:hAnsi="Arial" w:cs="Arial"/>
                  <w:color w:val="auto"/>
                  <w:sz w:val="18"/>
                  <w:szCs w:val="18"/>
                </w:rPr>
                <w:t>www.odi.govt.nz</w:t>
              </w:r>
            </w:hyperlink>
            <w:r w:rsidR="00B83D42"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1F07DE" w:rsidRPr="00263088" w:rsidRDefault="00B83D42" w:rsidP="00216E8D">
            <w:pPr>
              <w:pStyle w:val="TableBullet"/>
            </w:pPr>
            <w:r w:rsidRPr="00263088">
              <w:rPr>
                <w:rFonts w:cs="Arial"/>
                <w:szCs w:val="18"/>
              </w:rPr>
              <w:t>New Zealand Disability Strategy</w:t>
            </w:r>
            <w:r w:rsidRPr="00263088">
              <w:rPr>
                <w:rStyle w:val="Hyperlink"/>
                <w:rFonts w:ascii="Arial" w:hAnsi="Arial" w:cs="Arial"/>
                <w:color w:val="auto"/>
                <w:sz w:val="18"/>
                <w:szCs w:val="18"/>
              </w:rPr>
              <w:br/>
            </w:r>
            <w:hyperlink r:id="rId100" w:history="1">
              <w:r w:rsidRPr="00263088">
                <w:rPr>
                  <w:rStyle w:val="Hyperlink"/>
                  <w:rFonts w:ascii="Arial" w:hAnsi="Arial"/>
                  <w:color w:val="auto"/>
                  <w:sz w:val="18"/>
                </w:rPr>
                <w:t>www.odi.govt.nz/nzds</w:t>
              </w:r>
            </w:hyperlink>
            <w:r w:rsidRPr="00263088">
              <w:t xml:space="preserve"> </w:t>
            </w:r>
          </w:p>
          <w:p w:rsidR="001F07DE" w:rsidRPr="00263088" w:rsidRDefault="00B83D42" w:rsidP="00216E8D">
            <w:pPr>
              <w:pStyle w:val="TableBullet"/>
            </w:pPr>
            <w:r w:rsidRPr="00263088">
              <w:rPr>
                <w:rFonts w:cs="Arial"/>
                <w:szCs w:val="18"/>
              </w:rPr>
              <w:t>Key points on running an accessible meeting</w:t>
            </w:r>
            <w:r w:rsidRPr="00263088">
              <w:rPr>
                <w:rStyle w:val="Hyperlink"/>
                <w:rFonts w:ascii="Arial" w:hAnsi="Arial" w:cs="Arial"/>
                <w:color w:val="auto"/>
                <w:sz w:val="18"/>
                <w:szCs w:val="18"/>
              </w:rPr>
              <w:br/>
            </w:r>
            <w:hyperlink r:id="rId101" w:history="1">
              <w:r w:rsidRPr="00263088">
                <w:rPr>
                  <w:rStyle w:val="Hyperlink"/>
                  <w:rFonts w:ascii="Arial" w:hAnsi="Arial"/>
                  <w:color w:val="auto"/>
                  <w:sz w:val="18"/>
                </w:rPr>
                <w:t>www.odi.govt.nz/resources/guides-and-toolkits/disability-perspective/resources/running-accessible-meeting.html</w:t>
              </w:r>
            </w:hyperlink>
            <w:r w:rsidRPr="00263088">
              <w:t xml:space="preserve"> </w:t>
            </w:r>
          </w:p>
          <w:p w:rsidR="005065F0" w:rsidRPr="00263088" w:rsidRDefault="00B83D42" w:rsidP="00216E8D">
            <w:pPr>
              <w:pStyle w:val="TableBullet"/>
            </w:pPr>
            <w:r w:rsidRPr="00263088">
              <w:t>Effective communication with deaf people: A guide to working with New Zealand Sign Language interpreters</w:t>
            </w:r>
            <w:r w:rsidRPr="00263088">
              <w:rPr>
                <w:rStyle w:val="Hyperlink"/>
                <w:rFonts w:ascii="Arial" w:hAnsi="Arial" w:cs="Arial"/>
                <w:i/>
                <w:color w:val="auto"/>
                <w:sz w:val="18"/>
                <w:szCs w:val="18"/>
              </w:rPr>
              <w:br/>
            </w:r>
            <w:hyperlink r:id="rId102" w:history="1">
              <w:r w:rsidRPr="00263088">
                <w:rPr>
                  <w:rStyle w:val="Hyperlink"/>
                  <w:rFonts w:ascii="Arial" w:hAnsi="Arial"/>
                  <w:color w:val="auto"/>
                  <w:sz w:val="18"/>
                </w:rPr>
                <w:t>www.odi.govt.nz/resources/guides-and-toolkits/working-with-nzsl-interpreters/index.html</w:t>
              </w:r>
            </w:hyperlink>
            <w:r w:rsidRPr="00263088">
              <w:t xml:space="preserve"> </w:t>
            </w:r>
          </w:p>
          <w:p w:rsidR="00216E8D" w:rsidRPr="00263088" w:rsidRDefault="00216E8D" w:rsidP="00216E8D">
            <w:pPr>
              <w:pStyle w:val="TableBullet"/>
            </w:pPr>
            <w:r w:rsidRPr="00263088">
              <w:rPr>
                <w:rFonts w:cs="Arial"/>
                <w:szCs w:val="18"/>
              </w:rPr>
              <w:t xml:space="preserve">The </w:t>
            </w:r>
            <w:r w:rsidRPr="00263088">
              <w:rPr>
                <w:rFonts w:cs="Arial"/>
                <w:bCs/>
                <w:iCs/>
                <w:szCs w:val="18"/>
              </w:rPr>
              <w:t>United Nations Convention</w:t>
            </w:r>
            <w:r w:rsidRPr="00263088">
              <w:rPr>
                <w:rFonts w:cs="Arial"/>
                <w:b/>
                <w:bCs/>
                <w:iCs/>
                <w:szCs w:val="18"/>
              </w:rPr>
              <w:t xml:space="preserve"> </w:t>
            </w:r>
            <w:r w:rsidRPr="00263088">
              <w:rPr>
                <w:rFonts w:cs="Arial"/>
                <w:bCs/>
                <w:iCs/>
                <w:szCs w:val="18"/>
              </w:rPr>
              <w:t xml:space="preserve">on the Rights of </w:t>
            </w:r>
            <w:r w:rsidRPr="00263088">
              <w:rPr>
                <w:rFonts w:cs="Arial"/>
                <w:szCs w:val="18"/>
              </w:rPr>
              <w:t>Persons</w:t>
            </w:r>
            <w:r w:rsidRPr="00263088">
              <w:rPr>
                <w:rFonts w:cs="Arial"/>
                <w:bCs/>
                <w:iCs/>
                <w:szCs w:val="18"/>
              </w:rPr>
              <w:t xml:space="preserve"> with Disabilities</w:t>
            </w:r>
            <w:r w:rsidRPr="00263088">
              <w:rPr>
                <w:rFonts w:cs="Arial"/>
                <w:iCs/>
                <w:szCs w:val="18"/>
              </w:rPr>
              <w:br/>
            </w:r>
            <w:hyperlink r:id="rId103" w:history="1">
              <w:r w:rsidRPr="00263088">
                <w:rPr>
                  <w:rStyle w:val="Hyperlink"/>
                  <w:rFonts w:ascii="Arial" w:hAnsi="Arial" w:cs="Arial"/>
                  <w:color w:val="auto"/>
                  <w:sz w:val="18"/>
                  <w:szCs w:val="18"/>
                </w:rPr>
                <w:t>www.un.org/disabilities/convention/conventionfull.shtml</w:t>
              </w:r>
            </w:hyperlink>
            <w:r w:rsidRPr="00263088">
              <w:rPr>
                <w:rFonts w:cs="Arial"/>
                <w:szCs w:val="18"/>
              </w:rPr>
              <w:t xml:space="preserve"> </w:t>
            </w:r>
          </w:p>
        </w:tc>
      </w:tr>
      <w:tr w:rsidR="005065F0" w:rsidRPr="00263088" w:rsidTr="00216E8D">
        <w:trPr>
          <w:cantSplit/>
        </w:trPr>
        <w:tc>
          <w:tcPr>
            <w:tcW w:w="4479" w:type="dxa"/>
            <w:tcBorders>
              <w:top w:val="single" w:sz="4" w:space="0" w:color="A6A6A6" w:themeColor="background1" w:themeShade="A6"/>
              <w:bottom w:val="single" w:sz="4" w:space="0" w:color="A6A6A6" w:themeColor="background1" w:themeShade="A6"/>
            </w:tcBorders>
            <w:shd w:val="clear" w:color="auto" w:fill="auto"/>
          </w:tcPr>
          <w:p w:rsidR="001F07DE" w:rsidRPr="00263088" w:rsidRDefault="00216E8D" w:rsidP="00FB43CA">
            <w:pPr>
              <w:pStyle w:val="TableText"/>
              <w:ind w:right="142"/>
              <w:rPr>
                <w:rFonts w:cs="Arial"/>
                <w:szCs w:val="18"/>
              </w:rPr>
            </w:pPr>
            <w:r w:rsidRPr="00263088">
              <w:rPr>
                <w:rFonts w:cs="Arial"/>
                <w:b/>
                <w:szCs w:val="18"/>
              </w:rPr>
              <w:t>Office of Ethnic Communities</w:t>
            </w:r>
            <w:r w:rsidR="005065F0" w:rsidRPr="00263088">
              <w:rPr>
                <w:rFonts w:cs="Arial"/>
                <w:szCs w:val="18"/>
              </w:rPr>
              <w:br/>
              <w:t>(previously the Office of Ethnic Affairs)</w:t>
            </w:r>
          </w:p>
          <w:p w:rsidR="005065F0" w:rsidRPr="00263088" w:rsidRDefault="005065F0" w:rsidP="00FB43CA">
            <w:pPr>
              <w:pStyle w:val="TableText"/>
              <w:ind w:right="142"/>
              <w:rPr>
                <w:rFonts w:cs="Arial"/>
                <w:szCs w:val="18"/>
              </w:rPr>
            </w:pPr>
            <w:r w:rsidRPr="00263088">
              <w:rPr>
                <w:rFonts w:cs="Arial"/>
                <w:szCs w:val="18"/>
              </w:rPr>
              <w:t>The Office of Ethnic Communities provides advice and information to support people working with ethnic communities.</w:t>
            </w:r>
          </w:p>
          <w:p w:rsidR="00216E8D" w:rsidRPr="00263088" w:rsidRDefault="008A337B" w:rsidP="00216E8D">
            <w:pPr>
              <w:pStyle w:val="TableText"/>
              <w:ind w:right="142"/>
              <w:rPr>
                <w:rFonts w:cs="Arial"/>
                <w:szCs w:val="18"/>
              </w:rPr>
            </w:pPr>
            <w:hyperlink r:id="rId104" w:history="1">
              <w:r w:rsidR="00216E8D" w:rsidRPr="00263088">
                <w:rPr>
                  <w:rStyle w:val="Hyperlink"/>
                  <w:rFonts w:ascii="Arial" w:hAnsi="Arial" w:cs="Arial"/>
                  <w:color w:val="auto"/>
                  <w:sz w:val="18"/>
                  <w:szCs w:val="18"/>
                </w:rPr>
                <w:t>ethniccommunities.govt.nz</w:t>
              </w:r>
            </w:hyperlink>
            <w:r w:rsidR="00216E8D" w:rsidRPr="00263088">
              <w:rPr>
                <w:rFonts w:cs="Arial"/>
                <w:szCs w:val="18"/>
              </w:rPr>
              <w:t xml:space="preserve"> </w:t>
            </w:r>
          </w:p>
        </w:tc>
        <w:tc>
          <w:tcPr>
            <w:tcW w:w="4877" w:type="dxa"/>
            <w:tcBorders>
              <w:top w:val="single" w:sz="4" w:space="0" w:color="A6A6A6" w:themeColor="background1" w:themeShade="A6"/>
              <w:bottom w:val="single" w:sz="4" w:space="0" w:color="A6A6A6" w:themeColor="background1" w:themeShade="A6"/>
            </w:tcBorders>
            <w:shd w:val="clear" w:color="auto" w:fill="auto"/>
            <w:tcMar>
              <w:top w:w="57" w:type="dxa"/>
            </w:tcMar>
          </w:tcPr>
          <w:p w:rsidR="005065F0" w:rsidRPr="00263088" w:rsidRDefault="00216E8D" w:rsidP="00216E8D">
            <w:pPr>
              <w:pStyle w:val="TableBullet"/>
            </w:pPr>
            <w:r w:rsidRPr="00263088">
              <w:rPr>
                <w:rFonts w:cs="Arial"/>
                <w:szCs w:val="18"/>
              </w:rPr>
              <w:t>Language Line</w:t>
            </w:r>
            <w:r w:rsidR="005065F0" w:rsidRPr="00263088">
              <w:t xml:space="preserve"> (a telephone interpreting service available in 44 languages)</w:t>
            </w:r>
            <w:r w:rsidRPr="00263088">
              <w:br/>
            </w:r>
            <w:hyperlink r:id="rId105" w:history="1">
              <w:r w:rsidRPr="00263088">
                <w:rPr>
                  <w:rStyle w:val="Hyperlink"/>
                  <w:rFonts w:ascii="Arial" w:hAnsi="Arial"/>
                  <w:color w:val="auto"/>
                  <w:sz w:val="18"/>
                </w:rPr>
                <w:t>www.ethniccommunities.govt.nz/story/how-language-line-works</w:t>
              </w:r>
            </w:hyperlink>
            <w:r w:rsidRPr="00263088">
              <w:t xml:space="preserve"> </w:t>
            </w:r>
          </w:p>
        </w:tc>
      </w:tr>
      <w:tr w:rsidR="005065F0" w:rsidRPr="00263088" w:rsidTr="00216E8D">
        <w:trPr>
          <w:cantSplit/>
        </w:trPr>
        <w:tc>
          <w:tcPr>
            <w:tcW w:w="4479" w:type="dxa"/>
            <w:tcBorders>
              <w:top w:val="single" w:sz="4" w:space="0" w:color="A6A6A6" w:themeColor="background1" w:themeShade="A6"/>
            </w:tcBorders>
            <w:shd w:val="clear" w:color="auto" w:fill="auto"/>
          </w:tcPr>
          <w:p w:rsidR="001F07DE" w:rsidRPr="00263088" w:rsidRDefault="00216E8D" w:rsidP="00FB43CA">
            <w:pPr>
              <w:pStyle w:val="TableText"/>
              <w:ind w:right="142"/>
              <w:rPr>
                <w:rFonts w:cs="Arial"/>
                <w:szCs w:val="18"/>
              </w:rPr>
            </w:pPr>
            <w:r w:rsidRPr="00263088">
              <w:rPr>
                <w:rFonts w:cs="Arial"/>
                <w:b/>
                <w:szCs w:val="18"/>
              </w:rPr>
              <w:t>Office of the Ombudsman</w:t>
            </w:r>
          </w:p>
          <w:p w:rsidR="00216E8D" w:rsidRPr="00263088" w:rsidRDefault="005065F0" w:rsidP="00FB43CA">
            <w:pPr>
              <w:pStyle w:val="TableText"/>
              <w:ind w:right="142"/>
              <w:rPr>
                <w:rFonts w:cs="Arial"/>
                <w:szCs w:val="18"/>
              </w:rPr>
            </w:pPr>
            <w:r w:rsidRPr="00263088">
              <w:rPr>
                <w:rFonts w:cs="Arial"/>
                <w:szCs w:val="18"/>
              </w:rPr>
              <w:t>The Office of the Ombudsman is an independent resource to help the community deal with government agencies, with a focus on fairness and impartiality. It undertakes invest</w:t>
            </w:r>
            <w:r w:rsidR="00214ABB" w:rsidRPr="00263088">
              <w:rPr>
                <w:rFonts w:cs="Arial"/>
                <w:szCs w:val="18"/>
              </w:rPr>
              <w:t>igations where necessary</w:t>
            </w:r>
            <w:r w:rsidR="00216E8D" w:rsidRPr="00263088">
              <w:rPr>
                <w:rFonts w:cs="Arial"/>
                <w:szCs w:val="18"/>
              </w:rPr>
              <w:t>.</w:t>
            </w:r>
          </w:p>
          <w:p w:rsidR="005065F0" w:rsidRPr="00263088" w:rsidRDefault="008A337B" w:rsidP="00216E8D">
            <w:pPr>
              <w:pStyle w:val="TableText"/>
              <w:ind w:right="142"/>
              <w:rPr>
                <w:rFonts w:cs="Arial"/>
                <w:szCs w:val="18"/>
              </w:rPr>
            </w:pPr>
            <w:hyperlink r:id="rId106" w:history="1">
              <w:r w:rsidR="00216E8D" w:rsidRPr="00263088">
                <w:rPr>
                  <w:rStyle w:val="Hyperlink"/>
                  <w:rFonts w:ascii="Arial" w:hAnsi="Arial" w:cs="Arial"/>
                  <w:color w:val="auto"/>
                  <w:sz w:val="18"/>
                  <w:szCs w:val="18"/>
                </w:rPr>
                <w:t>www.ombudsman.parliament.nz</w:t>
              </w:r>
            </w:hyperlink>
            <w:r w:rsidR="00216E8D" w:rsidRPr="00263088">
              <w:rPr>
                <w:rFonts w:cs="Arial"/>
                <w:szCs w:val="18"/>
              </w:rPr>
              <w:t xml:space="preserve"> </w:t>
            </w:r>
          </w:p>
        </w:tc>
        <w:tc>
          <w:tcPr>
            <w:tcW w:w="4877" w:type="dxa"/>
            <w:tcBorders>
              <w:top w:val="single" w:sz="4" w:space="0" w:color="A6A6A6" w:themeColor="background1" w:themeShade="A6"/>
            </w:tcBorders>
            <w:shd w:val="clear" w:color="auto" w:fill="auto"/>
            <w:tcMar>
              <w:top w:w="57" w:type="dxa"/>
            </w:tcMar>
          </w:tcPr>
          <w:p w:rsidR="001F07DE" w:rsidRPr="00263088" w:rsidRDefault="00216E8D" w:rsidP="00216E8D">
            <w:pPr>
              <w:pStyle w:val="TableBullet"/>
            </w:pPr>
            <w:r w:rsidRPr="00263088">
              <w:rPr>
                <w:rFonts w:cs="Arial"/>
                <w:szCs w:val="18"/>
              </w:rPr>
              <w:t>Make a complaint</w:t>
            </w:r>
            <w:r w:rsidRPr="00263088">
              <w:rPr>
                <w:rStyle w:val="Hyperlink"/>
                <w:rFonts w:ascii="Arial" w:hAnsi="Arial" w:cs="Arial"/>
                <w:color w:val="auto"/>
                <w:sz w:val="18"/>
                <w:szCs w:val="18"/>
              </w:rPr>
              <w:br/>
            </w:r>
            <w:hyperlink r:id="rId107" w:history="1">
              <w:r w:rsidRPr="00263088">
                <w:rPr>
                  <w:rStyle w:val="Hyperlink"/>
                  <w:rFonts w:ascii="Arial" w:hAnsi="Arial"/>
                  <w:color w:val="auto"/>
                  <w:sz w:val="18"/>
                </w:rPr>
                <w:t>www.ombudsman.parliament.nz/make-a-complaint</w:t>
              </w:r>
            </w:hyperlink>
            <w:r w:rsidRPr="00263088">
              <w:t xml:space="preserve"> </w:t>
            </w:r>
          </w:p>
          <w:p w:rsidR="005065F0" w:rsidRPr="00263088" w:rsidRDefault="00216E8D" w:rsidP="00216E8D">
            <w:pPr>
              <w:pStyle w:val="TableBullet"/>
            </w:pPr>
            <w:r w:rsidRPr="00263088">
              <w:rPr>
                <w:rFonts w:cs="Arial"/>
                <w:szCs w:val="18"/>
              </w:rPr>
              <w:t>Information about the Ombudsman’s role under the United Nations Convention on the Rights of Persons with Disabilities</w:t>
            </w:r>
            <w:r w:rsidRPr="00263088">
              <w:rPr>
                <w:rStyle w:val="Hyperlink"/>
                <w:rFonts w:ascii="Arial" w:hAnsi="Arial" w:cs="Arial"/>
                <w:color w:val="auto"/>
                <w:sz w:val="18"/>
                <w:szCs w:val="18"/>
              </w:rPr>
              <w:br/>
            </w:r>
            <w:hyperlink r:id="rId108" w:history="1">
              <w:r w:rsidRPr="00263088">
                <w:rPr>
                  <w:rStyle w:val="Hyperlink"/>
                  <w:rFonts w:ascii="Arial" w:hAnsi="Arial"/>
                  <w:color w:val="auto"/>
                  <w:sz w:val="18"/>
                </w:rPr>
                <w:t>www.ombudsman.parliament.nz/what-we-do/protecting-your-rights/disabilities-convention</w:t>
              </w:r>
            </w:hyperlink>
            <w:r w:rsidRPr="00263088">
              <w:t xml:space="preserve"> </w:t>
            </w:r>
          </w:p>
        </w:tc>
      </w:tr>
    </w:tbl>
    <w:p w:rsidR="00214ABB" w:rsidRPr="00263088" w:rsidRDefault="00214ABB" w:rsidP="00214ABB">
      <w:bookmarkStart w:id="287" w:name="_Appendix_16_–"/>
      <w:bookmarkStart w:id="288" w:name="_Appendix_16_–_1"/>
      <w:bookmarkStart w:id="289" w:name="_Further_resources_and"/>
      <w:bookmarkStart w:id="290" w:name="_Toc404864983"/>
      <w:bookmarkStart w:id="291" w:name="_Toc416691407"/>
      <w:bookmarkEnd w:id="287"/>
      <w:bookmarkEnd w:id="288"/>
      <w:bookmarkEnd w:id="289"/>
    </w:p>
    <w:p w:rsidR="00214ABB" w:rsidRPr="00263088" w:rsidRDefault="00214ABB" w:rsidP="00214ABB">
      <w:bookmarkStart w:id="292" w:name="_Toc442354568"/>
      <w:r w:rsidRPr="00263088">
        <w:br w:type="page"/>
      </w:r>
    </w:p>
    <w:p w:rsidR="001F07DE" w:rsidRDefault="005065F0" w:rsidP="00214ABB">
      <w:pPr>
        <w:pStyle w:val="Heading1"/>
      </w:pPr>
      <w:bookmarkStart w:id="293" w:name="_Toc479687395"/>
      <w:r w:rsidRPr="00845D51">
        <w:lastRenderedPageBreak/>
        <w:t>Further resources</w:t>
      </w:r>
      <w:bookmarkEnd w:id="290"/>
      <w:r w:rsidRPr="00845D51">
        <w:t xml:space="preserve"> and </w:t>
      </w:r>
      <w:bookmarkEnd w:id="291"/>
      <w:r w:rsidRPr="00845D51">
        <w:t>organisations</w:t>
      </w:r>
      <w:bookmarkEnd w:id="292"/>
      <w:bookmarkEnd w:id="293"/>
    </w:p>
    <w:p w:rsidR="005065F0" w:rsidRDefault="005065F0" w:rsidP="00214ABB">
      <w:r w:rsidRPr="00E00970">
        <w:t xml:space="preserve">The table </w:t>
      </w:r>
      <w:r>
        <w:t xml:space="preserve">below </w:t>
      </w:r>
      <w:r w:rsidRPr="00E00970">
        <w:t>list</w:t>
      </w:r>
      <w:r>
        <w:t>s</w:t>
      </w:r>
      <w:r w:rsidRPr="00E00970">
        <w:t xml:space="preserve"> </w:t>
      </w:r>
      <w:r>
        <w:t xml:space="preserve">further </w:t>
      </w:r>
      <w:r w:rsidRPr="00E00970">
        <w:t>disability sector</w:t>
      </w:r>
      <w:r>
        <w:t xml:space="preserve"> </w:t>
      </w:r>
      <w:r w:rsidRPr="00E00970">
        <w:t xml:space="preserve">organisations </w:t>
      </w:r>
      <w:r>
        <w:t xml:space="preserve">and </w:t>
      </w:r>
      <w:r w:rsidRPr="00E00970">
        <w:t xml:space="preserve">service providers and </w:t>
      </w:r>
      <w:r>
        <w:t xml:space="preserve">some of the </w:t>
      </w:r>
      <w:r w:rsidRPr="00E00970">
        <w:t>resources</w:t>
      </w:r>
      <w:r w:rsidR="00214ABB">
        <w:t xml:space="preserve"> they produce.</w:t>
      </w:r>
    </w:p>
    <w:p w:rsidR="00214ABB" w:rsidRDefault="00214ABB" w:rsidP="00214ABB"/>
    <w:tbl>
      <w:tblPr>
        <w:tblW w:w="4940" w:type="pct"/>
        <w:tblInd w:w="57" w:type="dxa"/>
        <w:tblLayout w:type="fixed"/>
        <w:tblCellMar>
          <w:left w:w="57" w:type="dxa"/>
          <w:right w:w="57" w:type="dxa"/>
        </w:tblCellMar>
        <w:tblLook w:val="04A0" w:firstRow="1" w:lastRow="0" w:firstColumn="1" w:lastColumn="0" w:noHBand="0" w:noVBand="1"/>
        <w:tblCaption w:val="Table: Further resources and organisations"/>
        <w:tblDescription w:val="Table outlines each organisation and related resources."/>
      </w:tblPr>
      <w:tblGrid>
        <w:gridCol w:w="5322"/>
        <w:gridCol w:w="3921"/>
      </w:tblGrid>
      <w:tr w:rsidR="005065F0" w:rsidRPr="00214ABB" w:rsidTr="00665FAB">
        <w:trPr>
          <w:cantSplit/>
          <w:tblHeader/>
        </w:trPr>
        <w:tc>
          <w:tcPr>
            <w:tcW w:w="5387" w:type="dxa"/>
            <w:tcBorders>
              <w:top w:val="single" w:sz="4" w:space="0" w:color="auto"/>
              <w:bottom w:val="single" w:sz="4" w:space="0" w:color="auto"/>
            </w:tcBorders>
          </w:tcPr>
          <w:p w:rsidR="005065F0" w:rsidRPr="00214ABB" w:rsidRDefault="005065F0" w:rsidP="0075492B">
            <w:pPr>
              <w:pStyle w:val="TableText"/>
              <w:ind w:right="142"/>
              <w:rPr>
                <w:b/>
              </w:rPr>
            </w:pPr>
            <w:r w:rsidRPr="00214ABB">
              <w:rPr>
                <w:b/>
              </w:rPr>
              <w:t>Organis</w:t>
            </w:r>
            <w:bookmarkStart w:id="294" w:name="ColumnTitle_4"/>
            <w:bookmarkEnd w:id="294"/>
            <w:r w:rsidRPr="00214ABB">
              <w:rPr>
                <w:b/>
              </w:rPr>
              <w:t>at</w:t>
            </w:r>
            <w:r w:rsidR="00214ABB" w:rsidRPr="00214ABB">
              <w:rPr>
                <w:b/>
              </w:rPr>
              <w:t>ion</w:t>
            </w:r>
          </w:p>
        </w:tc>
        <w:tc>
          <w:tcPr>
            <w:tcW w:w="3968" w:type="dxa"/>
            <w:tcBorders>
              <w:top w:val="single" w:sz="4" w:space="0" w:color="auto"/>
              <w:bottom w:val="single" w:sz="4" w:space="0" w:color="auto"/>
            </w:tcBorders>
            <w:tcMar>
              <w:top w:w="57" w:type="dxa"/>
            </w:tcMar>
          </w:tcPr>
          <w:p w:rsidR="005065F0" w:rsidRPr="00214ABB" w:rsidRDefault="005065F0" w:rsidP="00214ABB">
            <w:pPr>
              <w:pStyle w:val="TableText"/>
              <w:rPr>
                <w:b/>
              </w:rPr>
            </w:pPr>
            <w:r w:rsidRPr="00214ABB">
              <w:rPr>
                <w:b/>
              </w:rPr>
              <w:t>Resources</w:t>
            </w:r>
          </w:p>
        </w:tc>
      </w:tr>
      <w:tr w:rsidR="005065F0" w:rsidRPr="000C248F" w:rsidTr="00665FAB">
        <w:trPr>
          <w:cantSplit/>
        </w:trPr>
        <w:tc>
          <w:tcPr>
            <w:tcW w:w="5387" w:type="dxa"/>
            <w:tcBorders>
              <w:top w:val="single" w:sz="4" w:space="0" w:color="auto"/>
              <w:bottom w:val="single" w:sz="4" w:space="0" w:color="A6A6A6" w:themeColor="background1" w:themeShade="A6"/>
            </w:tcBorders>
          </w:tcPr>
          <w:p w:rsidR="001F07DE" w:rsidRPr="009A2A45" w:rsidRDefault="00665FAB" w:rsidP="0075492B">
            <w:pPr>
              <w:pStyle w:val="TableText"/>
              <w:ind w:right="142"/>
              <w:rPr>
                <w:rFonts w:cs="Arial"/>
                <w:b/>
                <w:szCs w:val="18"/>
              </w:rPr>
            </w:pPr>
            <w:r w:rsidRPr="009A2A45">
              <w:rPr>
                <w:rFonts w:cs="Arial"/>
                <w:b/>
                <w:szCs w:val="18"/>
              </w:rPr>
              <w:t>Altogether Autism</w:t>
            </w:r>
          </w:p>
          <w:p w:rsidR="001F07DE" w:rsidRPr="009A2A45" w:rsidRDefault="005065F0" w:rsidP="0075492B">
            <w:pPr>
              <w:pStyle w:val="TableText"/>
              <w:ind w:right="142"/>
              <w:rPr>
                <w:rFonts w:cs="Arial"/>
                <w:szCs w:val="18"/>
                <w:lang w:val="en"/>
              </w:rPr>
            </w:pPr>
            <w:r w:rsidRPr="009A2A45">
              <w:rPr>
                <w:rFonts w:cs="Arial"/>
                <w:szCs w:val="18"/>
                <w:lang w:val="en"/>
              </w:rPr>
              <w:t xml:space="preserve">Altogether Autism is a nationwide information and advisory service for people living on the autism spectrum, their </w:t>
            </w:r>
            <w:r w:rsidRPr="009A2A45">
              <w:rPr>
                <w:rFonts w:cs="Arial"/>
                <w:szCs w:val="18"/>
              </w:rPr>
              <w:t>families</w:t>
            </w:r>
            <w:r w:rsidRPr="009A2A45">
              <w:rPr>
                <w:rFonts w:cs="Arial"/>
                <w:szCs w:val="18"/>
                <w:lang w:val="en"/>
              </w:rPr>
              <w:t>/</w:t>
            </w:r>
            <w:proofErr w:type="spellStart"/>
            <w:r w:rsidRPr="009A2A45">
              <w:rPr>
                <w:rFonts w:cs="Arial"/>
                <w:szCs w:val="18"/>
                <w:lang w:val="en"/>
              </w:rPr>
              <w:t>whānau</w:t>
            </w:r>
            <w:proofErr w:type="spellEnd"/>
            <w:r w:rsidRPr="009A2A45">
              <w:rPr>
                <w:rFonts w:cs="Arial"/>
                <w:szCs w:val="18"/>
                <w:lang w:val="en"/>
              </w:rPr>
              <w:t xml:space="preserve"> and the professionals who work with them.</w:t>
            </w:r>
          </w:p>
          <w:p w:rsidR="00216E8D" w:rsidRPr="009A2A45" w:rsidRDefault="008A337B" w:rsidP="0075492B">
            <w:pPr>
              <w:pStyle w:val="TableText"/>
              <w:ind w:right="142"/>
              <w:rPr>
                <w:rFonts w:cs="Arial"/>
                <w:szCs w:val="18"/>
                <w:lang w:val="en"/>
              </w:rPr>
            </w:pPr>
            <w:hyperlink r:id="rId109" w:history="1">
              <w:r w:rsidR="00216E8D" w:rsidRPr="009A2A45">
                <w:rPr>
                  <w:rStyle w:val="Hyperlink"/>
                  <w:rFonts w:ascii="Arial" w:hAnsi="Arial" w:cs="Arial"/>
                  <w:color w:val="auto"/>
                  <w:sz w:val="18"/>
                  <w:szCs w:val="18"/>
                  <w:lang w:val="en"/>
                </w:rPr>
                <w:t>www.altogetherautism.org.nz</w:t>
              </w:r>
            </w:hyperlink>
            <w:r w:rsidR="00216E8D" w:rsidRPr="009A2A45">
              <w:rPr>
                <w:rFonts w:cs="Arial"/>
                <w:szCs w:val="18"/>
                <w:lang w:val="en"/>
              </w:rPr>
              <w:t xml:space="preserve"> </w:t>
            </w:r>
          </w:p>
          <w:p w:rsidR="005065F0" w:rsidRPr="009A2A45" w:rsidRDefault="005065F0" w:rsidP="0075492B">
            <w:pPr>
              <w:pStyle w:val="TableText"/>
              <w:ind w:right="142"/>
              <w:rPr>
                <w:rFonts w:cs="Arial"/>
                <w:szCs w:val="18"/>
                <w:lang w:val="en"/>
              </w:rPr>
            </w:pPr>
            <w:r w:rsidRPr="009A2A45">
              <w:rPr>
                <w:rFonts w:cs="Arial"/>
                <w:szCs w:val="18"/>
                <w:lang w:val="en"/>
              </w:rPr>
              <w:t xml:space="preserve">Altogether Autism is a service funded by the Ministry of Health. It is provided in partnership by </w:t>
            </w:r>
            <w:r w:rsidR="00216E8D" w:rsidRPr="009A2A45">
              <w:rPr>
                <w:rFonts w:cs="Arial"/>
                <w:szCs w:val="18"/>
                <w:lang w:val="en"/>
              </w:rPr>
              <w:t>Parent to Parent</w:t>
            </w:r>
            <w:r w:rsidRPr="009A2A45">
              <w:rPr>
                <w:rFonts w:cs="Arial"/>
                <w:szCs w:val="18"/>
                <w:lang w:val="en"/>
              </w:rPr>
              <w:t xml:space="preserve"> (see below) and </w:t>
            </w:r>
            <w:r w:rsidR="00665FAB" w:rsidRPr="009A2A45">
              <w:rPr>
                <w:rFonts w:cs="Arial"/>
                <w:szCs w:val="18"/>
                <w:lang w:val="en"/>
              </w:rPr>
              <w:t>Life Unlimited</w:t>
            </w:r>
            <w:r w:rsidRPr="009A2A45">
              <w:rPr>
                <w:rFonts w:cs="Arial"/>
                <w:szCs w:val="18"/>
                <w:lang w:val="en"/>
              </w:rPr>
              <w:t xml:space="preserve"> (</w:t>
            </w:r>
            <w:r w:rsidRPr="009A2A45">
              <w:rPr>
                <w:rFonts w:cs="Arial"/>
                <w:szCs w:val="18"/>
              </w:rPr>
              <w:t xml:space="preserve">a charitable trust whose mission is </w:t>
            </w:r>
            <w:r w:rsidR="00267D5F" w:rsidRPr="009A2A45">
              <w:rPr>
                <w:rFonts w:cs="Arial"/>
                <w:szCs w:val="18"/>
              </w:rPr>
              <w:t>‘</w:t>
            </w:r>
            <w:r w:rsidRPr="009A2A45">
              <w:rPr>
                <w:rFonts w:cs="Arial"/>
                <w:szCs w:val="18"/>
              </w:rPr>
              <w:t>to enhance individual wellbeing by enabling people to live the life they choose</w:t>
            </w:r>
            <w:r w:rsidR="00267D5F" w:rsidRPr="009A2A45">
              <w:rPr>
                <w:rFonts w:cs="Arial"/>
                <w:szCs w:val="18"/>
              </w:rPr>
              <w:t>’</w:t>
            </w:r>
            <w:r w:rsidRPr="009A2A45">
              <w:rPr>
                <w:rFonts w:cs="Arial"/>
                <w:szCs w:val="18"/>
              </w:rPr>
              <w:t>)</w:t>
            </w:r>
            <w:r w:rsidRPr="009A2A45">
              <w:rPr>
                <w:rFonts w:cs="Arial"/>
                <w:szCs w:val="18"/>
                <w:lang w:val="en"/>
              </w:rPr>
              <w:t>.</w:t>
            </w:r>
          </w:p>
          <w:p w:rsidR="00665FAB" w:rsidRPr="009A2A45" w:rsidRDefault="008A337B" w:rsidP="00665FAB">
            <w:pPr>
              <w:pStyle w:val="TableText"/>
              <w:ind w:right="142"/>
              <w:rPr>
                <w:rFonts w:cs="Arial"/>
                <w:szCs w:val="18"/>
              </w:rPr>
            </w:pPr>
            <w:hyperlink r:id="rId110" w:history="1">
              <w:r w:rsidR="00665FAB" w:rsidRPr="009A2A45">
                <w:rPr>
                  <w:rStyle w:val="Hyperlink"/>
                  <w:rFonts w:ascii="Arial" w:hAnsi="Arial" w:cs="Arial"/>
                  <w:color w:val="auto"/>
                  <w:sz w:val="18"/>
                  <w:szCs w:val="18"/>
                </w:rPr>
                <w:t>lifeunlimited.net.nz</w:t>
              </w:r>
            </w:hyperlink>
            <w:r w:rsidR="00665FAB" w:rsidRPr="009A2A45">
              <w:rPr>
                <w:rFonts w:cs="Arial"/>
                <w:szCs w:val="18"/>
              </w:rPr>
              <w:t xml:space="preserve"> </w:t>
            </w:r>
          </w:p>
        </w:tc>
        <w:tc>
          <w:tcPr>
            <w:tcW w:w="3968" w:type="dxa"/>
            <w:tcBorders>
              <w:top w:val="single" w:sz="4" w:space="0" w:color="auto"/>
              <w:bottom w:val="single" w:sz="4" w:space="0" w:color="A6A6A6" w:themeColor="background1" w:themeShade="A6"/>
            </w:tcBorders>
            <w:tcMar>
              <w:top w:w="57" w:type="dxa"/>
            </w:tcMar>
          </w:tcPr>
          <w:p w:rsidR="001F07DE" w:rsidRPr="009A2A45" w:rsidRDefault="00665FAB" w:rsidP="00665FAB">
            <w:pPr>
              <w:pStyle w:val="TableBullet"/>
            </w:pPr>
            <w:r w:rsidRPr="009A2A45">
              <w:rPr>
                <w:rFonts w:cs="Arial"/>
                <w:szCs w:val="18"/>
              </w:rPr>
              <w:t>Altogether Autism Journal</w:t>
            </w:r>
            <w:r w:rsidR="005065F0" w:rsidRPr="009A2A45">
              <w:t xml:space="preserve"> (a publication for professionals, families and people on the Autism spectrum)</w:t>
            </w:r>
            <w:r w:rsidRPr="009A2A45">
              <w:br/>
            </w:r>
            <w:hyperlink r:id="rId111" w:history="1">
              <w:r w:rsidRPr="009A2A45">
                <w:rPr>
                  <w:rStyle w:val="Hyperlink"/>
                  <w:rFonts w:ascii="Arial" w:hAnsi="Arial"/>
                  <w:color w:val="auto"/>
                  <w:sz w:val="18"/>
                </w:rPr>
                <w:t>www.altogetherautism.org.nz/subscribe-journal</w:t>
              </w:r>
            </w:hyperlink>
            <w:r w:rsidRPr="009A2A45">
              <w:t xml:space="preserve"> </w:t>
            </w:r>
          </w:p>
          <w:p w:rsidR="001F07DE" w:rsidRPr="009A2A45" w:rsidRDefault="00665FAB" w:rsidP="00665FAB">
            <w:pPr>
              <w:pStyle w:val="TableBullet"/>
            </w:pPr>
            <w:r w:rsidRPr="009A2A45">
              <w:rPr>
                <w:rFonts w:cs="Arial"/>
                <w:szCs w:val="18"/>
              </w:rPr>
              <w:t>Questions People Ask</w:t>
            </w:r>
            <w:r w:rsidR="005065F0" w:rsidRPr="009A2A45">
              <w:t xml:space="preserve"> (answers to commonly asked questions)</w:t>
            </w:r>
            <w:r w:rsidRPr="009A2A45">
              <w:br/>
            </w:r>
            <w:hyperlink r:id="rId112" w:history="1">
              <w:r w:rsidRPr="009A2A45">
                <w:rPr>
                  <w:rStyle w:val="Hyperlink"/>
                  <w:rFonts w:ascii="Arial" w:hAnsi="Arial"/>
                  <w:color w:val="auto"/>
                  <w:sz w:val="18"/>
                </w:rPr>
                <w:t>www.altogetherautism.org.nz/question-people-ask</w:t>
              </w:r>
            </w:hyperlink>
            <w:r w:rsidRPr="009A2A45">
              <w:t xml:space="preserve"> </w:t>
            </w:r>
          </w:p>
          <w:p w:rsidR="005065F0" w:rsidRPr="009A2A45" w:rsidRDefault="00665FAB" w:rsidP="00665FAB">
            <w:pPr>
              <w:pStyle w:val="TableBullet"/>
            </w:pPr>
            <w:r w:rsidRPr="009A2A45">
              <w:rPr>
                <w:rFonts w:cs="Arial"/>
                <w:szCs w:val="18"/>
              </w:rPr>
              <w:t>Resources</w:t>
            </w:r>
            <w:r w:rsidRPr="009A2A45">
              <w:rPr>
                <w:rStyle w:val="Hyperlink"/>
                <w:rFonts w:ascii="Arial" w:hAnsi="Arial" w:cs="Arial"/>
                <w:color w:val="auto"/>
                <w:sz w:val="18"/>
                <w:szCs w:val="18"/>
              </w:rPr>
              <w:br/>
            </w:r>
            <w:hyperlink r:id="rId113" w:history="1">
              <w:r w:rsidRPr="009A2A45">
                <w:rPr>
                  <w:rStyle w:val="Hyperlink"/>
                  <w:rFonts w:ascii="Arial" w:hAnsi="Arial"/>
                  <w:color w:val="auto"/>
                  <w:sz w:val="18"/>
                </w:rPr>
                <w:t>www.altogetherautism.org.nz/information/resources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Style w:val="Hyperlink"/>
                <w:rFonts w:ascii="Arial" w:hAnsi="Arial" w:cs="Arial"/>
                <w:b/>
                <w:color w:val="auto"/>
                <w:sz w:val="18"/>
                <w:szCs w:val="18"/>
              </w:rPr>
            </w:pPr>
            <w:r w:rsidRPr="009A2A45">
              <w:rPr>
                <w:rFonts w:cs="Arial"/>
                <w:b/>
                <w:szCs w:val="18"/>
              </w:rPr>
              <w:t>Autism NZ</w:t>
            </w:r>
          </w:p>
          <w:p w:rsidR="005065F0" w:rsidRPr="009A2A45" w:rsidRDefault="005065F0" w:rsidP="0075492B">
            <w:pPr>
              <w:pStyle w:val="TableText"/>
              <w:ind w:right="142"/>
              <w:rPr>
                <w:rFonts w:cs="Arial"/>
                <w:szCs w:val="18"/>
                <w:lang w:val="en"/>
              </w:rPr>
            </w:pPr>
            <w:r w:rsidRPr="009A2A45">
              <w:rPr>
                <w:rFonts w:cs="Arial"/>
                <w:szCs w:val="18"/>
                <w:lang w:val="en"/>
              </w:rPr>
              <w:t>Autism NZ provides support, training, advocacy, resources and information on autism spectrum disorder (ASD) to those with these conditions, their family/</w:t>
            </w:r>
            <w:proofErr w:type="spellStart"/>
            <w:r w:rsidRPr="009A2A45">
              <w:rPr>
                <w:rFonts w:cs="Arial"/>
                <w:szCs w:val="18"/>
                <w:lang w:val="en"/>
              </w:rPr>
              <w:t>whānau</w:t>
            </w:r>
            <w:proofErr w:type="spellEnd"/>
            <w:r w:rsidRPr="009A2A45">
              <w:rPr>
                <w:rFonts w:cs="Arial"/>
                <w:szCs w:val="18"/>
                <w:lang w:val="en"/>
              </w:rPr>
              <w:t>, caregivers and professionals.</w:t>
            </w:r>
          </w:p>
          <w:p w:rsidR="00665FAB" w:rsidRPr="009A2A45" w:rsidRDefault="008A337B" w:rsidP="00665FAB">
            <w:pPr>
              <w:pStyle w:val="TableText"/>
              <w:ind w:right="142"/>
              <w:rPr>
                <w:rFonts w:cs="Arial"/>
                <w:szCs w:val="18"/>
              </w:rPr>
            </w:pPr>
            <w:hyperlink r:id="rId114" w:history="1">
              <w:r w:rsidR="00665FAB" w:rsidRPr="009A2A45">
                <w:rPr>
                  <w:rStyle w:val="Hyperlink"/>
                  <w:rFonts w:ascii="Arial" w:hAnsi="Arial" w:cs="Arial"/>
                  <w:color w:val="auto"/>
                  <w:sz w:val="18"/>
                  <w:szCs w:val="18"/>
                </w:rPr>
                <w:t>www.autismnz.org.nz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665FAB" w:rsidP="00665FAB">
            <w:pPr>
              <w:pStyle w:val="TableBullet"/>
            </w:pPr>
            <w:r w:rsidRPr="009A2A45">
              <w:rPr>
                <w:rFonts w:cs="Arial"/>
                <w:szCs w:val="18"/>
              </w:rPr>
              <w:t>About Autism</w:t>
            </w:r>
            <w:r w:rsidRPr="009A2A45">
              <w:rPr>
                <w:rStyle w:val="Hyperlink"/>
                <w:rFonts w:ascii="Arial" w:hAnsi="Arial" w:cs="Arial"/>
                <w:color w:val="auto"/>
                <w:sz w:val="18"/>
                <w:szCs w:val="18"/>
              </w:rPr>
              <w:br/>
            </w:r>
            <w:hyperlink r:id="rId115" w:history="1">
              <w:r w:rsidRPr="009A2A45">
                <w:rPr>
                  <w:rStyle w:val="Hyperlink"/>
                  <w:rFonts w:ascii="Arial" w:hAnsi="Arial"/>
                  <w:color w:val="auto"/>
                  <w:sz w:val="18"/>
                </w:rPr>
                <w:t>www.autismnz.org.nz/about_autism</w:t>
              </w:r>
            </w:hyperlink>
            <w:r w:rsidRPr="009A2A45">
              <w:t xml:space="preserve"> </w:t>
            </w:r>
          </w:p>
          <w:p w:rsidR="005065F0" w:rsidRPr="009A2A45" w:rsidRDefault="00665FAB" w:rsidP="00665FAB">
            <w:pPr>
              <w:pStyle w:val="TableBullet"/>
            </w:pPr>
            <w:r w:rsidRPr="009A2A45">
              <w:rPr>
                <w:rFonts w:cs="Arial"/>
                <w:szCs w:val="18"/>
              </w:rPr>
              <w:t>Resources</w:t>
            </w:r>
            <w:r w:rsidRPr="009A2A45">
              <w:rPr>
                <w:rStyle w:val="Hyperlink"/>
                <w:rFonts w:ascii="Arial" w:hAnsi="Arial" w:cs="Arial"/>
                <w:color w:val="auto"/>
                <w:sz w:val="18"/>
                <w:szCs w:val="18"/>
              </w:rPr>
              <w:br/>
            </w:r>
            <w:hyperlink r:id="rId116" w:history="1">
              <w:r w:rsidRPr="009A2A45">
                <w:rPr>
                  <w:rStyle w:val="Hyperlink"/>
                  <w:rFonts w:ascii="Arial" w:hAnsi="Arial"/>
                  <w:color w:val="auto"/>
                  <w:sz w:val="18"/>
                </w:rPr>
                <w:t>www.autismnz.org.nz/links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Style w:val="Hyperlink"/>
                <w:rFonts w:ascii="Arial" w:hAnsi="Arial" w:cs="Arial"/>
                <w:b/>
                <w:color w:val="auto"/>
                <w:sz w:val="18"/>
                <w:szCs w:val="18"/>
              </w:rPr>
            </w:pPr>
            <w:r w:rsidRPr="009A2A45">
              <w:rPr>
                <w:rFonts w:cs="Arial"/>
                <w:b/>
                <w:szCs w:val="18"/>
              </w:rPr>
              <w:t>Blind Foundation</w:t>
            </w:r>
          </w:p>
          <w:p w:rsidR="005065F0" w:rsidRPr="009A2A45" w:rsidRDefault="005065F0" w:rsidP="0075492B">
            <w:pPr>
              <w:pStyle w:val="TableText"/>
              <w:ind w:right="142"/>
              <w:rPr>
                <w:rFonts w:cs="Arial"/>
                <w:iCs/>
                <w:szCs w:val="18"/>
              </w:rPr>
            </w:pPr>
            <w:r w:rsidRPr="009A2A45">
              <w:rPr>
                <w:rFonts w:cs="Arial"/>
                <w:iCs/>
                <w:szCs w:val="18"/>
              </w:rPr>
              <w:t>The Blind Foundation provides its members with adaptive skills, technology, resources and support with moving around (including through the use of guide dogs) and accessing information. It also provides services to the wider community, including: web accessibility consultation, accessible format production, built environment advice and awareness training.</w:t>
            </w:r>
          </w:p>
          <w:p w:rsidR="00665FAB" w:rsidRPr="009A2A45" w:rsidRDefault="008A337B" w:rsidP="00665FAB">
            <w:pPr>
              <w:pStyle w:val="TableText"/>
              <w:ind w:right="142"/>
              <w:rPr>
                <w:rFonts w:cs="Arial"/>
                <w:szCs w:val="18"/>
                <w:lang w:val="en"/>
              </w:rPr>
            </w:pPr>
            <w:hyperlink r:id="rId117" w:history="1">
              <w:r w:rsidR="00665FAB" w:rsidRPr="009A2A45">
                <w:rPr>
                  <w:rStyle w:val="Hyperlink"/>
                  <w:rFonts w:ascii="Arial" w:hAnsi="Arial" w:cs="Arial"/>
                  <w:color w:val="auto"/>
                  <w:sz w:val="18"/>
                  <w:szCs w:val="18"/>
                  <w:lang w:val="en"/>
                </w:rPr>
                <w:t>www.blindfoundation.org.nz</w:t>
              </w:r>
            </w:hyperlink>
            <w:r w:rsidR="00665FAB" w:rsidRPr="009A2A45">
              <w:rPr>
                <w:rFonts w:cs="Arial"/>
                <w:szCs w:val="18"/>
                <w:lang w:val="en"/>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665FAB" w:rsidP="00665FAB">
            <w:pPr>
              <w:pStyle w:val="TableBullet"/>
            </w:pPr>
            <w:r w:rsidRPr="009A2A45">
              <w:rPr>
                <w:rFonts w:cs="Arial"/>
                <w:szCs w:val="18"/>
              </w:rPr>
              <w:t>Information for businesses</w:t>
            </w:r>
            <w:r w:rsidRPr="009A2A45">
              <w:rPr>
                <w:rStyle w:val="Hyperlink"/>
                <w:rFonts w:ascii="Arial" w:hAnsi="Arial" w:cs="Arial"/>
                <w:color w:val="auto"/>
                <w:sz w:val="18"/>
                <w:szCs w:val="18"/>
              </w:rPr>
              <w:br/>
            </w:r>
            <w:hyperlink r:id="rId118" w:history="1">
              <w:r w:rsidRPr="009A2A45">
                <w:rPr>
                  <w:rStyle w:val="Hyperlink"/>
                  <w:rFonts w:ascii="Arial" w:hAnsi="Arial"/>
                  <w:color w:val="auto"/>
                  <w:sz w:val="18"/>
                </w:rPr>
                <w:t>www.blindfoundation.org.nz/learn/information-for-businesses</w:t>
              </w:r>
            </w:hyperlink>
            <w:r w:rsidRPr="009A2A45">
              <w:t xml:space="preserve"> </w:t>
            </w:r>
          </w:p>
          <w:p w:rsidR="005065F0" w:rsidRPr="009A2A45" w:rsidRDefault="005065F0" w:rsidP="000C248F">
            <w:pPr>
              <w:pStyle w:val="TableBullet"/>
              <w:spacing w:before="60"/>
            </w:pPr>
            <w:r w:rsidRPr="009A2A45">
              <w:t>Information on guide dogs – contact Blind Foun</w:t>
            </w:r>
            <w:r w:rsidR="000C248F" w:rsidRPr="009A2A45">
              <w:t>dation Guide Dogs (09 269 0400)</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Style w:val="Hyperlink"/>
                <w:rFonts w:ascii="Arial" w:hAnsi="Arial" w:cs="Arial"/>
                <w:b/>
                <w:color w:val="auto"/>
                <w:sz w:val="18"/>
                <w:szCs w:val="18"/>
              </w:rPr>
            </w:pPr>
            <w:r w:rsidRPr="009A2A45">
              <w:rPr>
                <w:rFonts w:cs="Arial"/>
                <w:b/>
                <w:szCs w:val="18"/>
              </w:rPr>
              <w:t>Brain Injury Association</w:t>
            </w:r>
          </w:p>
          <w:p w:rsidR="005065F0" w:rsidRPr="009A2A45" w:rsidRDefault="005065F0" w:rsidP="0075492B">
            <w:pPr>
              <w:pStyle w:val="TableText"/>
              <w:ind w:right="142"/>
              <w:rPr>
                <w:rFonts w:cs="Arial"/>
                <w:iCs/>
                <w:szCs w:val="18"/>
              </w:rPr>
            </w:pPr>
            <w:r w:rsidRPr="009A2A45">
              <w:rPr>
                <w:rFonts w:cs="Arial"/>
                <w:iCs/>
                <w:szCs w:val="18"/>
              </w:rPr>
              <w:t>The Brain Injury Association provides support, education and information services throughout New Zealand to people living with brain injuries.</w:t>
            </w:r>
          </w:p>
          <w:p w:rsidR="00665FAB" w:rsidRPr="009A2A45" w:rsidRDefault="008A337B" w:rsidP="00665FAB">
            <w:pPr>
              <w:pStyle w:val="TableText"/>
              <w:ind w:right="142"/>
              <w:rPr>
                <w:rFonts w:cs="Arial"/>
                <w:bCs/>
                <w:iCs/>
                <w:szCs w:val="18"/>
              </w:rPr>
            </w:pPr>
            <w:hyperlink r:id="rId119" w:history="1">
              <w:r w:rsidR="00665FAB" w:rsidRPr="009A2A45">
                <w:rPr>
                  <w:rStyle w:val="Hyperlink"/>
                  <w:rFonts w:ascii="Arial" w:hAnsi="Arial" w:cs="Arial"/>
                  <w:bCs/>
                  <w:iCs/>
                  <w:color w:val="auto"/>
                  <w:sz w:val="18"/>
                  <w:szCs w:val="18"/>
                </w:rPr>
                <w:t>www.brain-injury.org.nz</w:t>
              </w:r>
            </w:hyperlink>
            <w:r w:rsidR="00665FAB" w:rsidRPr="009A2A45">
              <w:rPr>
                <w:rFonts w:cs="Arial"/>
                <w:bCs/>
                <w:iCs/>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665FAB" w:rsidP="00665FAB">
            <w:pPr>
              <w:pStyle w:val="TableBullet"/>
            </w:pPr>
            <w:r w:rsidRPr="009A2A45">
              <w:rPr>
                <w:rFonts w:cs="Arial"/>
                <w:szCs w:val="18"/>
              </w:rPr>
              <w:t>Information on brain injuries</w:t>
            </w:r>
            <w:r w:rsidRPr="009A2A45">
              <w:rPr>
                <w:rStyle w:val="Hyperlink"/>
                <w:rFonts w:ascii="Arial" w:hAnsi="Arial" w:cs="Arial"/>
                <w:color w:val="auto"/>
                <w:sz w:val="18"/>
                <w:szCs w:val="18"/>
              </w:rPr>
              <w:br/>
            </w:r>
            <w:hyperlink r:id="rId120" w:history="1">
              <w:r w:rsidRPr="009A2A45">
                <w:rPr>
                  <w:rStyle w:val="Hyperlink"/>
                  <w:rFonts w:ascii="Arial" w:hAnsi="Arial"/>
                  <w:color w:val="auto"/>
                  <w:sz w:val="18"/>
                </w:rPr>
                <w:t>www.brain-injury.org.nz/html/brain_injury.html</w:t>
              </w:r>
            </w:hyperlink>
            <w:r w:rsidRPr="009A2A45">
              <w:t xml:space="preserve"> </w:t>
            </w:r>
          </w:p>
          <w:p w:rsidR="005065F0" w:rsidRPr="009A2A45" w:rsidRDefault="00665FAB" w:rsidP="00665FAB">
            <w:pPr>
              <w:pStyle w:val="TableBullet"/>
            </w:pPr>
            <w:r w:rsidRPr="009A2A45">
              <w:rPr>
                <w:rFonts w:cs="Arial"/>
                <w:szCs w:val="18"/>
              </w:rPr>
              <w:t>Brain injury resources</w:t>
            </w:r>
            <w:r w:rsidRPr="009A2A45">
              <w:rPr>
                <w:rStyle w:val="Hyperlink"/>
                <w:rFonts w:ascii="Arial" w:hAnsi="Arial" w:cs="Arial"/>
                <w:color w:val="auto"/>
                <w:sz w:val="18"/>
                <w:szCs w:val="18"/>
              </w:rPr>
              <w:br/>
            </w:r>
            <w:hyperlink r:id="rId121" w:history="1">
              <w:r w:rsidRPr="009A2A45">
                <w:rPr>
                  <w:rStyle w:val="Hyperlink"/>
                  <w:rFonts w:ascii="Arial" w:hAnsi="Arial"/>
                  <w:color w:val="auto"/>
                  <w:sz w:val="18"/>
                </w:rPr>
                <w:t>www.brain-injury.org.nz/html/resources.html</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Style w:val="Hyperlink"/>
                <w:rFonts w:ascii="Arial" w:hAnsi="Arial" w:cs="Arial"/>
                <w:b/>
                <w:color w:val="auto"/>
                <w:sz w:val="18"/>
                <w:szCs w:val="18"/>
              </w:rPr>
            </w:pPr>
            <w:r w:rsidRPr="009A2A45">
              <w:rPr>
                <w:rFonts w:cs="Arial"/>
                <w:b/>
                <w:szCs w:val="18"/>
              </w:rPr>
              <w:t>Carers New Zealand</w:t>
            </w:r>
          </w:p>
          <w:p w:rsidR="005065F0" w:rsidRPr="009A2A45" w:rsidRDefault="005065F0" w:rsidP="0075492B">
            <w:pPr>
              <w:pStyle w:val="TableText"/>
              <w:ind w:right="142"/>
              <w:rPr>
                <w:rFonts w:cs="Arial"/>
                <w:szCs w:val="18"/>
              </w:rPr>
            </w:pPr>
            <w:r w:rsidRPr="009A2A45">
              <w:rPr>
                <w:rFonts w:cs="Arial"/>
                <w:szCs w:val="18"/>
              </w:rPr>
              <w:t xml:space="preserve">Carers New Zealand is the national body supporting family, </w:t>
            </w:r>
            <w:proofErr w:type="spellStart"/>
            <w:r w:rsidRPr="009A2A45">
              <w:rPr>
                <w:rFonts w:cs="Arial"/>
                <w:szCs w:val="18"/>
              </w:rPr>
              <w:t>whānau</w:t>
            </w:r>
            <w:proofErr w:type="spellEnd"/>
            <w:r w:rsidRPr="009A2A45">
              <w:rPr>
                <w:rFonts w:cs="Arial"/>
                <w:szCs w:val="18"/>
              </w:rPr>
              <w:t xml:space="preserve"> and </w:t>
            </w:r>
            <w:proofErr w:type="spellStart"/>
            <w:r w:rsidRPr="009A2A45">
              <w:rPr>
                <w:rFonts w:cs="Arial"/>
                <w:szCs w:val="18"/>
              </w:rPr>
              <w:t>aiga</w:t>
            </w:r>
            <w:proofErr w:type="spellEnd"/>
            <w:r w:rsidRPr="009A2A45">
              <w:rPr>
                <w:rFonts w:cs="Arial"/>
                <w:szCs w:val="18"/>
              </w:rPr>
              <w:t xml:space="preserve"> carers. It provides information, advice, learning and support for families with health and disability needs.</w:t>
            </w:r>
          </w:p>
          <w:p w:rsidR="00665FAB" w:rsidRPr="009A2A45" w:rsidRDefault="008A337B" w:rsidP="00665FAB">
            <w:pPr>
              <w:pStyle w:val="TableText"/>
              <w:ind w:right="142"/>
              <w:rPr>
                <w:rFonts w:cs="Arial"/>
                <w:szCs w:val="18"/>
              </w:rPr>
            </w:pPr>
            <w:hyperlink r:id="rId122" w:history="1">
              <w:r w:rsidR="00665FAB" w:rsidRPr="009A2A45">
                <w:rPr>
                  <w:rStyle w:val="Hyperlink"/>
                  <w:rFonts w:ascii="Arial" w:hAnsi="Arial" w:cs="Arial"/>
                  <w:color w:val="auto"/>
                  <w:sz w:val="18"/>
                  <w:szCs w:val="18"/>
                </w:rPr>
                <w:t>www.carers.net.nz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665FAB" w:rsidP="00665FAB">
            <w:pPr>
              <w:pStyle w:val="TableBullet"/>
            </w:pPr>
            <w:r w:rsidRPr="009A2A45">
              <w:rPr>
                <w:rFonts w:cs="Arial"/>
                <w:szCs w:val="18"/>
              </w:rPr>
              <w:t>Resources for Carers</w:t>
            </w:r>
            <w:r w:rsidRPr="009A2A45">
              <w:rPr>
                <w:rStyle w:val="Hyperlink"/>
                <w:rFonts w:ascii="Arial" w:hAnsi="Arial" w:cs="Arial"/>
                <w:color w:val="auto"/>
                <w:sz w:val="18"/>
                <w:szCs w:val="18"/>
              </w:rPr>
              <w:br/>
            </w:r>
            <w:hyperlink r:id="rId123" w:history="1">
              <w:r w:rsidRPr="009A2A45">
                <w:rPr>
                  <w:rStyle w:val="Hyperlink"/>
                  <w:rFonts w:ascii="Arial" w:hAnsi="Arial"/>
                  <w:color w:val="auto"/>
                  <w:sz w:val="18"/>
                </w:rPr>
                <w:t>www.carers.net.nz/information</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Style w:val="Hyperlink"/>
                <w:rFonts w:ascii="Arial" w:hAnsi="Arial" w:cs="Arial"/>
                <w:b/>
                <w:color w:val="auto"/>
                <w:sz w:val="18"/>
                <w:szCs w:val="18"/>
              </w:rPr>
            </w:pPr>
            <w:r w:rsidRPr="009A2A45">
              <w:rPr>
                <w:rFonts w:cs="Arial"/>
                <w:b/>
                <w:szCs w:val="18"/>
              </w:rPr>
              <w:t>CCS Disability Action</w:t>
            </w:r>
          </w:p>
          <w:p w:rsidR="005065F0" w:rsidRPr="009A2A45" w:rsidRDefault="005065F0" w:rsidP="0075492B">
            <w:pPr>
              <w:pStyle w:val="TableText"/>
              <w:ind w:right="142"/>
              <w:rPr>
                <w:rFonts w:cs="Arial"/>
                <w:szCs w:val="18"/>
              </w:rPr>
            </w:pPr>
            <w:r w:rsidRPr="009A2A45">
              <w:rPr>
                <w:rFonts w:cs="Arial"/>
                <w:szCs w:val="18"/>
              </w:rPr>
              <w:t>CCS Action</w:t>
            </w:r>
            <w:r w:rsidR="00267D5F" w:rsidRPr="009A2A45">
              <w:rPr>
                <w:rFonts w:cs="Arial"/>
                <w:szCs w:val="18"/>
              </w:rPr>
              <w:t>’</w:t>
            </w:r>
            <w:r w:rsidRPr="009A2A45">
              <w:rPr>
                <w:rFonts w:cs="Arial"/>
                <w:szCs w:val="18"/>
              </w:rPr>
              <w:t>s purpose is to strengthen communities and provide information, advocacy and support so people with disabilities are included in the life of their family and in their community. It also has 16 branches nationally that provide frontline support and services, create local awareness and education around disability issues.</w:t>
            </w:r>
          </w:p>
          <w:p w:rsidR="00665FAB" w:rsidRPr="009A2A45" w:rsidRDefault="008A337B" w:rsidP="00665FAB">
            <w:pPr>
              <w:pStyle w:val="TableText"/>
              <w:ind w:right="142"/>
              <w:rPr>
                <w:rFonts w:cs="Arial"/>
                <w:szCs w:val="18"/>
              </w:rPr>
            </w:pPr>
            <w:hyperlink r:id="rId124" w:history="1">
              <w:r w:rsidR="00665FAB" w:rsidRPr="009A2A45">
                <w:rPr>
                  <w:rStyle w:val="Hyperlink"/>
                  <w:rFonts w:ascii="Arial" w:hAnsi="Arial" w:cs="Arial"/>
                  <w:color w:val="auto"/>
                  <w:sz w:val="18"/>
                  <w:szCs w:val="18"/>
                </w:rPr>
                <w:t>www.ccsdisabilityaction.org.nz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665FAB" w:rsidP="00665FAB">
            <w:pPr>
              <w:pStyle w:val="TableBullet"/>
            </w:pPr>
            <w:r w:rsidRPr="009A2A45">
              <w:rPr>
                <w:rFonts w:cs="Arial"/>
                <w:szCs w:val="18"/>
              </w:rPr>
              <w:t>Information about mobility parking spaces across New Zealand</w:t>
            </w:r>
            <w:r w:rsidRPr="009A2A45">
              <w:rPr>
                <w:rStyle w:val="Hyperlink"/>
                <w:rFonts w:ascii="Arial" w:hAnsi="Arial" w:cs="Arial"/>
                <w:color w:val="auto"/>
                <w:sz w:val="18"/>
                <w:szCs w:val="18"/>
              </w:rPr>
              <w:br/>
            </w:r>
            <w:hyperlink r:id="rId125" w:history="1">
              <w:r w:rsidRPr="009A2A45">
                <w:rPr>
                  <w:rStyle w:val="Hyperlink"/>
                  <w:rFonts w:ascii="Arial" w:hAnsi="Arial"/>
                  <w:color w:val="auto"/>
                  <w:sz w:val="18"/>
                </w:rPr>
                <w:t>mobilityparking.org.nz/</w:t>
              </w:r>
              <w:proofErr w:type="spellStart"/>
              <w:r w:rsidRPr="009A2A45">
                <w:rPr>
                  <w:rStyle w:val="Hyperlink"/>
                  <w:rFonts w:ascii="Arial" w:hAnsi="Arial"/>
                  <w:color w:val="auto"/>
                  <w:sz w:val="18"/>
                </w:rPr>
                <w:t>index.php</w:t>
              </w:r>
              <w:proofErr w:type="spellEnd"/>
              <w:r w:rsidRPr="009A2A45">
                <w:rPr>
                  <w:rStyle w:val="Hyperlink"/>
                  <w:rFonts w:ascii="Arial" w:hAnsi="Arial"/>
                  <w:color w:val="auto"/>
                  <w:sz w:val="18"/>
                </w:rPr>
                <w:t>/mobility-parking-near-you</w:t>
              </w:r>
            </w:hyperlink>
            <w:r w:rsidRPr="009A2A45">
              <w:t xml:space="preserve"> </w:t>
            </w:r>
          </w:p>
          <w:p w:rsidR="005065F0" w:rsidRPr="009A2A45" w:rsidRDefault="00665FAB" w:rsidP="00665FAB">
            <w:pPr>
              <w:pStyle w:val="TableBullet"/>
            </w:pPr>
            <w:r w:rsidRPr="009A2A45">
              <w:rPr>
                <w:rFonts w:cs="Arial"/>
                <w:szCs w:val="18"/>
              </w:rPr>
              <w:t>Disability awareness and education</w:t>
            </w:r>
            <w:r w:rsidRPr="009A2A45">
              <w:rPr>
                <w:rStyle w:val="Hyperlink"/>
                <w:rFonts w:ascii="Arial" w:hAnsi="Arial" w:cs="Arial"/>
                <w:color w:val="auto"/>
                <w:sz w:val="18"/>
                <w:szCs w:val="18"/>
              </w:rPr>
              <w:br/>
            </w:r>
            <w:hyperlink r:id="rId126" w:history="1">
              <w:r w:rsidRPr="009A2A45">
                <w:rPr>
                  <w:rStyle w:val="Hyperlink"/>
                  <w:rFonts w:ascii="Arial" w:hAnsi="Arial"/>
                  <w:color w:val="auto"/>
                  <w:sz w:val="18"/>
                </w:rPr>
                <w:t>www.ccsdisabilityaction.org.nz/regions/northern-region/working-with-the-community/disability-awareness-and-education</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Fonts w:cs="Arial"/>
                <w:b/>
                <w:szCs w:val="18"/>
              </w:rPr>
            </w:pPr>
            <w:r w:rsidRPr="009A2A45">
              <w:rPr>
                <w:rFonts w:cs="Arial"/>
                <w:b/>
                <w:szCs w:val="18"/>
              </w:rPr>
              <w:lastRenderedPageBreak/>
              <w:t>Cerebral Palsy Society</w:t>
            </w:r>
          </w:p>
          <w:p w:rsidR="005065F0" w:rsidRPr="009A2A45" w:rsidRDefault="005065F0" w:rsidP="0075492B">
            <w:pPr>
              <w:pStyle w:val="TableText"/>
              <w:ind w:right="142"/>
              <w:rPr>
                <w:rFonts w:cs="Arial"/>
                <w:szCs w:val="18"/>
                <w:lang w:val="en"/>
              </w:rPr>
            </w:pPr>
            <w:r w:rsidRPr="009A2A45">
              <w:rPr>
                <w:rFonts w:cs="Arial"/>
                <w:szCs w:val="18"/>
                <w:lang w:val="en"/>
              </w:rPr>
              <w:t>The Cerebral Palsy Society of New Zealand</w:t>
            </w:r>
            <w:r w:rsidR="00267D5F" w:rsidRPr="009A2A45">
              <w:rPr>
                <w:rFonts w:cs="Arial"/>
                <w:szCs w:val="18"/>
                <w:lang w:val="en"/>
              </w:rPr>
              <w:t>’</w:t>
            </w:r>
            <w:r w:rsidRPr="009A2A45">
              <w:rPr>
                <w:rFonts w:cs="Arial"/>
                <w:szCs w:val="18"/>
                <w:lang w:val="en"/>
              </w:rPr>
              <w:t xml:space="preserve">s purpose is to enhance the lives and wellbeing of people with cerebral palsy (CP). It provides </w:t>
            </w:r>
            <w:proofErr w:type="spellStart"/>
            <w:r w:rsidRPr="009A2A45">
              <w:rPr>
                <w:rFonts w:cs="Arial"/>
                <w:szCs w:val="18"/>
                <w:lang w:val="en"/>
              </w:rPr>
              <w:t>programmes</w:t>
            </w:r>
            <w:proofErr w:type="spellEnd"/>
            <w:r w:rsidRPr="009A2A45">
              <w:rPr>
                <w:rFonts w:cs="Arial"/>
                <w:szCs w:val="18"/>
                <w:lang w:val="en"/>
              </w:rPr>
              <w:t xml:space="preserve"> designed to enhance the independence and quality of life of people living with CP and their families, and grants to its members for this purpose.</w:t>
            </w:r>
          </w:p>
          <w:p w:rsidR="00665FAB" w:rsidRPr="009A2A45" w:rsidRDefault="008A337B" w:rsidP="00665FAB">
            <w:pPr>
              <w:pStyle w:val="TableText"/>
              <w:ind w:right="142"/>
              <w:rPr>
                <w:rFonts w:cs="Arial"/>
                <w:szCs w:val="18"/>
              </w:rPr>
            </w:pPr>
            <w:hyperlink r:id="rId127" w:history="1">
              <w:r w:rsidR="00665FAB" w:rsidRPr="009A2A45">
                <w:rPr>
                  <w:rStyle w:val="Hyperlink"/>
                  <w:rFonts w:ascii="Arial" w:hAnsi="Arial" w:cs="Arial"/>
                  <w:color w:val="auto"/>
                  <w:sz w:val="18"/>
                  <w:szCs w:val="18"/>
                </w:rPr>
                <w:t>www.cerebralpalsy.org.nz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665FAB" w:rsidP="00665FAB">
            <w:pPr>
              <w:pStyle w:val="TableBullet"/>
            </w:pPr>
            <w:r w:rsidRPr="009A2A45">
              <w:rPr>
                <w:rFonts w:cs="Arial"/>
                <w:szCs w:val="18"/>
              </w:rPr>
              <w:t>About Cerebral Palsy</w:t>
            </w:r>
            <w:r w:rsidRPr="009A2A45">
              <w:rPr>
                <w:rStyle w:val="Hyperlink"/>
                <w:rFonts w:ascii="Arial" w:hAnsi="Arial" w:cs="Arial"/>
                <w:color w:val="auto"/>
                <w:sz w:val="18"/>
                <w:szCs w:val="18"/>
              </w:rPr>
              <w:br/>
            </w:r>
            <w:hyperlink r:id="rId128" w:history="1">
              <w:r w:rsidRPr="009A2A45">
                <w:rPr>
                  <w:rStyle w:val="Hyperlink"/>
                  <w:rFonts w:ascii="Arial" w:hAnsi="Arial"/>
                  <w:color w:val="auto"/>
                  <w:sz w:val="18"/>
                </w:rPr>
                <w:t>www.cerebralpalsy.org.nz/Category?Action=View&amp;Category_id=88</w:t>
              </w:r>
            </w:hyperlink>
            <w:r w:rsidRPr="009A2A45">
              <w:t xml:space="preserve"> </w:t>
            </w:r>
          </w:p>
        </w:tc>
      </w:tr>
      <w:tr w:rsidR="00DF1CC5" w:rsidRPr="007B53B3" w:rsidTr="00665FAB">
        <w:trPr>
          <w:cantSplit/>
        </w:trPr>
        <w:tc>
          <w:tcPr>
            <w:tcW w:w="5387" w:type="dxa"/>
            <w:tcBorders>
              <w:top w:val="single" w:sz="4" w:space="0" w:color="A6A6A6" w:themeColor="background1" w:themeShade="A6"/>
              <w:bottom w:val="single" w:sz="4" w:space="0" w:color="A6A6A6" w:themeColor="background1" w:themeShade="A6"/>
            </w:tcBorders>
          </w:tcPr>
          <w:p w:rsidR="00DF1CC5" w:rsidRPr="007B53B3" w:rsidRDefault="00DF1CC5" w:rsidP="0075492B">
            <w:pPr>
              <w:pStyle w:val="TableText"/>
              <w:ind w:right="142"/>
              <w:rPr>
                <w:rFonts w:cs="Arial"/>
                <w:b/>
                <w:szCs w:val="18"/>
              </w:rPr>
            </w:pPr>
            <w:r w:rsidRPr="007B53B3">
              <w:rPr>
                <w:rFonts w:cs="Arial"/>
                <w:b/>
                <w:szCs w:val="18"/>
              </w:rPr>
              <w:t>Complex Care Group Trust</w:t>
            </w:r>
          </w:p>
          <w:p w:rsidR="00DF1CC5" w:rsidRPr="007B53B3" w:rsidRDefault="005D5B0C" w:rsidP="00DF1CC5">
            <w:pPr>
              <w:pStyle w:val="NormalWeb"/>
              <w:shd w:val="clear" w:color="auto" w:fill="FFFFFF"/>
              <w:rPr>
                <w:rFonts w:ascii="Arial" w:hAnsi="Arial" w:cs="Arial"/>
                <w:sz w:val="18"/>
                <w:szCs w:val="18"/>
                <w:lang w:val="en"/>
              </w:rPr>
            </w:pPr>
            <w:r w:rsidRPr="007B53B3">
              <w:rPr>
                <w:rStyle w:val="Strong"/>
                <w:rFonts w:ascii="Arial" w:hAnsi="Arial" w:cs="Arial"/>
                <w:b w:val="0"/>
                <w:sz w:val="18"/>
                <w:szCs w:val="18"/>
                <w:lang w:val="en"/>
              </w:rPr>
              <w:t xml:space="preserve">The </w:t>
            </w:r>
            <w:r w:rsidR="00DF1CC5" w:rsidRPr="007B53B3">
              <w:rPr>
                <w:rStyle w:val="Strong"/>
                <w:rFonts w:ascii="Arial" w:hAnsi="Arial" w:cs="Arial"/>
                <w:b w:val="0"/>
                <w:sz w:val="18"/>
                <w:szCs w:val="18"/>
                <w:lang w:val="en"/>
              </w:rPr>
              <w:t>Complex Care Group</w:t>
            </w:r>
            <w:r w:rsidRPr="007B53B3">
              <w:rPr>
                <w:rStyle w:val="Strong"/>
                <w:rFonts w:ascii="Arial" w:hAnsi="Arial" w:cs="Arial"/>
                <w:b w:val="0"/>
                <w:sz w:val="18"/>
                <w:szCs w:val="18"/>
                <w:lang w:val="en"/>
              </w:rPr>
              <w:t xml:space="preserve"> Trust</w:t>
            </w:r>
            <w:r w:rsidR="00DF1CC5" w:rsidRPr="007B53B3">
              <w:rPr>
                <w:rStyle w:val="Strong"/>
                <w:rFonts w:ascii="Arial" w:hAnsi="Arial" w:cs="Arial"/>
                <w:b w:val="0"/>
                <w:sz w:val="18"/>
                <w:szCs w:val="18"/>
                <w:lang w:val="en"/>
              </w:rPr>
              <w:t xml:space="preserve"> is a support and information network run by and for </w:t>
            </w:r>
            <w:proofErr w:type="spellStart"/>
            <w:r w:rsidR="00DF1CC5" w:rsidRPr="007B53B3">
              <w:rPr>
                <w:rStyle w:val="Strong"/>
                <w:rFonts w:ascii="Arial" w:hAnsi="Arial" w:cs="Arial"/>
                <w:b w:val="0"/>
                <w:sz w:val="18"/>
                <w:szCs w:val="18"/>
                <w:lang w:val="en"/>
              </w:rPr>
              <w:t>carers</w:t>
            </w:r>
            <w:proofErr w:type="spellEnd"/>
            <w:r w:rsidR="00FE274B" w:rsidRPr="007B53B3">
              <w:rPr>
                <w:rStyle w:val="Strong"/>
                <w:rFonts w:ascii="Arial" w:hAnsi="Arial" w:cs="Arial"/>
                <w:b w:val="0"/>
                <w:sz w:val="18"/>
                <w:szCs w:val="18"/>
                <w:lang w:val="en"/>
              </w:rPr>
              <w:t xml:space="preserve"> who look after</w:t>
            </w:r>
            <w:r w:rsidR="00DF1CC5" w:rsidRPr="007B53B3">
              <w:rPr>
                <w:rStyle w:val="Strong"/>
                <w:rFonts w:ascii="Arial" w:hAnsi="Arial" w:cs="Arial"/>
                <w:b w:val="0"/>
                <w:sz w:val="18"/>
                <w:szCs w:val="18"/>
                <w:lang w:val="en"/>
              </w:rPr>
              <w:t xml:space="preserve"> people with complex needs.</w:t>
            </w:r>
          </w:p>
          <w:p w:rsidR="00DF1CC5" w:rsidRPr="007B53B3" w:rsidRDefault="00DF1CC5" w:rsidP="00DF1CC5">
            <w:pPr>
              <w:pStyle w:val="NormalWeb"/>
              <w:shd w:val="clear" w:color="auto" w:fill="FFFFFF"/>
              <w:rPr>
                <w:rFonts w:ascii="Arial" w:hAnsi="Arial" w:cs="Arial"/>
                <w:sz w:val="18"/>
                <w:szCs w:val="18"/>
                <w:lang w:val="en"/>
              </w:rPr>
            </w:pPr>
            <w:r w:rsidRPr="007B53B3">
              <w:rPr>
                <w:rFonts w:ascii="Arial" w:hAnsi="Arial" w:cs="Arial"/>
                <w:sz w:val="18"/>
                <w:szCs w:val="18"/>
                <w:lang w:val="en"/>
              </w:rPr>
              <w:t xml:space="preserve">It provides up-to-date information and support to </w:t>
            </w:r>
            <w:proofErr w:type="spellStart"/>
            <w:r w:rsidRPr="007B53B3">
              <w:rPr>
                <w:rFonts w:ascii="Arial" w:hAnsi="Arial" w:cs="Arial"/>
                <w:sz w:val="18"/>
                <w:szCs w:val="18"/>
                <w:lang w:val="en"/>
              </w:rPr>
              <w:t>carers</w:t>
            </w:r>
            <w:proofErr w:type="spellEnd"/>
            <w:r w:rsidRPr="007B53B3">
              <w:rPr>
                <w:rFonts w:ascii="Arial" w:hAnsi="Arial" w:cs="Arial"/>
                <w:sz w:val="18"/>
                <w:szCs w:val="18"/>
                <w:lang w:val="en"/>
              </w:rPr>
              <w:t xml:space="preserve"> to help them navigate the many challenges they face and is also responsible for communicating to Ministry of Health, funders and other providers, the needs of this group.</w:t>
            </w:r>
          </w:p>
          <w:p w:rsidR="00DF1CC5" w:rsidRPr="007B53B3" w:rsidRDefault="00DF1CC5" w:rsidP="00DF1CC5">
            <w:pPr>
              <w:pStyle w:val="NormalWeb"/>
              <w:shd w:val="clear" w:color="auto" w:fill="FFFFFF"/>
              <w:rPr>
                <w:rFonts w:ascii="Arial" w:hAnsi="Arial" w:cs="Arial"/>
                <w:sz w:val="18"/>
                <w:szCs w:val="18"/>
                <w:lang w:val="en"/>
              </w:rPr>
            </w:pPr>
            <w:r w:rsidRPr="007B53B3">
              <w:rPr>
                <w:rFonts w:ascii="Arial" w:hAnsi="Arial" w:cs="Arial"/>
                <w:sz w:val="18"/>
                <w:szCs w:val="18"/>
                <w:lang w:val="en"/>
              </w:rPr>
              <w:t>www.complexcaregroup.org.nz/</w:t>
            </w:r>
          </w:p>
          <w:p w:rsidR="00DF1CC5" w:rsidRPr="007B53B3" w:rsidRDefault="00DF1CC5" w:rsidP="0075492B">
            <w:pPr>
              <w:pStyle w:val="TableText"/>
              <w:ind w:right="142"/>
              <w:rPr>
                <w:rFonts w:cs="Arial"/>
                <w:b/>
                <w:szCs w:val="18"/>
              </w:rPr>
            </w:pPr>
          </w:p>
        </w:tc>
        <w:tc>
          <w:tcPr>
            <w:tcW w:w="3968" w:type="dxa"/>
            <w:tcBorders>
              <w:top w:val="single" w:sz="4" w:space="0" w:color="A6A6A6" w:themeColor="background1" w:themeShade="A6"/>
              <w:bottom w:val="single" w:sz="4" w:space="0" w:color="A6A6A6" w:themeColor="background1" w:themeShade="A6"/>
            </w:tcBorders>
            <w:tcMar>
              <w:top w:w="57" w:type="dxa"/>
            </w:tcMar>
          </w:tcPr>
          <w:p w:rsidR="00DF1CC5" w:rsidRPr="007B53B3" w:rsidRDefault="00DF1CC5" w:rsidP="00DF1CC5">
            <w:pPr>
              <w:pStyle w:val="TableBullet"/>
              <w:rPr>
                <w:rStyle w:val="Strong"/>
                <w:rFonts w:cs="Arial"/>
                <w:b w:val="0"/>
                <w:bCs w:val="0"/>
                <w:szCs w:val="18"/>
              </w:rPr>
            </w:pPr>
            <w:r w:rsidRPr="007B53B3">
              <w:rPr>
                <w:rStyle w:val="Strong"/>
                <w:rFonts w:cs="Arial"/>
                <w:b w:val="0"/>
                <w:lang w:val="en"/>
              </w:rPr>
              <w:t xml:space="preserve">A list of local and national services, as well as targeted information and contacts for some of the most commonly faced issues within the community. </w:t>
            </w:r>
          </w:p>
          <w:p w:rsidR="00DF1CC5" w:rsidRPr="007B53B3" w:rsidRDefault="00DF1CC5" w:rsidP="00DF1CC5">
            <w:pPr>
              <w:pStyle w:val="TableBullet"/>
              <w:rPr>
                <w:rStyle w:val="Strong"/>
                <w:rFonts w:cs="Arial"/>
                <w:b w:val="0"/>
                <w:bCs w:val="0"/>
                <w:szCs w:val="18"/>
              </w:rPr>
            </w:pPr>
            <w:r w:rsidRPr="007B53B3">
              <w:rPr>
                <w:rStyle w:val="Strong"/>
                <w:rFonts w:cs="Arial"/>
                <w:b w:val="0"/>
                <w:lang w:val="en"/>
              </w:rPr>
              <w:t>Access to social media and shared experiences, images and videos of the families that make up the CCG network.</w:t>
            </w:r>
          </w:p>
          <w:p w:rsidR="00DF1CC5" w:rsidRPr="007B53B3" w:rsidRDefault="00DF1CC5" w:rsidP="005D5B0C">
            <w:pPr>
              <w:pStyle w:val="TableBullet"/>
              <w:rPr>
                <w:rFonts w:cs="Arial"/>
                <w:szCs w:val="18"/>
              </w:rPr>
            </w:pPr>
            <w:r w:rsidRPr="007B53B3">
              <w:rPr>
                <w:rStyle w:val="Strong"/>
                <w:rFonts w:cs="Arial"/>
                <w:b w:val="0"/>
                <w:lang w:val="en"/>
              </w:rPr>
              <w:t>Information about rights and how to have a voice.</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7B53B3" w:rsidRDefault="00665FAB" w:rsidP="0075492B">
            <w:pPr>
              <w:pStyle w:val="TableText"/>
              <w:ind w:right="142"/>
              <w:rPr>
                <w:rFonts w:cs="Arial"/>
                <w:b/>
                <w:szCs w:val="18"/>
              </w:rPr>
            </w:pPr>
            <w:proofErr w:type="spellStart"/>
            <w:r w:rsidRPr="007B53B3">
              <w:rPr>
                <w:rFonts w:cs="Arial"/>
                <w:b/>
                <w:szCs w:val="18"/>
              </w:rPr>
              <w:t>eCALD</w:t>
            </w:r>
            <w:proofErr w:type="spellEnd"/>
          </w:p>
          <w:p w:rsidR="00654104" w:rsidRPr="007B53B3" w:rsidRDefault="00732F38" w:rsidP="00654104">
            <w:pPr>
              <w:pStyle w:val="TableText"/>
              <w:ind w:right="142"/>
              <w:rPr>
                <w:rFonts w:cs="Arial"/>
                <w:color w:val="000000"/>
                <w:szCs w:val="18"/>
                <w:lang w:eastAsia="en-NZ"/>
              </w:rPr>
            </w:pPr>
            <w:proofErr w:type="spellStart"/>
            <w:r w:rsidRPr="007B53B3">
              <w:rPr>
                <w:rFonts w:cs="Arial"/>
                <w:color w:val="444444"/>
              </w:rPr>
              <w:t>eCALD</w:t>
            </w:r>
            <w:proofErr w:type="spellEnd"/>
            <w:r w:rsidRPr="007B53B3">
              <w:rPr>
                <w:rFonts w:cs="Arial"/>
                <w:color w:val="444444"/>
                <w:sz w:val="17"/>
                <w:szCs w:val="17"/>
                <w:vertAlign w:val="superscript"/>
              </w:rPr>
              <w:t>®</w:t>
            </w:r>
            <w:r w:rsidRPr="007B53B3">
              <w:rPr>
                <w:rFonts w:cs="Arial"/>
                <w:color w:val="444444"/>
              </w:rPr>
              <w:t xml:space="preserve"> </w:t>
            </w:r>
            <w:r w:rsidR="00654104" w:rsidRPr="007B53B3">
              <w:rPr>
                <w:rFonts w:cs="Arial"/>
                <w:color w:val="444444"/>
              </w:rPr>
              <w:t xml:space="preserve">is a website that hosts a range of </w:t>
            </w:r>
            <w:r w:rsidRPr="007B53B3">
              <w:rPr>
                <w:rFonts w:cs="Arial"/>
                <w:color w:val="444444"/>
              </w:rPr>
              <w:t xml:space="preserve">resources </w:t>
            </w:r>
            <w:r w:rsidR="00654104" w:rsidRPr="007B53B3">
              <w:rPr>
                <w:rFonts w:cs="Arial"/>
                <w:color w:val="444444"/>
              </w:rPr>
              <w:t>to support the NZ health</w:t>
            </w:r>
            <w:r w:rsidR="00F01BBF" w:rsidRPr="007B53B3">
              <w:rPr>
                <w:rFonts w:cs="Arial"/>
                <w:color w:val="444444"/>
              </w:rPr>
              <w:t xml:space="preserve"> and disability</w:t>
            </w:r>
            <w:r w:rsidR="00654104" w:rsidRPr="007B53B3">
              <w:rPr>
                <w:rFonts w:cs="Arial"/>
                <w:color w:val="444444"/>
              </w:rPr>
              <w:t xml:space="preserve"> workforce to develop competencies to work and engage with culturally and linguistically diverse (CALD) migrants and refugees from </w:t>
            </w:r>
            <w:r w:rsidR="00654104" w:rsidRPr="007B53B3">
              <w:rPr>
                <w:rFonts w:cs="Arial"/>
                <w:color w:val="000000"/>
                <w:szCs w:val="18"/>
                <w:lang w:eastAsia="en-NZ"/>
              </w:rPr>
              <w:t xml:space="preserve">Asian, Middle Eastern, Latin American and African (MELAA) backgrounds. </w:t>
            </w:r>
          </w:p>
          <w:p w:rsidR="00732F38" w:rsidRPr="007B53B3" w:rsidRDefault="00732F38" w:rsidP="00654104">
            <w:pPr>
              <w:pStyle w:val="TableText"/>
              <w:ind w:right="142"/>
              <w:rPr>
                <w:rFonts w:cs="Arial"/>
                <w:szCs w:val="18"/>
              </w:rPr>
            </w:pPr>
            <w:r w:rsidRPr="007B53B3">
              <w:rPr>
                <w:rFonts w:cs="Arial"/>
                <w:color w:val="000000"/>
                <w:szCs w:val="18"/>
                <w:lang w:eastAsia="en-NZ"/>
              </w:rPr>
              <w:t>www.ecald.com</w:t>
            </w:r>
            <w:r w:rsidRPr="007B53B3">
              <w:rPr>
                <w:rFonts w:cs="Arial"/>
                <w:color w:val="000000"/>
                <w:szCs w:val="18"/>
                <w:lang w:eastAsia="en-NZ"/>
              </w:rPr>
              <w:br/>
            </w:r>
            <w:r w:rsidRPr="007B53B3">
              <w:rPr>
                <w:rFonts w:cs="Arial"/>
                <w:color w:val="000000"/>
                <w:szCs w:val="18"/>
                <w:lang w:eastAsia="en-NZ"/>
              </w:rPr>
              <w:br/>
            </w:r>
          </w:p>
        </w:tc>
        <w:tc>
          <w:tcPr>
            <w:tcW w:w="3968" w:type="dxa"/>
            <w:tcBorders>
              <w:top w:val="single" w:sz="4" w:space="0" w:color="A6A6A6" w:themeColor="background1" w:themeShade="A6"/>
              <w:bottom w:val="single" w:sz="4" w:space="0" w:color="A6A6A6" w:themeColor="background1" w:themeShade="A6"/>
            </w:tcBorders>
            <w:tcMar>
              <w:top w:w="57" w:type="dxa"/>
            </w:tcMar>
          </w:tcPr>
          <w:p w:rsidR="00654104" w:rsidRPr="007B53B3" w:rsidRDefault="00654104" w:rsidP="00665FAB">
            <w:pPr>
              <w:pStyle w:val="TableBullet"/>
            </w:pPr>
            <w:r w:rsidRPr="007B53B3">
              <w:rPr>
                <w:rFonts w:cs="Arial"/>
                <w:color w:val="000000"/>
                <w:szCs w:val="18"/>
                <w:lang w:eastAsia="en-NZ"/>
              </w:rPr>
              <w:t>A range of cross cultural resources and publications providing responsive approaches to ensure equitable, culturally</w:t>
            </w:r>
            <w:r w:rsidRPr="007B53B3">
              <w:rPr>
                <w:rFonts w:cs="Arial"/>
                <w:color w:val="000000"/>
                <w:szCs w:val="18"/>
                <w:lang w:eastAsia="en-NZ"/>
              </w:rPr>
              <w:br/>
              <w:t xml:space="preserve">appropriate, effective and safe services and engagement with CALD groups. </w:t>
            </w:r>
          </w:p>
          <w:p w:rsidR="005065F0" w:rsidRPr="007B53B3" w:rsidRDefault="00654104" w:rsidP="00654104">
            <w:pPr>
              <w:pStyle w:val="TableBullet"/>
            </w:pPr>
            <w:r w:rsidRPr="007B53B3">
              <w:rPr>
                <w:rFonts w:cs="Arial"/>
                <w:color w:val="000000"/>
                <w:szCs w:val="18"/>
                <w:lang w:eastAsia="en-NZ"/>
              </w:rPr>
              <w:t>Other resources on the website include translated resources, migrant</w:t>
            </w:r>
            <w:r w:rsidRPr="007B53B3">
              <w:rPr>
                <w:rFonts w:cs="Arial"/>
                <w:color w:val="000000"/>
                <w:szCs w:val="18"/>
                <w:lang w:eastAsia="en-NZ"/>
              </w:rPr>
              <w:br/>
              <w:t>and refugee services and news.</w:t>
            </w:r>
            <w:r w:rsidRPr="007B53B3">
              <w:rPr>
                <w:rFonts w:cs="Arial"/>
                <w:color w:val="000000"/>
                <w:szCs w:val="18"/>
                <w:lang w:eastAsia="en-NZ"/>
              </w:rPr>
              <w:br/>
            </w:r>
            <w:hyperlink r:id="rId129" w:history="1">
              <w:r w:rsidRPr="007B53B3">
                <w:rPr>
                  <w:rStyle w:val="Hyperlink"/>
                  <w:rFonts w:ascii="Arial" w:hAnsi="Arial" w:cs="Arial"/>
                  <w:sz w:val="18"/>
                  <w:szCs w:val="18"/>
                  <w:lang w:eastAsia="en-NZ"/>
                </w:rPr>
                <w:t>www.ecald.com</w:t>
              </w:r>
            </w:hyperlink>
            <w:r w:rsidRPr="007B53B3">
              <w:rPr>
                <w:rFonts w:cs="Arial"/>
                <w:color w:val="000000"/>
                <w:szCs w:val="18"/>
                <w:lang w:eastAsia="en-NZ"/>
              </w:rPr>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Fonts w:cs="Arial"/>
                <w:b/>
                <w:szCs w:val="18"/>
              </w:rPr>
            </w:pPr>
            <w:r w:rsidRPr="009A2A45">
              <w:rPr>
                <w:rFonts w:cs="Arial"/>
                <w:b/>
                <w:szCs w:val="18"/>
              </w:rPr>
              <w:t>Hearing Association</w:t>
            </w:r>
          </w:p>
          <w:p w:rsidR="00267D5F" w:rsidRPr="009A2A45" w:rsidRDefault="005065F0" w:rsidP="0075492B">
            <w:pPr>
              <w:pStyle w:val="TableText"/>
              <w:ind w:right="142"/>
              <w:rPr>
                <w:rFonts w:cs="Arial"/>
                <w:szCs w:val="18"/>
              </w:rPr>
            </w:pPr>
            <w:r w:rsidRPr="009A2A45">
              <w:rPr>
                <w:rFonts w:cs="Arial"/>
                <w:szCs w:val="18"/>
              </w:rPr>
              <w:t>The Hearing Association is a volunteer-based organisation that helps people with any type of hearing problem.</w:t>
            </w:r>
          </w:p>
          <w:p w:rsidR="00665FAB" w:rsidRPr="009A2A45" w:rsidRDefault="005065F0" w:rsidP="0075492B">
            <w:pPr>
              <w:pStyle w:val="TableText"/>
              <w:ind w:right="142"/>
              <w:rPr>
                <w:rFonts w:cs="Arial"/>
                <w:szCs w:val="18"/>
              </w:rPr>
            </w:pPr>
            <w:r w:rsidRPr="009A2A45">
              <w:rPr>
                <w:rFonts w:cs="Arial"/>
                <w:szCs w:val="18"/>
              </w:rPr>
              <w:t>Local branches offer one-to-one support for members and non-members alike,</w:t>
            </w:r>
            <w:r w:rsidR="0075492B" w:rsidRPr="009A2A45">
              <w:rPr>
                <w:rFonts w:cs="Arial"/>
                <w:szCs w:val="18"/>
              </w:rPr>
              <w:t xml:space="preserve"> socially and in the workplace.</w:t>
            </w:r>
          </w:p>
          <w:p w:rsidR="005065F0" w:rsidRPr="009A2A45" w:rsidRDefault="008A337B" w:rsidP="00665FAB">
            <w:pPr>
              <w:pStyle w:val="TableText"/>
              <w:ind w:right="142"/>
              <w:rPr>
                <w:rFonts w:cs="Arial"/>
                <w:szCs w:val="18"/>
              </w:rPr>
            </w:pPr>
            <w:hyperlink r:id="rId130" w:history="1">
              <w:r w:rsidR="00665FAB" w:rsidRPr="009A2A45">
                <w:rPr>
                  <w:rStyle w:val="Hyperlink"/>
                  <w:rFonts w:ascii="Arial" w:hAnsi="Arial" w:cs="Arial"/>
                  <w:color w:val="auto"/>
                  <w:sz w:val="18"/>
                  <w:szCs w:val="18"/>
                </w:rPr>
                <w:t>www.hearing.org.nz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665FAB" w:rsidP="00665FAB">
            <w:pPr>
              <w:pStyle w:val="TableBullet"/>
            </w:pPr>
            <w:r w:rsidRPr="009A2A45">
              <w:rPr>
                <w:rFonts w:cs="Arial"/>
                <w:szCs w:val="18"/>
              </w:rPr>
              <w:t>Hearing information cards</w:t>
            </w:r>
            <w:r w:rsidRPr="009A2A45">
              <w:rPr>
                <w:rStyle w:val="Hyperlink"/>
                <w:rFonts w:ascii="Arial" w:hAnsi="Arial" w:cs="Arial"/>
                <w:color w:val="auto"/>
                <w:sz w:val="18"/>
                <w:szCs w:val="18"/>
              </w:rPr>
              <w:br/>
            </w:r>
            <w:hyperlink r:id="rId131" w:history="1">
              <w:r w:rsidRPr="009A2A45">
                <w:rPr>
                  <w:rStyle w:val="Hyperlink"/>
                  <w:rFonts w:ascii="Arial" w:hAnsi="Arial"/>
                  <w:color w:val="auto"/>
                  <w:sz w:val="18"/>
                </w:rPr>
                <w:t>www.hearing.org.nz/info_cards.php</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665FAB" w:rsidP="0075492B">
            <w:pPr>
              <w:pStyle w:val="TableText"/>
              <w:ind w:right="142"/>
              <w:rPr>
                <w:rFonts w:cs="Arial"/>
                <w:b/>
                <w:szCs w:val="18"/>
              </w:rPr>
            </w:pPr>
            <w:r w:rsidRPr="009A2A45">
              <w:rPr>
                <w:rFonts w:cs="Arial"/>
                <w:b/>
                <w:szCs w:val="18"/>
              </w:rPr>
              <w:t>Hearing Dogs</w:t>
            </w:r>
          </w:p>
          <w:p w:rsidR="005065F0" w:rsidRPr="009A2A45" w:rsidRDefault="005065F0" w:rsidP="0075492B">
            <w:pPr>
              <w:pStyle w:val="TableText"/>
              <w:ind w:right="142"/>
              <w:rPr>
                <w:rFonts w:cs="Arial"/>
                <w:szCs w:val="18"/>
                <w:lang w:val="en"/>
              </w:rPr>
            </w:pPr>
            <w:r w:rsidRPr="009A2A45">
              <w:rPr>
                <w:rFonts w:cs="Arial"/>
                <w:szCs w:val="18"/>
                <w:lang w:val="en"/>
              </w:rPr>
              <w:t>Hearing Dogs supports and trains hearing dogs fo</w:t>
            </w:r>
            <w:r w:rsidR="0075492B" w:rsidRPr="009A2A45">
              <w:rPr>
                <w:rFonts w:cs="Arial"/>
                <w:szCs w:val="18"/>
                <w:lang w:val="en"/>
              </w:rPr>
              <w:t>r people with hearing problems.</w:t>
            </w:r>
          </w:p>
          <w:p w:rsidR="00665FAB" w:rsidRPr="009A2A45" w:rsidRDefault="008A337B" w:rsidP="0075492B">
            <w:pPr>
              <w:pStyle w:val="TableText"/>
              <w:ind w:right="142"/>
              <w:rPr>
                <w:rFonts w:cs="Arial"/>
                <w:szCs w:val="18"/>
              </w:rPr>
            </w:pPr>
            <w:hyperlink r:id="rId132" w:history="1">
              <w:r w:rsidR="00665FAB" w:rsidRPr="009A2A45">
                <w:rPr>
                  <w:rStyle w:val="Hyperlink"/>
                  <w:rFonts w:ascii="Arial" w:hAnsi="Arial" w:cs="Arial"/>
                  <w:color w:val="auto"/>
                  <w:sz w:val="18"/>
                  <w:szCs w:val="18"/>
                </w:rPr>
                <w:t>www.hearingdogs.org.nz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5065F0" w:rsidP="00665FAB">
            <w:pPr>
              <w:pStyle w:val="TableBullet"/>
            </w:pPr>
            <w:r w:rsidRPr="009A2A45">
              <w:t xml:space="preserve">Information on </w:t>
            </w:r>
            <w:r w:rsidR="00267D5F" w:rsidRPr="009A2A45">
              <w:t>‘</w:t>
            </w:r>
            <w:r w:rsidR="00665FAB" w:rsidRPr="009A2A45">
              <w:rPr>
                <w:rFonts w:cs="Arial"/>
                <w:szCs w:val="18"/>
              </w:rPr>
              <w:t>What is a hearing dog?</w:t>
            </w:r>
            <w:r w:rsidR="00665FAB" w:rsidRPr="009A2A45">
              <w:t>’</w:t>
            </w:r>
            <w:r w:rsidR="00665FAB" w:rsidRPr="009A2A45">
              <w:br/>
            </w:r>
            <w:hyperlink r:id="rId133" w:history="1">
              <w:r w:rsidR="00665FAB" w:rsidRPr="009A2A45">
                <w:rPr>
                  <w:rStyle w:val="Hyperlink"/>
                  <w:rFonts w:ascii="Arial" w:hAnsi="Arial"/>
                  <w:color w:val="auto"/>
                  <w:sz w:val="18"/>
                </w:rPr>
                <w:t>hearingdogs.org.nz/What-is-a-Hearing-Dog/0,2710,11032,00.html</w:t>
              </w:r>
            </w:hyperlink>
            <w:r w:rsidR="00665FAB" w:rsidRPr="009A2A45">
              <w:t xml:space="preserve"> </w:t>
            </w:r>
            <w:r w:rsidR="00665FAB" w:rsidRPr="009A2A45" w:rsidDel="00665FAB">
              <w:t xml:space="preserve"> </w:t>
            </w:r>
            <w:r w:rsidR="00665FAB"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665FAB" w:rsidP="0075492B">
            <w:pPr>
              <w:pStyle w:val="TableText"/>
              <w:ind w:right="142"/>
              <w:rPr>
                <w:rFonts w:cs="Arial"/>
                <w:b/>
                <w:szCs w:val="18"/>
              </w:rPr>
            </w:pPr>
            <w:r w:rsidRPr="009A2A45">
              <w:rPr>
                <w:rFonts w:cs="Arial"/>
                <w:b/>
                <w:szCs w:val="18"/>
              </w:rPr>
              <w:t>IHC New Zealand</w:t>
            </w:r>
          </w:p>
          <w:p w:rsidR="005065F0" w:rsidRPr="009A2A45" w:rsidRDefault="005065F0" w:rsidP="0075492B">
            <w:pPr>
              <w:pStyle w:val="TableText"/>
              <w:ind w:right="142"/>
              <w:rPr>
                <w:rFonts w:cs="Arial"/>
                <w:szCs w:val="18"/>
                <w:lang w:val="en"/>
              </w:rPr>
            </w:pPr>
            <w:r w:rsidRPr="009A2A45">
              <w:rPr>
                <w:rFonts w:cs="Arial"/>
                <w:szCs w:val="18"/>
                <w:lang w:val="en"/>
              </w:rPr>
              <w:t xml:space="preserve">IHC New Zealand is a membership-based </w:t>
            </w:r>
            <w:r w:rsidRPr="009A2A45">
              <w:rPr>
                <w:rFonts w:cs="Arial"/>
                <w:szCs w:val="18"/>
              </w:rPr>
              <w:t>organisation</w:t>
            </w:r>
            <w:r w:rsidRPr="009A2A45">
              <w:rPr>
                <w:rFonts w:cs="Arial"/>
                <w:szCs w:val="18"/>
                <w:lang w:val="en"/>
              </w:rPr>
              <w:t xml:space="preserve"> that supports people with intellectual disabilities to live satisfying lives in the community. IHC provides a range </w:t>
            </w:r>
            <w:r w:rsidR="00CD12C9">
              <w:rPr>
                <w:rFonts w:cs="Arial"/>
                <w:szCs w:val="18"/>
                <w:lang w:val="en"/>
              </w:rPr>
              <w:t>of services, including advocacy</w:t>
            </w:r>
            <w:r w:rsidRPr="009A2A45">
              <w:rPr>
                <w:rFonts w:cs="Arial"/>
                <w:szCs w:val="18"/>
                <w:lang w:val="en"/>
              </w:rPr>
              <w:t xml:space="preserve"> and a library related to intellectual disability.</w:t>
            </w:r>
          </w:p>
          <w:p w:rsidR="00665FAB" w:rsidRPr="009A2A45" w:rsidRDefault="008A337B" w:rsidP="0075492B">
            <w:pPr>
              <w:pStyle w:val="TableText"/>
              <w:ind w:right="142"/>
              <w:rPr>
                <w:rFonts w:cs="Arial"/>
                <w:szCs w:val="18"/>
                <w:lang w:val="en"/>
              </w:rPr>
            </w:pPr>
            <w:hyperlink r:id="rId134" w:history="1">
              <w:r w:rsidR="00665FAB" w:rsidRPr="009A2A45">
                <w:rPr>
                  <w:rStyle w:val="Hyperlink"/>
                  <w:rFonts w:ascii="Arial" w:hAnsi="Arial" w:cs="Arial"/>
                  <w:color w:val="auto"/>
                  <w:sz w:val="18"/>
                  <w:szCs w:val="18"/>
                  <w:lang w:val="en"/>
                </w:rPr>
                <w:t>www.ihc.org.nz</w:t>
              </w:r>
            </w:hyperlink>
            <w:r w:rsidR="00665FAB" w:rsidRPr="009A2A45">
              <w:rPr>
                <w:rFonts w:cs="Arial"/>
                <w:szCs w:val="18"/>
                <w:lang w:val="en"/>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665FAB" w:rsidP="00665FAB">
            <w:pPr>
              <w:pStyle w:val="TableBullet"/>
            </w:pPr>
            <w:r w:rsidRPr="009A2A45">
              <w:rPr>
                <w:rFonts w:cs="Arial"/>
                <w:szCs w:val="18"/>
              </w:rPr>
              <w:t>Information and resources on intellectual disability</w:t>
            </w:r>
            <w:r w:rsidRPr="009A2A45">
              <w:rPr>
                <w:rStyle w:val="Hyperlink"/>
                <w:rFonts w:ascii="Arial" w:hAnsi="Arial" w:cs="Arial"/>
                <w:color w:val="auto"/>
                <w:sz w:val="18"/>
                <w:szCs w:val="18"/>
              </w:rPr>
              <w:br/>
            </w:r>
            <w:hyperlink r:id="rId135" w:history="1">
              <w:r w:rsidRPr="009A2A45">
                <w:rPr>
                  <w:rStyle w:val="Hyperlink"/>
                  <w:rFonts w:ascii="Arial" w:hAnsi="Arial"/>
                  <w:color w:val="auto"/>
                  <w:sz w:val="18"/>
                </w:rPr>
                <w:t>www.ihc.org.nz/resources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665FAB" w:rsidP="0075492B">
            <w:pPr>
              <w:pStyle w:val="TableText"/>
              <w:ind w:right="142"/>
              <w:rPr>
                <w:rFonts w:cs="Arial"/>
                <w:b/>
                <w:szCs w:val="18"/>
              </w:rPr>
            </w:pPr>
            <w:proofErr w:type="spellStart"/>
            <w:r w:rsidRPr="009A2A45">
              <w:rPr>
                <w:rFonts w:cs="Arial"/>
                <w:b/>
                <w:szCs w:val="18"/>
              </w:rPr>
              <w:t>iSign</w:t>
            </w:r>
            <w:proofErr w:type="spellEnd"/>
          </w:p>
          <w:p w:rsidR="005065F0" w:rsidRPr="009A2A45" w:rsidRDefault="005065F0" w:rsidP="0075492B">
            <w:pPr>
              <w:pStyle w:val="TableText"/>
              <w:ind w:right="142"/>
              <w:rPr>
                <w:rFonts w:cs="Arial"/>
                <w:szCs w:val="18"/>
              </w:rPr>
            </w:pPr>
            <w:proofErr w:type="spellStart"/>
            <w:proofErr w:type="gramStart"/>
            <w:r w:rsidRPr="009A2A45">
              <w:rPr>
                <w:rFonts w:cs="Arial"/>
                <w:szCs w:val="18"/>
              </w:rPr>
              <w:t>iSign</w:t>
            </w:r>
            <w:proofErr w:type="spellEnd"/>
            <w:proofErr w:type="gramEnd"/>
            <w:r w:rsidRPr="009A2A45">
              <w:rPr>
                <w:rFonts w:cs="Arial"/>
                <w:szCs w:val="18"/>
              </w:rPr>
              <w:t xml:space="preserve"> is a nationwide booking organisation providing New Zealand Sign Language interpreters.</w:t>
            </w:r>
          </w:p>
          <w:p w:rsidR="00665FAB" w:rsidRPr="009A2A45" w:rsidRDefault="008A337B" w:rsidP="0075492B">
            <w:pPr>
              <w:pStyle w:val="TableText"/>
              <w:ind w:right="142"/>
              <w:rPr>
                <w:rFonts w:cs="Arial"/>
                <w:szCs w:val="18"/>
              </w:rPr>
            </w:pPr>
            <w:hyperlink r:id="rId136" w:history="1">
              <w:r w:rsidR="00665FAB" w:rsidRPr="009A2A45">
                <w:rPr>
                  <w:rStyle w:val="Hyperlink"/>
                  <w:rFonts w:ascii="Arial" w:hAnsi="Arial" w:cs="Arial"/>
                  <w:color w:val="auto"/>
                  <w:sz w:val="18"/>
                  <w:szCs w:val="18"/>
                </w:rPr>
                <w:t>www.isign.co.nz</w:t>
              </w:r>
            </w:hyperlink>
            <w:r w:rsidR="00665FAB"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5065F0" w:rsidP="00665FAB">
            <w:pPr>
              <w:pStyle w:val="TableBullet"/>
            </w:pPr>
            <w:r w:rsidRPr="009A2A45">
              <w:t xml:space="preserve">Information on </w:t>
            </w:r>
            <w:r w:rsidR="00267D5F" w:rsidRPr="009A2A45">
              <w:t>‘</w:t>
            </w:r>
            <w:r w:rsidR="00665FAB" w:rsidRPr="009A2A45">
              <w:rPr>
                <w:rFonts w:cs="Arial"/>
                <w:szCs w:val="18"/>
              </w:rPr>
              <w:t>What is an interpreter?</w:t>
            </w:r>
            <w:r w:rsidR="00665FAB" w:rsidRPr="009A2A45">
              <w:t>’</w:t>
            </w:r>
            <w:r w:rsidR="00665FAB" w:rsidRPr="009A2A45">
              <w:br/>
            </w:r>
            <w:hyperlink r:id="rId137" w:history="1">
              <w:r w:rsidR="00665FAB" w:rsidRPr="009A2A45">
                <w:rPr>
                  <w:rStyle w:val="Hyperlink"/>
                  <w:rFonts w:ascii="Arial" w:hAnsi="Arial"/>
                  <w:color w:val="auto"/>
                  <w:sz w:val="18"/>
                </w:rPr>
                <w:t>www.isign.co.nz/interpreters/what-is-an-interpreter</w:t>
              </w:r>
            </w:hyperlink>
            <w:r w:rsidR="00665FAB" w:rsidRPr="009A2A45">
              <w:t xml:space="preserve"> </w:t>
            </w:r>
            <w:r w:rsidR="00665FAB" w:rsidRPr="009A2A45" w:rsidDel="00665FAB">
              <w:t xml:space="preserve"> </w:t>
            </w:r>
            <w:r w:rsidR="00665FAB" w:rsidRPr="009A2A45">
              <w:t xml:space="preserve"> </w:t>
            </w:r>
          </w:p>
          <w:p w:rsidR="005065F0" w:rsidRPr="009A2A45" w:rsidRDefault="00665FAB" w:rsidP="00665FAB">
            <w:pPr>
              <w:pStyle w:val="TableBullet"/>
            </w:pPr>
            <w:r w:rsidRPr="009A2A45">
              <w:rPr>
                <w:rFonts w:cs="Arial"/>
                <w:szCs w:val="18"/>
              </w:rPr>
              <w:t>Interpreter booking process</w:t>
            </w:r>
            <w:r w:rsidRPr="009A2A45">
              <w:rPr>
                <w:rStyle w:val="Hyperlink"/>
                <w:rFonts w:ascii="Arial" w:hAnsi="Arial" w:cs="Arial"/>
                <w:color w:val="auto"/>
                <w:sz w:val="18"/>
                <w:szCs w:val="18"/>
              </w:rPr>
              <w:br/>
            </w:r>
            <w:hyperlink r:id="rId138" w:history="1">
              <w:r w:rsidRPr="009A2A45">
                <w:rPr>
                  <w:rStyle w:val="Hyperlink"/>
                  <w:rFonts w:ascii="Arial" w:hAnsi="Arial"/>
                  <w:color w:val="auto"/>
                  <w:sz w:val="18"/>
                </w:rPr>
                <w:t>www.isign.co.nz/services/interpreter-booking-process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proofErr w:type="spellStart"/>
            <w:r w:rsidRPr="009A2A45">
              <w:rPr>
                <w:rFonts w:cs="Arial"/>
                <w:b/>
                <w:szCs w:val="18"/>
              </w:rPr>
              <w:t>Te</w:t>
            </w:r>
            <w:proofErr w:type="spellEnd"/>
            <w:r w:rsidRPr="009A2A45">
              <w:rPr>
                <w:rFonts w:cs="Arial"/>
                <w:b/>
                <w:szCs w:val="18"/>
              </w:rPr>
              <w:t xml:space="preserve"> </w:t>
            </w:r>
            <w:proofErr w:type="spellStart"/>
            <w:r w:rsidRPr="009A2A45">
              <w:rPr>
                <w:rFonts w:cs="Arial"/>
                <w:b/>
                <w:szCs w:val="18"/>
              </w:rPr>
              <w:t>Pou</w:t>
            </w:r>
            <w:proofErr w:type="spellEnd"/>
            <w:r w:rsidRPr="009A2A45">
              <w:rPr>
                <w:rFonts w:cs="Arial"/>
                <w:b/>
                <w:szCs w:val="18"/>
              </w:rPr>
              <w:t xml:space="preserve"> o </w:t>
            </w:r>
            <w:proofErr w:type="spellStart"/>
            <w:r w:rsidRPr="009A2A45">
              <w:rPr>
                <w:rFonts w:cs="Arial"/>
                <w:b/>
                <w:szCs w:val="18"/>
              </w:rPr>
              <w:t>Te</w:t>
            </w:r>
            <w:proofErr w:type="spellEnd"/>
            <w:r w:rsidRPr="009A2A45">
              <w:rPr>
                <w:rFonts w:cs="Arial"/>
                <w:b/>
                <w:szCs w:val="18"/>
              </w:rPr>
              <w:t xml:space="preserve"> </w:t>
            </w:r>
            <w:proofErr w:type="spellStart"/>
            <w:r w:rsidRPr="009A2A45">
              <w:rPr>
                <w:rFonts w:cs="Arial"/>
                <w:b/>
                <w:szCs w:val="18"/>
              </w:rPr>
              <w:t>Whakaaro</w:t>
            </w:r>
            <w:proofErr w:type="spellEnd"/>
            <w:r w:rsidRPr="009A2A45">
              <w:rPr>
                <w:rFonts w:cs="Arial"/>
                <w:b/>
                <w:szCs w:val="18"/>
              </w:rPr>
              <w:t xml:space="preserve"> Nui</w:t>
            </w:r>
          </w:p>
          <w:p w:rsidR="005065F0" w:rsidRPr="009A2A45" w:rsidRDefault="005065F0" w:rsidP="0075492B">
            <w:pPr>
              <w:pStyle w:val="TableText"/>
              <w:ind w:right="142"/>
              <w:rPr>
                <w:rFonts w:cs="Arial"/>
                <w:szCs w:val="18"/>
                <w:lang w:val="en"/>
              </w:rPr>
            </w:pPr>
            <w:proofErr w:type="spellStart"/>
            <w:r w:rsidRPr="009A2A45">
              <w:rPr>
                <w:rFonts w:cs="Arial"/>
                <w:szCs w:val="18"/>
                <w:lang w:val="en"/>
              </w:rPr>
              <w:t>Te</w:t>
            </w:r>
            <w:proofErr w:type="spellEnd"/>
            <w:r w:rsidRPr="009A2A45">
              <w:rPr>
                <w:rFonts w:cs="Arial"/>
                <w:szCs w:val="18"/>
                <w:lang w:val="en"/>
              </w:rPr>
              <w:t xml:space="preserve"> </w:t>
            </w:r>
            <w:proofErr w:type="spellStart"/>
            <w:r w:rsidRPr="009A2A45">
              <w:rPr>
                <w:rFonts w:cs="Arial"/>
                <w:szCs w:val="18"/>
                <w:lang w:val="en"/>
              </w:rPr>
              <w:t>Pou</w:t>
            </w:r>
            <w:proofErr w:type="spellEnd"/>
            <w:r w:rsidRPr="009A2A45">
              <w:rPr>
                <w:rFonts w:cs="Arial"/>
                <w:szCs w:val="18"/>
                <w:lang w:val="en"/>
              </w:rPr>
              <w:t xml:space="preserve"> o </w:t>
            </w:r>
            <w:proofErr w:type="spellStart"/>
            <w:r w:rsidRPr="009A2A45">
              <w:rPr>
                <w:rFonts w:cs="Arial"/>
                <w:szCs w:val="18"/>
                <w:lang w:val="en"/>
              </w:rPr>
              <w:t>Te</w:t>
            </w:r>
            <w:proofErr w:type="spellEnd"/>
            <w:r w:rsidRPr="009A2A45">
              <w:rPr>
                <w:rFonts w:cs="Arial"/>
                <w:szCs w:val="18"/>
                <w:lang w:val="en"/>
              </w:rPr>
              <w:t xml:space="preserve"> </w:t>
            </w:r>
            <w:proofErr w:type="spellStart"/>
            <w:r w:rsidRPr="009A2A45">
              <w:rPr>
                <w:rFonts w:cs="Arial"/>
                <w:szCs w:val="18"/>
                <w:lang w:val="en"/>
              </w:rPr>
              <w:t>Whakaaro</w:t>
            </w:r>
            <w:proofErr w:type="spellEnd"/>
            <w:r w:rsidRPr="009A2A45">
              <w:rPr>
                <w:rFonts w:cs="Arial"/>
                <w:szCs w:val="18"/>
                <w:lang w:val="en"/>
              </w:rPr>
              <w:t xml:space="preserve"> Nui is a national </w:t>
            </w:r>
            <w:proofErr w:type="spellStart"/>
            <w:r w:rsidRPr="009A2A45">
              <w:rPr>
                <w:rFonts w:cs="Arial"/>
                <w:szCs w:val="18"/>
                <w:lang w:val="en"/>
              </w:rPr>
              <w:t>centre</w:t>
            </w:r>
            <w:proofErr w:type="spellEnd"/>
            <w:r w:rsidRPr="009A2A45">
              <w:rPr>
                <w:rFonts w:cs="Arial"/>
                <w:szCs w:val="18"/>
                <w:lang w:val="en"/>
              </w:rPr>
              <w:t xml:space="preserve"> of evidence-based workforce development for the mental health, ad</w:t>
            </w:r>
            <w:r w:rsidR="0075492B" w:rsidRPr="009A2A45">
              <w:rPr>
                <w:rFonts w:cs="Arial"/>
                <w:szCs w:val="18"/>
                <w:lang w:val="en"/>
              </w:rPr>
              <w:t>diction and disability sectors.</w:t>
            </w:r>
          </w:p>
          <w:p w:rsidR="002E7034" w:rsidRPr="009A2A45" w:rsidRDefault="008A337B" w:rsidP="002E7034">
            <w:pPr>
              <w:pStyle w:val="TableText"/>
              <w:ind w:right="142"/>
              <w:rPr>
                <w:rFonts w:cs="Arial"/>
                <w:szCs w:val="18"/>
                <w:lang w:val="en"/>
              </w:rPr>
            </w:pPr>
            <w:hyperlink r:id="rId139" w:history="1">
              <w:r w:rsidR="002E7034" w:rsidRPr="009A2A45">
                <w:rPr>
                  <w:rStyle w:val="Hyperlink"/>
                  <w:rFonts w:ascii="Arial" w:hAnsi="Arial" w:cs="Arial"/>
                  <w:color w:val="auto"/>
                  <w:sz w:val="18"/>
                  <w:szCs w:val="18"/>
                  <w:lang w:val="en"/>
                </w:rPr>
                <w:t>www.tepou.co.nz</w:t>
              </w:r>
            </w:hyperlink>
            <w:r w:rsidR="002E7034" w:rsidRPr="009A2A45">
              <w:rPr>
                <w:rFonts w:cs="Arial"/>
                <w:szCs w:val="18"/>
                <w:lang w:val="en"/>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Let’s get real: Disability</w:t>
            </w:r>
            <w:r w:rsidR="005065F0" w:rsidRPr="009A2A45">
              <w:t xml:space="preserve"> (a workforce quality initiative created to help the disability workforce meet the needs of disabled people, </w:t>
            </w:r>
            <w:proofErr w:type="spellStart"/>
            <w:r w:rsidR="005065F0" w:rsidRPr="009A2A45">
              <w:t>whānau</w:t>
            </w:r>
            <w:proofErr w:type="spellEnd"/>
            <w:r w:rsidR="005065F0" w:rsidRPr="009A2A45">
              <w:t xml:space="preserve"> and communities)</w:t>
            </w:r>
            <w:r w:rsidRPr="009A2A45">
              <w:br/>
            </w:r>
            <w:hyperlink r:id="rId140" w:history="1">
              <w:r w:rsidRPr="009A2A45">
                <w:rPr>
                  <w:rStyle w:val="Hyperlink"/>
                  <w:rFonts w:ascii="Arial" w:hAnsi="Arial"/>
                  <w:color w:val="auto"/>
                  <w:sz w:val="18"/>
                </w:rPr>
                <w:t>www.tepou.co.nz/disability-workforce/lets-get-real-disability/101</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r w:rsidRPr="009A2A45">
              <w:rPr>
                <w:rFonts w:cs="Arial"/>
                <w:b/>
                <w:szCs w:val="18"/>
              </w:rPr>
              <w:lastRenderedPageBreak/>
              <w:t>Mental Health Foundation</w:t>
            </w:r>
          </w:p>
          <w:p w:rsidR="00267D5F" w:rsidRPr="009A2A45" w:rsidRDefault="005065F0" w:rsidP="0075492B">
            <w:pPr>
              <w:pStyle w:val="TableText"/>
              <w:ind w:right="142"/>
              <w:rPr>
                <w:rFonts w:cs="Arial"/>
                <w:szCs w:val="18"/>
              </w:rPr>
            </w:pPr>
            <w:r w:rsidRPr="009A2A45">
              <w:rPr>
                <w:rFonts w:cs="Arial"/>
                <w:szCs w:val="18"/>
              </w:rPr>
              <w:t>The Mental Health Foundation provides a range of services and campaigns addressing all aspects of mental health and wellbeing.</w:t>
            </w:r>
          </w:p>
          <w:p w:rsidR="005065F0" w:rsidRPr="009A2A45" w:rsidRDefault="005065F0" w:rsidP="0075492B">
            <w:pPr>
              <w:pStyle w:val="TableText"/>
              <w:ind w:right="142"/>
              <w:rPr>
                <w:rFonts w:cs="Arial"/>
                <w:szCs w:val="18"/>
              </w:rPr>
            </w:pPr>
            <w:r w:rsidRPr="009A2A45">
              <w:rPr>
                <w:rFonts w:cs="Arial"/>
                <w:szCs w:val="18"/>
              </w:rPr>
              <w:t>It provides free information and training, and advocates for policies and services that support people with experience of mental illness and their families/</w:t>
            </w:r>
            <w:proofErr w:type="spellStart"/>
            <w:r w:rsidRPr="009A2A45">
              <w:rPr>
                <w:rFonts w:cs="Arial"/>
                <w:szCs w:val="18"/>
              </w:rPr>
              <w:t>whānau</w:t>
            </w:r>
            <w:proofErr w:type="spellEnd"/>
            <w:r w:rsidRPr="009A2A45">
              <w:rPr>
                <w:rFonts w:cs="Arial"/>
                <w:szCs w:val="18"/>
              </w:rPr>
              <w:t xml:space="preserve"> and friends.</w:t>
            </w:r>
          </w:p>
          <w:p w:rsidR="002E7034" w:rsidRPr="009A2A45" w:rsidRDefault="008A337B" w:rsidP="002E7034">
            <w:pPr>
              <w:pStyle w:val="TableText"/>
              <w:ind w:right="142"/>
              <w:rPr>
                <w:rFonts w:cs="Arial"/>
                <w:szCs w:val="18"/>
              </w:rPr>
            </w:pPr>
            <w:hyperlink r:id="rId141" w:history="1">
              <w:r w:rsidR="002E7034" w:rsidRPr="009A2A45">
                <w:rPr>
                  <w:rStyle w:val="Hyperlink"/>
                  <w:rFonts w:ascii="Arial" w:hAnsi="Arial" w:cs="Arial"/>
                  <w:color w:val="auto"/>
                  <w:sz w:val="18"/>
                  <w:szCs w:val="18"/>
                </w:rPr>
                <w:t>www.mentalhealth.org.nz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2E7034" w:rsidP="002E7034">
            <w:pPr>
              <w:pStyle w:val="TableBullet"/>
            </w:pPr>
            <w:r w:rsidRPr="009A2A45">
              <w:rPr>
                <w:rFonts w:cs="Arial"/>
                <w:szCs w:val="18"/>
              </w:rPr>
              <w:t>Mental Health Awareness Week</w:t>
            </w:r>
            <w:r w:rsidRPr="009A2A45">
              <w:rPr>
                <w:rStyle w:val="Hyperlink"/>
                <w:rFonts w:ascii="Arial" w:hAnsi="Arial" w:cs="Arial"/>
                <w:color w:val="auto"/>
                <w:sz w:val="18"/>
                <w:szCs w:val="18"/>
              </w:rPr>
              <w:br/>
            </w:r>
            <w:hyperlink r:id="rId142" w:history="1">
              <w:r w:rsidRPr="009A2A45">
                <w:rPr>
                  <w:rStyle w:val="Hyperlink"/>
                  <w:rFonts w:ascii="Arial" w:hAnsi="Arial"/>
                  <w:color w:val="auto"/>
                  <w:sz w:val="18"/>
                </w:rPr>
                <w:t>www.mentalhealth.org.nz/home/our-work/category/16/mental-health-awareness-week</w:t>
              </w:r>
            </w:hyperlink>
            <w:r w:rsidRPr="009A2A45">
              <w:t xml:space="preserve"> </w:t>
            </w:r>
          </w:p>
          <w:p w:rsidR="005065F0" w:rsidRPr="009A2A45" w:rsidRDefault="002E7034" w:rsidP="002E7034">
            <w:pPr>
              <w:pStyle w:val="TableBullet"/>
            </w:pPr>
            <w:r w:rsidRPr="009A2A45">
              <w:rPr>
                <w:rFonts w:cs="Arial"/>
                <w:szCs w:val="18"/>
              </w:rPr>
              <w:t>Like Minds Like Mine</w:t>
            </w:r>
            <w:r w:rsidRPr="009A2A45">
              <w:rPr>
                <w:rStyle w:val="Hyperlink"/>
                <w:rFonts w:ascii="Arial" w:hAnsi="Arial" w:cs="Arial"/>
                <w:color w:val="auto"/>
                <w:sz w:val="18"/>
                <w:szCs w:val="18"/>
              </w:rPr>
              <w:br/>
            </w:r>
            <w:hyperlink r:id="rId143" w:history="1">
              <w:r w:rsidRPr="009A2A45">
                <w:rPr>
                  <w:rStyle w:val="Hyperlink"/>
                  <w:rFonts w:ascii="Arial" w:hAnsi="Arial"/>
                  <w:color w:val="auto"/>
                  <w:sz w:val="18"/>
                </w:rPr>
                <w:t>www.mentalhealth.org.nz/home/our-work/category/15/like-minds-like-mine</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2E7034" w:rsidP="0075492B">
            <w:pPr>
              <w:pStyle w:val="TableText"/>
              <w:ind w:right="142"/>
              <w:rPr>
                <w:rFonts w:cs="Arial"/>
                <w:b/>
                <w:szCs w:val="18"/>
              </w:rPr>
            </w:pPr>
            <w:r w:rsidRPr="009A2A45">
              <w:rPr>
                <w:rFonts w:cs="Arial"/>
                <w:b/>
                <w:szCs w:val="18"/>
              </w:rPr>
              <w:t xml:space="preserve">Multiple Sclerosis Society of New Zealand </w:t>
            </w:r>
            <w:proofErr w:type="spellStart"/>
            <w:r w:rsidRPr="009A2A45">
              <w:rPr>
                <w:rFonts w:cs="Arial"/>
                <w:b/>
                <w:szCs w:val="18"/>
              </w:rPr>
              <w:t>Inc</w:t>
            </w:r>
            <w:proofErr w:type="spellEnd"/>
          </w:p>
          <w:p w:rsidR="005065F0" w:rsidRPr="009A2A45" w:rsidRDefault="005065F0" w:rsidP="0075492B">
            <w:pPr>
              <w:pStyle w:val="TableText"/>
              <w:ind w:right="142"/>
              <w:rPr>
                <w:rFonts w:cs="Arial"/>
                <w:szCs w:val="18"/>
              </w:rPr>
            </w:pPr>
            <w:r w:rsidRPr="009A2A45">
              <w:rPr>
                <w:rFonts w:cs="Arial"/>
                <w:szCs w:val="18"/>
              </w:rPr>
              <w:t>The Multiple Sclerosis (MS) Society of New Zealand is a non-profit organisation that provides on-going support, education and advocacy for people with MS and their support networks. It also aims to educate the general public, employers and health professionals about MS and actively funds key research into the condition.</w:t>
            </w:r>
          </w:p>
          <w:p w:rsidR="002E7034" w:rsidRPr="009A2A45" w:rsidRDefault="008A337B" w:rsidP="002E7034">
            <w:pPr>
              <w:pStyle w:val="TableText"/>
              <w:ind w:right="142"/>
              <w:rPr>
                <w:rFonts w:cs="Arial"/>
                <w:szCs w:val="18"/>
              </w:rPr>
            </w:pPr>
            <w:hyperlink r:id="rId144" w:history="1">
              <w:r w:rsidR="002E7034" w:rsidRPr="009A2A45">
                <w:rPr>
                  <w:rStyle w:val="Hyperlink"/>
                  <w:rFonts w:ascii="Arial" w:hAnsi="Arial" w:cs="Arial"/>
                  <w:color w:val="auto"/>
                  <w:sz w:val="18"/>
                  <w:szCs w:val="18"/>
                </w:rPr>
                <w:t>https://www.msnz.org.nz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2E7034" w:rsidP="002E7034">
            <w:pPr>
              <w:pStyle w:val="TableBullet"/>
            </w:pPr>
            <w:r w:rsidRPr="009A2A45">
              <w:rPr>
                <w:rFonts w:cs="Arial"/>
                <w:szCs w:val="18"/>
              </w:rPr>
              <w:t>Information on MS</w:t>
            </w:r>
            <w:r w:rsidRPr="009A2A45">
              <w:rPr>
                <w:rStyle w:val="Hyperlink"/>
                <w:rFonts w:ascii="Arial" w:hAnsi="Arial" w:cs="Arial"/>
                <w:color w:val="auto"/>
                <w:sz w:val="18"/>
                <w:szCs w:val="18"/>
              </w:rPr>
              <w:br/>
            </w:r>
            <w:hyperlink r:id="rId145" w:history="1">
              <w:r w:rsidRPr="009A2A45">
                <w:rPr>
                  <w:rStyle w:val="Hyperlink"/>
                  <w:rFonts w:ascii="Arial" w:hAnsi="Arial"/>
                  <w:color w:val="auto"/>
                  <w:sz w:val="18"/>
                </w:rPr>
                <w:t>www.msnz.org.nz/Page.aspx?pid=276</w:t>
              </w:r>
            </w:hyperlink>
            <w:r w:rsidRPr="009A2A45">
              <w:t xml:space="preserve"> </w:t>
            </w:r>
          </w:p>
          <w:p w:rsidR="005065F0" w:rsidRPr="009A2A45" w:rsidRDefault="002E7034" w:rsidP="002E7034">
            <w:pPr>
              <w:pStyle w:val="TableBullet"/>
            </w:pPr>
            <w:r w:rsidRPr="009A2A45">
              <w:rPr>
                <w:rFonts w:cs="Arial"/>
                <w:szCs w:val="18"/>
              </w:rPr>
              <w:t>MS publications</w:t>
            </w:r>
            <w:r w:rsidRPr="009A2A45">
              <w:rPr>
                <w:rStyle w:val="Hyperlink"/>
                <w:rFonts w:ascii="Arial" w:hAnsi="Arial" w:cs="Arial"/>
                <w:color w:val="auto"/>
                <w:sz w:val="18"/>
                <w:szCs w:val="18"/>
              </w:rPr>
              <w:br/>
            </w:r>
            <w:hyperlink r:id="rId146" w:history="1">
              <w:r w:rsidRPr="009A2A45">
                <w:rPr>
                  <w:rStyle w:val="Hyperlink"/>
                  <w:rFonts w:ascii="Arial" w:hAnsi="Arial"/>
                  <w:color w:val="auto"/>
                  <w:sz w:val="18"/>
                </w:rPr>
                <w:t>www.msnz.org.nz/Page.aspx?pid=329</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2E7034" w:rsidP="0075492B">
            <w:pPr>
              <w:pStyle w:val="TableText"/>
              <w:ind w:right="142"/>
              <w:rPr>
                <w:rFonts w:cs="Arial"/>
                <w:b/>
                <w:szCs w:val="18"/>
              </w:rPr>
            </w:pPr>
            <w:r w:rsidRPr="009A2A45">
              <w:rPr>
                <w:rFonts w:cs="Arial"/>
                <w:b/>
                <w:szCs w:val="18"/>
              </w:rPr>
              <w:t>Muscular Dystrophy Association</w:t>
            </w:r>
          </w:p>
          <w:p w:rsidR="005065F0" w:rsidRPr="009A2A45" w:rsidRDefault="005065F0" w:rsidP="0075492B">
            <w:pPr>
              <w:pStyle w:val="TableText"/>
              <w:ind w:right="142"/>
              <w:rPr>
                <w:rFonts w:cs="Arial"/>
                <w:szCs w:val="18"/>
              </w:rPr>
            </w:pPr>
            <w:r w:rsidRPr="009A2A45">
              <w:rPr>
                <w:rFonts w:cs="Arial"/>
                <w:szCs w:val="18"/>
              </w:rPr>
              <w:t>The Muscular Dystrophy Association is a New Zealand not-for-profit organisation which provides information and support to people affected by neuromuscular conditions. Its services include a national fieldwork service, as well as specialist information and advice.</w:t>
            </w:r>
          </w:p>
          <w:p w:rsidR="002E7034" w:rsidRPr="009A2A45" w:rsidRDefault="008A337B" w:rsidP="0075492B">
            <w:pPr>
              <w:pStyle w:val="TableText"/>
              <w:ind w:right="142"/>
              <w:rPr>
                <w:rFonts w:cs="Arial"/>
                <w:szCs w:val="18"/>
              </w:rPr>
            </w:pPr>
            <w:hyperlink r:id="rId147" w:history="1">
              <w:r w:rsidR="002E7034" w:rsidRPr="009A2A45">
                <w:rPr>
                  <w:rStyle w:val="Hyperlink"/>
                  <w:rFonts w:ascii="Arial" w:hAnsi="Arial" w:cs="Arial"/>
                  <w:color w:val="auto"/>
                  <w:sz w:val="18"/>
                  <w:szCs w:val="18"/>
                </w:rPr>
                <w:t>www.mda.org.nz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Information and resources on specific neuromuscular conditions</w:t>
            </w:r>
            <w:r w:rsidRPr="009A2A45">
              <w:rPr>
                <w:rStyle w:val="Hyperlink"/>
                <w:rFonts w:ascii="Arial" w:hAnsi="Arial" w:cs="Arial"/>
                <w:color w:val="auto"/>
                <w:sz w:val="18"/>
                <w:szCs w:val="18"/>
              </w:rPr>
              <w:br/>
            </w:r>
            <w:hyperlink r:id="rId148" w:history="1">
              <w:r w:rsidRPr="009A2A45">
                <w:rPr>
                  <w:rStyle w:val="Hyperlink"/>
                  <w:rFonts w:ascii="Arial" w:hAnsi="Arial"/>
                  <w:color w:val="auto"/>
                  <w:sz w:val="18"/>
                </w:rPr>
                <w:t>www.mda.org.nz/information</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r w:rsidRPr="009A2A45">
              <w:rPr>
                <w:rFonts w:cs="Arial"/>
                <w:b/>
                <w:szCs w:val="18"/>
              </w:rPr>
              <w:t>National Foundation for the Deaf</w:t>
            </w:r>
          </w:p>
          <w:p w:rsidR="005065F0" w:rsidRPr="009A2A45" w:rsidRDefault="005065F0" w:rsidP="0075492B">
            <w:pPr>
              <w:pStyle w:val="TableText"/>
              <w:ind w:right="142"/>
              <w:rPr>
                <w:rFonts w:cs="Arial"/>
                <w:szCs w:val="18"/>
              </w:rPr>
            </w:pPr>
            <w:r w:rsidRPr="009A2A45">
              <w:rPr>
                <w:rFonts w:cs="Arial"/>
                <w:szCs w:val="18"/>
              </w:rPr>
              <w:t>The National Foundation for the Deaf works to promote the rights, interests and welfare of people with hearing loss. It offers support, prevention and advocacy programmes. The Foundation</w:t>
            </w:r>
            <w:r w:rsidR="00267D5F" w:rsidRPr="009A2A45">
              <w:rPr>
                <w:rFonts w:cs="Arial"/>
                <w:szCs w:val="18"/>
              </w:rPr>
              <w:t>’</w:t>
            </w:r>
            <w:r w:rsidRPr="009A2A45">
              <w:rPr>
                <w:rFonts w:cs="Arial"/>
                <w:szCs w:val="18"/>
              </w:rPr>
              <w:t>s website publishes various resources.</w:t>
            </w:r>
          </w:p>
          <w:p w:rsidR="002E7034" w:rsidRPr="009A2A45" w:rsidRDefault="008A337B" w:rsidP="002E7034">
            <w:pPr>
              <w:pStyle w:val="TableText"/>
              <w:ind w:right="142"/>
              <w:rPr>
                <w:rFonts w:cs="Arial"/>
                <w:szCs w:val="18"/>
              </w:rPr>
            </w:pPr>
            <w:hyperlink r:id="rId149" w:history="1">
              <w:r w:rsidR="002E7034" w:rsidRPr="009A2A45">
                <w:rPr>
                  <w:rStyle w:val="Hyperlink"/>
                  <w:rFonts w:ascii="Arial" w:hAnsi="Arial" w:cs="Arial"/>
                  <w:color w:val="auto"/>
                  <w:sz w:val="18"/>
                  <w:szCs w:val="18"/>
                </w:rPr>
                <w:t>www.nfd.org.nz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Communication tips</w:t>
            </w:r>
            <w:r w:rsidRPr="009A2A45">
              <w:rPr>
                <w:rStyle w:val="Hyperlink"/>
                <w:rFonts w:ascii="Arial" w:hAnsi="Arial" w:cs="Arial"/>
                <w:color w:val="auto"/>
                <w:sz w:val="18"/>
                <w:szCs w:val="18"/>
              </w:rPr>
              <w:br/>
            </w:r>
            <w:hyperlink r:id="rId150" w:history="1">
              <w:r w:rsidRPr="009A2A45">
                <w:rPr>
                  <w:rStyle w:val="Hyperlink"/>
                  <w:rFonts w:ascii="Arial" w:hAnsi="Arial"/>
                  <w:color w:val="auto"/>
                  <w:sz w:val="18"/>
                </w:rPr>
                <w:t>www.nfd.org.nz/help-and-advice/your-hearing/communication-tips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r w:rsidRPr="009A2A45">
              <w:rPr>
                <w:rFonts w:cs="Arial"/>
                <w:b/>
                <w:szCs w:val="18"/>
              </w:rPr>
              <w:t>Needs Assessment Service Co-ordination Association</w:t>
            </w:r>
          </w:p>
          <w:p w:rsidR="001F07DE" w:rsidRPr="009A2A45" w:rsidRDefault="005065F0" w:rsidP="0075492B">
            <w:pPr>
              <w:pStyle w:val="TableText"/>
              <w:ind w:right="142"/>
              <w:rPr>
                <w:rFonts w:cs="Arial"/>
                <w:szCs w:val="18"/>
              </w:rPr>
            </w:pPr>
            <w:r w:rsidRPr="009A2A45">
              <w:rPr>
                <w:rFonts w:cs="Arial"/>
                <w:szCs w:val="18"/>
              </w:rPr>
              <w:t>The Needs Assessment Service Co-ordination Association (NASCA) is the national association for managers of NASC organisations. The Ministry of Health contracts these organisations to:</w:t>
            </w:r>
          </w:p>
          <w:p w:rsidR="001F07DE" w:rsidRPr="009A2A45" w:rsidRDefault="005065F0" w:rsidP="0075492B">
            <w:pPr>
              <w:pStyle w:val="TableBullet"/>
              <w:ind w:right="142"/>
            </w:pPr>
            <w:r w:rsidRPr="009A2A45">
              <w:t>work with people with disabilities to identify their strengths and support needs</w:t>
            </w:r>
          </w:p>
          <w:p w:rsidR="00267D5F" w:rsidRPr="009A2A45" w:rsidRDefault="005065F0" w:rsidP="0075492B">
            <w:pPr>
              <w:pStyle w:val="TableBullet"/>
              <w:ind w:right="142"/>
            </w:pPr>
            <w:r w:rsidRPr="009A2A45">
              <w:t>tell people about available support services</w:t>
            </w:r>
          </w:p>
          <w:p w:rsidR="001F07DE" w:rsidRPr="009A2A45" w:rsidRDefault="005065F0" w:rsidP="0075492B">
            <w:pPr>
              <w:pStyle w:val="TableBullet"/>
              <w:ind w:right="142"/>
            </w:pPr>
            <w:r w:rsidRPr="009A2A45">
              <w:t>determine people</w:t>
            </w:r>
            <w:r w:rsidR="00267D5F" w:rsidRPr="009A2A45">
              <w:t>’</w:t>
            </w:r>
            <w:r w:rsidRPr="009A2A45">
              <w:t>s eligibility for Ministry of Health-funded support services</w:t>
            </w:r>
          </w:p>
          <w:p w:rsidR="00267D5F" w:rsidRPr="009A2A45" w:rsidRDefault="005065F0" w:rsidP="0075492B">
            <w:pPr>
              <w:pStyle w:val="TableBullet"/>
              <w:ind w:right="142"/>
            </w:pPr>
            <w:r w:rsidRPr="009A2A45">
              <w:t>allocate Ministry-funded support services</w:t>
            </w:r>
          </w:p>
          <w:p w:rsidR="00267D5F" w:rsidRPr="009A2A45" w:rsidRDefault="005065F0" w:rsidP="0075492B">
            <w:pPr>
              <w:pStyle w:val="TableBullet"/>
              <w:ind w:right="142"/>
            </w:pPr>
            <w:proofErr w:type="gramStart"/>
            <w:r w:rsidRPr="009A2A45">
              <w:t>help</w:t>
            </w:r>
            <w:proofErr w:type="gramEnd"/>
            <w:r w:rsidRPr="009A2A45">
              <w:t xml:space="preserve"> people access other supports.</w:t>
            </w:r>
          </w:p>
          <w:p w:rsidR="005065F0" w:rsidRPr="009A2A45" w:rsidRDefault="005065F0" w:rsidP="0075492B">
            <w:pPr>
              <w:pStyle w:val="TableText"/>
              <w:ind w:right="142"/>
              <w:rPr>
                <w:rFonts w:cs="Arial"/>
                <w:szCs w:val="18"/>
              </w:rPr>
            </w:pPr>
            <w:r w:rsidRPr="009A2A45">
              <w:rPr>
                <w:rFonts w:cs="Arial"/>
                <w:szCs w:val="18"/>
              </w:rPr>
              <w:t>Support services are then delivered by their respective service providers.</w:t>
            </w:r>
          </w:p>
          <w:p w:rsidR="002E7034" w:rsidRPr="009A2A45" w:rsidRDefault="008A337B" w:rsidP="002E7034">
            <w:pPr>
              <w:pStyle w:val="TableText"/>
              <w:ind w:right="142"/>
              <w:rPr>
                <w:rFonts w:cs="Arial"/>
                <w:szCs w:val="18"/>
              </w:rPr>
            </w:pPr>
            <w:hyperlink r:id="rId151" w:history="1">
              <w:r w:rsidR="002E7034" w:rsidRPr="009A2A45">
                <w:rPr>
                  <w:rStyle w:val="Hyperlink"/>
                  <w:rFonts w:ascii="Arial" w:hAnsi="Arial" w:cs="Arial"/>
                  <w:color w:val="auto"/>
                  <w:sz w:val="18"/>
                  <w:szCs w:val="18"/>
                </w:rPr>
                <w:t>www.nznasca.co.nz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Regional contacts/locations</w:t>
            </w:r>
            <w:r w:rsidRPr="009A2A45">
              <w:rPr>
                <w:rStyle w:val="Hyperlink"/>
                <w:rFonts w:ascii="Arial" w:hAnsi="Arial" w:cs="Arial"/>
                <w:color w:val="auto"/>
                <w:sz w:val="18"/>
                <w:szCs w:val="18"/>
              </w:rPr>
              <w:br/>
            </w:r>
            <w:hyperlink r:id="rId152" w:history="1">
              <w:r w:rsidRPr="009A2A45">
                <w:rPr>
                  <w:rStyle w:val="Hyperlink"/>
                  <w:rFonts w:ascii="Arial" w:hAnsi="Arial"/>
                  <w:color w:val="auto"/>
                  <w:sz w:val="18"/>
                </w:rPr>
                <w:t>www.nznasca.co.nz/services/younger-peoples-nasc-services</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r w:rsidRPr="009A2A45">
              <w:rPr>
                <w:rFonts w:cs="Arial"/>
                <w:b/>
                <w:szCs w:val="18"/>
              </w:rPr>
              <w:t>New Zealand Disability Support Network</w:t>
            </w:r>
          </w:p>
          <w:p w:rsidR="005065F0" w:rsidRPr="009A2A45" w:rsidRDefault="005065F0" w:rsidP="0075492B">
            <w:pPr>
              <w:pStyle w:val="TableText"/>
              <w:ind w:right="142"/>
              <w:rPr>
                <w:rFonts w:cs="Arial"/>
                <w:szCs w:val="18"/>
              </w:rPr>
            </w:pPr>
            <w:r w:rsidRPr="009A2A45">
              <w:rPr>
                <w:rFonts w:cs="Arial"/>
                <w:szCs w:val="18"/>
              </w:rPr>
              <w:t>The New Zealand Disability Support Network is a national association o</w:t>
            </w:r>
            <w:r w:rsidR="000C248F" w:rsidRPr="009A2A45">
              <w:rPr>
                <w:rFonts w:cs="Arial"/>
                <w:szCs w:val="18"/>
              </w:rPr>
              <w:t>f disability support providers.</w:t>
            </w:r>
          </w:p>
          <w:p w:rsidR="002E7034" w:rsidRPr="009A2A45" w:rsidRDefault="008A337B" w:rsidP="002E7034">
            <w:pPr>
              <w:pStyle w:val="TableText"/>
              <w:ind w:right="142"/>
              <w:rPr>
                <w:rFonts w:cs="Arial"/>
                <w:szCs w:val="18"/>
              </w:rPr>
            </w:pPr>
            <w:hyperlink r:id="rId153" w:history="1">
              <w:r w:rsidR="002E7034" w:rsidRPr="009A2A45">
                <w:rPr>
                  <w:rStyle w:val="Hyperlink"/>
                  <w:rFonts w:ascii="Arial" w:hAnsi="Arial" w:cs="Arial"/>
                  <w:color w:val="auto"/>
                  <w:sz w:val="18"/>
                  <w:szCs w:val="18"/>
                </w:rPr>
                <w:t>www.nzdsn.org.nz</w:t>
              </w:r>
            </w:hyperlink>
            <w:r w:rsidR="002E703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Directory of member service providers</w:t>
            </w:r>
            <w:r w:rsidRPr="009A2A45">
              <w:rPr>
                <w:rStyle w:val="Hyperlink"/>
                <w:rFonts w:ascii="Arial" w:hAnsi="Arial" w:cs="Arial"/>
                <w:color w:val="auto"/>
                <w:sz w:val="18"/>
                <w:szCs w:val="18"/>
              </w:rPr>
              <w:br/>
            </w:r>
            <w:hyperlink r:id="rId154" w:history="1">
              <w:r w:rsidRPr="009A2A45">
                <w:rPr>
                  <w:rStyle w:val="Hyperlink"/>
                  <w:rFonts w:ascii="Arial" w:hAnsi="Arial"/>
                  <w:color w:val="auto"/>
                  <w:sz w:val="18"/>
                </w:rPr>
                <w:t>www.nzdsn.org.nz/directory</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267D5F" w:rsidRPr="009A2A45" w:rsidRDefault="002E7034" w:rsidP="0075492B">
            <w:pPr>
              <w:pStyle w:val="TableText"/>
              <w:ind w:right="142"/>
              <w:rPr>
                <w:rFonts w:cs="Arial"/>
                <w:b/>
                <w:szCs w:val="18"/>
              </w:rPr>
            </w:pPr>
            <w:r w:rsidRPr="009A2A45">
              <w:rPr>
                <w:rFonts w:cs="Arial"/>
                <w:b/>
                <w:szCs w:val="18"/>
              </w:rPr>
              <w:lastRenderedPageBreak/>
              <w:t>New Zealand Down Syndrome Association</w:t>
            </w:r>
          </w:p>
          <w:p w:rsidR="00267D5F" w:rsidRPr="009A2A45" w:rsidRDefault="005065F0" w:rsidP="00DA7D65">
            <w:pPr>
              <w:pStyle w:val="TableText"/>
              <w:ind w:right="142"/>
              <w:rPr>
                <w:rFonts w:cs="Arial"/>
                <w:szCs w:val="18"/>
              </w:rPr>
            </w:pPr>
            <w:r w:rsidRPr="009A2A45">
              <w:rPr>
                <w:rFonts w:cs="Arial"/>
                <w:szCs w:val="18"/>
              </w:rPr>
              <w:t>The New Zealand Down Syndrome Association promotes the participation of people with Down syndrome in their community. It provides:</w:t>
            </w:r>
          </w:p>
          <w:p w:rsidR="00267D5F" w:rsidRPr="009A2A45" w:rsidRDefault="005065F0" w:rsidP="0075492B">
            <w:pPr>
              <w:pStyle w:val="TableBullet"/>
              <w:ind w:right="142"/>
            </w:pPr>
            <w:r w:rsidRPr="009A2A45">
              <w:t>information, support, education and advocacy services for the Down syndrome community</w:t>
            </w:r>
          </w:p>
          <w:p w:rsidR="00267D5F" w:rsidRPr="009A2A45" w:rsidRDefault="005065F0" w:rsidP="0075492B">
            <w:pPr>
              <w:pStyle w:val="TableBullet"/>
              <w:ind w:right="142"/>
            </w:pPr>
            <w:r w:rsidRPr="009A2A45">
              <w:t>support for parents and families/</w:t>
            </w:r>
            <w:proofErr w:type="spellStart"/>
            <w:r w:rsidRPr="009A2A45">
              <w:t>whānau</w:t>
            </w:r>
            <w:proofErr w:type="spellEnd"/>
          </w:p>
          <w:p w:rsidR="001F07DE" w:rsidRPr="009A2A45" w:rsidRDefault="005065F0" w:rsidP="0075492B">
            <w:pPr>
              <w:pStyle w:val="TableBullet"/>
              <w:ind w:right="142"/>
            </w:pPr>
            <w:r w:rsidRPr="009A2A45">
              <w:t>information resources and a quarterly journal</w:t>
            </w:r>
          </w:p>
          <w:p w:rsidR="005065F0" w:rsidRPr="009A2A45" w:rsidRDefault="005065F0" w:rsidP="0075492B">
            <w:pPr>
              <w:pStyle w:val="TableBullet"/>
              <w:ind w:right="142"/>
              <w:rPr>
                <w:b/>
              </w:rPr>
            </w:pPr>
            <w:proofErr w:type="gramStart"/>
            <w:r w:rsidRPr="009A2A45">
              <w:t>support</w:t>
            </w:r>
            <w:proofErr w:type="gramEnd"/>
            <w:r w:rsidRPr="009A2A45">
              <w:t xml:space="preserve"> for regional groups so that they can offer support and services to the Down syndrome community in their area through family events, social groups, guest speakers, individual support and advocacy.</w:t>
            </w:r>
          </w:p>
          <w:p w:rsidR="002E7034" w:rsidRPr="009A2A45" w:rsidRDefault="008A337B" w:rsidP="002E7034">
            <w:pPr>
              <w:pStyle w:val="TableBullet"/>
              <w:numPr>
                <w:ilvl w:val="0"/>
                <w:numId w:val="0"/>
              </w:numPr>
            </w:pPr>
            <w:hyperlink r:id="rId155" w:history="1">
              <w:r w:rsidR="002E7034" w:rsidRPr="009A2A45">
                <w:rPr>
                  <w:rStyle w:val="Hyperlink"/>
                  <w:rFonts w:ascii="Arial" w:hAnsi="Arial"/>
                  <w:color w:val="auto"/>
                  <w:sz w:val="18"/>
                </w:rPr>
                <w:t>www.nzdsa.org.nz</w:t>
              </w:r>
            </w:hyperlink>
            <w:r w:rsidR="002E7034" w:rsidRPr="009A2A45">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2E7034" w:rsidP="002E7034">
            <w:pPr>
              <w:pStyle w:val="TableBullet"/>
            </w:pPr>
            <w:r w:rsidRPr="009A2A45">
              <w:rPr>
                <w:rFonts w:cs="Arial"/>
                <w:szCs w:val="18"/>
              </w:rPr>
              <w:t>Information on Down Syndrome</w:t>
            </w:r>
            <w:r w:rsidRPr="009A2A45">
              <w:rPr>
                <w:rStyle w:val="Hyperlink"/>
                <w:rFonts w:ascii="Arial" w:hAnsi="Arial" w:cs="Arial"/>
                <w:color w:val="auto"/>
                <w:sz w:val="18"/>
                <w:szCs w:val="18"/>
              </w:rPr>
              <w:br/>
            </w:r>
            <w:hyperlink r:id="rId156" w:history="1">
              <w:r w:rsidRPr="009A2A45">
                <w:rPr>
                  <w:rStyle w:val="Hyperlink"/>
                  <w:rFonts w:ascii="Arial" w:hAnsi="Arial"/>
                  <w:color w:val="auto"/>
                  <w:sz w:val="18"/>
                </w:rPr>
                <w:t>www.nzdsa.org.nz/whatis.htm</w:t>
              </w:r>
            </w:hyperlink>
            <w:r w:rsidRPr="009A2A45">
              <w:t xml:space="preserve"> </w:t>
            </w:r>
          </w:p>
        </w:tc>
      </w:tr>
      <w:tr w:rsidR="00DA7D65"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DA7D65" w:rsidRPr="007B53B3" w:rsidRDefault="00DA7D65" w:rsidP="00DA7D65">
            <w:pPr>
              <w:spacing w:before="60" w:after="60" w:line="240" w:lineRule="auto"/>
              <w:rPr>
                <w:rFonts w:ascii="Arial" w:hAnsi="Arial" w:cs="Arial"/>
                <w:b/>
                <w:sz w:val="18"/>
                <w:szCs w:val="18"/>
              </w:rPr>
            </w:pPr>
            <w:r w:rsidRPr="007B53B3">
              <w:rPr>
                <w:rFonts w:ascii="Arial" w:hAnsi="Arial" w:cs="Arial"/>
                <w:b/>
                <w:sz w:val="18"/>
                <w:szCs w:val="18"/>
              </w:rPr>
              <w:t>NZ Federation of Disability Information Centres</w:t>
            </w:r>
          </w:p>
          <w:p w:rsidR="00DA7D65" w:rsidRPr="007B53B3" w:rsidRDefault="00DA7D65" w:rsidP="00DA7D65">
            <w:pPr>
              <w:spacing w:before="60" w:after="60" w:line="240" w:lineRule="auto"/>
              <w:rPr>
                <w:rFonts w:ascii="Arial" w:hAnsi="Arial" w:cs="Arial"/>
                <w:sz w:val="18"/>
                <w:szCs w:val="18"/>
              </w:rPr>
            </w:pPr>
            <w:r w:rsidRPr="007B53B3">
              <w:rPr>
                <w:rFonts w:ascii="Arial" w:hAnsi="Arial" w:cs="Arial"/>
                <w:sz w:val="18"/>
                <w:szCs w:val="18"/>
              </w:rPr>
              <w:t>The Federation:</w:t>
            </w:r>
          </w:p>
          <w:p w:rsidR="00DA7D65" w:rsidRPr="007B53B3" w:rsidRDefault="00732F38" w:rsidP="00DA7D65">
            <w:pPr>
              <w:pStyle w:val="ListParagraph"/>
              <w:numPr>
                <w:ilvl w:val="0"/>
                <w:numId w:val="24"/>
              </w:numPr>
              <w:spacing w:before="60" w:after="60" w:line="240" w:lineRule="auto"/>
              <w:rPr>
                <w:rFonts w:ascii="Arial" w:hAnsi="Arial" w:cs="Arial"/>
                <w:sz w:val="18"/>
                <w:szCs w:val="18"/>
              </w:rPr>
            </w:pPr>
            <w:proofErr w:type="gramStart"/>
            <w:r w:rsidRPr="007B53B3">
              <w:rPr>
                <w:rFonts w:ascii="Arial" w:hAnsi="Arial" w:cs="Arial"/>
                <w:sz w:val="18"/>
                <w:szCs w:val="18"/>
              </w:rPr>
              <w:t>p</w:t>
            </w:r>
            <w:r w:rsidR="00DA7D65" w:rsidRPr="007B53B3">
              <w:rPr>
                <w:rFonts w:ascii="Arial" w:hAnsi="Arial" w:cs="Arial"/>
                <w:sz w:val="18"/>
                <w:szCs w:val="18"/>
              </w:rPr>
              <w:t>rovides</w:t>
            </w:r>
            <w:proofErr w:type="gramEnd"/>
            <w:r w:rsidR="00DA7D65" w:rsidRPr="007B53B3">
              <w:rPr>
                <w:rFonts w:ascii="Arial" w:hAnsi="Arial" w:cs="Arial"/>
                <w:sz w:val="18"/>
                <w:szCs w:val="18"/>
              </w:rPr>
              <w:t xml:space="preserve"> generic, impartial and accurate disability information through 23 community-based hubs across NZ.</w:t>
            </w:r>
          </w:p>
          <w:p w:rsidR="00732F38" w:rsidRPr="007B53B3" w:rsidRDefault="00DA7D65" w:rsidP="00732F38">
            <w:pPr>
              <w:pStyle w:val="ListParagraph"/>
              <w:numPr>
                <w:ilvl w:val="0"/>
                <w:numId w:val="24"/>
              </w:numPr>
              <w:spacing w:before="60" w:after="60" w:line="240" w:lineRule="auto"/>
              <w:rPr>
                <w:rFonts w:ascii="Arial" w:hAnsi="Arial" w:cs="Arial"/>
                <w:sz w:val="18"/>
                <w:szCs w:val="18"/>
              </w:rPr>
            </w:pPr>
            <w:proofErr w:type="gramStart"/>
            <w:r w:rsidRPr="007B53B3">
              <w:rPr>
                <w:rFonts w:ascii="Arial" w:hAnsi="Arial" w:cs="Arial"/>
                <w:sz w:val="18"/>
                <w:szCs w:val="18"/>
              </w:rPr>
              <w:t>employ</w:t>
            </w:r>
            <w:r w:rsidR="00732F38" w:rsidRPr="007B53B3">
              <w:rPr>
                <w:rFonts w:ascii="Arial" w:hAnsi="Arial" w:cs="Arial"/>
                <w:sz w:val="18"/>
                <w:szCs w:val="18"/>
              </w:rPr>
              <w:t>s</w:t>
            </w:r>
            <w:proofErr w:type="gramEnd"/>
            <w:r w:rsidRPr="007B53B3">
              <w:rPr>
                <w:rFonts w:ascii="Arial" w:hAnsi="Arial" w:cs="Arial"/>
                <w:sz w:val="18"/>
                <w:szCs w:val="18"/>
              </w:rPr>
              <w:t xml:space="preserve"> Information Consultants (20% with lived experience of disability) to assist people to navigate the disability support services sector.  </w:t>
            </w:r>
          </w:p>
          <w:p w:rsidR="00732F38" w:rsidRPr="007B53B3" w:rsidRDefault="00732F38" w:rsidP="00732F38">
            <w:pPr>
              <w:pStyle w:val="ListParagraph"/>
              <w:numPr>
                <w:ilvl w:val="0"/>
                <w:numId w:val="24"/>
              </w:numPr>
              <w:spacing w:before="60" w:after="60" w:line="240" w:lineRule="auto"/>
              <w:rPr>
                <w:rFonts w:ascii="Arial" w:hAnsi="Arial" w:cs="Arial"/>
                <w:sz w:val="18"/>
                <w:szCs w:val="18"/>
              </w:rPr>
            </w:pPr>
            <w:proofErr w:type="gramStart"/>
            <w:r w:rsidRPr="007B53B3">
              <w:rPr>
                <w:rFonts w:ascii="Arial" w:hAnsi="Arial" w:cs="Arial"/>
                <w:sz w:val="18"/>
                <w:szCs w:val="18"/>
              </w:rPr>
              <w:t>has</w:t>
            </w:r>
            <w:proofErr w:type="gramEnd"/>
            <w:r w:rsidR="00DA7D65" w:rsidRPr="007B53B3">
              <w:rPr>
                <w:rFonts w:ascii="Arial" w:hAnsi="Arial" w:cs="Arial"/>
                <w:sz w:val="18"/>
                <w:szCs w:val="18"/>
              </w:rPr>
              <w:t xml:space="preserve"> expert</w:t>
            </w:r>
            <w:r w:rsidRPr="007B53B3">
              <w:rPr>
                <w:rFonts w:ascii="Arial" w:hAnsi="Arial" w:cs="Arial"/>
                <w:sz w:val="18"/>
                <w:szCs w:val="18"/>
              </w:rPr>
              <w:t>i</w:t>
            </w:r>
            <w:r w:rsidR="00DA7D65" w:rsidRPr="007B53B3">
              <w:rPr>
                <w:rFonts w:ascii="Arial" w:hAnsi="Arial" w:cs="Arial"/>
                <w:sz w:val="18"/>
                <w:szCs w:val="18"/>
              </w:rPr>
              <w:t>s</w:t>
            </w:r>
            <w:r w:rsidRPr="007B53B3">
              <w:rPr>
                <w:rFonts w:ascii="Arial" w:hAnsi="Arial" w:cs="Arial"/>
                <w:sz w:val="18"/>
                <w:szCs w:val="18"/>
              </w:rPr>
              <w:t>e</w:t>
            </w:r>
            <w:r w:rsidR="00DA7D65" w:rsidRPr="007B53B3">
              <w:rPr>
                <w:rFonts w:ascii="Arial" w:hAnsi="Arial" w:cs="Arial"/>
                <w:sz w:val="18"/>
                <w:szCs w:val="18"/>
              </w:rPr>
              <w:t xml:space="preserve"> in community engagement and facilitating responsiveness in communities.  </w:t>
            </w:r>
          </w:p>
          <w:p w:rsidR="00DA7D65" w:rsidRPr="007B53B3" w:rsidRDefault="00DA7D65" w:rsidP="00732F38">
            <w:pPr>
              <w:pStyle w:val="ListParagraph"/>
              <w:numPr>
                <w:ilvl w:val="0"/>
                <w:numId w:val="24"/>
              </w:numPr>
              <w:spacing w:before="60" w:after="60" w:line="240" w:lineRule="auto"/>
              <w:rPr>
                <w:rFonts w:ascii="Arial" w:hAnsi="Arial" w:cs="Arial"/>
                <w:sz w:val="18"/>
                <w:szCs w:val="18"/>
              </w:rPr>
            </w:pPr>
            <w:proofErr w:type="gramStart"/>
            <w:r w:rsidRPr="007B53B3">
              <w:rPr>
                <w:rFonts w:ascii="Arial" w:hAnsi="Arial" w:cs="Arial"/>
                <w:sz w:val="18"/>
                <w:szCs w:val="18"/>
              </w:rPr>
              <w:t>is</w:t>
            </w:r>
            <w:proofErr w:type="gramEnd"/>
            <w:r w:rsidRPr="007B53B3">
              <w:rPr>
                <w:rFonts w:ascii="Arial" w:hAnsi="Arial" w:cs="Arial"/>
                <w:sz w:val="18"/>
                <w:szCs w:val="18"/>
              </w:rPr>
              <w:t xml:space="preserve"> a respectful ally of disabled people, working together to ensure that New Zealand is a fully inclusive and accessible society where everyone has a good life.</w:t>
            </w:r>
          </w:p>
          <w:p w:rsidR="00FE274B" w:rsidRPr="007B53B3" w:rsidRDefault="008A337B" w:rsidP="00FE274B">
            <w:pPr>
              <w:spacing w:before="60" w:after="60" w:line="240" w:lineRule="auto"/>
              <w:rPr>
                <w:rFonts w:ascii="Arial" w:hAnsi="Arial" w:cs="Arial"/>
                <w:sz w:val="18"/>
                <w:szCs w:val="18"/>
              </w:rPr>
            </w:pPr>
            <w:hyperlink r:id="rId157" w:history="1">
              <w:r w:rsidR="00FE274B" w:rsidRPr="007B53B3">
                <w:rPr>
                  <w:rStyle w:val="Hyperlink"/>
                  <w:rFonts w:ascii="Arial" w:hAnsi="Arial" w:cs="Arial"/>
                  <w:sz w:val="18"/>
                  <w:szCs w:val="18"/>
                </w:rPr>
                <w:t>www.nzfdic.org.nz</w:t>
              </w:r>
            </w:hyperlink>
          </w:p>
        </w:tc>
        <w:tc>
          <w:tcPr>
            <w:tcW w:w="3968" w:type="dxa"/>
            <w:tcBorders>
              <w:top w:val="single" w:sz="4" w:space="0" w:color="A6A6A6" w:themeColor="background1" w:themeShade="A6"/>
              <w:bottom w:val="single" w:sz="4" w:space="0" w:color="A6A6A6" w:themeColor="background1" w:themeShade="A6"/>
            </w:tcBorders>
            <w:tcMar>
              <w:top w:w="57" w:type="dxa"/>
            </w:tcMar>
          </w:tcPr>
          <w:p w:rsidR="00DA7D65" w:rsidRPr="007B53B3" w:rsidRDefault="00DA7D65" w:rsidP="00DA7D65">
            <w:pPr>
              <w:pStyle w:val="ListParagraph"/>
              <w:numPr>
                <w:ilvl w:val="0"/>
                <w:numId w:val="23"/>
              </w:numPr>
              <w:spacing w:before="60" w:after="60" w:line="240" w:lineRule="auto"/>
              <w:rPr>
                <w:rFonts w:ascii="Arial" w:hAnsi="Arial" w:cs="Arial"/>
                <w:sz w:val="18"/>
                <w:szCs w:val="18"/>
              </w:rPr>
            </w:pPr>
            <w:r w:rsidRPr="007B53B3">
              <w:rPr>
                <w:rFonts w:ascii="Arial" w:hAnsi="Arial" w:cs="Arial"/>
                <w:sz w:val="18"/>
                <w:szCs w:val="18"/>
              </w:rPr>
              <w:t>23 Member Centres throughout New Zealand.</w:t>
            </w:r>
          </w:p>
          <w:p w:rsidR="00DA7D65" w:rsidRPr="007B53B3" w:rsidRDefault="00DA7D65" w:rsidP="00DA7D65">
            <w:pPr>
              <w:pStyle w:val="ListParagraph"/>
              <w:numPr>
                <w:ilvl w:val="0"/>
                <w:numId w:val="23"/>
              </w:numPr>
              <w:spacing w:before="60" w:after="60" w:line="240" w:lineRule="auto"/>
              <w:rPr>
                <w:rStyle w:val="Hyperlink"/>
                <w:rFonts w:ascii="Arial" w:hAnsi="Arial" w:cs="Arial"/>
                <w:sz w:val="18"/>
                <w:szCs w:val="18"/>
              </w:rPr>
            </w:pPr>
            <w:r w:rsidRPr="007B53B3">
              <w:rPr>
                <w:rFonts w:ascii="Arial" w:hAnsi="Arial" w:cs="Arial"/>
                <w:sz w:val="18"/>
                <w:szCs w:val="18"/>
              </w:rPr>
              <w:t xml:space="preserve">Locate a centre close to you </w:t>
            </w:r>
            <w:hyperlink r:id="rId158" w:history="1">
              <w:r w:rsidRPr="007B53B3">
                <w:rPr>
                  <w:rStyle w:val="Hyperlink"/>
                  <w:rFonts w:ascii="Arial" w:hAnsi="Arial" w:cs="Arial"/>
                  <w:sz w:val="18"/>
                  <w:szCs w:val="18"/>
                </w:rPr>
                <w:t>www.nzfdic.org.nz/centres</w:t>
              </w:r>
            </w:hyperlink>
            <w:r w:rsidRPr="007B53B3">
              <w:rPr>
                <w:rStyle w:val="Hyperlink"/>
                <w:rFonts w:ascii="Arial" w:hAnsi="Arial" w:cs="Arial"/>
                <w:sz w:val="18"/>
                <w:szCs w:val="18"/>
              </w:rPr>
              <w:t xml:space="preserve"> </w:t>
            </w:r>
          </w:p>
          <w:p w:rsidR="00DA7D65" w:rsidRPr="007B53B3" w:rsidRDefault="00DA7D65" w:rsidP="00DA7D65">
            <w:pPr>
              <w:pStyle w:val="ListParagraph"/>
              <w:numPr>
                <w:ilvl w:val="0"/>
                <w:numId w:val="23"/>
              </w:numPr>
              <w:spacing w:before="60" w:after="60" w:line="240" w:lineRule="auto"/>
              <w:rPr>
                <w:rFonts w:ascii="Arial" w:hAnsi="Arial" w:cs="Arial"/>
                <w:sz w:val="18"/>
                <w:szCs w:val="18"/>
              </w:rPr>
            </w:pPr>
            <w:r w:rsidRPr="007B53B3">
              <w:rPr>
                <w:rFonts w:ascii="Arial" w:hAnsi="Arial" w:cs="Arial"/>
                <w:sz w:val="18"/>
                <w:szCs w:val="18"/>
              </w:rPr>
              <w:t>National free phone 0800 693 342</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A307D4" w:rsidP="0075492B">
            <w:pPr>
              <w:pStyle w:val="TableText"/>
              <w:ind w:right="142"/>
              <w:rPr>
                <w:rFonts w:cs="Arial"/>
                <w:b/>
                <w:szCs w:val="18"/>
              </w:rPr>
            </w:pPr>
            <w:r w:rsidRPr="009A2A45">
              <w:rPr>
                <w:rFonts w:cs="Arial"/>
                <w:b/>
                <w:szCs w:val="18"/>
              </w:rPr>
              <w:t xml:space="preserve">Le </w:t>
            </w:r>
            <w:proofErr w:type="spellStart"/>
            <w:r w:rsidRPr="009A2A45">
              <w:rPr>
                <w:rFonts w:cs="Arial"/>
                <w:b/>
                <w:szCs w:val="18"/>
              </w:rPr>
              <w:t>Va</w:t>
            </w:r>
            <w:proofErr w:type="spellEnd"/>
          </w:p>
          <w:p w:rsidR="005065F0" w:rsidRPr="009A2A45" w:rsidRDefault="005065F0" w:rsidP="0075492B">
            <w:pPr>
              <w:pStyle w:val="TableText"/>
              <w:ind w:right="142"/>
              <w:rPr>
                <w:rFonts w:cs="Arial"/>
                <w:szCs w:val="18"/>
              </w:rPr>
            </w:pPr>
            <w:r w:rsidRPr="009A2A45">
              <w:rPr>
                <w:rFonts w:cs="Arial"/>
                <w:szCs w:val="18"/>
              </w:rPr>
              <w:t xml:space="preserve">Le </w:t>
            </w:r>
            <w:proofErr w:type="spellStart"/>
            <w:r w:rsidRPr="009A2A45">
              <w:rPr>
                <w:rFonts w:cs="Arial"/>
                <w:szCs w:val="18"/>
              </w:rPr>
              <w:t>Va</w:t>
            </w:r>
            <w:proofErr w:type="spellEnd"/>
            <w:r w:rsidRPr="009A2A45">
              <w:rPr>
                <w:rFonts w:cs="Arial"/>
                <w:szCs w:val="18"/>
              </w:rPr>
              <w:t xml:space="preserve"> is the national hub for </w:t>
            </w:r>
            <w:proofErr w:type="spellStart"/>
            <w:r w:rsidRPr="009A2A45">
              <w:rPr>
                <w:rFonts w:cs="Arial"/>
                <w:szCs w:val="18"/>
              </w:rPr>
              <w:t>Pasifika</w:t>
            </w:r>
            <w:proofErr w:type="spellEnd"/>
            <w:r w:rsidRPr="009A2A45">
              <w:rPr>
                <w:rFonts w:cs="Arial"/>
                <w:szCs w:val="18"/>
              </w:rPr>
              <w:t xml:space="preserve"> mental health and addiction workforce development and coordination for the disa</w:t>
            </w:r>
            <w:r w:rsidR="000C248F" w:rsidRPr="009A2A45">
              <w:rPr>
                <w:rFonts w:cs="Arial"/>
                <w:szCs w:val="18"/>
              </w:rPr>
              <w:t>bility support services sector.</w:t>
            </w:r>
          </w:p>
          <w:p w:rsidR="00A307D4" w:rsidRPr="009A2A45" w:rsidRDefault="008A337B" w:rsidP="00A307D4">
            <w:pPr>
              <w:pStyle w:val="TableText"/>
              <w:ind w:right="142"/>
              <w:rPr>
                <w:rFonts w:cs="Arial"/>
                <w:szCs w:val="18"/>
              </w:rPr>
            </w:pPr>
            <w:hyperlink r:id="rId159" w:history="1">
              <w:r w:rsidR="00A307D4" w:rsidRPr="009A2A45">
                <w:rPr>
                  <w:rStyle w:val="Hyperlink"/>
                  <w:rFonts w:ascii="Arial" w:hAnsi="Arial" w:cs="Arial"/>
                  <w:color w:val="auto"/>
                  <w:sz w:val="18"/>
                  <w:szCs w:val="18"/>
                </w:rPr>
                <w:t>www.leva.co.nz</w:t>
              </w:r>
            </w:hyperlink>
            <w:r w:rsidR="00A307D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A307D4" w:rsidRPr="009A2A45" w:rsidRDefault="00A307D4" w:rsidP="00A307D4">
            <w:pPr>
              <w:pStyle w:val="TableBullet"/>
              <w:rPr>
                <w:i/>
              </w:rPr>
            </w:pPr>
            <w:r w:rsidRPr="009A2A45">
              <w:rPr>
                <w:rFonts w:cs="Arial"/>
                <w:i/>
                <w:szCs w:val="18"/>
              </w:rPr>
              <w:t xml:space="preserve">Organisational Guidelines for Disability Support Services: Working with </w:t>
            </w:r>
            <w:proofErr w:type="spellStart"/>
            <w:r w:rsidRPr="009A2A45">
              <w:rPr>
                <w:rFonts w:cs="Arial"/>
                <w:i/>
                <w:szCs w:val="18"/>
              </w:rPr>
              <w:t>Pasifika</w:t>
            </w:r>
            <w:proofErr w:type="spellEnd"/>
            <w:r w:rsidRPr="009A2A45">
              <w:rPr>
                <w:rFonts w:cs="Arial"/>
                <w:i/>
                <w:szCs w:val="18"/>
              </w:rPr>
              <w:t xml:space="preserve"> People with Disabilities and their Families</w:t>
            </w:r>
            <w:r w:rsidRPr="009A2A45">
              <w:rPr>
                <w:rStyle w:val="Hyperlink"/>
                <w:rFonts w:ascii="Arial" w:hAnsi="Arial" w:cs="Arial"/>
                <w:i/>
                <w:color w:val="auto"/>
                <w:sz w:val="18"/>
                <w:szCs w:val="18"/>
              </w:rPr>
              <w:br/>
            </w:r>
            <w:hyperlink r:id="rId160" w:history="1">
              <w:r w:rsidRPr="009A2A45">
                <w:rPr>
                  <w:rStyle w:val="Hyperlink"/>
                  <w:rFonts w:ascii="Arial" w:hAnsi="Arial"/>
                  <w:color w:val="auto"/>
                  <w:sz w:val="18"/>
                </w:rPr>
                <w:t>www.leva.co.nz/library/leva/organisational-guidelines-for-disability-support-services-working-with-pasifika-people-with-disabilities-and-their-families</w:t>
              </w:r>
            </w:hyperlink>
            <w:r w:rsidRPr="009A2A45">
              <w:rPr>
                <w:i/>
              </w:rPr>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A307D4" w:rsidP="0075492B">
            <w:pPr>
              <w:pStyle w:val="TableText"/>
              <w:ind w:right="142"/>
              <w:rPr>
                <w:rFonts w:cs="Arial"/>
                <w:b/>
                <w:szCs w:val="18"/>
              </w:rPr>
            </w:pPr>
            <w:r w:rsidRPr="009A2A45">
              <w:rPr>
                <w:rFonts w:cs="Arial"/>
                <w:b/>
                <w:szCs w:val="18"/>
              </w:rPr>
              <w:t>Parent to Parent</w:t>
            </w:r>
          </w:p>
          <w:p w:rsidR="005065F0" w:rsidRPr="009A2A45" w:rsidRDefault="005065F0" w:rsidP="0075492B">
            <w:pPr>
              <w:pStyle w:val="TableText"/>
              <w:ind w:right="142"/>
              <w:rPr>
                <w:rFonts w:cs="Arial"/>
                <w:szCs w:val="18"/>
              </w:rPr>
            </w:pPr>
            <w:r w:rsidRPr="009A2A45">
              <w:rPr>
                <w:rFonts w:cs="Arial"/>
                <w:szCs w:val="18"/>
              </w:rPr>
              <w:t>Parent to Parent supports parents of children with a disability, health impairment or health issue by connecting them with trained volunteer support parents who have a child or family member in a similar situation. It also provides training programmes for families and siblings.</w:t>
            </w:r>
          </w:p>
          <w:p w:rsidR="00A307D4" w:rsidRPr="009A2A45" w:rsidRDefault="008A337B" w:rsidP="00A307D4">
            <w:pPr>
              <w:pStyle w:val="TableText"/>
              <w:ind w:right="142"/>
              <w:rPr>
                <w:rFonts w:cs="Arial"/>
                <w:szCs w:val="18"/>
              </w:rPr>
            </w:pPr>
            <w:hyperlink r:id="rId161" w:history="1">
              <w:r w:rsidR="00A307D4" w:rsidRPr="009A2A45">
                <w:rPr>
                  <w:rStyle w:val="Hyperlink"/>
                  <w:rFonts w:ascii="Arial" w:hAnsi="Arial" w:cs="Arial"/>
                  <w:color w:val="auto"/>
                  <w:sz w:val="18"/>
                  <w:szCs w:val="18"/>
                </w:rPr>
                <w:t>www.parent2parent.org.nz</w:t>
              </w:r>
            </w:hyperlink>
            <w:r w:rsidR="00A307D4"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1F07DE" w:rsidRPr="009A2A45" w:rsidRDefault="00A307D4" w:rsidP="00A307D4">
            <w:pPr>
              <w:pStyle w:val="TableBullet"/>
            </w:pPr>
            <w:r w:rsidRPr="009A2A45">
              <w:rPr>
                <w:rFonts w:cs="Arial"/>
                <w:szCs w:val="18"/>
              </w:rPr>
              <w:t>Parent to Parent Magazine</w:t>
            </w:r>
            <w:r w:rsidRPr="009A2A45">
              <w:rPr>
                <w:rStyle w:val="Hyperlink"/>
                <w:rFonts w:ascii="Arial" w:hAnsi="Arial" w:cs="Arial"/>
                <w:color w:val="auto"/>
                <w:sz w:val="18"/>
                <w:szCs w:val="18"/>
              </w:rPr>
              <w:br/>
            </w:r>
            <w:hyperlink r:id="rId162" w:history="1">
              <w:r w:rsidRPr="009A2A45">
                <w:rPr>
                  <w:rStyle w:val="Hyperlink"/>
                  <w:rFonts w:ascii="Arial" w:hAnsi="Arial"/>
                  <w:color w:val="auto"/>
                  <w:sz w:val="18"/>
                </w:rPr>
                <w:t>www.parent2parent.org.nz/parent-parent-magazine</w:t>
              </w:r>
            </w:hyperlink>
            <w:r w:rsidRPr="009A2A45">
              <w:t xml:space="preserve"> </w:t>
            </w:r>
          </w:p>
          <w:p w:rsidR="005065F0" w:rsidRPr="009A2A45" w:rsidRDefault="00A307D4" w:rsidP="00A307D4">
            <w:pPr>
              <w:pStyle w:val="TableBullet"/>
            </w:pPr>
            <w:r w:rsidRPr="009A2A45">
              <w:rPr>
                <w:rFonts w:cs="Arial"/>
                <w:szCs w:val="18"/>
              </w:rPr>
              <w:t>Parent to Parent Library</w:t>
            </w:r>
            <w:r w:rsidRPr="009A2A45">
              <w:rPr>
                <w:rStyle w:val="Hyperlink"/>
                <w:rFonts w:ascii="Arial" w:hAnsi="Arial" w:cs="Arial"/>
                <w:color w:val="auto"/>
                <w:sz w:val="18"/>
                <w:szCs w:val="18"/>
              </w:rPr>
              <w:br/>
            </w:r>
            <w:hyperlink r:id="rId163" w:history="1">
              <w:r w:rsidRPr="009A2A45">
                <w:rPr>
                  <w:rStyle w:val="Hyperlink"/>
                  <w:rFonts w:ascii="Arial" w:hAnsi="Arial"/>
                  <w:color w:val="auto"/>
                  <w:sz w:val="18"/>
                </w:rPr>
                <w:t>www.parent2parent.org.nz/library/nationallibrary</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DA3F06" w:rsidP="0075492B">
            <w:pPr>
              <w:pStyle w:val="TableText"/>
              <w:ind w:right="142"/>
              <w:rPr>
                <w:rFonts w:cs="Arial"/>
                <w:b/>
                <w:szCs w:val="18"/>
                <w:lang w:val="en"/>
              </w:rPr>
            </w:pPr>
            <w:proofErr w:type="spellStart"/>
            <w:r w:rsidRPr="009A2A45">
              <w:rPr>
                <w:rFonts w:cs="Arial"/>
                <w:b/>
                <w:szCs w:val="18"/>
                <w:lang w:val="en"/>
              </w:rPr>
              <w:t>Vaka</w:t>
            </w:r>
            <w:proofErr w:type="spellEnd"/>
            <w:r w:rsidRPr="009A2A45">
              <w:rPr>
                <w:rFonts w:cs="Arial"/>
                <w:b/>
                <w:szCs w:val="18"/>
                <w:lang w:val="en"/>
              </w:rPr>
              <w:t xml:space="preserve"> </w:t>
            </w:r>
            <w:proofErr w:type="spellStart"/>
            <w:r w:rsidRPr="009A2A45">
              <w:rPr>
                <w:rFonts w:cs="Arial"/>
                <w:b/>
                <w:szCs w:val="18"/>
                <w:lang w:val="en"/>
              </w:rPr>
              <w:t>Tautua</w:t>
            </w:r>
            <w:proofErr w:type="spellEnd"/>
          </w:p>
          <w:p w:rsidR="005065F0" w:rsidRPr="009A2A45" w:rsidRDefault="005065F0" w:rsidP="0075492B">
            <w:pPr>
              <w:pStyle w:val="TableText"/>
              <w:ind w:right="142"/>
              <w:rPr>
                <w:rFonts w:cs="Arial"/>
                <w:szCs w:val="18"/>
              </w:rPr>
            </w:pPr>
            <w:proofErr w:type="spellStart"/>
            <w:r w:rsidRPr="009A2A45">
              <w:rPr>
                <w:rFonts w:cs="Arial"/>
                <w:szCs w:val="18"/>
              </w:rPr>
              <w:t>Vaka</w:t>
            </w:r>
            <w:proofErr w:type="spellEnd"/>
            <w:r w:rsidRPr="009A2A45">
              <w:rPr>
                <w:rFonts w:cs="Arial"/>
                <w:szCs w:val="18"/>
              </w:rPr>
              <w:t xml:space="preserve"> </w:t>
            </w:r>
            <w:proofErr w:type="spellStart"/>
            <w:r w:rsidRPr="009A2A45">
              <w:rPr>
                <w:rFonts w:cs="Arial"/>
                <w:szCs w:val="18"/>
              </w:rPr>
              <w:t>Tautua</w:t>
            </w:r>
            <w:proofErr w:type="spellEnd"/>
            <w:r w:rsidRPr="009A2A45">
              <w:rPr>
                <w:rFonts w:cs="Arial"/>
                <w:szCs w:val="18"/>
              </w:rPr>
              <w:t xml:space="preserve"> is a charitable organisation that aims to help improve the health and wellbeing of </w:t>
            </w:r>
            <w:proofErr w:type="spellStart"/>
            <w:r w:rsidRPr="009A2A45">
              <w:rPr>
                <w:rFonts w:cs="Arial"/>
                <w:szCs w:val="18"/>
              </w:rPr>
              <w:t>Pasifika</w:t>
            </w:r>
            <w:proofErr w:type="spellEnd"/>
            <w:r w:rsidRPr="009A2A45">
              <w:rPr>
                <w:rFonts w:cs="Arial"/>
                <w:szCs w:val="18"/>
              </w:rPr>
              <w:t xml:space="preserve"> people in New Zealand. It provides community support for older people, people with a disability and those needing support for mental health.</w:t>
            </w:r>
          </w:p>
          <w:p w:rsidR="00DA3F06" w:rsidRPr="009A2A45" w:rsidRDefault="008A337B" w:rsidP="0075492B">
            <w:pPr>
              <w:pStyle w:val="TableText"/>
              <w:ind w:right="142"/>
              <w:rPr>
                <w:rFonts w:cs="Arial"/>
                <w:szCs w:val="18"/>
              </w:rPr>
            </w:pPr>
            <w:hyperlink r:id="rId164" w:history="1">
              <w:r w:rsidR="00DA3F06" w:rsidRPr="009A2A45">
                <w:rPr>
                  <w:rStyle w:val="Hyperlink"/>
                  <w:rFonts w:ascii="Arial" w:hAnsi="Arial" w:cs="Arial"/>
                  <w:color w:val="auto"/>
                  <w:sz w:val="18"/>
                  <w:szCs w:val="18"/>
                </w:rPr>
                <w:t>www.vakatautua.co.nz</w:t>
              </w:r>
            </w:hyperlink>
            <w:r w:rsidR="00DA3F06"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DA3F06" w:rsidP="00DA3F06">
            <w:pPr>
              <w:pStyle w:val="TableBullet"/>
              <w:rPr>
                <w:lang w:val="en"/>
              </w:rPr>
            </w:pPr>
            <w:r w:rsidRPr="009A2A45">
              <w:rPr>
                <w:rFonts w:cs="Arial"/>
                <w:szCs w:val="18"/>
                <w:lang w:val="en"/>
              </w:rPr>
              <w:t>Resources and publications</w:t>
            </w:r>
            <w:r w:rsidRPr="009A2A45">
              <w:rPr>
                <w:rStyle w:val="Hyperlink"/>
                <w:rFonts w:ascii="Arial" w:hAnsi="Arial" w:cs="Arial"/>
                <w:color w:val="auto"/>
                <w:sz w:val="18"/>
                <w:szCs w:val="18"/>
                <w:lang w:val="en"/>
              </w:rPr>
              <w:br/>
            </w:r>
            <w:hyperlink r:id="rId165" w:anchor="!resources/ckoy" w:history="1">
              <w:r w:rsidRPr="009A2A45">
                <w:rPr>
                  <w:rStyle w:val="Hyperlink"/>
                  <w:rFonts w:ascii="Arial" w:hAnsi="Arial"/>
                  <w:color w:val="auto"/>
                  <w:sz w:val="18"/>
                  <w:lang w:val="en"/>
                </w:rPr>
                <w:t>www.vakatautua.co.nz/#!resources/ckoy</w:t>
              </w:r>
            </w:hyperlink>
            <w:r w:rsidRPr="009A2A45">
              <w:rPr>
                <w:lang w:val="en"/>
              </w:rPr>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DA3F06" w:rsidP="0075492B">
            <w:pPr>
              <w:pStyle w:val="TableText"/>
              <w:ind w:right="142"/>
              <w:rPr>
                <w:rFonts w:cs="Arial"/>
                <w:b/>
                <w:szCs w:val="18"/>
                <w:lang w:val="en"/>
              </w:rPr>
            </w:pPr>
            <w:proofErr w:type="spellStart"/>
            <w:r w:rsidRPr="009A2A45">
              <w:rPr>
                <w:rFonts w:cs="Arial"/>
                <w:b/>
                <w:szCs w:val="18"/>
                <w:lang w:val="en"/>
              </w:rPr>
              <w:t>Rescare</w:t>
            </w:r>
            <w:proofErr w:type="spellEnd"/>
            <w:r w:rsidRPr="009A2A45">
              <w:rPr>
                <w:rFonts w:cs="Arial"/>
                <w:b/>
                <w:szCs w:val="18"/>
                <w:lang w:val="en"/>
              </w:rPr>
              <w:t xml:space="preserve"> NZ</w:t>
            </w:r>
          </w:p>
          <w:p w:rsidR="005065F0" w:rsidRPr="009A2A45" w:rsidRDefault="005065F0" w:rsidP="0075492B">
            <w:pPr>
              <w:pStyle w:val="TableText"/>
              <w:ind w:right="142"/>
              <w:rPr>
                <w:rFonts w:cs="Arial"/>
                <w:szCs w:val="18"/>
              </w:rPr>
            </w:pPr>
            <w:proofErr w:type="spellStart"/>
            <w:r w:rsidRPr="009A2A45">
              <w:rPr>
                <w:rFonts w:cs="Arial"/>
                <w:szCs w:val="18"/>
              </w:rPr>
              <w:t>Rescare</w:t>
            </w:r>
            <w:proofErr w:type="spellEnd"/>
            <w:r w:rsidRPr="009A2A45">
              <w:rPr>
                <w:rFonts w:cs="Arial"/>
                <w:szCs w:val="18"/>
              </w:rPr>
              <w:t xml:space="preserve"> NZ is an umbrella organisation for support groups and individuals who support people with an intellectual disability.</w:t>
            </w:r>
          </w:p>
          <w:p w:rsidR="00DA3F06" w:rsidRPr="009A2A45" w:rsidRDefault="008A337B" w:rsidP="00DA3F06">
            <w:pPr>
              <w:pStyle w:val="TableText"/>
              <w:ind w:right="142"/>
              <w:rPr>
                <w:rFonts w:cs="Arial"/>
                <w:szCs w:val="18"/>
              </w:rPr>
            </w:pPr>
            <w:hyperlink r:id="rId166" w:history="1">
              <w:r w:rsidR="00DA3F06" w:rsidRPr="009A2A45">
                <w:rPr>
                  <w:rStyle w:val="Hyperlink"/>
                  <w:rFonts w:ascii="Arial" w:hAnsi="Arial" w:cs="Arial"/>
                  <w:color w:val="auto"/>
                  <w:sz w:val="18"/>
                  <w:szCs w:val="18"/>
                </w:rPr>
                <w:t>www.rescarenz.org.nz</w:t>
              </w:r>
            </w:hyperlink>
            <w:r w:rsidR="00DA3F06"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DA3F06" w:rsidRPr="009A2A45" w:rsidRDefault="00DA3F06" w:rsidP="00DA3F06">
            <w:pPr>
              <w:pStyle w:val="TableBullet"/>
              <w:rPr>
                <w:lang w:val="en"/>
              </w:rPr>
            </w:pPr>
            <w:proofErr w:type="spellStart"/>
            <w:r w:rsidRPr="009A2A45">
              <w:rPr>
                <w:rFonts w:cs="Arial"/>
                <w:szCs w:val="18"/>
                <w:lang w:val="en"/>
              </w:rPr>
              <w:t>RescareNZ</w:t>
            </w:r>
            <w:proofErr w:type="spellEnd"/>
            <w:r w:rsidRPr="009A2A45">
              <w:rPr>
                <w:rFonts w:cs="Arial"/>
                <w:szCs w:val="18"/>
                <w:lang w:val="en"/>
              </w:rPr>
              <w:t xml:space="preserve"> publications and resources</w:t>
            </w:r>
            <w:r w:rsidRPr="009A2A45">
              <w:rPr>
                <w:rStyle w:val="Hyperlink"/>
                <w:rFonts w:ascii="Arial" w:hAnsi="Arial" w:cs="Arial"/>
                <w:color w:val="auto"/>
                <w:sz w:val="18"/>
                <w:szCs w:val="18"/>
                <w:lang w:val="en"/>
              </w:rPr>
              <w:br/>
            </w:r>
            <w:hyperlink r:id="rId167" w:history="1">
              <w:r w:rsidRPr="009A2A45">
                <w:rPr>
                  <w:rStyle w:val="Hyperlink"/>
                  <w:rFonts w:ascii="Arial" w:hAnsi="Arial"/>
                  <w:color w:val="auto"/>
                  <w:sz w:val="18"/>
                  <w:lang w:val="en"/>
                </w:rPr>
                <w:t>www.rescarenz.org.nz/publications.html</w:t>
              </w:r>
            </w:hyperlink>
            <w:r w:rsidRPr="009A2A45">
              <w:rPr>
                <w:lang w:val="en"/>
              </w:rPr>
              <w:t xml:space="preserve"> </w:t>
            </w:r>
          </w:p>
        </w:tc>
      </w:tr>
      <w:tr w:rsidR="005065F0" w:rsidRPr="000C248F" w:rsidTr="00665FAB">
        <w:trPr>
          <w:cantSplit/>
        </w:trPr>
        <w:tc>
          <w:tcPr>
            <w:tcW w:w="5387" w:type="dxa"/>
            <w:tcBorders>
              <w:top w:val="single" w:sz="4" w:space="0" w:color="A6A6A6" w:themeColor="background1" w:themeShade="A6"/>
              <w:bottom w:val="single" w:sz="4" w:space="0" w:color="A6A6A6" w:themeColor="background1" w:themeShade="A6"/>
            </w:tcBorders>
          </w:tcPr>
          <w:p w:rsidR="001F07DE" w:rsidRPr="009A2A45" w:rsidRDefault="00DA3F06" w:rsidP="0075492B">
            <w:pPr>
              <w:pStyle w:val="TableText"/>
              <w:ind w:right="142"/>
              <w:rPr>
                <w:rFonts w:cs="Arial"/>
                <w:b/>
                <w:szCs w:val="18"/>
                <w:lang w:val="en"/>
              </w:rPr>
            </w:pPr>
            <w:r w:rsidRPr="009A2A45">
              <w:rPr>
                <w:rFonts w:cs="Arial"/>
                <w:b/>
                <w:szCs w:val="18"/>
                <w:lang w:val="en"/>
              </w:rPr>
              <w:t>Sign Language Interpreters Association of New Zealand</w:t>
            </w:r>
          </w:p>
          <w:p w:rsidR="005065F0" w:rsidRPr="009A2A45" w:rsidRDefault="005065F0" w:rsidP="0075492B">
            <w:pPr>
              <w:pStyle w:val="TableText"/>
              <w:ind w:right="142"/>
              <w:rPr>
                <w:rFonts w:cs="Arial"/>
                <w:szCs w:val="18"/>
              </w:rPr>
            </w:pPr>
            <w:r w:rsidRPr="009A2A45">
              <w:rPr>
                <w:rFonts w:cs="Arial"/>
                <w:szCs w:val="18"/>
              </w:rPr>
              <w:t>Sign Language Interpreters Association of New Zealand is a national professional association</w:t>
            </w:r>
            <w:r w:rsidR="000C248F" w:rsidRPr="009A2A45">
              <w:rPr>
                <w:rFonts w:cs="Arial"/>
                <w:szCs w:val="18"/>
              </w:rPr>
              <w:t xml:space="preserve"> of sign language interpreters.</w:t>
            </w:r>
          </w:p>
          <w:p w:rsidR="00DA3F06" w:rsidRPr="009A2A45" w:rsidRDefault="008A337B" w:rsidP="00DA3F06">
            <w:pPr>
              <w:pStyle w:val="TableText"/>
              <w:ind w:right="142"/>
              <w:rPr>
                <w:rFonts w:cs="Arial"/>
                <w:szCs w:val="18"/>
              </w:rPr>
            </w:pPr>
            <w:hyperlink r:id="rId168" w:history="1">
              <w:r w:rsidR="00DA3F06" w:rsidRPr="009A2A45">
                <w:rPr>
                  <w:rStyle w:val="Hyperlink"/>
                  <w:rFonts w:ascii="Arial" w:hAnsi="Arial" w:cs="Arial"/>
                  <w:color w:val="auto"/>
                  <w:sz w:val="18"/>
                  <w:szCs w:val="18"/>
                </w:rPr>
                <w:t>www.slianz.org.nz</w:t>
              </w:r>
            </w:hyperlink>
            <w:r w:rsidR="00DA3F06" w:rsidRPr="009A2A45">
              <w:rPr>
                <w:rFonts w:cs="Arial"/>
                <w:szCs w:val="18"/>
              </w:rPr>
              <w:t xml:space="preserve"> </w:t>
            </w:r>
          </w:p>
        </w:tc>
        <w:tc>
          <w:tcPr>
            <w:tcW w:w="3968" w:type="dxa"/>
            <w:tcBorders>
              <w:top w:val="single" w:sz="4" w:space="0" w:color="A6A6A6" w:themeColor="background1" w:themeShade="A6"/>
              <w:bottom w:val="single" w:sz="4" w:space="0" w:color="A6A6A6" w:themeColor="background1" w:themeShade="A6"/>
            </w:tcBorders>
            <w:tcMar>
              <w:top w:w="57" w:type="dxa"/>
            </w:tcMar>
          </w:tcPr>
          <w:p w:rsidR="005065F0" w:rsidRPr="009A2A45" w:rsidRDefault="00DA3F06" w:rsidP="00DA3F06">
            <w:pPr>
              <w:pStyle w:val="TableBullet"/>
            </w:pPr>
            <w:r w:rsidRPr="009A2A45">
              <w:rPr>
                <w:rFonts w:cs="Arial"/>
                <w:szCs w:val="18"/>
              </w:rPr>
              <w:t>SLIANZ</w:t>
            </w:r>
            <w:r w:rsidRPr="009A2A45">
              <w:rPr>
                <w:rFonts w:cs="Arial"/>
                <w:szCs w:val="18"/>
                <w:lang w:val="en"/>
              </w:rPr>
              <w:t xml:space="preserve"> Member Directory</w:t>
            </w:r>
            <w:r w:rsidR="005065F0" w:rsidRPr="009A2A45">
              <w:t xml:space="preserve"> (includes qualifications and areas of specialty)</w:t>
            </w:r>
            <w:r w:rsidRPr="009A2A45">
              <w:br/>
            </w:r>
            <w:hyperlink r:id="rId169" w:history="1">
              <w:r w:rsidRPr="009A2A45">
                <w:rPr>
                  <w:rStyle w:val="Hyperlink"/>
                  <w:rFonts w:ascii="Arial" w:hAnsi="Arial"/>
                  <w:color w:val="auto"/>
                  <w:sz w:val="18"/>
                </w:rPr>
                <w:t>www.slianz.org.nz/directory/member-directory</w:t>
              </w:r>
            </w:hyperlink>
            <w:r w:rsidRPr="009A2A45">
              <w:t xml:space="preserve"> </w:t>
            </w:r>
          </w:p>
        </w:tc>
      </w:tr>
      <w:tr w:rsidR="005065F0" w:rsidRPr="000C248F" w:rsidTr="00665FAB">
        <w:trPr>
          <w:cantSplit/>
        </w:trPr>
        <w:tc>
          <w:tcPr>
            <w:tcW w:w="5387" w:type="dxa"/>
            <w:tcBorders>
              <w:top w:val="single" w:sz="4" w:space="0" w:color="A6A6A6" w:themeColor="background1" w:themeShade="A6"/>
              <w:bottom w:val="single" w:sz="4" w:space="0" w:color="auto"/>
            </w:tcBorders>
          </w:tcPr>
          <w:p w:rsidR="001F07DE" w:rsidRPr="009A2A45" w:rsidRDefault="00DA3F06" w:rsidP="0075492B">
            <w:pPr>
              <w:pStyle w:val="TableText"/>
              <w:ind w:right="142"/>
              <w:rPr>
                <w:rFonts w:cs="Arial"/>
                <w:b/>
                <w:szCs w:val="18"/>
              </w:rPr>
            </w:pPr>
            <w:proofErr w:type="spellStart"/>
            <w:r w:rsidRPr="009A2A45">
              <w:rPr>
                <w:rFonts w:cs="Arial"/>
                <w:b/>
                <w:szCs w:val="18"/>
              </w:rPr>
              <w:lastRenderedPageBreak/>
              <w:t>Weka</w:t>
            </w:r>
            <w:proofErr w:type="spellEnd"/>
          </w:p>
          <w:p w:rsidR="005065F0" w:rsidRPr="009A2A45" w:rsidRDefault="005065F0" w:rsidP="0075492B">
            <w:pPr>
              <w:pStyle w:val="TableText"/>
              <w:ind w:right="142"/>
              <w:rPr>
                <w:rFonts w:cs="Arial"/>
                <w:szCs w:val="18"/>
              </w:rPr>
            </w:pPr>
            <w:proofErr w:type="spellStart"/>
            <w:r w:rsidRPr="009A2A45">
              <w:rPr>
                <w:rFonts w:cs="Arial"/>
                <w:szCs w:val="18"/>
              </w:rPr>
              <w:t>Weka</w:t>
            </w:r>
            <w:proofErr w:type="spellEnd"/>
            <w:r w:rsidRPr="009A2A45">
              <w:rPr>
                <w:rFonts w:cs="Arial"/>
                <w:szCs w:val="18"/>
              </w:rPr>
              <w:t xml:space="preserve"> is a website providing information on a range of disabilities, resources, support and services.</w:t>
            </w:r>
          </w:p>
          <w:p w:rsidR="00DA3F06" w:rsidRPr="009A2A45" w:rsidRDefault="008A337B" w:rsidP="0075492B">
            <w:pPr>
              <w:pStyle w:val="TableText"/>
              <w:ind w:right="142"/>
              <w:rPr>
                <w:rFonts w:cs="Arial"/>
                <w:szCs w:val="18"/>
              </w:rPr>
            </w:pPr>
            <w:hyperlink r:id="rId170" w:history="1">
              <w:r w:rsidR="00DA3F06" w:rsidRPr="009A2A45">
                <w:rPr>
                  <w:rStyle w:val="Hyperlink"/>
                  <w:rFonts w:ascii="Arial" w:hAnsi="Arial" w:cs="Arial"/>
                  <w:color w:val="auto"/>
                  <w:sz w:val="18"/>
                  <w:szCs w:val="18"/>
                </w:rPr>
                <w:t>www.weka.net.nz</w:t>
              </w:r>
            </w:hyperlink>
            <w:r w:rsidR="00DA3F06" w:rsidRPr="009A2A45">
              <w:rPr>
                <w:rFonts w:cs="Arial"/>
                <w:szCs w:val="18"/>
              </w:rPr>
              <w:t xml:space="preserve"> </w:t>
            </w:r>
          </w:p>
        </w:tc>
        <w:tc>
          <w:tcPr>
            <w:tcW w:w="3968" w:type="dxa"/>
            <w:tcBorders>
              <w:top w:val="single" w:sz="4" w:space="0" w:color="A6A6A6" w:themeColor="background1" w:themeShade="A6"/>
              <w:bottom w:val="single" w:sz="4" w:space="0" w:color="auto"/>
            </w:tcBorders>
            <w:tcMar>
              <w:top w:w="57" w:type="dxa"/>
            </w:tcMar>
          </w:tcPr>
          <w:p w:rsidR="00267D5F" w:rsidRPr="009A2A45" w:rsidRDefault="00DA3F06" w:rsidP="00DA3F06">
            <w:pPr>
              <w:pStyle w:val="TableBullet"/>
            </w:pPr>
            <w:r w:rsidRPr="009A2A45">
              <w:rPr>
                <w:rFonts w:cs="Arial"/>
                <w:szCs w:val="18"/>
              </w:rPr>
              <w:t>Regional information centres</w:t>
            </w:r>
            <w:r w:rsidRPr="009A2A45">
              <w:rPr>
                <w:rStyle w:val="Hyperlink"/>
                <w:rFonts w:ascii="Arial" w:hAnsi="Arial" w:cs="Arial"/>
                <w:color w:val="auto"/>
                <w:sz w:val="18"/>
                <w:szCs w:val="18"/>
              </w:rPr>
              <w:br/>
            </w:r>
            <w:hyperlink r:id="rId171" w:history="1">
              <w:r w:rsidRPr="009A2A45">
                <w:rPr>
                  <w:rStyle w:val="Hyperlink"/>
                  <w:rFonts w:ascii="Arial" w:hAnsi="Arial"/>
                  <w:color w:val="auto"/>
                  <w:sz w:val="18"/>
                </w:rPr>
                <w:t>www.weka.net.nz/information-centres</w:t>
              </w:r>
            </w:hyperlink>
            <w:r w:rsidRPr="009A2A45">
              <w:t xml:space="preserve"> </w:t>
            </w:r>
          </w:p>
          <w:p w:rsidR="005065F0" w:rsidRPr="009A2A45" w:rsidRDefault="00DA3F06" w:rsidP="00DA3F06">
            <w:pPr>
              <w:pStyle w:val="TableBullet"/>
            </w:pPr>
            <w:r w:rsidRPr="009A2A45">
              <w:rPr>
                <w:rFonts w:cs="Arial"/>
                <w:szCs w:val="18"/>
              </w:rPr>
              <w:t>General information sheets on a range of disabilities</w:t>
            </w:r>
            <w:r w:rsidRPr="009A2A45">
              <w:rPr>
                <w:rStyle w:val="Hyperlink"/>
                <w:rFonts w:ascii="Arial" w:hAnsi="Arial" w:cs="Arial"/>
                <w:color w:val="auto"/>
                <w:sz w:val="18"/>
                <w:szCs w:val="18"/>
              </w:rPr>
              <w:br/>
            </w:r>
            <w:hyperlink r:id="rId172" w:history="1">
              <w:r w:rsidRPr="009A2A45">
                <w:rPr>
                  <w:rStyle w:val="Hyperlink"/>
                  <w:rFonts w:ascii="Arial" w:hAnsi="Arial"/>
                  <w:color w:val="auto"/>
                  <w:sz w:val="18"/>
                </w:rPr>
                <w:t>www.weka.net.nz/Information-by-Category/fact-sheet-test</w:t>
              </w:r>
            </w:hyperlink>
            <w:r w:rsidRPr="009A2A45">
              <w:t xml:space="preserve"> </w:t>
            </w:r>
          </w:p>
        </w:tc>
      </w:tr>
    </w:tbl>
    <w:p w:rsidR="001F07DE" w:rsidRDefault="001F07DE" w:rsidP="0075492B"/>
    <w:p w:rsidR="001F07DE" w:rsidRDefault="005065F0" w:rsidP="005065F0">
      <w:r>
        <w:br w:type="page"/>
      </w:r>
    </w:p>
    <w:p w:rsidR="001F07DE" w:rsidRDefault="00A6612D" w:rsidP="00A6612D">
      <w:pPr>
        <w:pStyle w:val="Heading1"/>
      </w:pPr>
      <w:bookmarkStart w:id="295" w:name="_Toc479687396"/>
      <w:r>
        <w:lastRenderedPageBreak/>
        <w:t>Endnotes</w:t>
      </w:r>
      <w:bookmarkEnd w:id="295"/>
    </w:p>
    <w:sectPr w:rsidR="001F07DE" w:rsidSect="009D5125">
      <w:headerReference w:type="default" r:id="rId173"/>
      <w:footerReference w:type="default" r:id="rId174"/>
      <w:endnotePr>
        <w:numFmt w:val="lowerLetter"/>
      </w:endnotePr>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BD" w:rsidRPr="00A6612D" w:rsidRDefault="00FF47BD">
      <w:pPr>
        <w:rPr>
          <w:sz w:val="2"/>
          <w:szCs w:val="2"/>
        </w:rPr>
      </w:pPr>
    </w:p>
  </w:endnote>
  <w:endnote w:type="continuationSeparator" w:id="0">
    <w:p w:rsidR="00FF47BD" w:rsidRPr="00A6612D" w:rsidRDefault="00FF47BD">
      <w:pPr>
        <w:rPr>
          <w:sz w:val="2"/>
          <w:szCs w:val="2"/>
        </w:rPr>
      </w:pPr>
    </w:p>
  </w:endnote>
  <w:endnote w:id="1">
    <w:p w:rsidR="003A071C" w:rsidRPr="00A6612D" w:rsidRDefault="003A071C" w:rsidP="00A6612D">
      <w:pPr>
        <w:pStyle w:val="EndnoteText"/>
      </w:pPr>
      <w:r w:rsidRPr="007B53B3">
        <w:rPr>
          <w:rStyle w:val="EndnoteReference"/>
        </w:rPr>
        <w:endnoteRef/>
      </w:r>
      <w:r w:rsidRPr="007B53B3">
        <w:tab/>
        <w:t xml:space="preserve">Office for Disability Issues. 2016. </w:t>
      </w:r>
      <w:r w:rsidRPr="007B53B3">
        <w:rPr>
          <w:i/>
        </w:rPr>
        <w:t>New Zealand Disability Strategy 2016-2026</w:t>
      </w:r>
      <w:proofErr w:type="gramStart"/>
      <w:r w:rsidRPr="007B53B3">
        <w:rPr>
          <w:i/>
        </w:rPr>
        <w:t>:</w:t>
      </w:r>
      <w:r w:rsidRPr="007B53B3">
        <w:t>.</w:t>
      </w:r>
      <w:proofErr w:type="gramEnd"/>
      <w:r w:rsidRPr="007B53B3">
        <w:t xml:space="preserve"> Wellington: Ministry of Social Development November 2016.</w:t>
      </w:r>
    </w:p>
  </w:endnote>
  <w:endnote w:id="2">
    <w:p w:rsidR="003A071C" w:rsidRPr="00A6612D" w:rsidRDefault="003A071C" w:rsidP="00A6612D">
      <w:pPr>
        <w:pStyle w:val="EndnoteText"/>
      </w:pPr>
      <w:r w:rsidRPr="00A6612D">
        <w:rPr>
          <w:rStyle w:val="EndnoteReference"/>
        </w:rPr>
        <w:endnoteRef/>
      </w:r>
      <w:r>
        <w:tab/>
      </w:r>
      <w:r w:rsidRPr="00A6612D">
        <w:t xml:space="preserve">The full text of the UN Convention can be found at </w:t>
      </w:r>
      <w:hyperlink r:id="rId1" w:history="1">
        <w:r w:rsidRPr="00425F31">
          <w:rPr>
            <w:rStyle w:val="Hyperlink"/>
            <w:color w:val="auto"/>
            <w:sz w:val="19"/>
            <w:szCs w:val="19"/>
          </w:rPr>
          <w:t>www.un.org/disabilities/convention/conventionfull.shtml</w:t>
        </w:r>
      </w:hyperlink>
      <w:r w:rsidRPr="00A6612D">
        <w:rPr>
          <w:rStyle w:val="Hyperlink"/>
          <w:color w:val="auto"/>
          <w:sz w:val="19"/>
        </w:rPr>
        <w:t xml:space="preserve"> (accessed 16 November 2015).</w:t>
      </w:r>
    </w:p>
  </w:endnote>
  <w:endnote w:id="3">
    <w:p w:rsidR="003A071C" w:rsidRPr="00A6612D" w:rsidRDefault="003A071C" w:rsidP="00A6612D">
      <w:pPr>
        <w:pStyle w:val="EndnoteText"/>
      </w:pPr>
      <w:r w:rsidRPr="00A6612D">
        <w:rPr>
          <w:rStyle w:val="EndnoteReference"/>
        </w:rPr>
        <w:endnoteRef/>
      </w:r>
      <w:r>
        <w:tab/>
      </w:r>
      <w:r w:rsidRPr="00A6612D">
        <w:t xml:space="preserve">Oliver M. </w:t>
      </w:r>
      <w:r>
        <w:t xml:space="preserve">1990. </w:t>
      </w:r>
      <w:r w:rsidRPr="00E36B18">
        <w:rPr>
          <w:i/>
        </w:rPr>
        <w:t>The Politics of Disablement</w:t>
      </w:r>
      <w:r>
        <w:rPr>
          <w:i/>
        </w:rPr>
        <w:t>.</w:t>
      </w:r>
      <w:r w:rsidRPr="00A6612D">
        <w:t xml:space="preserve"> MacMillan.</w:t>
      </w:r>
    </w:p>
  </w:endnote>
  <w:endnote w:id="4">
    <w:p w:rsidR="003A071C" w:rsidRPr="00A6612D" w:rsidRDefault="003A071C" w:rsidP="00A6612D">
      <w:pPr>
        <w:pStyle w:val="EndnoteText"/>
      </w:pPr>
      <w:r w:rsidRPr="00A6612D">
        <w:rPr>
          <w:rStyle w:val="EndnoteReference"/>
        </w:rPr>
        <w:endnoteRef/>
      </w:r>
      <w:r>
        <w:tab/>
      </w:r>
      <w:r w:rsidRPr="00A6612D">
        <w:t xml:space="preserve">Ministry of Health. 2012. </w:t>
      </w:r>
      <w:proofErr w:type="spellStart"/>
      <w:r w:rsidRPr="00E36B18">
        <w:rPr>
          <w:i/>
        </w:rPr>
        <w:t>Whāia</w:t>
      </w:r>
      <w:proofErr w:type="spellEnd"/>
      <w:r w:rsidRPr="00E36B18">
        <w:rPr>
          <w:i/>
        </w:rPr>
        <w:t xml:space="preserve"> </w:t>
      </w:r>
      <w:proofErr w:type="spellStart"/>
      <w:r w:rsidRPr="00E36B18">
        <w:rPr>
          <w:i/>
        </w:rPr>
        <w:t>Te</w:t>
      </w:r>
      <w:proofErr w:type="spellEnd"/>
      <w:r w:rsidRPr="00E36B18">
        <w:rPr>
          <w:i/>
        </w:rPr>
        <w:t xml:space="preserve"> </w:t>
      </w:r>
      <w:proofErr w:type="spellStart"/>
      <w:r w:rsidRPr="00E36B18">
        <w:rPr>
          <w:i/>
        </w:rPr>
        <w:t>Ao</w:t>
      </w:r>
      <w:proofErr w:type="spellEnd"/>
      <w:r w:rsidRPr="00E36B18">
        <w:rPr>
          <w:i/>
        </w:rPr>
        <w:t xml:space="preserve"> </w:t>
      </w:r>
      <w:proofErr w:type="spellStart"/>
      <w:r w:rsidRPr="00E36B18">
        <w:rPr>
          <w:i/>
        </w:rPr>
        <w:t>Mārama</w:t>
      </w:r>
      <w:proofErr w:type="spellEnd"/>
      <w:r w:rsidRPr="00E36B18">
        <w:rPr>
          <w:i/>
        </w:rPr>
        <w:t>: The Maori Disability Action Plan for Disability Support Services 2012 to 2017</w:t>
      </w:r>
      <w:r w:rsidRPr="00A6612D">
        <w:t>. Wellington: Ministry of Health.</w:t>
      </w:r>
    </w:p>
  </w:endnote>
  <w:endnote w:id="5">
    <w:p w:rsidR="003A071C" w:rsidRPr="00A6612D" w:rsidRDefault="003A071C" w:rsidP="00A6612D">
      <w:pPr>
        <w:pStyle w:val="EndnoteText"/>
      </w:pPr>
      <w:r w:rsidRPr="00A6612D">
        <w:rPr>
          <w:rStyle w:val="EndnoteReference"/>
        </w:rPr>
        <w:endnoteRef/>
      </w:r>
      <w:r>
        <w:tab/>
      </w:r>
      <w:r w:rsidRPr="00A6612D">
        <w:t xml:space="preserve">Available on </w:t>
      </w:r>
      <w:proofErr w:type="spellStart"/>
      <w:r w:rsidRPr="00A6612D">
        <w:t>Kāpō</w:t>
      </w:r>
      <w:proofErr w:type="spellEnd"/>
      <w:r w:rsidRPr="00A6612D">
        <w:t xml:space="preserve"> Māori </w:t>
      </w:r>
      <w:proofErr w:type="spellStart"/>
      <w:r w:rsidRPr="00A6612D">
        <w:t>Aotearoa</w:t>
      </w:r>
      <w:proofErr w:type="spellEnd"/>
      <w:r w:rsidRPr="00A6612D">
        <w:t xml:space="preserve"> (</w:t>
      </w:r>
      <w:proofErr w:type="spellStart"/>
      <w:r w:rsidRPr="00A6612D">
        <w:t>Ngāti</w:t>
      </w:r>
      <w:proofErr w:type="spellEnd"/>
      <w:r w:rsidRPr="00A6612D">
        <w:t xml:space="preserve"> </w:t>
      </w:r>
      <w:proofErr w:type="spellStart"/>
      <w:r w:rsidRPr="00A6612D">
        <w:t>Kāpō</w:t>
      </w:r>
      <w:proofErr w:type="spellEnd"/>
      <w:r w:rsidRPr="00A6612D">
        <w:t xml:space="preserve">)’s website: </w:t>
      </w:r>
      <w:hyperlink r:id="rId2" w:history="1">
        <w:r w:rsidRPr="00425F31">
          <w:rPr>
            <w:rStyle w:val="Hyperlink"/>
            <w:color w:val="auto"/>
            <w:sz w:val="19"/>
            <w:szCs w:val="19"/>
          </w:rPr>
          <w:t>www.kapomaori.com/resources/index.htm</w:t>
        </w:r>
      </w:hyperlink>
      <w:r w:rsidRPr="00425F31">
        <w:rPr>
          <w:rStyle w:val="Hyperlink"/>
          <w:color w:val="auto"/>
          <w:sz w:val="19"/>
        </w:rPr>
        <w:t xml:space="preserve"> </w:t>
      </w:r>
      <w:r w:rsidRPr="00A6612D">
        <w:rPr>
          <w:rStyle w:val="Hyperlink"/>
          <w:color w:val="auto"/>
          <w:sz w:val="19"/>
        </w:rPr>
        <w:t>(accessed 17 November 2015).</w:t>
      </w:r>
    </w:p>
  </w:endnote>
  <w:endnote w:id="6">
    <w:p w:rsidR="003A071C" w:rsidRPr="00A6612D" w:rsidRDefault="003A071C" w:rsidP="00A6612D">
      <w:pPr>
        <w:pStyle w:val="EndnoteText"/>
      </w:pPr>
      <w:r w:rsidRPr="00A6612D">
        <w:rPr>
          <w:rStyle w:val="EndnoteReference"/>
        </w:rPr>
        <w:endnoteRef/>
      </w:r>
      <w:r>
        <w:tab/>
      </w:r>
      <w:r w:rsidRPr="00A6612D">
        <w:t xml:space="preserve">Ministry of Health. 2010. </w:t>
      </w:r>
      <w:proofErr w:type="spellStart"/>
      <w:r w:rsidRPr="009A0147">
        <w:rPr>
          <w:i/>
        </w:rPr>
        <w:t>Faiva</w:t>
      </w:r>
      <w:proofErr w:type="spellEnd"/>
      <w:r w:rsidRPr="009A0147">
        <w:rPr>
          <w:i/>
        </w:rPr>
        <w:t xml:space="preserve"> </w:t>
      </w:r>
      <w:proofErr w:type="spellStart"/>
      <w:r w:rsidRPr="009A0147">
        <w:rPr>
          <w:i/>
        </w:rPr>
        <w:t>Ora</w:t>
      </w:r>
      <w:proofErr w:type="spellEnd"/>
      <w:r w:rsidRPr="009A0147">
        <w:rPr>
          <w:i/>
        </w:rPr>
        <w:t xml:space="preserve">: </w:t>
      </w:r>
      <w:proofErr w:type="spellStart"/>
      <w:r w:rsidRPr="009A0147">
        <w:rPr>
          <w:i/>
        </w:rPr>
        <w:t>Pasifika</w:t>
      </w:r>
      <w:proofErr w:type="spellEnd"/>
      <w:r w:rsidRPr="009A0147">
        <w:rPr>
          <w:i/>
        </w:rPr>
        <w:t xml:space="preserve"> Disability Action Plan</w:t>
      </w:r>
      <w:r w:rsidRPr="00A6612D">
        <w:t>. Wellington: Ministry of Health.</w:t>
      </w:r>
    </w:p>
  </w:endnote>
  <w:endnote w:id="7">
    <w:p w:rsidR="003A071C" w:rsidRPr="00A6612D" w:rsidRDefault="003A071C" w:rsidP="00A6612D">
      <w:pPr>
        <w:pStyle w:val="EndnoteText"/>
      </w:pPr>
      <w:r w:rsidRPr="00A6612D">
        <w:rPr>
          <w:rStyle w:val="EndnoteReference"/>
        </w:rPr>
        <w:endnoteRef/>
      </w:r>
      <w:r>
        <w:tab/>
      </w:r>
      <w:r w:rsidRPr="00A6612D">
        <w:t xml:space="preserve">Le Va. 2014. </w:t>
      </w:r>
      <w:r w:rsidRPr="009A0147">
        <w:rPr>
          <w:i/>
        </w:rPr>
        <w:t xml:space="preserve">Organisational Guidelines for Disability Support Services: Working with </w:t>
      </w:r>
      <w:proofErr w:type="spellStart"/>
      <w:r w:rsidRPr="009A0147">
        <w:rPr>
          <w:i/>
        </w:rPr>
        <w:t>Pasifika</w:t>
      </w:r>
      <w:proofErr w:type="spellEnd"/>
      <w:r w:rsidRPr="009A0147">
        <w:rPr>
          <w:i/>
        </w:rPr>
        <w:t xml:space="preserve"> People with Disabilities and their Families</w:t>
      </w:r>
      <w:r w:rsidRPr="00A6612D">
        <w:t>. Auckland: Le Va.</w:t>
      </w:r>
    </w:p>
  </w:endnote>
  <w:endnote w:id="8">
    <w:p w:rsidR="003A071C" w:rsidRPr="00A6612D" w:rsidRDefault="003A071C" w:rsidP="00A6612D">
      <w:pPr>
        <w:pStyle w:val="EndnoteText"/>
      </w:pPr>
      <w:r w:rsidRPr="00A6612D">
        <w:rPr>
          <w:rStyle w:val="EndnoteReference"/>
        </w:rPr>
        <w:endnoteRef/>
      </w:r>
      <w:r>
        <w:tab/>
      </w:r>
      <w:r w:rsidRPr="00A6612D">
        <w:t xml:space="preserve">Ministry of Health. 2012. </w:t>
      </w:r>
      <w:r w:rsidRPr="009A0147">
        <w:rPr>
          <w:i/>
        </w:rPr>
        <w:t>Refugee Health Care: A Handbook for Health Professionals</w:t>
      </w:r>
      <w:r w:rsidRPr="00A6612D">
        <w:t>. Wellington: Ministry of Health.</w:t>
      </w:r>
    </w:p>
  </w:endnote>
  <w:endnote w:id="9">
    <w:p w:rsidR="003A071C" w:rsidRPr="00A6612D" w:rsidRDefault="003A071C" w:rsidP="00A6612D">
      <w:pPr>
        <w:pStyle w:val="EndnoteText"/>
      </w:pPr>
      <w:r w:rsidRPr="00A6612D">
        <w:rPr>
          <w:rStyle w:val="EndnoteReference"/>
        </w:rPr>
        <w:endnoteRef/>
      </w:r>
      <w:r>
        <w:tab/>
      </w:r>
      <w:r w:rsidRPr="00A6612D">
        <w:t xml:space="preserve">See </w:t>
      </w:r>
      <w:hyperlink r:id="rId3" w:anchor="aid6" w:history="1">
        <w:r w:rsidRPr="00425F31">
          <w:rPr>
            <w:rStyle w:val="Hyperlink"/>
            <w:color w:val="auto"/>
            <w:sz w:val="19"/>
            <w:szCs w:val="19"/>
          </w:rPr>
          <w:t>www.building.govt.nz/international-symbol#aid6</w:t>
        </w:r>
      </w:hyperlink>
      <w:r w:rsidRPr="00A6612D">
        <w:t xml:space="preserve"> (accessed 14 December 2015)</w:t>
      </w:r>
    </w:p>
  </w:endnote>
  <w:endnote w:id="10">
    <w:p w:rsidR="003A071C" w:rsidRPr="00A6612D" w:rsidRDefault="003A071C" w:rsidP="00A6612D">
      <w:pPr>
        <w:pStyle w:val="EndnoteText"/>
      </w:pPr>
      <w:r w:rsidRPr="00A6612D">
        <w:rPr>
          <w:rStyle w:val="EndnoteReference"/>
        </w:rPr>
        <w:endnoteRef/>
      </w:r>
      <w:r>
        <w:tab/>
      </w:r>
      <w:r w:rsidRPr="00A6612D">
        <w:t xml:space="preserve">See </w:t>
      </w:r>
      <w:hyperlink r:id="rId4" w:history="1">
        <w:r w:rsidRPr="00425F31">
          <w:rPr>
            <w:rStyle w:val="Hyperlink"/>
            <w:color w:val="auto"/>
            <w:sz w:val="19"/>
            <w:szCs w:val="19"/>
          </w:rPr>
          <w:t>www.webtoolkit.govt.nz</w:t>
        </w:r>
      </w:hyperlink>
      <w:r w:rsidRPr="00A6612D">
        <w:t xml:space="preserve"> (accessed 18 November 2015).</w:t>
      </w:r>
    </w:p>
  </w:endnote>
  <w:endnote w:id="11">
    <w:p w:rsidR="003A071C" w:rsidRPr="00A6612D" w:rsidRDefault="003A071C" w:rsidP="00A6612D">
      <w:pPr>
        <w:pStyle w:val="EndnoteText"/>
      </w:pPr>
      <w:r w:rsidRPr="00A6612D">
        <w:rPr>
          <w:rStyle w:val="EndnoteReference"/>
        </w:rPr>
        <w:endnoteRef/>
      </w:r>
      <w:r>
        <w:tab/>
      </w:r>
      <w:r w:rsidRPr="00A6612D">
        <w:t xml:space="preserve">See </w:t>
      </w:r>
      <w:hyperlink r:id="rId5" w:history="1">
        <w:r w:rsidRPr="00425F31">
          <w:rPr>
            <w:rStyle w:val="Hyperlink"/>
            <w:color w:val="auto"/>
            <w:sz w:val="19"/>
            <w:szCs w:val="19"/>
          </w:rPr>
          <w:t>www.w3.org/TR/WCAG20</w:t>
        </w:r>
      </w:hyperlink>
      <w:r w:rsidRPr="00A6612D">
        <w:t xml:space="preserve"> (accessed 18 November 2015).</w:t>
      </w:r>
    </w:p>
  </w:endnote>
  <w:endnote w:id="12">
    <w:p w:rsidR="003A071C" w:rsidRPr="00A6612D" w:rsidRDefault="003A071C" w:rsidP="00A6612D">
      <w:pPr>
        <w:pStyle w:val="EndnoteText"/>
      </w:pPr>
      <w:r w:rsidRPr="00A6612D">
        <w:rPr>
          <w:rStyle w:val="EndnoteReference"/>
        </w:rPr>
        <w:endnoteRef/>
      </w:r>
      <w:r>
        <w:tab/>
      </w:r>
      <w:r w:rsidRPr="00A6612D">
        <w:t xml:space="preserve">Communication Matters. 2015. Having a conversation with someone who uses AAC. URL: </w:t>
      </w:r>
      <w:hyperlink r:id="rId6" w:history="1">
        <w:r w:rsidRPr="00425F31">
          <w:rPr>
            <w:rStyle w:val="Hyperlink"/>
            <w:color w:val="auto"/>
            <w:sz w:val="19"/>
            <w:szCs w:val="19"/>
          </w:rPr>
          <w:t>www.communicationmatters.org.uk/page/having-conversation</w:t>
        </w:r>
      </w:hyperlink>
      <w:r w:rsidRPr="00A6612D">
        <w:rPr>
          <w:rStyle w:val="Hyperlink"/>
          <w:color w:val="auto"/>
          <w:sz w:val="19"/>
        </w:rPr>
        <w:t xml:space="preserve"> </w:t>
      </w:r>
      <w:r w:rsidRPr="00A6612D">
        <w:t>(accessed 21 November 2015).</w:t>
      </w:r>
    </w:p>
  </w:endnote>
  <w:endnote w:id="13">
    <w:p w:rsidR="003A071C" w:rsidRPr="00A6612D" w:rsidRDefault="003A071C" w:rsidP="00A6612D">
      <w:pPr>
        <w:pStyle w:val="EndnoteText"/>
      </w:pPr>
      <w:r w:rsidRPr="00A6612D">
        <w:rPr>
          <w:rStyle w:val="EndnoteReference"/>
        </w:rPr>
        <w:endnoteRef/>
      </w:r>
      <w:r>
        <w:tab/>
      </w:r>
      <w:r w:rsidRPr="00A6612D">
        <w:t xml:space="preserve">Communication Matters. 2015. Having a conversation with someone who uses AAC. URL: </w:t>
      </w:r>
      <w:hyperlink r:id="rId7" w:history="1">
        <w:r w:rsidRPr="00425F31">
          <w:rPr>
            <w:rStyle w:val="Hyperlink"/>
            <w:color w:val="auto"/>
            <w:sz w:val="19"/>
            <w:szCs w:val="19"/>
          </w:rPr>
          <w:t>www.communicationmatters.org.uk/page/having-conversation</w:t>
        </w:r>
      </w:hyperlink>
      <w:r w:rsidRPr="00A6612D">
        <w:rPr>
          <w:rStyle w:val="Hyperlink"/>
          <w:color w:val="auto"/>
          <w:sz w:val="19"/>
        </w:rPr>
        <w:t xml:space="preserve"> </w:t>
      </w:r>
      <w:r w:rsidRPr="00A6612D">
        <w:t>(accessed 21 November 2015).</w:t>
      </w:r>
    </w:p>
  </w:endnote>
  <w:endnote w:id="14">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Wellington: Ministry of Health, p</w:t>
      </w:r>
      <w:r>
        <w:t> </w:t>
      </w:r>
      <w:r w:rsidRPr="00A6612D">
        <w:t>2.</w:t>
      </w:r>
    </w:p>
  </w:endnote>
  <w:endnote w:id="15">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Wellington: Ministry of Health, p</w:t>
      </w:r>
      <w:r>
        <w:t> </w:t>
      </w:r>
      <w:r w:rsidRPr="00A6612D">
        <w:t>2.</w:t>
      </w:r>
    </w:p>
  </w:endnote>
  <w:endnote w:id="16">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xml:space="preserve">. Wellington: Ministry of Health, </w:t>
      </w:r>
      <w:proofErr w:type="spellStart"/>
      <w:r w:rsidRPr="00A6612D">
        <w:t>p</w:t>
      </w:r>
      <w:r>
        <w:t>p</w:t>
      </w:r>
      <w:proofErr w:type="spellEnd"/>
      <w:r w:rsidRPr="00A6612D">
        <w:t xml:space="preserve"> 14–15.</w:t>
      </w:r>
    </w:p>
  </w:endnote>
  <w:endnote w:id="17">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xml:space="preserve">. Wellington: Ministry of Health, </w:t>
      </w:r>
      <w:proofErr w:type="spellStart"/>
      <w:r w:rsidRPr="00A6612D">
        <w:t>p</w:t>
      </w:r>
      <w:r>
        <w:t>p</w:t>
      </w:r>
      <w:proofErr w:type="spellEnd"/>
      <w:r w:rsidRPr="00A6612D">
        <w:t xml:space="preserve"> 12, 14.</w:t>
      </w:r>
    </w:p>
  </w:endnote>
  <w:endnote w:id="18">
    <w:p w:rsidR="003A071C" w:rsidRPr="00A6612D" w:rsidRDefault="003A071C" w:rsidP="00A6612D">
      <w:pPr>
        <w:pStyle w:val="EndnoteText"/>
      </w:pPr>
      <w:r w:rsidRPr="00A6612D">
        <w:rPr>
          <w:rStyle w:val="EndnoteReference"/>
        </w:rPr>
        <w:endnoteRef/>
      </w:r>
      <w:r>
        <w:tab/>
      </w:r>
      <w:r w:rsidRPr="00A6612D">
        <w:t xml:space="preserve">Ministries of Health and Education. 2008. </w:t>
      </w:r>
      <w:r w:rsidRPr="009A0147">
        <w:rPr>
          <w:i/>
        </w:rPr>
        <w:t>New Zealand Autism Spectrum Disorder Guideline</w:t>
      </w:r>
      <w:r w:rsidRPr="00A6612D">
        <w:t>. Wellington: Ministries of Health and Education, p</w:t>
      </w:r>
      <w:r>
        <w:t> </w:t>
      </w:r>
      <w:r w:rsidRPr="00A6612D">
        <w:t>96.</w:t>
      </w:r>
    </w:p>
  </w:endnote>
  <w:endnote w:id="19">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Wellington: Ministry of Health, p</w:t>
      </w:r>
      <w:r>
        <w:t> </w:t>
      </w:r>
      <w:r w:rsidRPr="00A6612D">
        <w:t>5.</w:t>
      </w:r>
    </w:p>
  </w:endnote>
  <w:endnote w:id="20">
    <w:p w:rsidR="003A071C" w:rsidRPr="00A6612D" w:rsidRDefault="003A071C" w:rsidP="00A6612D">
      <w:pPr>
        <w:pStyle w:val="EndnoteText"/>
      </w:pPr>
      <w:r w:rsidRPr="00A6612D">
        <w:rPr>
          <w:rStyle w:val="EndnoteReference"/>
        </w:rPr>
        <w:endnoteRef/>
      </w:r>
      <w:r>
        <w:tab/>
      </w:r>
      <w:r w:rsidRPr="00A6612D">
        <w:t xml:space="preserve">Communication Matters. 2015. Having a conversation with someone who uses AAC. URL: </w:t>
      </w:r>
      <w:hyperlink r:id="rId8" w:history="1">
        <w:r w:rsidRPr="00425F31">
          <w:rPr>
            <w:rStyle w:val="Hyperlink"/>
            <w:color w:val="auto"/>
            <w:sz w:val="19"/>
            <w:szCs w:val="19"/>
          </w:rPr>
          <w:t>www.communicationmatters.org.uk/page/having-conversation</w:t>
        </w:r>
      </w:hyperlink>
      <w:r w:rsidRPr="00A6612D">
        <w:rPr>
          <w:rStyle w:val="Hyperlink"/>
          <w:color w:val="auto"/>
          <w:sz w:val="19"/>
        </w:rPr>
        <w:t xml:space="preserve"> (accessed 21 November 2015).</w:t>
      </w:r>
    </w:p>
  </w:endnote>
  <w:endnote w:id="21">
    <w:p w:rsidR="003A071C" w:rsidRPr="00A6612D" w:rsidRDefault="003A071C" w:rsidP="00A6612D">
      <w:pPr>
        <w:pStyle w:val="EndnoteText"/>
      </w:pPr>
      <w:r w:rsidRPr="00A6612D">
        <w:rPr>
          <w:rStyle w:val="EndnoteReference"/>
        </w:rPr>
        <w:endnoteRef/>
      </w:r>
      <w:r>
        <w:tab/>
      </w:r>
      <w:r w:rsidRPr="00A6612D">
        <w:t xml:space="preserve">Ministries of Health and Education. 2008. </w:t>
      </w:r>
      <w:r w:rsidRPr="009A0147">
        <w:rPr>
          <w:i/>
        </w:rPr>
        <w:t>New Zealand Autism Spectrum Disorder Guideline</w:t>
      </w:r>
      <w:r w:rsidRPr="00A6612D">
        <w:t>. Wellington: Ministries of Health and Education, p 99.</w:t>
      </w:r>
    </w:p>
  </w:endnote>
  <w:endnote w:id="22">
    <w:p w:rsidR="003A071C" w:rsidRPr="00A6612D" w:rsidRDefault="003A071C" w:rsidP="00A6612D">
      <w:pPr>
        <w:pStyle w:val="EndnoteText"/>
      </w:pPr>
      <w:r w:rsidRPr="00A6612D">
        <w:rPr>
          <w:rStyle w:val="EndnoteReference"/>
        </w:rPr>
        <w:endnoteRef/>
      </w:r>
      <w:r>
        <w:tab/>
      </w:r>
      <w:r w:rsidRPr="00A6612D">
        <w:t xml:space="preserve">Ministries of Health and Education. 2008. </w:t>
      </w:r>
      <w:r w:rsidRPr="009A0147">
        <w:rPr>
          <w:i/>
        </w:rPr>
        <w:t>New Zealand Autism Spectrum Disorder Guideline</w:t>
      </w:r>
      <w:r w:rsidRPr="00A6612D">
        <w:t xml:space="preserve">. Wellington: Ministries of Health and Education, </w:t>
      </w:r>
      <w:proofErr w:type="spellStart"/>
      <w:r w:rsidRPr="00A6612D">
        <w:t>p</w:t>
      </w:r>
      <w:r>
        <w:t>p</w:t>
      </w:r>
      <w:proofErr w:type="spellEnd"/>
      <w:r>
        <w:t xml:space="preserve"> 111–112.</w:t>
      </w:r>
    </w:p>
  </w:endnote>
  <w:endnote w:id="23">
    <w:p w:rsidR="003A071C" w:rsidRPr="00A6612D" w:rsidRDefault="003A071C" w:rsidP="00A6612D">
      <w:pPr>
        <w:pStyle w:val="EndnoteText"/>
      </w:pPr>
      <w:r w:rsidRPr="00A6612D">
        <w:rPr>
          <w:rStyle w:val="EndnoteReference"/>
        </w:rPr>
        <w:endnoteRef/>
      </w:r>
      <w:r>
        <w:tab/>
      </w:r>
      <w:r w:rsidRPr="00A6612D">
        <w:t xml:space="preserve">Ministry of Health. 2014. </w:t>
      </w:r>
      <w:r w:rsidRPr="009A0147">
        <w:rPr>
          <w:i/>
        </w:rPr>
        <w:t>Working with People with Autism Spectrum Disorder: A guideline for Ministry of Health needs assessment and service coordination organisations</w:t>
      </w:r>
      <w:r w:rsidRPr="00A6612D">
        <w:t>. Wellington: Ministry of Health, p</w:t>
      </w:r>
      <w:r>
        <w:t> </w:t>
      </w:r>
      <w:r w:rsidRPr="00A6612D">
        <w:t>15.</w:t>
      </w:r>
    </w:p>
  </w:endnote>
  <w:endnote w:id="24">
    <w:p w:rsidR="003A071C" w:rsidRPr="00A6612D" w:rsidRDefault="003A071C" w:rsidP="00A6612D">
      <w:pPr>
        <w:pStyle w:val="EndnoteText"/>
      </w:pPr>
      <w:r w:rsidRPr="00A6612D">
        <w:rPr>
          <w:rStyle w:val="EndnoteReference"/>
        </w:rPr>
        <w:endnoteRef/>
      </w:r>
      <w:r>
        <w:tab/>
      </w:r>
      <w:r w:rsidRPr="00A6612D">
        <w:t xml:space="preserve">Human Rights Commission. 2012. </w:t>
      </w:r>
      <w:r w:rsidRPr="009A0147">
        <w:rPr>
          <w:i/>
        </w:rPr>
        <w:t>Political Participation for Everyone: Disabled People’s Rights and the Political Process</w:t>
      </w:r>
      <w:r w:rsidRPr="00A6612D">
        <w:t>. Wellington: Human Rights Commission, p 4.</w:t>
      </w:r>
    </w:p>
  </w:endnote>
  <w:endnote w:id="25">
    <w:p w:rsidR="003A071C" w:rsidRPr="00A6612D" w:rsidRDefault="003A071C" w:rsidP="00A6612D">
      <w:pPr>
        <w:pStyle w:val="EndnoteText"/>
      </w:pPr>
      <w:r w:rsidRPr="00A6612D">
        <w:rPr>
          <w:rStyle w:val="EndnoteReference"/>
        </w:rPr>
        <w:endnoteRef/>
      </w:r>
      <w:r>
        <w:tab/>
      </w:r>
      <w:r w:rsidRPr="00A6612D">
        <w:t xml:space="preserve">Human Rights Commission. 2012. </w:t>
      </w:r>
      <w:r w:rsidRPr="009A0147">
        <w:rPr>
          <w:i/>
        </w:rPr>
        <w:t>Political Participation for Everyone: Disabled People’s Rights and the Political Process</w:t>
      </w:r>
      <w:r w:rsidRPr="00A6612D">
        <w:t>. Wellington: Human Rights Commission, p 6.</w:t>
      </w:r>
    </w:p>
  </w:endnote>
  <w:endnote w:id="26">
    <w:p w:rsidR="003A071C" w:rsidRPr="00A6612D" w:rsidRDefault="003A071C" w:rsidP="00A6612D">
      <w:pPr>
        <w:pStyle w:val="EndnoteText"/>
      </w:pPr>
      <w:r w:rsidRPr="00A6612D">
        <w:rPr>
          <w:rStyle w:val="EndnoteReference"/>
        </w:rPr>
        <w:endnoteRef/>
      </w:r>
      <w:r>
        <w:tab/>
      </w:r>
      <w:r w:rsidRPr="00A6612D">
        <w:t xml:space="preserve">Human Rights Commission. 2012. </w:t>
      </w:r>
      <w:r w:rsidRPr="009A0147">
        <w:rPr>
          <w:i/>
        </w:rPr>
        <w:t>Better Information for Everybody: Disabled People’s Rights in the Information Age</w:t>
      </w:r>
      <w:r w:rsidRPr="00A6612D">
        <w:t>. Wellington: Human Rights Commission, p 6.</w:t>
      </w:r>
    </w:p>
  </w:endnote>
  <w:endnote w:id="27">
    <w:p w:rsidR="003A071C" w:rsidRPr="00A6612D" w:rsidRDefault="003A071C" w:rsidP="00A6612D">
      <w:pPr>
        <w:pStyle w:val="EndnoteText"/>
      </w:pPr>
      <w:r w:rsidRPr="00A6612D">
        <w:rPr>
          <w:rStyle w:val="EndnoteReference"/>
        </w:rPr>
        <w:endnoteRef/>
      </w:r>
      <w:r>
        <w:tab/>
      </w:r>
      <w:r w:rsidRPr="00A6612D">
        <w:t xml:space="preserve">See </w:t>
      </w:r>
      <w:hyperlink r:id="rId9" w:history="1">
        <w:r w:rsidRPr="00425F31">
          <w:rPr>
            <w:rStyle w:val="Hyperlink"/>
            <w:color w:val="auto"/>
            <w:sz w:val="19"/>
            <w:szCs w:val="19"/>
          </w:rPr>
          <w:t>www.un.org/disabilities/default.asp?id=223</w:t>
        </w:r>
      </w:hyperlink>
      <w:r w:rsidRPr="00A6612D">
        <w:rPr>
          <w:rStyle w:val="Hyperlink"/>
          <w:color w:val="auto"/>
          <w:sz w:val="19"/>
        </w:rPr>
        <w:t xml:space="preserve"> (accessed 18 November 2015).</w:t>
      </w:r>
    </w:p>
  </w:endnote>
  <w:endnote w:id="28">
    <w:p w:rsidR="003A071C" w:rsidRPr="00A6612D" w:rsidRDefault="003A071C" w:rsidP="00A6612D">
      <w:pPr>
        <w:pStyle w:val="EndnoteText"/>
      </w:pPr>
      <w:r w:rsidRPr="00A6612D">
        <w:rPr>
          <w:rStyle w:val="EndnoteReference"/>
        </w:rPr>
        <w:endnoteRef/>
      </w:r>
      <w:r>
        <w:tab/>
      </w:r>
      <w:r w:rsidRPr="00A6612D">
        <w:t>Preamble (o).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Pr="00581136" w:rsidRDefault="003A071C" w:rsidP="00F9366A">
    <w:pPr>
      <w:pStyle w:val="Footer"/>
      <w:pBdr>
        <w:bottom w:val="single" w:sz="4" w:space="1" w:color="auto"/>
      </w:pBdr>
      <w:tabs>
        <w:tab w:val="right" w:pos="8504"/>
      </w:tabs>
      <w:ind w:left="-1559"/>
      <w:rPr>
        <w:b/>
      </w:rPr>
    </w:pPr>
    <w:r w:rsidRPr="00581136">
      <w:rPr>
        <w:b/>
      </w:rPr>
      <w:t>Released 201</w:t>
    </w:r>
    <w:r w:rsidR="00E81E75">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Pr="00275D08" w:rsidRDefault="003A071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A337B">
      <w:rPr>
        <w:rStyle w:val="PageNumber"/>
        <w:noProof/>
      </w:rPr>
      <w:t>18</w:t>
    </w:r>
    <w:r w:rsidRPr="00FC46E7">
      <w:rPr>
        <w:rStyle w:val="PageNumber"/>
      </w:rPr>
      <w:fldChar w:fldCharType="end"/>
    </w:r>
    <w:r>
      <w:tab/>
      <w:t>A Guide to Community Engagement with People with Disabilities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533B90">
    <w:pPr>
      <w:pStyle w:val="RectoFooter"/>
    </w:pPr>
    <w:r>
      <w:tab/>
      <w:t>A Guide to Community Engagement with People with Disabilities</w:t>
    </w:r>
    <w:r>
      <w:tab/>
    </w:r>
    <w:r>
      <w:rPr>
        <w:rStyle w:val="PageNumber"/>
      </w:rPr>
      <w:fldChar w:fldCharType="begin"/>
    </w:r>
    <w:r>
      <w:rPr>
        <w:rStyle w:val="PageNumber"/>
      </w:rPr>
      <w:instrText xml:space="preserve"> PAGE </w:instrText>
    </w:r>
    <w:r>
      <w:rPr>
        <w:rStyle w:val="PageNumber"/>
      </w:rPr>
      <w:fldChar w:fldCharType="separate"/>
    </w:r>
    <w:r w:rsidR="008A337B">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9E3C8C">
    <w:pPr>
      <w:pStyle w:val="RectoFooter"/>
    </w:pPr>
    <w:r>
      <w:tab/>
      <w:t>A Guide to Community Engagement with People with Disabilities</w:t>
    </w:r>
    <w:r>
      <w:tab/>
    </w:r>
    <w:r>
      <w:rPr>
        <w:rStyle w:val="PageNumber"/>
      </w:rPr>
      <w:fldChar w:fldCharType="begin"/>
    </w:r>
    <w:r>
      <w:rPr>
        <w:rStyle w:val="PageNumber"/>
      </w:rPr>
      <w:instrText xml:space="preserve"> PAGE </w:instrText>
    </w:r>
    <w:r>
      <w:rPr>
        <w:rStyle w:val="PageNumber"/>
      </w:rPr>
      <w:fldChar w:fldCharType="separate"/>
    </w:r>
    <w:r w:rsidR="008A337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BD" w:rsidRPr="00A26E6B" w:rsidRDefault="00FF47BD" w:rsidP="00A26E6B"/>
  </w:footnote>
  <w:footnote w:type="continuationSeparator" w:id="0">
    <w:p w:rsidR="00FF47BD" w:rsidRDefault="00FF47BD">
      <w:pPr>
        <w:spacing w:line="240" w:lineRule="auto"/>
      </w:pPr>
      <w:r>
        <w:continuationSeparator/>
      </w:r>
    </w:p>
    <w:p w:rsidR="00FF47BD" w:rsidRDefault="00FF47BD"/>
  </w:footnote>
  <w:footnote w:id="1">
    <w:p w:rsidR="003A071C" w:rsidRPr="006F504F" w:rsidRDefault="003A071C" w:rsidP="00267D5F">
      <w:pPr>
        <w:pStyle w:val="FootnoteText"/>
      </w:pPr>
      <w:r w:rsidRPr="00267D5F">
        <w:rPr>
          <w:rStyle w:val="FootnoteReference"/>
        </w:rPr>
        <w:footnoteRef/>
      </w:r>
      <w:r>
        <w:tab/>
      </w:r>
      <w:r w:rsidRPr="006F504F">
        <w:t xml:space="preserve">In the 2013 New Zealand Disability Survey, almost one in four New Zealanders or 1.1 million people identified as disabled. The survey noted that: </w:t>
      </w:r>
      <w:r>
        <w:t>‘</w:t>
      </w:r>
      <w:r w:rsidRPr="006F504F">
        <w:t>disability is defined as long-term limitation (resulting from impairment) in a person</w:t>
      </w:r>
      <w:r>
        <w:t>’</w:t>
      </w:r>
      <w:r w:rsidRPr="006F504F">
        <w:t>s ability to carry out daily activities. The limitations identified were self-reported or reported on behalf of the disabled person by their parent or primary caregiver.</w:t>
      </w:r>
      <w:r>
        <w:t>’</w:t>
      </w:r>
      <w:r w:rsidRPr="006F504F">
        <w:t xml:space="preserve"> </w:t>
      </w:r>
      <w:r>
        <w:br/>
      </w:r>
      <w:r w:rsidRPr="006F504F">
        <w:t xml:space="preserve">See Statistics New Zealand. 2014. One in four New Zealanders identified as disabled. </w:t>
      </w:r>
      <w:r>
        <w:br/>
      </w:r>
      <w:r w:rsidRPr="006F504F">
        <w:t>URL:</w:t>
      </w:r>
      <w:r w:rsidRPr="0052205A">
        <w:t xml:space="preserve"> </w:t>
      </w:r>
      <w:hyperlink r:id="rId1" w:history="1">
        <w:r w:rsidRPr="0052205A">
          <w:rPr>
            <w:rStyle w:val="Hyperlink"/>
            <w:color w:val="auto"/>
            <w:sz w:val="18"/>
            <w:szCs w:val="18"/>
          </w:rPr>
          <w:t>www.stats.govt.nz/browse_for_stats/health/disabilities/DisabilitySurvey_MR2013.aspx</w:t>
        </w:r>
      </w:hyperlink>
      <w:r w:rsidRPr="006F504F">
        <w:t xml:space="preserve"> </w:t>
      </w:r>
      <w:r>
        <w:br/>
      </w:r>
      <w:r w:rsidRPr="006F504F">
        <w:t>(accessed 16 November 2015).</w:t>
      </w:r>
    </w:p>
  </w:footnote>
  <w:footnote w:id="2">
    <w:p w:rsidR="003A071C" w:rsidRPr="006F504F" w:rsidRDefault="003A071C" w:rsidP="00267D5F">
      <w:pPr>
        <w:pStyle w:val="FootnoteText"/>
      </w:pPr>
      <w:r w:rsidRPr="00267D5F">
        <w:rPr>
          <w:rStyle w:val="FootnoteReference"/>
        </w:rPr>
        <w:footnoteRef/>
      </w:r>
      <w:r>
        <w:tab/>
        <w:t>‘</w:t>
      </w:r>
      <w:r w:rsidRPr="006F504F">
        <w:t>Learning/intellectual disability</w:t>
      </w:r>
      <w:r>
        <w:t>’</w:t>
      </w:r>
      <w:r w:rsidRPr="006F504F">
        <w:t xml:space="preserve"> refers to people previously labelled as </w:t>
      </w:r>
      <w:r>
        <w:t>‘</w:t>
      </w:r>
      <w:r w:rsidRPr="006F504F">
        <w:t>intellectually disabled</w:t>
      </w:r>
      <w:r>
        <w:t>’</w:t>
      </w:r>
      <w:r w:rsidRPr="006F504F">
        <w:t>. It does not include learning difficulties experienced in the school setting (</w:t>
      </w:r>
      <w:proofErr w:type="spellStart"/>
      <w:r w:rsidRPr="006F504F">
        <w:t>eg</w:t>
      </w:r>
      <w:proofErr w:type="spellEnd"/>
      <w:r w:rsidRPr="006F504F">
        <w:t>, dyslexia).</w:t>
      </w:r>
    </w:p>
  </w:footnote>
  <w:footnote w:id="3">
    <w:p w:rsidR="003A071C" w:rsidRPr="00F307A4" w:rsidRDefault="003A071C" w:rsidP="00DD7FA2">
      <w:pPr>
        <w:pStyle w:val="FootnoteText"/>
      </w:pPr>
      <w:r w:rsidRPr="00DD7FA2">
        <w:rPr>
          <w:rStyle w:val="FootnoteReference"/>
        </w:rPr>
        <w:footnoteRef/>
      </w:r>
      <w:r>
        <w:tab/>
      </w:r>
      <w:r w:rsidRPr="00F307A4">
        <w:t xml:space="preserve">The </w:t>
      </w:r>
      <w:r>
        <w:t>‘</w:t>
      </w:r>
      <w:r w:rsidRPr="00F307A4">
        <w:t>social model</w:t>
      </w:r>
      <w:r>
        <w:t>’</w:t>
      </w:r>
      <w:r w:rsidRPr="00F307A4">
        <w:t xml:space="preserve"> is based on the notion that although a person may have an </w:t>
      </w:r>
      <w:r>
        <w:t>‘</w:t>
      </w:r>
      <w:r w:rsidRPr="00F307A4">
        <w:t>impairment</w:t>
      </w:r>
      <w:r>
        <w:t>’</w:t>
      </w:r>
      <w:r w:rsidRPr="00F307A4">
        <w:t xml:space="preserve"> (meaning some difference in the body affecting sensory, physical, neurological, mental health or intellectual attributes), disability is created by society. Disability occurs when the world is designed for only one way of being. People are </w:t>
      </w:r>
      <w:r>
        <w:t>‘</w:t>
      </w:r>
      <w:r w:rsidRPr="00F307A4">
        <w:t>disabled</w:t>
      </w:r>
      <w:r>
        <w:t>’</w:t>
      </w:r>
      <w:r w:rsidRPr="00F307A4">
        <w:t xml:space="preserve"> by attitudinal and environmental barriers that hinder their full and effective participation in society on an equal basis with others.</w:t>
      </w:r>
    </w:p>
  </w:footnote>
  <w:footnote w:id="4">
    <w:p w:rsidR="003A071C" w:rsidRDefault="003A071C" w:rsidP="005065F0">
      <w:pPr>
        <w:pStyle w:val="FootnoteText"/>
      </w:pPr>
      <w:r w:rsidRPr="00E81E75">
        <w:rPr>
          <w:rStyle w:val="FootnoteReference"/>
        </w:rPr>
        <w:footnoteRef/>
      </w:r>
      <w:r w:rsidRPr="00E81E75">
        <w:tab/>
        <w:t xml:space="preserve">Refer to </w:t>
      </w:r>
      <w:r w:rsidRPr="00E81E75">
        <w:rPr>
          <w:i/>
        </w:rPr>
        <w:t>The New Zealand Disability Strategy 2016</w:t>
      </w:r>
      <w:r w:rsidRPr="00E81E75">
        <w:t xml:space="preserve"> for information and discussion on the use of the terms</w:t>
      </w:r>
      <w:r w:rsidRPr="00F307A4">
        <w:t xml:space="preserve"> </w:t>
      </w:r>
      <w:r>
        <w:t>‘</w:t>
      </w:r>
      <w:r w:rsidRPr="00F307A4">
        <w:t>person</w:t>
      </w:r>
      <w:r>
        <w:t>s</w:t>
      </w:r>
      <w:r w:rsidRPr="00F307A4">
        <w:t xml:space="preserve"> with a</w:t>
      </w:r>
      <w:r>
        <w:t xml:space="preserve"> disability’</w:t>
      </w:r>
      <w:r w:rsidRPr="00F307A4">
        <w:t xml:space="preserve"> and </w:t>
      </w:r>
      <w:r>
        <w:t>‘</w:t>
      </w:r>
      <w:r w:rsidRPr="00F307A4">
        <w:t>disabled people</w:t>
      </w:r>
      <w:r>
        <w:t>’.</w:t>
      </w:r>
    </w:p>
  </w:footnote>
  <w:footnote w:id="5">
    <w:p w:rsidR="003A071C" w:rsidRPr="006F504F" w:rsidRDefault="003A071C" w:rsidP="00920A9B">
      <w:pPr>
        <w:pStyle w:val="FootnoteText"/>
      </w:pPr>
      <w:r w:rsidRPr="00920A9B">
        <w:rPr>
          <w:rStyle w:val="FootnoteReference"/>
        </w:rPr>
        <w:footnoteRef/>
      </w:r>
      <w:r>
        <w:tab/>
      </w:r>
      <w:r w:rsidRPr="006F504F">
        <w:t xml:space="preserve">A hearing loop is a system that enhances sound sources such as a microphone or PA system, and is transmitted directly to hearing aids that have a </w:t>
      </w:r>
      <w:proofErr w:type="spellStart"/>
      <w:r w:rsidRPr="006F504F">
        <w:t>telecoil</w:t>
      </w:r>
      <w:proofErr w:type="spellEnd"/>
      <w:r w:rsidRPr="006F504F">
        <w:t xml:space="preserve"> attachment. With a </w:t>
      </w:r>
      <w:proofErr w:type="spellStart"/>
      <w:r w:rsidRPr="006F504F">
        <w:t>telecoil</w:t>
      </w:r>
      <w:proofErr w:type="spellEnd"/>
      <w:r w:rsidRPr="006F504F">
        <w:t>, hearing aids do not have to use their microphone, and ambient noise is decreased. Hearing loops can be permanently set up in a venue, or portable varieties can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9216CC">
    <w:pPr>
      <w:pStyle w:val="Header"/>
      <w:ind w:left="-1559"/>
    </w:pPr>
    <w:r>
      <w:rPr>
        <w:noProof/>
        <w:lang w:eastAsia="en-NZ"/>
      </w:rPr>
      <w:drawing>
        <wp:inline distT="0" distB="0" distL="0" distR="0" wp14:anchorId="5F39D6E3" wp14:editId="48F59C87">
          <wp:extent cx="6467302" cy="534632"/>
          <wp:effectExtent l="0" t="0" r="0" b="0"/>
          <wp:docPr id="26" name="Picture 26" descr="Ministry of Health banner" title="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1C" w:rsidRDefault="003A0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BE08F01E"/>
    <w:lvl w:ilvl="0">
      <w:start w:val="1"/>
      <w:numFmt w:val="bullet"/>
      <w:pStyle w:val="TableBullet"/>
      <w:lvlText w:val=""/>
      <w:lvlJc w:val="left"/>
      <w:pPr>
        <w:tabs>
          <w:tab w:val="num" w:pos="284"/>
        </w:tabs>
        <w:ind w:left="284" w:hanging="284"/>
      </w:pPr>
      <w:rPr>
        <w:rFonts w:ascii="Symbol" w:hAnsi="Symbol" w:hint="default"/>
        <w:color w:val="auto"/>
        <w:sz w:val="16"/>
        <w:szCs w:val="16"/>
      </w:rPr>
    </w:lvl>
  </w:abstractNum>
  <w:abstractNum w:abstractNumId="2">
    <w:nsid w:val="0C5D09F0"/>
    <w:multiLevelType w:val="hybridMultilevel"/>
    <w:tmpl w:val="EF1EF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89E1AE8"/>
    <w:multiLevelType w:val="hybridMultilevel"/>
    <w:tmpl w:val="E16A209C"/>
    <w:lvl w:ilvl="0" w:tplc="BF3CE41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B32B76"/>
    <w:multiLevelType w:val="hybridMultilevel"/>
    <w:tmpl w:val="061A55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EBE6701"/>
    <w:multiLevelType w:val="hybridMultilevel"/>
    <w:tmpl w:val="9BF8E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3F912FA"/>
    <w:multiLevelType w:val="hybridMultilevel"/>
    <w:tmpl w:val="8F7C21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8A36D3"/>
    <w:multiLevelType w:val="hybridMultilevel"/>
    <w:tmpl w:val="1AA48554"/>
    <w:lvl w:ilvl="0" w:tplc="C5E68314">
      <w:start w:val="2"/>
      <w:numFmt w:val="bullet"/>
      <w:lvlText w:val="-"/>
      <w:lvlJc w:val="left"/>
      <w:pPr>
        <w:ind w:left="1080" w:hanging="360"/>
      </w:pPr>
      <w:rPr>
        <w:rFonts w:ascii="Calibri" w:eastAsia="Calibri" w:hAnsi="Calibri"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C3C4EA6"/>
    <w:multiLevelType w:val="multilevel"/>
    <w:tmpl w:val="DE9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00D80"/>
    <w:multiLevelType w:val="hybridMultilevel"/>
    <w:tmpl w:val="4446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D6B2A74"/>
    <w:multiLevelType w:val="hybridMultilevel"/>
    <w:tmpl w:val="9EB642AC"/>
    <w:lvl w:ilvl="0" w:tplc="86BC8114">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0B56A0"/>
    <w:multiLevelType w:val="hybridMultilevel"/>
    <w:tmpl w:val="F940C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nsid w:val="6C1955A0"/>
    <w:multiLevelType w:val="hybridMultilevel"/>
    <w:tmpl w:val="4A5871E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1">
    <w:nsid w:val="6D0658EA"/>
    <w:multiLevelType w:val="hybridMultilevel"/>
    <w:tmpl w:val="82962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3">
    <w:nsid w:val="78CA317C"/>
    <w:multiLevelType w:val="multilevel"/>
    <w:tmpl w:val="CD1C6B3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5">
    <w:nsid w:val="7FCA45A3"/>
    <w:multiLevelType w:val="multilevel"/>
    <w:tmpl w:val="A75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0"/>
  </w:num>
  <w:num w:numId="4">
    <w:abstractNumId w:val="11"/>
  </w:num>
  <w:num w:numId="5">
    <w:abstractNumId w:val="1"/>
  </w:num>
  <w:num w:numId="6">
    <w:abstractNumId w:val="16"/>
  </w:num>
  <w:num w:numId="7">
    <w:abstractNumId w:val="5"/>
  </w:num>
  <w:num w:numId="8">
    <w:abstractNumId w:val="22"/>
  </w:num>
  <w:num w:numId="9">
    <w:abstractNumId w:val="3"/>
  </w:num>
  <w:num w:numId="10">
    <w:abstractNumId w:val="6"/>
  </w:num>
  <w:num w:numId="11">
    <w:abstractNumId w:val="13"/>
  </w:num>
  <w:num w:numId="12">
    <w:abstractNumId w:val="0"/>
  </w:num>
  <w:num w:numId="13">
    <w:abstractNumId w:val="23"/>
  </w:num>
  <w:num w:numId="14">
    <w:abstractNumId w:val="4"/>
  </w:num>
  <w:num w:numId="15">
    <w:abstractNumId w:val="12"/>
  </w:num>
  <w:num w:numId="16">
    <w:abstractNumId w:val="15"/>
  </w:num>
  <w:num w:numId="17">
    <w:abstractNumId w:val="7"/>
  </w:num>
  <w:num w:numId="18">
    <w:abstractNumId w:val="9"/>
  </w:num>
  <w:num w:numId="19">
    <w:abstractNumId w:val="2"/>
  </w:num>
  <w:num w:numId="20">
    <w:abstractNumId w:val="18"/>
  </w:num>
  <w:num w:numId="21">
    <w:abstractNumId w:val="20"/>
  </w:num>
  <w:num w:numId="22">
    <w:abstractNumId w:val="14"/>
  </w:num>
  <w:num w:numId="23">
    <w:abstractNumId w:val="8"/>
  </w:num>
  <w:num w:numId="24">
    <w:abstractNumId w:val="21"/>
  </w:num>
  <w:num w:numId="25">
    <w:abstractNumId w:val="17"/>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437AD"/>
    <w:rsid w:val="0006228D"/>
    <w:rsid w:val="00072BD6"/>
    <w:rsid w:val="00074ED6"/>
    <w:rsid w:val="00075B78"/>
    <w:rsid w:val="00082CD6"/>
    <w:rsid w:val="00085AFE"/>
    <w:rsid w:val="000A7CA7"/>
    <w:rsid w:val="000B0730"/>
    <w:rsid w:val="000B1BD7"/>
    <w:rsid w:val="000C248F"/>
    <w:rsid w:val="000F2AE2"/>
    <w:rsid w:val="000F7430"/>
    <w:rsid w:val="00102063"/>
    <w:rsid w:val="0010541C"/>
    <w:rsid w:val="00106F93"/>
    <w:rsid w:val="00111D50"/>
    <w:rsid w:val="00113B8E"/>
    <w:rsid w:val="00113FFF"/>
    <w:rsid w:val="00117E39"/>
    <w:rsid w:val="00127105"/>
    <w:rsid w:val="001342C7"/>
    <w:rsid w:val="0013585C"/>
    <w:rsid w:val="00142954"/>
    <w:rsid w:val="001460E0"/>
    <w:rsid w:val="00147F71"/>
    <w:rsid w:val="00150A6E"/>
    <w:rsid w:val="0016468A"/>
    <w:rsid w:val="001A5CF5"/>
    <w:rsid w:val="001A7704"/>
    <w:rsid w:val="001B39D2"/>
    <w:rsid w:val="001B4BF8"/>
    <w:rsid w:val="001C4326"/>
    <w:rsid w:val="001D3541"/>
    <w:rsid w:val="001E584B"/>
    <w:rsid w:val="001F07DE"/>
    <w:rsid w:val="00201A01"/>
    <w:rsid w:val="002104D3"/>
    <w:rsid w:val="00213A33"/>
    <w:rsid w:val="00214ABB"/>
    <w:rsid w:val="00216E8D"/>
    <w:rsid w:val="0021763B"/>
    <w:rsid w:val="002452A1"/>
    <w:rsid w:val="00246DB1"/>
    <w:rsid w:val="002476B5"/>
    <w:rsid w:val="0025377E"/>
    <w:rsid w:val="00253ECF"/>
    <w:rsid w:val="002546A1"/>
    <w:rsid w:val="00263088"/>
    <w:rsid w:val="002665BC"/>
    <w:rsid w:val="00267D5F"/>
    <w:rsid w:val="00272DA7"/>
    <w:rsid w:val="00275D08"/>
    <w:rsid w:val="002858E3"/>
    <w:rsid w:val="0029190A"/>
    <w:rsid w:val="00292C5A"/>
    <w:rsid w:val="00295241"/>
    <w:rsid w:val="002B047D"/>
    <w:rsid w:val="002B732B"/>
    <w:rsid w:val="002C07BF"/>
    <w:rsid w:val="002C2219"/>
    <w:rsid w:val="002D0DF2"/>
    <w:rsid w:val="002D23BD"/>
    <w:rsid w:val="002D3399"/>
    <w:rsid w:val="002E0B47"/>
    <w:rsid w:val="002E7034"/>
    <w:rsid w:val="002F7213"/>
    <w:rsid w:val="0030382F"/>
    <w:rsid w:val="0030408D"/>
    <w:rsid w:val="003060E4"/>
    <w:rsid w:val="00314DDF"/>
    <w:rsid w:val="003160E7"/>
    <w:rsid w:val="0031739E"/>
    <w:rsid w:val="00323862"/>
    <w:rsid w:val="00325B5A"/>
    <w:rsid w:val="003325AB"/>
    <w:rsid w:val="0033412B"/>
    <w:rsid w:val="00341063"/>
    <w:rsid w:val="00343365"/>
    <w:rsid w:val="00353501"/>
    <w:rsid w:val="003606F8"/>
    <w:rsid w:val="003648EF"/>
    <w:rsid w:val="003673E6"/>
    <w:rsid w:val="00377264"/>
    <w:rsid w:val="00384BD3"/>
    <w:rsid w:val="00385DAE"/>
    <w:rsid w:val="003938E1"/>
    <w:rsid w:val="003A071C"/>
    <w:rsid w:val="003A26A5"/>
    <w:rsid w:val="003A3761"/>
    <w:rsid w:val="003A5FEA"/>
    <w:rsid w:val="003A7C0A"/>
    <w:rsid w:val="003B1D10"/>
    <w:rsid w:val="003C1F1D"/>
    <w:rsid w:val="003C6289"/>
    <w:rsid w:val="003C76D4"/>
    <w:rsid w:val="003D2CC5"/>
    <w:rsid w:val="003E7C46"/>
    <w:rsid w:val="003F4487"/>
    <w:rsid w:val="003F52A7"/>
    <w:rsid w:val="0040240C"/>
    <w:rsid w:val="004042F8"/>
    <w:rsid w:val="00413021"/>
    <w:rsid w:val="00425F31"/>
    <w:rsid w:val="00437151"/>
    <w:rsid w:val="00440BE0"/>
    <w:rsid w:val="00442C1C"/>
    <w:rsid w:val="0044584B"/>
    <w:rsid w:val="00447CB7"/>
    <w:rsid w:val="0045012E"/>
    <w:rsid w:val="00454CE4"/>
    <w:rsid w:val="00460826"/>
    <w:rsid w:val="00460EA7"/>
    <w:rsid w:val="0046195B"/>
    <w:rsid w:val="00462E9E"/>
    <w:rsid w:val="0046596D"/>
    <w:rsid w:val="00476877"/>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065F0"/>
    <w:rsid w:val="00513CDB"/>
    <w:rsid w:val="0052205A"/>
    <w:rsid w:val="00531905"/>
    <w:rsid w:val="0053199F"/>
    <w:rsid w:val="00533B90"/>
    <w:rsid w:val="005410F8"/>
    <w:rsid w:val="00542E0C"/>
    <w:rsid w:val="005448EC"/>
    <w:rsid w:val="00545963"/>
    <w:rsid w:val="00550256"/>
    <w:rsid w:val="00553958"/>
    <w:rsid w:val="0055763D"/>
    <w:rsid w:val="005621F2"/>
    <w:rsid w:val="00567B58"/>
    <w:rsid w:val="00575784"/>
    <w:rsid w:val="005763E0"/>
    <w:rsid w:val="00581136"/>
    <w:rsid w:val="00581436"/>
    <w:rsid w:val="00596A81"/>
    <w:rsid w:val="005A27CA"/>
    <w:rsid w:val="005A43BD"/>
    <w:rsid w:val="005B62D0"/>
    <w:rsid w:val="005B70F7"/>
    <w:rsid w:val="005C60AD"/>
    <w:rsid w:val="005D5B0C"/>
    <w:rsid w:val="005E226E"/>
    <w:rsid w:val="006015D7"/>
    <w:rsid w:val="00601B21"/>
    <w:rsid w:val="00626CF8"/>
    <w:rsid w:val="00636D7D"/>
    <w:rsid w:val="00637408"/>
    <w:rsid w:val="00642868"/>
    <w:rsid w:val="00647AFE"/>
    <w:rsid w:val="0065023A"/>
    <w:rsid w:val="006512BC"/>
    <w:rsid w:val="00653585"/>
    <w:rsid w:val="00653A5A"/>
    <w:rsid w:val="00654104"/>
    <w:rsid w:val="006575F4"/>
    <w:rsid w:val="006579E6"/>
    <w:rsid w:val="00663EDC"/>
    <w:rsid w:val="00665823"/>
    <w:rsid w:val="00665FAB"/>
    <w:rsid w:val="00671078"/>
    <w:rsid w:val="006732BD"/>
    <w:rsid w:val="006758CA"/>
    <w:rsid w:val="00680A04"/>
    <w:rsid w:val="00686D80"/>
    <w:rsid w:val="00694895"/>
    <w:rsid w:val="00697E2E"/>
    <w:rsid w:val="006A25A2"/>
    <w:rsid w:val="006B014F"/>
    <w:rsid w:val="006B0E73"/>
    <w:rsid w:val="006B4A4D"/>
    <w:rsid w:val="006B5695"/>
    <w:rsid w:val="006C78EB"/>
    <w:rsid w:val="006D1660"/>
    <w:rsid w:val="006F1B67"/>
    <w:rsid w:val="006F1DEA"/>
    <w:rsid w:val="006F2DE4"/>
    <w:rsid w:val="006F48CC"/>
    <w:rsid w:val="0070091D"/>
    <w:rsid w:val="00702854"/>
    <w:rsid w:val="007076EA"/>
    <w:rsid w:val="0071741C"/>
    <w:rsid w:val="00731224"/>
    <w:rsid w:val="00732F38"/>
    <w:rsid w:val="00741457"/>
    <w:rsid w:val="00742B90"/>
    <w:rsid w:val="0074434D"/>
    <w:rsid w:val="0075492B"/>
    <w:rsid w:val="00764EEB"/>
    <w:rsid w:val="00771B1E"/>
    <w:rsid w:val="00773C95"/>
    <w:rsid w:val="0078171E"/>
    <w:rsid w:val="00795B34"/>
    <w:rsid w:val="007A0001"/>
    <w:rsid w:val="007A2FB3"/>
    <w:rsid w:val="007B1770"/>
    <w:rsid w:val="007B1B7E"/>
    <w:rsid w:val="007B31DC"/>
    <w:rsid w:val="007B4D3E"/>
    <w:rsid w:val="007B53B3"/>
    <w:rsid w:val="007B7B8E"/>
    <w:rsid w:val="007B7C70"/>
    <w:rsid w:val="007D2151"/>
    <w:rsid w:val="007D42CC"/>
    <w:rsid w:val="007D48F1"/>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7348A"/>
    <w:rsid w:val="00880470"/>
    <w:rsid w:val="00880D94"/>
    <w:rsid w:val="00884AFD"/>
    <w:rsid w:val="008924DE"/>
    <w:rsid w:val="008A2179"/>
    <w:rsid w:val="008A337B"/>
    <w:rsid w:val="008A3755"/>
    <w:rsid w:val="008B264F"/>
    <w:rsid w:val="008B6F83"/>
    <w:rsid w:val="008B7FD8"/>
    <w:rsid w:val="008C218F"/>
    <w:rsid w:val="008C2973"/>
    <w:rsid w:val="008C64C4"/>
    <w:rsid w:val="008D74D5"/>
    <w:rsid w:val="008F29BE"/>
    <w:rsid w:val="008F4AE5"/>
    <w:rsid w:val="008F51EB"/>
    <w:rsid w:val="00900197"/>
    <w:rsid w:val="00902F55"/>
    <w:rsid w:val="0090582B"/>
    <w:rsid w:val="009060C0"/>
    <w:rsid w:val="009133F5"/>
    <w:rsid w:val="00920A27"/>
    <w:rsid w:val="00920A9B"/>
    <w:rsid w:val="00921216"/>
    <w:rsid w:val="009216CC"/>
    <w:rsid w:val="00932D69"/>
    <w:rsid w:val="00933936"/>
    <w:rsid w:val="00944647"/>
    <w:rsid w:val="00946A8B"/>
    <w:rsid w:val="00977B8A"/>
    <w:rsid w:val="00982971"/>
    <w:rsid w:val="009845AD"/>
    <w:rsid w:val="00995BA0"/>
    <w:rsid w:val="009A0147"/>
    <w:rsid w:val="009A2A45"/>
    <w:rsid w:val="009A418B"/>
    <w:rsid w:val="009A4473"/>
    <w:rsid w:val="009A765A"/>
    <w:rsid w:val="009C151C"/>
    <w:rsid w:val="009D5125"/>
    <w:rsid w:val="009D60B8"/>
    <w:rsid w:val="009D7D4B"/>
    <w:rsid w:val="009E36ED"/>
    <w:rsid w:val="009E3C8C"/>
    <w:rsid w:val="009E6B77"/>
    <w:rsid w:val="009F0D47"/>
    <w:rsid w:val="009F2897"/>
    <w:rsid w:val="009F460A"/>
    <w:rsid w:val="00A043FB"/>
    <w:rsid w:val="00A0729C"/>
    <w:rsid w:val="00A07779"/>
    <w:rsid w:val="00A20B2E"/>
    <w:rsid w:val="00A25069"/>
    <w:rsid w:val="00A26343"/>
    <w:rsid w:val="00A26E6B"/>
    <w:rsid w:val="00A3068F"/>
    <w:rsid w:val="00A307D4"/>
    <w:rsid w:val="00A3145B"/>
    <w:rsid w:val="00A339D0"/>
    <w:rsid w:val="00A41002"/>
    <w:rsid w:val="00A4201A"/>
    <w:rsid w:val="00A5422E"/>
    <w:rsid w:val="00A553CE"/>
    <w:rsid w:val="00A5677A"/>
    <w:rsid w:val="00A6490D"/>
    <w:rsid w:val="00A65BA4"/>
    <w:rsid w:val="00A6612D"/>
    <w:rsid w:val="00A80363"/>
    <w:rsid w:val="00A9169D"/>
    <w:rsid w:val="00AA240C"/>
    <w:rsid w:val="00AB3FD5"/>
    <w:rsid w:val="00AC101C"/>
    <w:rsid w:val="00AD4CF1"/>
    <w:rsid w:val="00AD5988"/>
    <w:rsid w:val="00AF6A2E"/>
    <w:rsid w:val="00AF7800"/>
    <w:rsid w:val="00B072E0"/>
    <w:rsid w:val="00B253F6"/>
    <w:rsid w:val="00B305DB"/>
    <w:rsid w:val="00B332F8"/>
    <w:rsid w:val="00B3492B"/>
    <w:rsid w:val="00B43550"/>
    <w:rsid w:val="00B4646F"/>
    <w:rsid w:val="00B55C7D"/>
    <w:rsid w:val="00B63038"/>
    <w:rsid w:val="00B64BD8"/>
    <w:rsid w:val="00B701D1"/>
    <w:rsid w:val="00B73AF2"/>
    <w:rsid w:val="00B7551A"/>
    <w:rsid w:val="00B83D42"/>
    <w:rsid w:val="00B87096"/>
    <w:rsid w:val="00BC59F1"/>
    <w:rsid w:val="00BE5690"/>
    <w:rsid w:val="00BF3DE1"/>
    <w:rsid w:val="00BF4843"/>
    <w:rsid w:val="00BF5205"/>
    <w:rsid w:val="00C12508"/>
    <w:rsid w:val="00C13749"/>
    <w:rsid w:val="00C35EC9"/>
    <w:rsid w:val="00C45AA2"/>
    <w:rsid w:val="00C60447"/>
    <w:rsid w:val="00C61194"/>
    <w:rsid w:val="00C6305C"/>
    <w:rsid w:val="00C66296"/>
    <w:rsid w:val="00C73CC0"/>
    <w:rsid w:val="00C77282"/>
    <w:rsid w:val="00C779A1"/>
    <w:rsid w:val="00C84DE5"/>
    <w:rsid w:val="00C86248"/>
    <w:rsid w:val="00CA05DE"/>
    <w:rsid w:val="00CA4C33"/>
    <w:rsid w:val="00CA6F4A"/>
    <w:rsid w:val="00CD12C9"/>
    <w:rsid w:val="00CD16CE"/>
    <w:rsid w:val="00CD2119"/>
    <w:rsid w:val="00CD237A"/>
    <w:rsid w:val="00CD36AC"/>
    <w:rsid w:val="00CF1747"/>
    <w:rsid w:val="00D0599F"/>
    <w:rsid w:val="00D23323"/>
    <w:rsid w:val="00D2392A"/>
    <w:rsid w:val="00D25FFE"/>
    <w:rsid w:val="00D4476F"/>
    <w:rsid w:val="00D54D50"/>
    <w:rsid w:val="00D66797"/>
    <w:rsid w:val="00D7087C"/>
    <w:rsid w:val="00D70C3C"/>
    <w:rsid w:val="00D72BE5"/>
    <w:rsid w:val="00D76C70"/>
    <w:rsid w:val="00D82F26"/>
    <w:rsid w:val="00D863D0"/>
    <w:rsid w:val="00D87C87"/>
    <w:rsid w:val="00DA3F06"/>
    <w:rsid w:val="00DA7D65"/>
    <w:rsid w:val="00DB089A"/>
    <w:rsid w:val="00DB39CF"/>
    <w:rsid w:val="00DD447A"/>
    <w:rsid w:val="00DD7FA2"/>
    <w:rsid w:val="00DE3B20"/>
    <w:rsid w:val="00DE6C94"/>
    <w:rsid w:val="00DE6FD7"/>
    <w:rsid w:val="00DF1CC5"/>
    <w:rsid w:val="00E007FD"/>
    <w:rsid w:val="00E23271"/>
    <w:rsid w:val="00E24F80"/>
    <w:rsid w:val="00E259F3"/>
    <w:rsid w:val="00E30965"/>
    <w:rsid w:val="00E33238"/>
    <w:rsid w:val="00E36B18"/>
    <w:rsid w:val="00E44719"/>
    <w:rsid w:val="00E4486C"/>
    <w:rsid w:val="00E460B6"/>
    <w:rsid w:val="00E511D5"/>
    <w:rsid w:val="00E60249"/>
    <w:rsid w:val="00E65269"/>
    <w:rsid w:val="00E6671D"/>
    <w:rsid w:val="00E76D66"/>
    <w:rsid w:val="00E81E75"/>
    <w:rsid w:val="00E85506"/>
    <w:rsid w:val="00E937E8"/>
    <w:rsid w:val="00EA796A"/>
    <w:rsid w:val="00EB1856"/>
    <w:rsid w:val="00EC2570"/>
    <w:rsid w:val="00EC50CE"/>
    <w:rsid w:val="00EC5B34"/>
    <w:rsid w:val="00EE4ADE"/>
    <w:rsid w:val="00EE5CB7"/>
    <w:rsid w:val="00EF16C6"/>
    <w:rsid w:val="00EF646B"/>
    <w:rsid w:val="00F01BBF"/>
    <w:rsid w:val="00F024FE"/>
    <w:rsid w:val="00F05AD4"/>
    <w:rsid w:val="00F25970"/>
    <w:rsid w:val="00F5180D"/>
    <w:rsid w:val="00F57EF0"/>
    <w:rsid w:val="00F63D19"/>
    <w:rsid w:val="00F67496"/>
    <w:rsid w:val="00F801BA"/>
    <w:rsid w:val="00F9366A"/>
    <w:rsid w:val="00F946C9"/>
    <w:rsid w:val="00FA2202"/>
    <w:rsid w:val="00FA71B0"/>
    <w:rsid w:val="00FA74EE"/>
    <w:rsid w:val="00FA7CCF"/>
    <w:rsid w:val="00FB228E"/>
    <w:rsid w:val="00FB43CA"/>
    <w:rsid w:val="00FC06DB"/>
    <w:rsid w:val="00FC3711"/>
    <w:rsid w:val="00FC46E7"/>
    <w:rsid w:val="00FC5D25"/>
    <w:rsid w:val="00FD0D7E"/>
    <w:rsid w:val="00FE274B"/>
    <w:rsid w:val="00FE6E13"/>
    <w:rsid w:val="00FF15F6"/>
    <w:rsid w:val="00FF47BD"/>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4F4356-A304-4C65-BDC5-5F82FF22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8B"/>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rsid w:val="005065F0"/>
    <w:pPr>
      <w:keepNext/>
      <w:keepLines/>
      <w:spacing w:before="200" w:line="240" w:lineRule="auto"/>
      <w:outlineLvl w:val="5"/>
    </w:pPr>
    <w:rPr>
      <w:rFonts w:asciiTheme="majorHAnsi" w:eastAsiaTheme="majorEastAsia" w:hAnsiTheme="majorHAnsi" w:cstheme="majorBidi"/>
      <w:i/>
      <w:iCs/>
      <w:color w:val="243F60" w:themeColor="accent1" w:themeShade="7F"/>
      <w:sz w:val="25"/>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DD7FA2"/>
    <w:rPr>
      <w:rFonts w:ascii="Georgia" w:hAnsi="Georgia"/>
      <w:color w:val="0070C0"/>
      <w:sz w:val="22"/>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6Char">
    <w:name w:val="Heading 6 Char"/>
    <w:basedOn w:val="DefaultParagraphFont"/>
    <w:link w:val="Heading6"/>
    <w:uiPriority w:val="9"/>
    <w:semiHidden/>
    <w:rsid w:val="005065F0"/>
    <w:rPr>
      <w:rFonts w:asciiTheme="majorHAnsi" w:eastAsiaTheme="majorEastAsia" w:hAnsiTheme="majorHAnsi" w:cstheme="majorBidi"/>
      <w:i/>
      <w:iCs/>
      <w:color w:val="243F60" w:themeColor="accent1" w:themeShade="7F"/>
      <w:sz w:val="25"/>
      <w:szCs w:val="22"/>
      <w:lang w:eastAsia="en-US"/>
    </w:rPr>
  </w:style>
  <w:style w:type="character" w:customStyle="1" w:styleId="TitleChar">
    <w:name w:val="Title Char"/>
    <w:link w:val="Title"/>
    <w:uiPriority w:val="10"/>
    <w:rsid w:val="005065F0"/>
    <w:rPr>
      <w:rFonts w:ascii="Georgia" w:hAnsi="Georgia"/>
      <w:b/>
      <w:sz w:val="80"/>
      <w:lang w:eastAsia="en-GB"/>
    </w:rPr>
  </w:style>
  <w:style w:type="character" w:customStyle="1" w:styleId="Heading5Char">
    <w:name w:val="Heading 5 Char"/>
    <w:link w:val="Heading5"/>
    <w:uiPriority w:val="9"/>
    <w:rsid w:val="005065F0"/>
    <w:rPr>
      <w:rFonts w:ascii="Georgia" w:hAnsi="Georgia"/>
      <w:sz w:val="22"/>
      <w:u w:val="single"/>
      <w:lang w:eastAsia="en-GB"/>
    </w:rPr>
  </w:style>
  <w:style w:type="character" w:customStyle="1" w:styleId="QuoteChar">
    <w:name w:val="Quote Char"/>
    <w:link w:val="Quote"/>
    <w:uiPriority w:val="29"/>
    <w:rsid w:val="005065F0"/>
    <w:rPr>
      <w:rFonts w:ascii="Georgia" w:hAnsi="Georgia"/>
      <w:sz w:val="22"/>
      <w:lang w:eastAsia="en-GB"/>
    </w:rPr>
  </w:style>
  <w:style w:type="character" w:customStyle="1" w:styleId="Heading4Char">
    <w:name w:val="Heading 4 Char"/>
    <w:basedOn w:val="DefaultParagraphFont"/>
    <w:link w:val="Heading4"/>
    <w:uiPriority w:val="9"/>
    <w:rsid w:val="005065F0"/>
    <w:rPr>
      <w:rFonts w:ascii="Georgia" w:hAnsi="Georgia"/>
      <w:b/>
      <w:sz w:val="22"/>
      <w:lang w:eastAsia="en-GB"/>
    </w:rPr>
  </w:style>
  <w:style w:type="paragraph" w:styleId="EndnoteText">
    <w:name w:val="endnote text"/>
    <w:basedOn w:val="Normal"/>
    <w:link w:val="EndnoteTextChar"/>
    <w:uiPriority w:val="99"/>
    <w:unhideWhenUsed/>
    <w:rsid w:val="00A6612D"/>
    <w:pPr>
      <w:spacing w:before="120" w:line="240" w:lineRule="auto"/>
      <w:ind w:left="425" w:hanging="425"/>
    </w:pPr>
    <w:rPr>
      <w:rFonts w:eastAsia="Calibri"/>
      <w:sz w:val="19"/>
      <w:lang w:eastAsia="en-US"/>
    </w:rPr>
  </w:style>
  <w:style w:type="character" w:customStyle="1" w:styleId="EndnoteTextChar">
    <w:name w:val="Endnote Text Char"/>
    <w:basedOn w:val="DefaultParagraphFont"/>
    <w:link w:val="EndnoteText"/>
    <w:uiPriority w:val="99"/>
    <w:rsid w:val="00A6612D"/>
    <w:rPr>
      <w:rFonts w:ascii="Georgia" w:eastAsia="Calibri" w:hAnsi="Georgia"/>
      <w:sz w:val="19"/>
      <w:lang w:eastAsia="en-US"/>
    </w:rPr>
  </w:style>
  <w:style w:type="character" w:styleId="EndnoteReference">
    <w:name w:val="endnote reference"/>
    <w:basedOn w:val="DefaultParagraphFont"/>
    <w:uiPriority w:val="99"/>
    <w:unhideWhenUsed/>
    <w:rsid w:val="00A6612D"/>
    <w:rPr>
      <w:rFonts w:ascii="Georgia" w:hAnsi="Georgia"/>
      <w:sz w:val="22"/>
      <w:vertAlign w:val="superscript"/>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39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3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933936"/>
    <w:rPr>
      <w:color w:val="800080" w:themeColor="followedHyperlink"/>
      <w:u w:val="single"/>
    </w:rPr>
  </w:style>
  <w:style w:type="paragraph" w:styleId="NormalWeb">
    <w:name w:val="Normal (Web)"/>
    <w:basedOn w:val="Normal"/>
    <w:uiPriority w:val="99"/>
    <w:semiHidden/>
    <w:unhideWhenUsed/>
    <w:rsid w:val="00DF1CC5"/>
    <w:pPr>
      <w:spacing w:line="240" w:lineRule="auto"/>
    </w:pPr>
    <w:rPr>
      <w:rFonts w:ascii="Times New Roman" w:hAnsi="Times New Roman"/>
      <w:sz w:val="24"/>
      <w:szCs w:val="24"/>
      <w:lang w:eastAsia="en-NZ"/>
    </w:rPr>
  </w:style>
  <w:style w:type="character" w:styleId="Strong">
    <w:name w:val="Strong"/>
    <w:basedOn w:val="DefaultParagraphFont"/>
    <w:uiPriority w:val="22"/>
    <w:qFormat/>
    <w:rsid w:val="00DF1CC5"/>
    <w:rPr>
      <w:b/>
      <w:bCs/>
    </w:rPr>
  </w:style>
  <w:style w:type="paragraph" w:styleId="ListParagraph">
    <w:name w:val="List Paragraph"/>
    <w:basedOn w:val="Normal"/>
    <w:uiPriority w:val="34"/>
    <w:qFormat/>
    <w:rsid w:val="00DA7D65"/>
    <w:pPr>
      <w:ind w:left="720"/>
      <w:contextualSpacing/>
    </w:pPr>
  </w:style>
  <w:style w:type="character" w:styleId="Emphasis">
    <w:name w:val="Emphasis"/>
    <w:basedOn w:val="DefaultParagraphFont"/>
    <w:uiPriority w:val="20"/>
    <w:qFormat/>
    <w:rsid w:val="00732F38"/>
    <w:rPr>
      <w:i/>
      <w:iCs/>
    </w:rPr>
  </w:style>
  <w:style w:type="paragraph" w:styleId="CommentSubject">
    <w:name w:val="annotation subject"/>
    <w:basedOn w:val="CommentText"/>
    <w:next w:val="CommentText"/>
    <w:link w:val="CommentSubjectChar"/>
    <w:uiPriority w:val="99"/>
    <w:semiHidden/>
    <w:unhideWhenUsed/>
    <w:rsid w:val="00C6305C"/>
    <w:rPr>
      <w:b/>
      <w:bCs/>
    </w:rPr>
  </w:style>
  <w:style w:type="character" w:customStyle="1" w:styleId="CommentSubjectChar">
    <w:name w:val="Comment Subject Char"/>
    <w:basedOn w:val="CommentTextChar"/>
    <w:link w:val="CommentSubject"/>
    <w:uiPriority w:val="99"/>
    <w:semiHidden/>
    <w:rsid w:val="00C6305C"/>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8099">
      <w:bodyDiv w:val="1"/>
      <w:marLeft w:val="0"/>
      <w:marRight w:val="0"/>
      <w:marTop w:val="0"/>
      <w:marBottom w:val="0"/>
      <w:divBdr>
        <w:top w:val="none" w:sz="0" w:space="0" w:color="auto"/>
        <w:left w:val="none" w:sz="0" w:space="0" w:color="auto"/>
        <w:bottom w:val="none" w:sz="0" w:space="0" w:color="auto"/>
        <w:right w:val="none" w:sz="0" w:space="0" w:color="auto"/>
      </w:divBdr>
      <w:divsChild>
        <w:div w:id="1977640174">
          <w:marLeft w:val="0"/>
          <w:marRight w:val="0"/>
          <w:marTop w:val="0"/>
          <w:marBottom w:val="0"/>
          <w:divBdr>
            <w:top w:val="none" w:sz="0" w:space="0" w:color="auto"/>
            <w:left w:val="none" w:sz="0" w:space="0" w:color="auto"/>
            <w:bottom w:val="none" w:sz="0" w:space="0" w:color="auto"/>
            <w:right w:val="none" w:sz="0" w:space="0" w:color="auto"/>
          </w:divBdr>
          <w:divsChild>
            <w:div w:id="1014764932">
              <w:marLeft w:val="0"/>
              <w:marRight w:val="0"/>
              <w:marTop w:val="0"/>
              <w:marBottom w:val="0"/>
              <w:divBdr>
                <w:top w:val="none" w:sz="0" w:space="0" w:color="auto"/>
                <w:left w:val="none" w:sz="0" w:space="0" w:color="auto"/>
                <w:bottom w:val="none" w:sz="0" w:space="0" w:color="auto"/>
                <w:right w:val="none" w:sz="0" w:space="0" w:color="auto"/>
              </w:divBdr>
              <w:divsChild>
                <w:div w:id="788207946">
                  <w:marLeft w:val="0"/>
                  <w:marRight w:val="0"/>
                  <w:marTop w:val="0"/>
                  <w:marBottom w:val="0"/>
                  <w:divBdr>
                    <w:top w:val="none" w:sz="0" w:space="0" w:color="auto"/>
                    <w:left w:val="none" w:sz="0" w:space="0" w:color="auto"/>
                    <w:bottom w:val="none" w:sz="0" w:space="0" w:color="auto"/>
                    <w:right w:val="none" w:sz="0" w:space="0" w:color="auto"/>
                  </w:divBdr>
                  <w:divsChild>
                    <w:div w:id="700546548">
                      <w:marLeft w:val="0"/>
                      <w:marRight w:val="0"/>
                      <w:marTop w:val="0"/>
                      <w:marBottom w:val="0"/>
                      <w:divBdr>
                        <w:top w:val="none" w:sz="0" w:space="0" w:color="auto"/>
                        <w:left w:val="none" w:sz="0" w:space="0" w:color="auto"/>
                        <w:bottom w:val="none" w:sz="0" w:space="0" w:color="auto"/>
                        <w:right w:val="none" w:sz="0" w:space="0" w:color="auto"/>
                      </w:divBdr>
                      <w:divsChild>
                        <w:div w:id="567151424">
                          <w:marLeft w:val="0"/>
                          <w:marRight w:val="0"/>
                          <w:marTop w:val="0"/>
                          <w:marBottom w:val="0"/>
                          <w:divBdr>
                            <w:top w:val="none" w:sz="0" w:space="0" w:color="auto"/>
                            <w:left w:val="none" w:sz="0" w:space="0" w:color="auto"/>
                            <w:bottom w:val="none" w:sz="0" w:space="0" w:color="auto"/>
                            <w:right w:val="none" w:sz="0" w:space="0" w:color="auto"/>
                          </w:divBdr>
                          <w:divsChild>
                            <w:div w:id="1285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02516">
      <w:bodyDiv w:val="1"/>
      <w:marLeft w:val="0"/>
      <w:marRight w:val="0"/>
      <w:marTop w:val="0"/>
      <w:marBottom w:val="0"/>
      <w:divBdr>
        <w:top w:val="none" w:sz="0" w:space="0" w:color="auto"/>
        <w:left w:val="none" w:sz="0" w:space="0" w:color="auto"/>
        <w:bottom w:val="none" w:sz="0" w:space="0" w:color="auto"/>
        <w:right w:val="none" w:sz="0" w:space="0" w:color="auto"/>
      </w:divBdr>
      <w:divsChild>
        <w:div w:id="529221072">
          <w:marLeft w:val="0"/>
          <w:marRight w:val="0"/>
          <w:marTop w:val="0"/>
          <w:marBottom w:val="0"/>
          <w:divBdr>
            <w:top w:val="none" w:sz="0" w:space="0" w:color="auto"/>
            <w:left w:val="none" w:sz="0" w:space="0" w:color="auto"/>
            <w:bottom w:val="none" w:sz="0" w:space="0" w:color="auto"/>
            <w:right w:val="none" w:sz="0" w:space="0" w:color="auto"/>
          </w:divBdr>
          <w:divsChild>
            <w:div w:id="2089224377">
              <w:marLeft w:val="0"/>
              <w:marRight w:val="0"/>
              <w:marTop w:val="0"/>
              <w:marBottom w:val="540"/>
              <w:divBdr>
                <w:top w:val="none" w:sz="0" w:space="0" w:color="auto"/>
                <w:left w:val="none" w:sz="0" w:space="0" w:color="auto"/>
                <w:bottom w:val="none" w:sz="0" w:space="0" w:color="auto"/>
                <w:right w:val="none" w:sz="0" w:space="0" w:color="auto"/>
              </w:divBdr>
              <w:divsChild>
                <w:div w:id="897975099">
                  <w:marLeft w:val="0"/>
                  <w:marRight w:val="0"/>
                  <w:marTop w:val="300"/>
                  <w:marBottom w:val="0"/>
                  <w:divBdr>
                    <w:top w:val="none" w:sz="0" w:space="0" w:color="auto"/>
                    <w:left w:val="none" w:sz="0" w:space="0" w:color="auto"/>
                    <w:bottom w:val="none" w:sz="0" w:space="0" w:color="auto"/>
                    <w:right w:val="none" w:sz="0" w:space="0" w:color="auto"/>
                  </w:divBdr>
                  <w:divsChild>
                    <w:div w:id="2142263230">
                      <w:marLeft w:val="0"/>
                      <w:marRight w:val="0"/>
                      <w:marTop w:val="0"/>
                      <w:marBottom w:val="0"/>
                      <w:divBdr>
                        <w:top w:val="none" w:sz="0" w:space="0" w:color="auto"/>
                        <w:left w:val="none" w:sz="0" w:space="0" w:color="auto"/>
                        <w:bottom w:val="none" w:sz="0" w:space="0" w:color="auto"/>
                        <w:right w:val="none" w:sz="0" w:space="0" w:color="auto"/>
                      </w:divBdr>
                      <w:divsChild>
                        <w:div w:id="5155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16557">
      <w:bodyDiv w:val="1"/>
      <w:marLeft w:val="0"/>
      <w:marRight w:val="0"/>
      <w:marTop w:val="0"/>
      <w:marBottom w:val="0"/>
      <w:divBdr>
        <w:top w:val="none" w:sz="0" w:space="0" w:color="auto"/>
        <w:left w:val="none" w:sz="0" w:space="0" w:color="auto"/>
        <w:bottom w:val="none" w:sz="0" w:space="0" w:color="auto"/>
        <w:right w:val="none" w:sz="0" w:space="0" w:color="auto"/>
      </w:divBdr>
      <w:divsChild>
        <w:div w:id="168265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munity.net.nz/" TargetMode="External"/><Relationship Id="rId117" Type="http://schemas.openxmlformats.org/officeDocument/2006/relationships/hyperlink" Target="http://www.blindfoundation.org.nz/" TargetMode="External"/><Relationship Id="rId21" Type="http://schemas.openxmlformats.org/officeDocument/2006/relationships/hyperlink" Target="http://www.kapomaori.com/docs/accessable_marae_toolkit.pdf" TargetMode="External"/><Relationship Id="rId42" Type="http://schemas.openxmlformats.org/officeDocument/2006/relationships/hyperlink" Target="http://www.peoplefirst.org.nz" TargetMode="External"/><Relationship Id="rId47" Type="http://schemas.openxmlformats.org/officeDocument/2006/relationships/hyperlink" Target="http://www.balance.org.nz/index.php/information/bipolar-disorder/living-well-booklet" TargetMode="External"/><Relationship Id="rId63" Type="http://schemas.openxmlformats.org/officeDocument/2006/relationships/hyperlink" Target="http://www.health.govt.nz/our-work/disability-services" TargetMode="External"/><Relationship Id="rId68" Type="http://schemas.openxmlformats.org/officeDocument/2006/relationships/hyperlink" Target="http://www.health.govt.nz/our-work/populations/refugee-health" TargetMode="External"/><Relationship Id="rId84" Type="http://schemas.openxmlformats.org/officeDocument/2006/relationships/hyperlink" Target="http://www.hrc.co.nz/enquiries-and-complaints/what-you-can-complain-about/disability" TargetMode="External"/><Relationship Id="rId89" Type="http://schemas.openxmlformats.org/officeDocument/2006/relationships/hyperlink" Target="http://www.mpia.govt.nz/engaging-with-pacific-communities" TargetMode="External"/><Relationship Id="rId112" Type="http://schemas.openxmlformats.org/officeDocument/2006/relationships/hyperlink" Target="http://www.altogetherautism.org.nz/question-people-ask" TargetMode="External"/><Relationship Id="rId133" Type="http://schemas.openxmlformats.org/officeDocument/2006/relationships/hyperlink" Target="http://hearingdogs.org.nz/What-is-a-Hearing-Dog/0,2710,11032,00.html" TargetMode="External"/><Relationship Id="rId138" Type="http://schemas.openxmlformats.org/officeDocument/2006/relationships/hyperlink" Target="http://www.isign.co.nz/services/interpreter-booking-process" TargetMode="External"/><Relationship Id="rId154" Type="http://schemas.openxmlformats.org/officeDocument/2006/relationships/hyperlink" Target="http://www.nzdsn.org.nz/directory" TargetMode="External"/><Relationship Id="rId159" Type="http://schemas.openxmlformats.org/officeDocument/2006/relationships/hyperlink" Target="http://www.leva.co.nz/" TargetMode="External"/><Relationship Id="rId175" Type="http://schemas.openxmlformats.org/officeDocument/2006/relationships/fontTable" Target="fontTable.xml"/><Relationship Id="rId170" Type="http://schemas.openxmlformats.org/officeDocument/2006/relationships/hyperlink" Target="http://www.weka.net.nz" TargetMode="External"/><Relationship Id="rId16" Type="http://schemas.openxmlformats.org/officeDocument/2006/relationships/footer" Target="footer4.xml"/><Relationship Id="rId107" Type="http://schemas.openxmlformats.org/officeDocument/2006/relationships/hyperlink" Target="http://www.ombudsman.parliament.nz/make-a-complaint" TargetMode="External"/><Relationship Id="rId11" Type="http://schemas.openxmlformats.org/officeDocument/2006/relationships/image" Target="media/image3.png"/><Relationship Id="rId32" Type="http://schemas.openxmlformats.org/officeDocument/2006/relationships/hyperlink" Target="http://www.legislation.govt.nz/act/public/2014/0040/latest/DLM5501618.html" TargetMode="External"/><Relationship Id="rId37" Type="http://schemas.openxmlformats.org/officeDocument/2006/relationships/hyperlink" Target="http://www.abcnz.org.nz/" TargetMode="External"/><Relationship Id="rId53" Type="http://schemas.openxmlformats.org/officeDocument/2006/relationships/hyperlink" Target="http://www.deaf.org.nz/services/sign-language" TargetMode="External"/><Relationship Id="rId58" Type="http://schemas.openxmlformats.org/officeDocument/2006/relationships/hyperlink" Target="http://www.kapomaori.com/" TargetMode="External"/><Relationship Id="rId74" Type="http://schemas.openxmlformats.org/officeDocument/2006/relationships/hyperlink" Target="http://www.dia.govt.nz/kiatutahi" TargetMode="External"/><Relationship Id="rId79" Type="http://schemas.openxmlformats.org/officeDocument/2006/relationships/hyperlink" Target="http://www.hdc.org.nz/" TargetMode="External"/><Relationship Id="rId102" Type="http://schemas.openxmlformats.org/officeDocument/2006/relationships/hyperlink" Target="http://www.odi.govt.nz/resources/guides-and-toolkits/working-with-nzsl-interpreters/index.html" TargetMode="External"/><Relationship Id="rId123" Type="http://schemas.openxmlformats.org/officeDocument/2006/relationships/hyperlink" Target="http://www.carers.net.nz/information" TargetMode="External"/><Relationship Id="rId128" Type="http://schemas.openxmlformats.org/officeDocument/2006/relationships/hyperlink" Target="http://www.cerebralpalsy.org.nz/Category?Action=View&amp;Category_id=88" TargetMode="External"/><Relationship Id="rId144" Type="http://schemas.openxmlformats.org/officeDocument/2006/relationships/hyperlink" Target="https://www.msnz.org.nz" TargetMode="External"/><Relationship Id="rId149" Type="http://schemas.openxmlformats.org/officeDocument/2006/relationships/hyperlink" Target="http://www.nfd.org.nz" TargetMode="External"/><Relationship Id="rId5" Type="http://schemas.openxmlformats.org/officeDocument/2006/relationships/webSettings" Target="webSettings.xml"/><Relationship Id="rId90" Type="http://schemas.openxmlformats.org/officeDocument/2006/relationships/hyperlink" Target="http://www.familyservices.govt.nz" TargetMode="External"/><Relationship Id="rId95" Type="http://schemas.openxmlformats.org/officeDocument/2006/relationships/hyperlink" Target="http://www.cyf.govt.nz/keeping-kids-safe/if-you-are-worried" TargetMode="External"/><Relationship Id="rId160" Type="http://schemas.openxmlformats.org/officeDocument/2006/relationships/hyperlink" Target="http://www.leva.co.nz/library/leva/organisational-guidelines-for-disability-support-services-working-with-pasifika-people-with-disabilities-and-their-families" TargetMode="External"/><Relationship Id="rId165" Type="http://schemas.openxmlformats.org/officeDocument/2006/relationships/hyperlink" Target="http://www.vakatautua.co.nz/" TargetMode="External"/><Relationship Id="rId22" Type="http://schemas.openxmlformats.org/officeDocument/2006/relationships/hyperlink" Target="http://www.health.govt.nz/our-work/disability-services/maori-disability-support-services" TargetMode="External"/><Relationship Id="rId27" Type="http://schemas.openxmlformats.org/officeDocument/2006/relationships/hyperlink" Target="http://www.ecald.com" TargetMode="External"/><Relationship Id="rId43" Type="http://schemas.openxmlformats.org/officeDocument/2006/relationships/hyperlink" Target="http://www.hrc.co.nz/enquiries-and-complaints/what-you-can-complain-about/disability" TargetMode="External"/><Relationship Id="rId48" Type="http://schemas.openxmlformats.org/officeDocument/2006/relationships/hyperlink" Target="http://www.balance.org.nz/index.php/information/bipolar-disorder/family-booklet" TargetMode="External"/><Relationship Id="rId64" Type="http://schemas.openxmlformats.org/officeDocument/2006/relationships/hyperlink" Target="http://www.health.govt.nz/publication/disability-support-services-strategic-plan-2014-2018" TargetMode="External"/><Relationship Id="rId69" Type="http://schemas.openxmlformats.org/officeDocument/2006/relationships/hyperlink" Target="http://www.health.govt.nz/your-health/services-and-support/disability-services/more-information-disability-support/contact-disability-support-services" TargetMode="External"/><Relationship Id="rId113" Type="http://schemas.openxmlformats.org/officeDocument/2006/relationships/hyperlink" Target="http://www.altogetherautism.org.nz/information/resources/" TargetMode="External"/><Relationship Id="rId118" Type="http://schemas.openxmlformats.org/officeDocument/2006/relationships/hyperlink" Target="http://www.blindfoundation.org.nz/learn/information-for-businesses" TargetMode="External"/><Relationship Id="rId134" Type="http://schemas.openxmlformats.org/officeDocument/2006/relationships/hyperlink" Target="http://www.ihc.org.nz" TargetMode="External"/><Relationship Id="rId139" Type="http://schemas.openxmlformats.org/officeDocument/2006/relationships/hyperlink" Target="http://www.tepou.co.nz/" TargetMode="External"/><Relationship Id="rId80" Type="http://schemas.openxmlformats.org/officeDocument/2006/relationships/hyperlink" Target="http://www.hdc.org.nz/about-us/disability" TargetMode="External"/><Relationship Id="rId85" Type="http://schemas.openxmlformats.org/officeDocument/2006/relationships/hyperlink" Target="http://www.hrc.co.nz/enquiries-and-complaints/how-make-complaint" TargetMode="External"/><Relationship Id="rId150" Type="http://schemas.openxmlformats.org/officeDocument/2006/relationships/hyperlink" Target="http://www.nfd.org.nz/help-and-advice/your-hearing/communication-tips" TargetMode="External"/><Relationship Id="rId155" Type="http://schemas.openxmlformats.org/officeDocument/2006/relationships/hyperlink" Target="http://www.nzdsa.org.nz/" TargetMode="External"/><Relationship Id="rId171" Type="http://schemas.openxmlformats.org/officeDocument/2006/relationships/hyperlink" Target="http://www.weka.net.nz/information-centres" TargetMode="External"/><Relationship Id="rId176"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5.jpeg"/><Relationship Id="rId38" Type="http://schemas.openxmlformats.org/officeDocument/2006/relationships/image" Target="media/image7.emf"/><Relationship Id="rId59" Type="http://schemas.openxmlformats.org/officeDocument/2006/relationships/hyperlink" Target="http://www.kapomaori.com/docs/accessable_marae_toolkit.pdf" TargetMode="External"/><Relationship Id="rId103" Type="http://schemas.openxmlformats.org/officeDocument/2006/relationships/hyperlink" Target="http://www.un.org/disabilities/convention/conventionfull.shtml" TargetMode="External"/><Relationship Id="rId108" Type="http://schemas.openxmlformats.org/officeDocument/2006/relationships/hyperlink" Target="http://www.ombudsman.parliament.nz/what-we-do/protecting-your-rights/disabilities-convention" TargetMode="External"/><Relationship Id="rId124" Type="http://schemas.openxmlformats.org/officeDocument/2006/relationships/hyperlink" Target="http://www.ccsdisabilityaction.org.nz/" TargetMode="External"/><Relationship Id="rId129" Type="http://schemas.openxmlformats.org/officeDocument/2006/relationships/hyperlink" Target="http://www.ecald.com" TargetMode="External"/><Relationship Id="rId54" Type="http://schemas.openxmlformats.org/officeDocument/2006/relationships/hyperlink" Target="http://www.deafblind.org.nz/" TargetMode="External"/><Relationship Id="rId70" Type="http://schemas.openxmlformats.org/officeDocument/2006/relationships/hyperlink" Target="http://www.acc.co.nz/" TargetMode="External"/><Relationship Id="rId75" Type="http://schemas.openxmlformats.org/officeDocument/2006/relationships/hyperlink" Target="http://www.communitymatters.govt.nz/good-practice-participate" TargetMode="External"/><Relationship Id="rId91" Type="http://schemas.openxmlformats.org/officeDocument/2006/relationships/hyperlink" Target="http://www.msd.govt.nz/what-we-can-do/community/community-link/" TargetMode="External"/><Relationship Id="rId96" Type="http://schemas.openxmlformats.org/officeDocument/2006/relationships/hyperlink" Target="http://www.police.govt.nz" TargetMode="External"/><Relationship Id="rId140" Type="http://schemas.openxmlformats.org/officeDocument/2006/relationships/hyperlink" Target="http://www.tepou.co.nz/disability-workforce/lets-get-real-disability/101" TargetMode="External"/><Relationship Id="rId145" Type="http://schemas.openxmlformats.org/officeDocument/2006/relationships/hyperlink" Target="http://www.msnz.org.nz/Page.aspx?pid=276" TargetMode="External"/><Relationship Id="rId161" Type="http://schemas.openxmlformats.org/officeDocument/2006/relationships/hyperlink" Target="http://www.parent2parent.org.nz" TargetMode="External"/><Relationship Id="rId166" Type="http://schemas.openxmlformats.org/officeDocument/2006/relationships/hyperlink" Target="http://www.rescarenz.org.n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va.co.nz/library/leva/organisational-guidelines-for-disability-support-services-working-with-pasifika-people-with-disabilities-and-their-families" TargetMode="External"/><Relationship Id="rId28" Type="http://schemas.openxmlformats.org/officeDocument/2006/relationships/hyperlink" Target="http://www.standards.co.nz/assets/Publication-files/NZS4121-2001.pdf" TargetMode="External"/><Relationship Id="rId49" Type="http://schemas.openxmlformats.org/officeDocument/2006/relationships/hyperlink" Target="http://www.balance.org.nz/index.php/information/sad" TargetMode="External"/><Relationship Id="rId114" Type="http://schemas.openxmlformats.org/officeDocument/2006/relationships/hyperlink" Target="http://www.autismnz.org.nz/" TargetMode="External"/><Relationship Id="rId119" Type="http://schemas.openxmlformats.org/officeDocument/2006/relationships/hyperlink" Target="http://www.brain-injury.org.nz" TargetMode="External"/><Relationship Id="rId10" Type="http://schemas.openxmlformats.org/officeDocument/2006/relationships/image" Target="media/image2.png"/><Relationship Id="rId31" Type="http://schemas.openxmlformats.org/officeDocument/2006/relationships/hyperlink" Target="http://www.legislation.govt.nz/act/public/2011/0079/latest/DLM3650006.html" TargetMode="External"/><Relationship Id="rId44" Type="http://schemas.openxmlformats.org/officeDocument/2006/relationships/hyperlink" Target="http://www.abcnz.org.nz/" TargetMode="External"/><Relationship Id="rId52" Type="http://schemas.openxmlformats.org/officeDocument/2006/relationships/hyperlink" Target="http://www.deaf.org.nz/services/awareness" TargetMode="External"/><Relationship Id="rId60" Type="http://schemas.openxmlformats.org/officeDocument/2006/relationships/hyperlink" Target="http://www.peoplefirst.org.nz/" TargetMode="External"/><Relationship Id="rId65" Type="http://schemas.openxmlformats.org/officeDocument/2006/relationships/hyperlink" Target="http://www.health.govt.nz/publication/whaia-te-ao-marama-maori-disability-action-plan-disability-support-services-2012-2017" TargetMode="External"/><Relationship Id="rId73" Type="http://schemas.openxmlformats.org/officeDocument/2006/relationships/hyperlink" Target="http://www.dia.govt.nz/" TargetMode="External"/><Relationship Id="rId78" Type="http://schemas.openxmlformats.org/officeDocument/2006/relationships/hyperlink" Target="http://www.webtoolkit.govt.nz/" TargetMode="External"/><Relationship Id="rId81" Type="http://schemas.openxmlformats.org/officeDocument/2006/relationships/hyperlink" Target="http://advocacy.hdc.org.nz/" TargetMode="External"/><Relationship Id="rId86" Type="http://schemas.openxmlformats.org/officeDocument/2006/relationships/hyperlink" Target="http://www.education.govt.nz/" TargetMode="External"/><Relationship Id="rId94" Type="http://schemas.openxmlformats.org/officeDocument/2006/relationships/hyperlink" Target="http://socialchangetoolkit.org.nz/" TargetMode="External"/><Relationship Id="rId99" Type="http://schemas.openxmlformats.org/officeDocument/2006/relationships/hyperlink" Target="http://www.odi.govt.nz/" TargetMode="External"/><Relationship Id="rId101" Type="http://schemas.openxmlformats.org/officeDocument/2006/relationships/hyperlink" Target="http://www.odi.govt.nz/resources/guides-and-toolkits/disability-perspective/resources/running-accessible-meeting.html" TargetMode="External"/><Relationship Id="rId122" Type="http://schemas.openxmlformats.org/officeDocument/2006/relationships/hyperlink" Target="http://www.carers.net.nz/" TargetMode="External"/><Relationship Id="rId130" Type="http://schemas.openxmlformats.org/officeDocument/2006/relationships/hyperlink" Target="http://www.hearing.org.nz/" TargetMode="External"/><Relationship Id="rId135" Type="http://schemas.openxmlformats.org/officeDocument/2006/relationships/hyperlink" Target="http://www.ihc.org.nz/resources" TargetMode="External"/><Relationship Id="rId143" Type="http://schemas.openxmlformats.org/officeDocument/2006/relationships/hyperlink" Target="http://www.mentalhealth.org.nz/home/our-work/category/15/like-minds-like-mine" TargetMode="External"/><Relationship Id="rId148" Type="http://schemas.openxmlformats.org/officeDocument/2006/relationships/hyperlink" Target="http://www.mda.org.nz/information/" TargetMode="External"/><Relationship Id="rId151" Type="http://schemas.openxmlformats.org/officeDocument/2006/relationships/hyperlink" Target="http://www.nznasca.co.nz/" TargetMode="External"/><Relationship Id="rId156" Type="http://schemas.openxmlformats.org/officeDocument/2006/relationships/hyperlink" Target="http://www.nzdsa.org.nz/whatis.htm" TargetMode="External"/><Relationship Id="rId164" Type="http://schemas.openxmlformats.org/officeDocument/2006/relationships/hyperlink" Target="http://www.vakatautua.co.nz" TargetMode="External"/><Relationship Id="rId169" Type="http://schemas.openxmlformats.org/officeDocument/2006/relationships/hyperlink" Target="http://www.slianz.org.nz/directory/member-directory"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weka.net.nz/Information-by-Category/fact-sheet-test" TargetMode="External"/><Relationship Id="rId13" Type="http://schemas.openxmlformats.org/officeDocument/2006/relationships/footer" Target="footer3.xml"/><Relationship Id="rId18" Type="http://schemas.openxmlformats.org/officeDocument/2006/relationships/hyperlink" Target="file:///C:\Users\bcrawfor\AppData\Local\Temp\notes8F4AE5\disability@moh.govt.nz" TargetMode="External"/><Relationship Id="rId39" Type="http://schemas.openxmlformats.org/officeDocument/2006/relationships/hyperlink" Target="http://www.blindfoundation.org.nz/" TargetMode="External"/><Relationship Id="rId109" Type="http://schemas.openxmlformats.org/officeDocument/2006/relationships/hyperlink" Target="http://www.altogetherautism.org.nz/" TargetMode="External"/><Relationship Id="rId34" Type="http://schemas.openxmlformats.org/officeDocument/2006/relationships/hyperlink" Target="http://www.standards.co.nz/assets/Publication-files/NZS4121-2001.pdf" TargetMode="External"/><Relationship Id="rId50" Type="http://schemas.openxmlformats.org/officeDocument/2006/relationships/hyperlink" Target="http://www.deaf.org.nz/" TargetMode="External"/><Relationship Id="rId55" Type="http://schemas.openxmlformats.org/officeDocument/2006/relationships/hyperlink" Target="http://www.deafblind.org.nz/learn" TargetMode="External"/><Relationship Id="rId76" Type="http://schemas.openxmlformats.org/officeDocument/2006/relationships/hyperlink" Target="http://www.community.net.nz/home" TargetMode="External"/><Relationship Id="rId97" Type="http://schemas.openxmlformats.org/officeDocument/2006/relationships/hyperlink" Target="http://www.police.govt.nz/contact-us/how-report-crime" TargetMode="External"/><Relationship Id="rId104" Type="http://schemas.openxmlformats.org/officeDocument/2006/relationships/hyperlink" Target="http://ethniccommunities.govt.nz/" TargetMode="External"/><Relationship Id="rId120" Type="http://schemas.openxmlformats.org/officeDocument/2006/relationships/hyperlink" Target="http://www.brain-injury.org.nz/html/brain_injury.html" TargetMode="External"/><Relationship Id="rId125" Type="http://schemas.openxmlformats.org/officeDocument/2006/relationships/hyperlink" Target="http://mobilityparking.org.nz/index.php/mobility-parking-near-you" TargetMode="External"/><Relationship Id="rId141" Type="http://schemas.openxmlformats.org/officeDocument/2006/relationships/hyperlink" Target="http://www.mentalhealth.org.nz" TargetMode="External"/><Relationship Id="rId146" Type="http://schemas.openxmlformats.org/officeDocument/2006/relationships/hyperlink" Target="http://www.msnz.org.nz/Page.aspx?pid=329" TargetMode="External"/><Relationship Id="rId167" Type="http://schemas.openxmlformats.org/officeDocument/2006/relationships/hyperlink" Target="http://www.rescarenz.org.nz/publications.html" TargetMode="External"/><Relationship Id="rId7" Type="http://schemas.openxmlformats.org/officeDocument/2006/relationships/endnotes" Target="endnotes.xml"/><Relationship Id="rId71" Type="http://schemas.openxmlformats.org/officeDocument/2006/relationships/hyperlink" Target="https://disability.acc.co.nz/" TargetMode="External"/><Relationship Id="rId92" Type="http://schemas.openxmlformats.org/officeDocument/2006/relationships/hyperlink" Target="http://www.workandincome.govt.nz/" TargetMode="External"/><Relationship Id="rId162" Type="http://schemas.openxmlformats.org/officeDocument/2006/relationships/hyperlink" Target="http://www.parent2parent.org.nz/parent-parent-magazine" TargetMode="External"/><Relationship Id="rId2" Type="http://schemas.openxmlformats.org/officeDocument/2006/relationships/numbering" Target="numbering.xml"/><Relationship Id="rId29" Type="http://schemas.openxmlformats.org/officeDocument/2006/relationships/hyperlink" Target="http://www.building.govt.nz/international-symbol" TargetMode="External"/><Relationship Id="rId24" Type="http://schemas.openxmlformats.org/officeDocument/2006/relationships/hyperlink" Target="http://www.health.govt.nz/our-work/populations/refugee-health" TargetMode="External"/><Relationship Id="rId40" Type="http://schemas.openxmlformats.org/officeDocument/2006/relationships/hyperlink" Target="http://www.odi.govt.nz/resources/guides-and-toolkits/working-with-nzsl-interpreters/index.html" TargetMode="External"/><Relationship Id="rId45" Type="http://schemas.openxmlformats.org/officeDocument/2006/relationships/hyperlink" Target="http://www.hdc.org.nz/publications/other-publications-from-hdc/disability-resources/inclusive-meeting-practices-for-blind--or-vision-impaired-participants-(association-of-blind-citizens-of-nz)" TargetMode="External"/><Relationship Id="rId66" Type="http://schemas.openxmlformats.org/officeDocument/2006/relationships/hyperlink" Target="http://www.health.govt.nz/our-work/disability-services/maori-disability-support-services" TargetMode="External"/><Relationship Id="rId87" Type="http://schemas.openxmlformats.org/officeDocument/2006/relationships/hyperlink" Target="http://www.education.govt.nz/school/student-support/special-education" TargetMode="External"/><Relationship Id="rId110" Type="http://schemas.openxmlformats.org/officeDocument/2006/relationships/hyperlink" Target="http://lifeunlimited.net.nz/" TargetMode="External"/><Relationship Id="rId115" Type="http://schemas.openxmlformats.org/officeDocument/2006/relationships/hyperlink" Target="http://www.autismnz.org.nz/about_autism" TargetMode="External"/><Relationship Id="rId131" Type="http://schemas.openxmlformats.org/officeDocument/2006/relationships/hyperlink" Target="http://www.hearing.org.nz/info_cards.php" TargetMode="External"/><Relationship Id="rId136" Type="http://schemas.openxmlformats.org/officeDocument/2006/relationships/hyperlink" Target="http://www.isign.co.nz" TargetMode="External"/><Relationship Id="rId157" Type="http://schemas.openxmlformats.org/officeDocument/2006/relationships/hyperlink" Target="http://www.nzfdic.org.nz" TargetMode="External"/><Relationship Id="rId61" Type="http://schemas.openxmlformats.org/officeDocument/2006/relationships/hyperlink" Target="http://www.peoplefirst.org.nz/news-and-resources/easy-read-resources/" TargetMode="External"/><Relationship Id="rId82" Type="http://schemas.openxmlformats.org/officeDocument/2006/relationships/hyperlink" Target="http://www.hdc.org.nz/publications/other-publications-from-hdc/disability-resources/making-communication-easy---useful-tips-to-make-it-easy-to-communicate-effectively-with-people-with-impairments" TargetMode="External"/><Relationship Id="rId152" Type="http://schemas.openxmlformats.org/officeDocument/2006/relationships/hyperlink" Target="http://www.nznasca.co.nz/services/younger-peoples-nasc-services/" TargetMode="External"/><Relationship Id="rId173" Type="http://schemas.openxmlformats.org/officeDocument/2006/relationships/header" Target="header4.xml"/><Relationship Id="rId19" Type="http://schemas.openxmlformats.org/officeDocument/2006/relationships/image" Target="media/image4.png"/><Relationship Id="rId14" Type="http://schemas.openxmlformats.org/officeDocument/2006/relationships/header" Target="header2.xml"/><Relationship Id="rId30" Type="http://schemas.openxmlformats.org/officeDocument/2006/relationships/hyperlink" Target="http://www.webtoolkit.govt.nz/" TargetMode="External"/><Relationship Id="rId35" Type="http://schemas.openxmlformats.org/officeDocument/2006/relationships/hyperlink" Target="http://www.building.govt.nz/international-symbol" TargetMode="External"/><Relationship Id="rId56" Type="http://schemas.openxmlformats.org/officeDocument/2006/relationships/hyperlink" Target="http://www.dpa.org.nz/" TargetMode="External"/><Relationship Id="rId77" Type="http://schemas.openxmlformats.org/officeDocument/2006/relationships/hyperlink" Target="http://www.community.net.nz/" TargetMode="External"/><Relationship Id="rId100" Type="http://schemas.openxmlformats.org/officeDocument/2006/relationships/hyperlink" Target="http://www.odi.govt.nz/nzds" TargetMode="External"/><Relationship Id="rId105" Type="http://schemas.openxmlformats.org/officeDocument/2006/relationships/hyperlink" Target="http://www.ethniccommunities.govt.nz/story/how-language-line-works" TargetMode="External"/><Relationship Id="rId126" Type="http://schemas.openxmlformats.org/officeDocument/2006/relationships/hyperlink" Target="http://www.ccsdisabilityaction.org.nz/regions/northern-region/working-with-the-community/disability-awareness-and-education" TargetMode="External"/><Relationship Id="rId147" Type="http://schemas.openxmlformats.org/officeDocument/2006/relationships/hyperlink" Target="http://www.mda.org.nz" TargetMode="External"/><Relationship Id="rId168" Type="http://schemas.openxmlformats.org/officeDocument/2006/relationships/hyperlink" Target="http://www.slianz.org.nz/" TargetMode="External"/><Relationship Id="rId8" Type="http://schemas.openxmlformats.org/officeDocument/2006/relationships/header" Target="header1.xml"/><Relationship Id="rId51" Type="http://schemas.openxmlformats.org/officeDocument/2006/relationships/hyperlink" Target="http://www.deaf.org.nz/resources/communication-tips" TargetMode="External"/><Relationship Id="rId72" Type="http://schemas.openxmlformats.org/officeDocument/2006/relationships/hyperlink" Target="https://disability.acc.co.nz/useful-resources/" TargetMode="External"/><Relationship Id="rId93" Type="http://schemas.openxmlformats.org/officeDocument/2006/relationships/hyperlink" Target="http://www.thinkdifferently.org.nz" TargetMode="External"/><Relationship Id="rId98" Type="http://schemas.openxmlformats.org/officeDocument/2006/relationships/hyperlink" Target="http://www.police.govt.nz/faq/i-suspect-a-child-is-being-abused-what-should-i-do" TargetMode="External"/><Relationship Id="rId121" Type="http://schemas.openxmlformats.org/officeDocument/2006/relationships/hyperlink" Target="http://www.brain-injury.org.nz/html/resources.html" TargetMode="External"/><Relationship Id="rId142" Type="http://schemas.openxmlformats.org/officeDocument/2006/relationships/hyperlink" Target="http://www.mentalhealth.org.nz/home/our-work/category/16/mental-health-awareness-week" TargetMode="External"/><Relationship Id="rId163" Type="http://schemas.openxmlformats.org/officeDocument/2006/relationships/hyperlink" Target="http://www.parent2parent.org.nz/library/nationallibrary/" TargetMode="External"/><Relationship Id="rId3" Type="http://schemas.openxmlformats.org/officeDocument/2006/relationships/styles" Target="styles.xml"/><Relationship Id="rId25" Type="http://schemas.openxmlformats.org/officeDocument/2006/relationships/hyperlink" Target="http://www.communitymatters.govt.nz/Good-Practice-Participate" TargetMode="External"/><Relationship Id="rId46" Type="http://schemas.openxmlformats.org/officeDocument/2006/relationships/hyperlink" Target="http://www.balance.org.nz/" TargetMode="External"/><Relationship Id="rId67" Type="http://schemas.openxmlformats.org/officeDocument/2006/relationships/hyperlink" Target="http://www.health.govt.nz/our-work/disability-services/disability-projects-and-programmes/faiva-ora-national-pasifika-disability-plan" TargetMode="External"/><Relationship Id="rId116" Type="http://schemas.openxmlformats.org/officeDocument/2006/relationships/hyperlink" Target="http://www.autismnz.org.nz/links" TargetMode="External"/><Relationship Id="rId137" Type="http://schemas.openxmlformats.org/officeDocument/2006/relationships/hyperlink" Target="http://www.isign.co.nz/interpreters/what-is-an-interpreter" TargetMode="External"/><Relationship Id="rId158" Type="http://schemas.openxmlformats.org/officeDocument/2006/relationships/hyperlink" Target="http://www.nzfdic.org.nz/centres" TargetMode="External"/><Relationship Id="rId20" Type="http://schemas.openxmlformats.org/officeDocument/2006/relationships/hyperlink" Target="http://www.health.govt.nz/our-work/disability-services/maori-disability-support-services/whaia-te-ao-marama-maori-disability-action-plan" TargetMode="External"/><Relationship Id="rId41" Type="http://schemas.openxmlformats.org/officeDocument/2006/relationships/hyperlink" Target="http://www.hearingdogs.org.nz/" TargetMode="External"/><Relationship Id="rId62" Type="http://schemas.openxmlformats.org/officeDocument/2006/relationships/hyperlink" Target="http://www.odi.govt.nz/resources/guides-and-toolkits/disability-perspective/resources/plain-language.html" TargetMode="External"/><Relationship Id="rId83" Type="http://schemas.openxmlformats.org/officeDocument/2006/relationships/hyperlink" Target="http://www.hrc.co.nz/" TargetMode="External"/><Relationship Id="rId88" Type="http://schemas.openxmlformats.org/officeDocument/2006/relationships/hyperlink" Target="http://www.mpia.govt.nz/" TargetMode="External"/><Relationship Id="rId111" Type="http://schemas.openxmlformats.org/officeDocument/2006/relationships/hyperlink" Target="http://www.altogetherautism.org.nz/subscribe-journal" TargetMode="External"/><Relationship Id="rId132" Type="http://schemas.openxmlformats.org/officeDocument/2006/relationships/hyperlink" Target="http://www.hearingdogs.org.nz" TargetMode="External"/><Relationship Id="rId153" Type="http://schemas.openxmlformats.org/officeDocument/2006/relationships/hyperlink" Target="http://www.nzdsn.org.nz/" TargetMode="External"/><Relationship Id="rId174" Type="http://schemas.openxmlformats.org/officeDocument/2006/relationships/footer" Target="footer6.xml"/><Relationship Id="rId15" Type="http://schemas.openxmlformats.org/officeDocument/2006/relationships/header" Target="header3.xml"/><Relationship Id="rId36" Type="http://schemas.openxmlformats.org/officeDocument/2006/relationships/image" Target="media/image6.png"/><Relationship Id="rId57" Type="http://schemas.openxmlformats.org/officeDocument/2006/relationships/hyperlink" Target="http://www.dpa.org.nz/resources" TargetMode="External"/><Relationship Id="rId106" Type="http://schemas.openxmlformats.org/officeDocument/2006/relationships/hyperlink" Target="http://www.ombudsman.parliament.nz/" TargetMode="External"/><Relationship Id="rId127" Type="http://schemas.openxmlformats.org/officeDocument/2006/relationships/hyperlink" Target="http://www.cerebralpalsy.org.nz"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ommunicationmatters.org.uk/page/having-conversation" TargetMode="External"/><Relationship Id="rId3" Type="http://schemas.openxmlformats.org/officeDocument/2006/relationships/hyperlink" Target="http://www.building.govt.nz/international-symbol" TargetMode="External"/><Relationship Id="rId7" Type="http://schemas.openxmlformats.org/officeDocument/2006/relationships/hyperlink" Target="http://www.communicationmatters.org.uk/page/having-conversation" TargetMode="External"/><Relationship Id="rId2" Type="http://schemas.openxmlformats.org/officeDocument/2006/relationships/hyperlink" Target="http://www.kapomaori.com/resources/index.htm"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www.communicationmatters.org.uk/page/having-conversation" TargetMode="External"/><Relationship Id="rId5" Type="http://schemas.openxmlformats.org/officeDocument/2006/relationships/hyperlink" Target="http://www.w3.org/TR/WCAG20/" TargetMode="External"/><Relationship Id="rId4" Type="http://schemas.openxmlformats.org/officeDocument/2006/relationships/hyperlink" Target="http://www.webtoolkit.govt.nz" TargetMode="External"/><Relationship Id="rId9" Type="http://schemas.openxmlformats.org/officeDocument/2006/relationships/hyperlink" Target="http://www.un.org/disabilities/default.asp?id=2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browse_for_stats/health/disabilities/DisabilitySurvey_MR20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2F2E-A89C-43E1-B5E1-5086829E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53</Pages>
  <Words>16010</Words>
  <Characters>109371</Characters>
  <Application>Microsoft Office Word</Application>
  <DocSecurity>0</DocSecurity>
  <Lines>911</Lines>
  <Paragraphs>250</Paragraphs>
  <ScaleCrop>false</ScaleCrop>
  <HeadingPairs>
    <vt:vector size="2" baseType="variant">
      <vt:variant>
        <vt:lpstr>Title</vt:lpstr>
      </vt:variant>
      <vt:variant>
        <vt:i4>1</vt:i4>
      </vt:variant>
    </vt:vector>
  </HeadingPairs>
  <TitlesOfParts>
    <vt:vector size="1" baseType="lpstr">
      <vt:lpstr>A Guide to Community Engagement with People with Disabilities</vt:lpstr>
    </vt:vector>
  </TitlesOfParts>
  <Company>Microsoft</Company>
  <LinksUpToDate>false</LinksUpToDate>
  <CharactersWithSpaces>125131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Community Engagement with People with Disabilities</dc:title>
  <dc:creator>Ministry of Health</dc:creator>
  <cp:lastModifiedBy>Jane Adam</cp:lastModifiedBy>
  <cp:revision>3</cp:revision>
  <cp:lastPrinted>2017-04-11T03:25:00Z</cp:lastPrinted>
  <dcterms:created xsi:type="dcterms:W3CDTF">2017-04-11T03:08:00Z</dcterms:created>
  <dcterms:modified xsi:type="dcterms:W3CDTF">2017-04-11T03:25:00Z</dcterms:modified>
</cp:coreProperties>
</file>