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38DC0C" w14:textId="40226464" w:rsidR="00C86248" w:rsidRPr="00D54D50" w:rsidRDefault="00DF2983" w:rsidP="00D54D50">
      <w:pPr>
        <w:pStyle w:val="Title"/>
      </w:pPr>
      <w:r>
        <w:t>Guidance for Best Practice Management in the National Bowel Screening Programme</w:t>
      </w:r>
    </w:p>
    <w:p w14:paraId="555E8430" w14:textId="77777777" w:rsidR="00455CC9" w:rsidRDefault="00DF2983" w:rsidP="00455CC9">
      <w:pPr>
        <w:pStyle w:val="Year"/>
      </w:pPr>
      <w:r>
        <w:t>2018</w:t>
      </w:r>
    </w:p>
    <w:p w14:paraId="2601F863" w14:textId="77777777" w:rsidR="00C86248" w:rsidRDefault="00DF2983" w:rsidP="00343365">
      <w:pPr>
        <w:pStyle w:val="Subhead"/>
      </w:pPr>
      <w:r>
        <w:t>Consultation document</w:t>
      </w:r>
    </w:p>
    <w:p w14:paraId="34A2A45D" w14:textId="77777777" w:rsidR="00564D98" w:rsidRPr="00564D98" w:rsidRDefault="00564D98" w:rsidP="00564D98">
      <w:pPr>
        <w:spacing w:before="2000"/>
      </w:pPr>
      <w:r w:rsidRPr="00ED6545">
        <w:rPr>
          <w:noProof/>
          <w:color w:val="FF0000"/>
          <w:lang w:eastAsia="en-NZ"/>
        </w:rPr>
        <w:drawing>
          <wp:inline distT="0" distB="0" distL="0" distR="0" wp14:anchorId="720ADA94" wp14:editId="25704718">
            <wp:extent cx="3300153" cy="871598"/>
            <wp:effectExtent l="0" t="0" r="0" b="5080"/>
            <wp:docPr id="25" name="Picture 1" descr="N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U logo"/>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l="4074" t="10068" r="6120" b="11411"/>
                    <a:stretch>
                      <a:fillRect/>
                    </a:stretch>
                  </pic:blipFill>
                  <pic:spPr bwMode="auto">
                    <a:xfrm>
                      <a:off x="0" y="0"/>
                      <a:ext cx="3300937" cy="871805"/>
                    </a:xfrm>
                    <a:prstGeom prst="rect">
                      <a:avLst/>
                    </a:prstGeom>
                    <a:noFill/>
                    <a:ln>
                      <a:noFill/>
                    </a:ln>
                  </pic:spPr>
                </pic:pic>
              </a:graphicData>
            </a:graphic>
          </wp:inline>
        </w:drawing>
      </w:r>
    </w:p>
    <w:p w14:paraId="5E8858AD" w14:textId="77777777" w:rsidR="00142954" w:rsidRPr="00142954" w:rsidRDefault="00142954" w:rsidP="00142954">
      <w:pPr>
        <w:sectPr w:rsidR="00142954" w:rsidRPr="00142954" w:rsidSect="000F2AE2">
          <w:headerReference w:type="default" r:id="rId9"/>
          <w:footerReference w:type="default" r:id="rId10"/>
          <w:pgSz w:w="11907" w:h="16834" w:code="9"/>
          <w:pgMar w:top="3969" w:right="851" w:bottom="851" w:left="2552" w:header="851" w:footer="851" w:gutter="0"/>
          <w:cols w:space="720"/>
        </w:sectPr>
      </w:pPr>
    </w:p>
    <w:p w14:paraId="2FBEDD55" w14:textId="77777777" w:rsidR="00A80363" w:rsidRPr="00442C1C" w:rsidRDefault="00A80363">
      <w:pPr>
        <w:pStyle w:val="Imprint"/>
      </w:pPr>
      <w:r>
        <w:lastRenderedPageBreak/>
        <w:t xml:space="preserve">Citation: </w:t>
      </w:r>
      <w:r w:rsidR="00442C1C">
        <w:t xml:space="preserve">Ministry of Health. </w:t>
      </w:r>
      <w:r w:rsidR="00DF2983">
        <w:t>2018</w:t>
      </w:r>
      <w:r w:rsidR="00442C1C">
        <w:t xml:space="preserve">. </w:t>
      </w:r>
      <w:r w:rsidR="00DF2983">
        <w:rPr>
          <w:i/>
        </w:rPr>
        <w:t>Guidance for Best Practice Management in the National Bowel Screening Programme</w:t>
      </w:r>
      <w:r w:rsidR="008E3A07">
        <w:rPr>
          <w:i/>
        </w:rPr>
        <w:t xml:space="preserve">: </w:t>
      </w:r>
      <w:r w:rsidR="00DF2983">
        <w:rPr>
          <w:i/>
        </w:rPr>
        <w:t>Consul</w:t>
      </w:r>
      <w:r w:rsidR="00E3277C">
        <w:rPr>
          <w:i/>
        </w:rPr>
        <w:t>t</w:t>
      </w:r>
      <w:r w:rsidR="00DF2983">
        <w:rPr>
          <w:i/>
        </w:rPr>
        <w:t>ation document</w:t>
      </w:r>
      <w:r w:rsidR="00442C1C">
        <w:t>.</w:t>
      </w:r>
      <w:r w:rsidR="00DF2983">
        <w:br/>
      </w:r>
      <w:r w:rsidR="00442C1C">
        <w:t>Wellington: Ministry of Health.</w:t>
      </w:r>
    </w:p>
    <w:p w14:paraId="483DE2B7" w14:textId="3AB27957" w:rsidR="00C86248" w:rsidRDefault="00C86248">
      <w:pPr>
        <w:pStyle w:val="Imprint"/>
      </w:pPr>
      <w:r>
        <w:t xml:space="preserve">Published in </w:t>
      </w:r>
      <w:r w:rsidR="00A13E3D">
        <w:t>November</w:t>
      </w:r>
      <w:r w:rsidR="00DF2983">
        <w:t xml:space="preserve"> 2018</w:t>
      </w:r>
      <w:r w:rsidR="005019AE">
        <w:br/>
      </w:r>
      <w:r>
        <w:t>by the</w:t>
      </w:r>
      <w:r w:rsidR="00442C1C">
        <w:t xml:space="preserve"> </w:t>
      </w:r>
      <w:r>
        <w:t>Ministry of Health</w:t>
      </w:r>
      <w:r>
        <w:br/>
        <w:t>PO Box 5013, Wellington</w:t>
      </w:r>
      <w:r w:rsidR="00A80363">
        <w:t xml:space="preserve"> 614</w:t>
      </w:r>
      <w:r w:rsidR="006041F0">
        <w:t>0</w:t>
      </w:r>
      <w:r>
        <w:t>, New Zealand</w:t>
      </w:r>
    </w:p>
    <w:p w14:paraId="092F6259" w14:textId="5106BE7A" w:rsidR="00082CD6" w:rsidRPr="009C0F2D" w:rsidRDefault="00D863D0" w:rsidP="00082CD6">
      <w:pPr>
        <w:pStyle w:val="Imprint"/>
      </w:pPr>
      <w:r>
        <w:t>ISBN</w:t>
      </w:r>
      <w:r w:rsidR="00442C1C">
        <w:t xml:space="preserve"> </w:t>
      </w:r>
      <w:r w:rsidR="00A13E3D" w:rsidRPr="00A13E3D">
        <w:t>978-1-98-856820-1</w:t>
      </w:r>
      <w:r w:rsidR="00442C1C">
        <w:t xml:space="preserve"> </w:t>
      </w:r>
      <w:r>
        <w:t>(</w:t>
      </w:r>
      <w:r w:rsidR="00442C1C">
        <w:t>online</w:t>
      </w:r>
      <w:proofErr w:type="gramStart"/>
      <w:r>
        <w:t>)</w:t>
      </w:r>
      <w:proofErr w:type="gramEnd"/>
      <w:r w:rsidR="00082CD6">
        <w:br/>
      </w:r>
      <w:r w:rsidR="00082CD6" w:rsidRPr="009C0F2D">
        <w:t xml:space="preserve">HP </w:t>
      </w:r>
      <w:r w:rsidR="00A13E3D">
        <w:t>6978</w:t>
      </w:r>
    </w:p>
    <w:p w14:paraId="79DC97F7" w14:textId="77777777" w:rsidR="00C86248" w:rsidRPr="003B6490" w:rsidRDefault="008E3A07">
      <w:pPr>
        <w:pStyle w:val="Imprint"/>
        <w:rPr>
          <w:rStyle w:val="Hyperlink"/>
          <w:rFonts w:eastAsia="MS Gothic"/>
        </w:rPr>
      </w:pPr>
      <w:r>
        <w:t>This document is available at www.health.govt.nz</w:t>
      </w:r>
    </w:p>
    <w:p w14:paraId="1EBEE24F" w14:textId="77777777" w:rsidR="00C86248" w:rsidRDefault="008C64C4">
      <w:pPr>
        <w:jc w:val="center"/>
      </w:pPr>
      <w:r>
        <w:rPr>
          <w:noProof/>
          <w:lang w:eastAsia="en-NZ"/>
        </w:rPr>
        <w:drawing>
          <wp:inline distT="0" distB="0" distL="0" distR="0" wp14:anchorId="5F6429C6" wp14:editId="3E437ABE">
            <wp:extent cx="1670685" cy="681355"/>
            <wp:effectExtent l="0" t="0" r="5715" b="4445"/>
            <wp:docPr id="2"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1670685" cy="681355"/>
                    </a:xfrm>
                    <a:prstGeom prst="rect">
                      <a:avLst/>
                    </a:prstGeom>
                    <a:noFill/>
                    <a:ln>
                      <a:noFill/>
                    </a:ln>
                  </pic:spPr>
                </pic:pic>
              </a:graphicData>
            </a:graphic>
          </wp:inline>
        </w:drawing>
      </w:r>
    </w:p>
    <w:p w14:paraId="1BFCA2AE" w14:textId="77777777" w:rsidR="007E74F1" w:rsidRPr="001F45A7" w:rsidRDefault="007E74F1" w:rsidP="001F45A7">
      <w:pPr>
        <w:spacing w:before="240"/>
        <w:ind w:right="-851"/>
        <w:rPr>
          <w:sz w:val="18"/>
          <w:szCs w:val="18"/>
        </w:rPr>
      </w:pPr>
      <w:r w:rsidRPr="001F45A7">
        <w:rPr>
          <w:b/>
          <w:noProof/>
          <w:sz w:val="18"/>
          <w:szCs w:val="18"/>
          <w:lang w:eastAsia="en-NZ"/>
        </w:rPr>
        <w:drawing>
          <wp:inline distT="0" distB="0" distL="0" distR="0" wp14:anchorId="3D0F4204" wp14:editId="0D6471DE">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r w:rsidRPr="001F45A7">
        <w:rPr>
          <w:sz w:val="18"/>
          <w:szCs w:val="18"/>
        </w:rPr>
        <w:t xml:space="preserve"> This work is licensed under the Creative Commons Attribution 4.0 International licence. In essence, </w:t>
      </w:r>
      <w:r w:rsidRPr="001F45A7">
        <w:rPr>
          <w:bCs/>
          <w:sz w:val="18"/>
          <w:szCs w:val="18"/>
        </w:rPr>
        <w:t xml:space="preserve">you are free to: </w:t>
      </w:r>
      <w:r w:rsidRPr="001F45A7">
        <w:rPr>
          <w:sz w:val="18"/>
          <w:szCs w:val="18"/>
        </w:rPr>
        <w:t xml:space="preserve">share </w:t>
      </w:r>
      <w:proofErr w:type="spellStart"/>
      <w:r w:rsidRPr="001F45A7">
        <w:rPr>
          <w:sz w:val="18"/>
          <w:szCs w:val="18"/>
        </w:rPr>
        <w:t>ie</w:t>
      </w:r>
      <w:proofErr w:type="spellEnd"/>
      <w:r w:rsidRPr="001F45A7">
        <w:rPr>
          <w:sz w:val="18"/>
          <w:szCs w:val="18"/>
        </w:rPr>
        <w:t xml:space="preserve">, copy and redistribute the material in any medium or format; adapt </w:t>
      </w:r>
      <w:proofErr w:type="spellStart"/>
      <w:r w:rsidRPr="001F45A7">
        <w:rPr>
          <w:sz w:val="18"/>
          <w:szCs w:val="18"/>
        </w:rPr>
        <w:t>ie</w:t>
      </w:r>
      <w:proofErr w:type="spellEnd"/>
      <w:r w:rsidRPr="001F45A7">
        <w:rPr>
          <w:sz w:val="18"/>
          <w:szCs w:val="18"/>
        </w:rPr>
        <w:t xml:space="preserve">, remix, transform and build upon the material. </w:t>
      </w:r>
      <w:r w:rsidRPr="001F45A7">
        <w:rPr>
          <w:bCs/>
          <w:sz w:val="18"/>
          <w:szCs w:val="18"/>
        </w:rPr>
        <w:t>You must give appropriate credit, provide a link to the licence and indicate if changes were made.</w:t>
      </w:r>
    </w:p>
    <w:p w14:paraId="45F9A69B" w14:textId="77777777" w:rsidR="00C86248" w:rsidRDefault="00C86248">
      <w:pPr>
        <w:jc w:val="center"/>
        <w:sectPr w:rsidR="00C86248" w:rsidSect="0016468A">
          <w:footerReference w:type="even" r:id="rId13"/>
          <w:footerReference w:type="default" r:id="rId14"/>
          <w:pgSz w:w="11907" w:h="16834" w:code="9"/>
          <w:pgMar w:top="1701" w:right="1134" w:bottom="1134" w:left="1985" w:header="0" w:footer="0" w:gutter="0"/>
          <w:cols w:space="720"/>
          <w:vAlign w:val="bottom"/>
        </w:sectPr>
      </w:pPr>
    </w:p>
    <w:p w14:paraId="15796765" w14:textId="18CAF336" w:rsidR="00032C0A" w:rsidRDefault="0047699F" w:rsidP="008B19DC">
      <w:pPr>
        <w:pStyle w:val="Heading1"/>
      </w:pPr>
      <w:bookmarkStart w:id="0" w:name="_Toc405792991"/>
      <w:bookmarkStart w:id="1" w:name="_Toc405793224"/>
      <w:bookmarkStart w:id="2" w:name="_Toc530660995"/>
      <w:r>
        <w:lastRenderedPageBreak/>
        <w:t>Foreword</w:t>
      </w:r>
      <w:bookmarkEnd w:id="2"/>
    </w:p>
    <w:p w14:paraId="04415DB7" w14:textId="70A465C1" w:rsidR="001C167B" w:rsidRDefault="001C167B" w:rsidP="001C167B">
      <w:pPr>
        <w:pStyle w:val="NormalWeb"/>
      </w:pPr>
      <w:r>
        <w:t xml:space="preserve">The National Bowel Screening Programme (NBSP) is a significant investment in reducing disease and death from one of New Zealand’s biggest cancer killers. The NBSP is our first screening programme for both men and women and, when fully implemented, is expected to detect 500 to 700 cancers </w:t>
      </w:r>
      <w:r w:rsidR="005B01C5">
        <w:t>every year, in the early stages</w:t>
      </w:r>
      <w:r w:rsidR="00CC58FF">
        <w:t>.</w:t>
      </w:r>
    </w:p>
    <w:p w14:paraId="5AB4E369" w14:textId="77777777" w:rsidR="001C167B" w:rsidRDefault="001C167B" w:rsidP="001C167B">
      <w:pPr>
        <w:pStyle w:val="NormalWeb"/>
      </w:pPr>
      <w:r>
        <w:t xml:space="preserve">The development of these clinical guidelines aims to embed best practice clinical management across the screening pathway and ensure quality and consistency. It is indeed a pleasure to see the NBSP become a reality and our thanks goes to all the members of the various committees, representing the relevant professional colleges and bodies, which have contributed over the last almost 20 years to getting us to this point. </w:t>
      </w:r>
    </w:p>
    <w:p w14:paraId="68851A3E" w14:textId="77777777" w:rsidR="001C167B" w:rsidRDefault="001C167B" w:rsidP="001C167B">
      <w:pPr>
        <w:pStyle w:val="NormalWeb"/>
      </w:pPr>
      <w:r>
        <w:t xml:space="preserve">We must also acknowledge the </w:t>
      </w:r>
      <w:proofErr w:type="spellStart"/>
      <w:r>
        <w:t>Waitemata</w:t>
      </w:r>
      <w:proofErr w:type="spellEnd"/>
      <w:r>
        <w:t xml:space="preserve"> DHB team, supported by the Ministry of Health, which so ably conducted the bowel screening pilot. The pilot provided a valuable learning experience and vital data that enabled us to set the parameters for a successful national programme. This programme now sits alongside other screening programmes in the National Screening Unit, within the Ministry of Health.</w:t>
      </w:r>
    </w:p>
    <w:p w14:paraId="554CBA54" w14:textId="77777777" w:rsidR="001C167B" w:rsidRDefault="001C167B" w:rsidP="001C167B">
      <w:pPr>
        <w:pStyle w:val="NormalWeb"/>
      </w:pPr>
      <w:r>
        <w:t xml:space="preserve">Finally, I want to acknowledge Dr Harold Neal (Principal Scientific Advisor, Clinicians Screening) who, with the support of Dr Jane </w:t>
      </w:r>
      <w:proofErr w:type="spellStart"/>
      <w:r>
        <w:t>O’Hallahan</w:t>
      </w:r>
      <w:proofErr w:type="spellEnd"/>
      <w:r>
        <w:t xml:space="preserve"> (Clinical Director, Clinicians Screening) embraced the challenge of drafting and managing these Guidelines. Thank you also to the clinical colleagues who provided input and comment. </w:t>
      </w:r>
    </w:p>
    <w:p w14:paraId="7B950161" w14:textId="77777777" w:rsidR="001C167B" w:rsidRDefault="001C167B" w:rsidP="001C167B">
      <w:pPr>
        <w:pStyle w:val="NormalWeb"/>
      </w:pPr>
      <w:r>
        <w:t>It has been a privilege to be involved from the outset in New Zealand’s journey to bowel screening and it remains a privilege to be the first Clinical Director of the NBSP. The key driver to implement this programme has always been the desire to reduce the toll of this devastating disease on individuals and families. It’s hard to imagine a more compelling motivation. Thank you. </w:t>
      </w:r>
    </w:p>
    <w:p w14:paraId="1E62D06A" w14:textId="77777777" w:rsidR="001C167B" w:rsidRDefault="001C167B" w:rsidP="001C167B">
      <w:pPr>
        <w:pStyle w:val="NormalWeb"/>
      </w:pPr>
      <w:r>
        <w:t>Dr Susan Parry</w:t>
      </w:r>
    </w:p>
    <w:p w14:paraId="4FE234D2" w14:textId="77777777" w:rsidR="001C167B" w:rsidRDefault="001C167B" w:rsidP="001C167B">
      <w:pPr>
        <w:pStyle w:val="NormalWeb"/>
      </w:pPr>
      <w:r>
        <w:t>Gastroenterologist</w:t>
      </w:r>
    </w:p>
    <w:p w14:paraId="2A69C49D" w14:textId="77777777" w:rsidR="00D1792C" w:rsidRDefault="00D1792C" w:rsidP="00D1792C"/>
    <w:p w14:paraId="36A87D7F" w14:textId="77777777" w:rsidR="00BB09DA" w:rsidRDefault="00BB09DA" w:rsidP="00D1792C">
      <w:pPr>
        <w:sectPr w:rsidR="00BB09DA" w:rsidSect="009D5125">
          <w:footerReference w:type="even" r:id="rId15"/>
          <w:pgSz w:w="11907" w:h="16840" w:code="9"/>
          <w:pgMar w:top="851" w:right="1134" w:bottom="1134" w:left="1134" w:header="284" w:footer="567" w:gutter="284"/>
          <w:pgNumType w:fmt="lowerRoman"/>
          <w:cols w:space="720"/>
        </w:sectPr>
      </w:pPr>
    </w:p>
    <w:p w14:paraId="78E34F65" w14:textId="77777777" w:rsidR="00C86248" w:rsidRDefault="00C86248" w:rsidP="00025A6F">
      <w:pPr>
        <w:pStyle w:val="IntroHead"/>
      </w:pPr>
      <w:r>
        <w:lastRenderedPageBreak/>
        <w:t>Contents</w:t>
      </w:r>
      <w:bookmarkEnd w:id="0"/>
      <w:bookmarkEnd w:id="1"/>
    </w:p>
    <w:p w14:paraId="3618A43A" w14:textId="77777777" w:rsidR="00C010D6" w:rsidRDefault="00C010D6">
      <w:pPr>
        <w:pStyle w:val="TOC1"/>
        <w:rPr>
          <w:rFonts w:asciiTheme="minorHAnsi" w:eastAsiaTheme="minorEastAsia" w:hAnsiTheme="minorHAnsi" w:cstheme="minorBidi"/>
          <w:b w:val="0"/>
          <w:noProof/>
          <w:szCs w:val="22"/>
          <w:lang w:eastAsia="en-NZ"/>
        </w:rPr>
      </w:pPr>
      <w:r>
        <w:fldChar w:fldCharType="begin"/>
      </w:r>
      <w:r>
        <w:instrText xml:space="preserve"> TOC \o "1-2" \h \z </w:instrText>
      </w:r>
      <w:r>
        <w:fldChar w:fldCharType="separate"/>
      </w:r>
      <w:hyperlink w:anchor="_Toc530660995" w:history="1">
        <w:r w:rsidRPr="00E1156E">
          <w:rPr>
            <w:rStyle w:val="Hyperlink"/>
            <w:noProof/>
          </w:rPr>
          <w:t>Foreword</w:t>
        </w:r>
        <w:r>
          <w:rPr>
            <w:noProof/>
            <w:webHidden/>
          </w:rPr>
          <w:tab/>
        </w:r>
        <w:r>
          <w:rPr>
            <w:noProof/>
            <w:webHidden/>
          </w:rPr>
          <w:fldChar w:fldCharType="begin"/>
        </w:r>
        <w:r>
          <w:rPr>
            <w:noProof/>
            <w:webHidden/>
          </w:rPr>
          <w:instrText xml:space="preserve"> PAGEREF _Toc530660995 \h </w:instrText>
        </w:r>
        <w:r>
          <w:rPr>
            <w:noProof/>
            <w:webHidden/>
          </w:rPr>
        </w:r>
        <w:r>
          <w:rPr>
            <w:noProof/>
            <w:webHidden/>
          </w:rPr>
          <w:fldChar w:fldCharType="separate"/>
        </w:r>
        <w:r>
          <w:rPr>
            <w:noProof/>
            <w:webHidden/>
          </w:rPr>
          <w:t>iii</w:t>
        </w:r>
        <w:r>
          <w:rPr>
            <w:noProof/>
            <w:webHidden/>
          </w:rPr>
          <w:fldChar w:fldCharType="end"/>
        </w:r>
      </w:hyperlink>
    </w:p>
    <w:p w14:paraId="6A612427" w14:textId="77777777" w:rsidR="00C010D6" w:rsidRDefault="00C010D6">
      <w:pPr>
        <w:pStyle w:val="TOC1"/>
        <w:rPr>
          <w:rFonts w:asciiTheme="minorHAnsi" w:eastAsiaTheme="minorEastAsia" w:hAnsiTheme="minorHAnsi" w:cstheme="minorBidi"/>
          <w:b w:val="0"/>
          <w:noProof/>
          <w:szCs w:val="22"/>
          <w:lang w:eastAsia="en-NZ"/>
        </w:rPr>
      </w:pPr>
      <w:hyperlink w:anchor="_Toc530660996" w:history="1">
        <w:r w:rsidRPr="00E1156E">
          <w:rPr>
            <w:rStyle w:val="Hyperlink"/>
            <w:noProof/>
          </w:rPr>
          <w:t>Introduction</w:t>
        </w:r>
        <w:r>
          <w:rPr>
            <w:noProof/>
            <w:webHidden/>
          </w:rPr>
          <w:tab/>
        </w:r>
        <w:r>
          <w:rPr>
            <w:noProof/>
            <w:webHidden/>
          </w:rPr>
          <w:fldChar w:fldCharType="begin"/>
        </w:r>
        <w:r>
          <w:rPr>
            <w:noProof/>
            <w:webHidden/>
          </w:rPr>
          <w:instrText xml:space="preserve"> PAGEREF _Toc530660996 \h </w:instrText>
        </w:r>
        <w:r>
          <w:rPr>
            <w:noProof/>
            <w:webHidden/>
          </w:rPr>
        </w:r>
        <w:r>
          <w:rPr>
            <w:noProof/>
            <w:webHidden/>
          </w:rPr>
          <w:fldChar w:fldCharType="separate"/>
        </w:r>
        <w:r>
          <w:rPr>
            <w:noProof/>
            <w:webHidden/>
          </w:rPr>
          <w:t>1</w:t>
        </w:r>
        <w:r>
          <w:rPr>
            <w:noProof/>
            <w:webHidden/>
          </w:rPr>
          <w:fldChar w:fldCharType="end"/>
        </w:r>
      </w:hyperlink>
    </w:p>
    <w:p w14:paraId="2BB4D944" w14:textId="77777777" w:rsidR="00C010D6" w:rsidRDefault="00C010D6">
      <w:pPr>
        <w:pStyle w:val="TOC1"/>
        <w:rPr>
          <w:rFonts w:asciiTheme="minorHAnsi" w:eastAsiaTheme="minorEastAsia" w:hAnsiTheme="minorHAnsi" w:cstheme="minorBidi"/>
          <w:b w:val="0"/>
          <w:noProof/>
          <w:szCs w:val="22"/>
          <w:lang w:eastAsia="en-NZ"/>
        </w:rPr>
      </w:pPr>
      <w:hyperlink w:anchor="_Toc530660997" w:history="1">
        <w:r w:rsidRPr="00E1156E">
          <w:rPr>
            <w:rStyle w:val="Hyperlink"/>
            <w:noProof/>
          </w:rPr>
          <w:t>Epidemiology</w:t>
        </w:r>
        <w:r>
          <w:rPr>
            <w:noProof/>
            <w:webHidden/>
          </w:rPr>
          <w:tab/>
        </w:r>
        <w:r>
          <w:rPr>
            <w:noProof/>
            <w:webHidden/>
          </w:rPr>
          <w:fldChar w:fldCharType="begin"/>
        </w:r>
        <w:r>
          <w:rPr>
            <w:noProof/>
            <w:webHidden/>
          </w:rPr>
          <w:instrText xml:space="preserve"> PAGEREF _Toc530660997 \h </w:instrText>
        </w:r>
        <w:r>
          <w:rPr>
            <w:noProof/>
            <w:webHidden/>
          </w:rPr>
        </w:r>
        <w:r>
          <w:rPr>
            <w:noProof/>
            <w:webHidden/>
          </w:rPr>
          <w:fldChar w:fldCharType="separate"/>
        </w:r>
        <w:r>
          <w:rPr>
            <w:noProof/>
            <w:webHidden/>
          </w:rPr>
          <w:t>3</w:t>
        </w:r>
        <w:r>
          <w:rPr>
            <w:noProof/>
            <w:webHidden/>
          </w:rPr>
          <w:fldChar w:fldCharType="end"/>
        </w:r>
      </w:hyperlink>
    </w:p>
    <w:p w14:paraId="53FFCB29" w14:textId="77777777" w:rsidR="00C010D6" w:rsidRDefault="00C010D6">
      <w:pPr>
        <w:pStyle w:val="TOC2"/>
        <w:rPr>
          <w:rFonts w:asciiTheme="minorHAnsi" w:eastAsiaTheme="minorEastAsia" w:hAnsiTheme="minorHAnsi" w:cstheme="minorBidi"/>
          <w:noProof/>
          <w:szCs w:val="22"/>
          <w:lang w:eastAsia="en-NZ"/>
        </w:rPr>
      </w:pPr>
      <w:hyperlink w:anchor="_Toc530660998" w:history="1">
        <w:r w:rsidRPr="00E1156E">
          <w:rPr>
            <w:rStyle w:val="Hyperlink"/>
            <w:rFonts w:eastAsia="Calibri"/>
            <w:noProof/>
          </w:rPr>
          <w:t>Incidence</w:t>
        </w:r>
        <w:r>
          <w:rPr>
            <w:noProof/>
            <w:webHidden/>
          </w:rPr>
          <w:tab/>
        </w:r>
        <w:r>
          <w:rPr>
            <w:noProof/>
            <w:webHidden/>
          </w:rPr>
          <w:fldChar w:fldCharType="begin"/>
        </w:r>
        <w:r>
          <w:rPr>
            <w:noProof/>
            <w:webHidden/>
          </w:rPr>
          <w:instrText xml:space="preserve"> PAGEREF _Toc530660998 \h </w:instrText>
        </w:r>
        <w:r>
          <w:rPr>
            <w:noProof/>
            <w:webHidden/>
          </w:rPr>
        </w:r>
        <w:r>
          <w:rPr>
            <w:noProof/>
            <w:webHidden/>
          </w:rPr>
          <w:fldChar w:fldCharType="separate"/>
        </w:r>
        <w:r>
          <w:rPr>
            <w:noProof/>
            <w:webHidden/>
          </w:rPr>
          <w:t>3</w:t>
        </w:r>
        <w:r>
          <w:rPr>
            <w:noProof/>
            <w:webHidden/>
          </w:rPr>
          <w:fldChar w:fldCharType="end"/>
        </w:r>
      </w:hyperlink>
    </w:p>
    <w:p w14:paraId="1721CC59" w14:textId="77777777" w:rsidR="00C010D6" w:rsidRDefault="00C010D6">
      <w:pPr>
        <w:pStyle w:val="TOC2"/>
        <w:rPr>
          <w:rFonts w:asciiTheme="minorHAnsi" w:eastAsiaTheme="minorEastAsia" w:hAnsiTheme="minorHAnsi" w:cstheme="minorBidi"/>
          <w:noProof/>
          <w:szCs w:val="22"/>
          <w:lang w:eastAsia="en-NZ"/>
        </w:rPr>
      </w:pPr>
      <w:hyperlink w:anchor="_Toc530660999" w:history="1">
        <w:r w:rsidRPr="00E1156E">
          <w:rPr>
            <w:rStyle w:val="Hyperlink"/>
            <w:noProof/>
          </w:rPr>
          <w:t>Mortality</w:t>
        </w:r>
        <w:r>
          <w:rPr>
            <w:noProof/>
            <w:webHidden/>
          </w:rPr>
          <w:tab/>
        </w:r>
        <w:r>
          <w:rPr>
            <w:noProof/>
            <w:webHidden/>
          </w:rPr>
          <w:fldChar w:fldCharType="begin"/>
        </w:r>
        <w:r>
          <w:rPr>
            <w:noProof/>
            <w:webHidden/>
          </w:rPr>
          <w:instrText xml:space="preserve"> PAGEREF _Toc530660999 \h </w:instrText>
        </w:r>
        <w:r>
          <w:rPr>
            <w:noProof/>
            <w:webHidden/>
          </w:rPr>
        </w:r>
        <w:r>
          <w:rPr>
            <w:noProof/>
            <w:webHidden/>
          </w:rPr>
          <w:fldChar w:fldCharType="separate"/>
        </w:r>
        <w:r>
          <w:rPr>
            <w:noProof/>
            <w:webHidden/>
          </w:rPr>
          <w:t>4</w:t>
        </w:r>
        <w:r>
          <w:rPr>
            <w:noProof/>
            <w:webHidden/>
          </w:rPr>
          <w:fldChar w:fldCharType="end"/>
        </w:r>
      </w:hyperlink>
    </w:p>
    <w:p w14:paraId="06A92DC1" w14:textId="77777777" w:rsidR="00C010D6" w:rsidRDefault="00C010D6">
      <w:pPr>
        <w:pStyle w:val="TOC2"/>
        <w:rPr>
          <w:rFonts w:asciiTheme="minorHAnsi" w:eastAsiaTheme="minorEastAsia" w:hAnsiTheme="minorHAnsi" w:cstheme="minorBidi"/>
          <w:noProof/>
          <w:szCs w:val="22"/>
          <w:lang w:eastAsia="en-NZ"/>
        </w:rPr>
      </w:pPr>
      <w:hyperlink w:anchor="_Toc530661000" w:history="1">
        <w:r w:rsidRPr="00E1156E">
          <w:rPr>
            <w:rStyle w:val="Hyperlink"/>
            <w:rFonts w:eastAsia="Calibri"/>
            <w:noProof/>
          </w:rPr>
          <w:t>Stage and survival</w:t>
        </w:r>
        <w:r>
          <w:rPr>
            <w:noProof/>
            <w:webHidden/>
          </w:rPr>
          <w:tab/>
        </w:r>
        <w:r>
          <w:rPr>
            <w:noProof/>
            <w:webHidden/>
          </w:rPr>
          <w:fldChar w:fldCharType="begin"/>
        </w:r>
        <w:r>
          <w:rPr>
            <w:noProof/>
            <w:webHidden/>
          </w:rPr>
          <w:instrText xml:space="preserve"> PAGEREF _Toc530661000 \h </w:instrText>
        </w:r>
        <w:r>
          <w:rPr>
            <w:noProof/>
            <w:webHidden/>
          </w:rPr>
        </w:r>
        <w:r>
          <w:rPr>
            <w:noProof/>
            <w:webHidden/>
          </w:rPr>
          <w:fldChar w:fldCharType="separate"/>
        </w:r>
        <w:r>
          <w:rPr>
            <w:noProof/>
            <w:webHidden/>
          </w:rPr>
          <w:t>5</w:t>
        </w:r>
        <w:r>
          <w:rPr>
            <w:noProof/>
            <w:webHidden/>
          </w:rPr>
          <w:fldChar w:fldCharType="end"/>
        </w:r>
      </w:hyperlink>
    </w:p>
    <w:p w14:paraId="234CFA2A" w14:textId="77777777" w:rsidR="00C010D6" w:rsidRDefault="00C010D6">
      <w:pPr>
        <w:pStyle w:val="TOC1"/>
        <w:rPr>
          <w:rFonts w:asciiTheme="minorHAnsi" w:eastAsiaTheme="minorEastAsia" w:hAnsiTheme="minorHAnsi" w:cstheme="minorBidi"/>
          <w:b w:val="0"/>
          <w:noProof/>
          <w:szCs w:val="22"/>
          <w:lang w:eastAsia="en-NZ"/>
        </w:rPr>
      </w:pPr>
      <w:hyperlink w:anchor="_Toc530661001" w:history="1">
        <w:r w:rsidRPr="00E1156E">
          <w:rPr>
            <w:rStyle w:val="Hyperlink"/>
            <w:noProof/>
          </w:rPr>
          <w:t>Equity</w:t>
        </w:r>
        <w:r>
          <w:rPr>
            <w:noProof/>
            <w:webHidden/>
          </w:rPr>
          <w:tab/>
        </w:r>
        <w:r>
          <w:rPr>
            <w:noProof/>
            <w:webHidden/>
          </w:rPr>
          <w:fldChar w:fldCharType="begin"/>
        </w:r>
        <w:r>
          <w:rPr>
            <w:noProof/>
            <w:webHidden/>
          </w:rPr>
          <w:instrText xml:space="preserve"> PAGEREF _Toc530661001 \h </w:instrText>
        </w:r>
        <w:r>
          <w:rPr>
            <w:noProof/>
            <w:webHidden/>
          </w:rPr>
        </w:r>
        <w:r>
          <w:rPr>
            <w:noProof/>
            <w:webHidden/>
          </w:rPr>
          <w:fldChar w:fldCharType="separate"/>
        </w:r>
        <w:r>
          <w:rPr>
            <w:noProof/>
            <w:webHidden/>
          </w:rPr>
          <w:t>6</w:t>
        </w:r>
        <w:r>
          <w:rPr>
            <w:noProof/>
            <w:webHidden/>
          </w:rPr>
          <w:fldChar w:fldCharType="end"/>
        </w:r>
      </w:hyperlink>
    </w:p>
    <w:p w14:paraId="5B25E7CF" w14:textId="77777777" w:rsidR="00C010D6" w:rsidRDefault="00C010D6">
      <w:pPr>
        <w:pStyle w:val="TOC1"/>
        <w:rPr>
          <w:rFonts w:asciiTheme="minorHAnsi" w:eastAsiaTheme="minorEastAsia" w:hAnsiTheme="minorHAnsi" w:cstheme="minorBidi"/>
          <w:b w:val="0"/>
          <w:noProof/>
          <w:szCs w:val="22"/>
          <w:lang w:eastAsia="en-NZ"/>
        </w:rPr>
      </w:pPr>
      <w:hyperlink w:anchor="_Toc530661002" w:history="1">
        <w:r w:rsidRPr="00E1156E">
          <w:rPr>
            <w:rStyle w:val="Hyperlink"/>
            <w:noProof/>
            <w:lang w:eastAsia="en-NZ"/>
          </w:rPr>
          <w:t>Key findings from the Waitemata Bowel Screening Pilot</w:t>
        </w:r>
        <w:r>
          <w:rPr>
            <w:noProof/>
            <w:webHidden/>
          </w:rPr>
          <w:tab/>
        </w:r>
        <w:r>
          <w:rPr>
            <w:noProof/>
            <w:webHidden/>
          </w:rPr>
          <w:fldChar w:fldCharType="begin"/>
        </w:r>
        <w:r>
          <w:rPr>
            <w:noProof/>
            <w:webHidden/>
          </w:rPr>
          <w:instrText xml:space="preserve"> PAGEREF _Toc530661002 \h </w:instrText>
        </w:r>
        <w:r>
          <w:rPr>
            <w:noProof/>
            <w:webHidden/>
          </w:rPr>
        </w:r>
        <w:r>
          <w:rPr>
            <w:noProof/>
            <w:webHidden/>
          </w:rPr>
          <w:fldChar w:fldCharType="separate"/>
        </w:r>
        <w:r>
          <w:rPr>
            <w:noProof/>
            <w:webHidden/>
          </w:rPr>
          <w:t>7</w:t>
        </w:r>
        <w:r>
          <w:rPr>
            <w:noProof/>
            <w:webHidden/>
          </w:rPr>
          <w:fldChar w:fldCharType="end"/>
        </w:r>
      </w:hyperlink>
    </w:p>
    <w:p w14:paraId="583AE623" w14:textId="77777777" w:rsidR="00C010D6" w:rsidRDefault="00C010D6">
      <w:pPr>
        <w:pStyle w:val="TOC1"/>
        <w:rPr>
          <w:rFonts w:asciiTheme="minorHAnsi" w:eastAsiaTheme="minorEastAsia" w:hAnsiTheme="minorHAnsi" w:cstheme="minorBidi"/>
          <w:b w:val="0"/>
          <w:noProof/>
          <w:szCs w:val="22"/>
          <w:lang w:eastAsia="en-NZ"/>
        </w:rPr>
      </w:pPr>
      <w:hyperlink w:anchor="_Toc530661003" w:history="1">
        <w:r w:rsidRPr="00E1156E">
          <w:rPr>
            <w:rStyle w:val="Hyperlink"/>
            <w:noProof/>
          </w:rPr>
          <w:t>Colonoscopy definitions</w:t>
        </w:r>
        <w:r>
          <w:rPr>
            <w:noProof/>
            <w:webHidden/>
          </w:rPr>
          <w:tab/>
        </w:r>
        <w:r>
          <w:rPr>
            <w:noProof/>
            <w:webHidden/>
          </w:rPr>
          <w:fldChar w:fldCharType="begin"/>
        </w:r>
        <w:r>
          <w:rPr>
            <w:noProof/>
            <w:webHidden/>
          </w:rPr>
          <w:instrText xml:space="preserve"> PAGEREF _Toc530661003 \h </w:instrText>
        </w:r>
        <w:r>
          <w:rPr>
            <w:noProof/>
            <w:webHidden/>
          </w:rPr>
        </w:r>
        <w:r>
          <w:rPr>
            <w:noProof/>
            <w:webHidden/>
          </w:rPr>
          <w:fldChar w:fldCharType="separate"/>
        </w:r>
        <w:r>
          <w:rPr>
            <w:noProof/>
            <w:webHidden/>
          </w:rPr>
          <w:t>9</w:t>
        </w:r>
        <w:r>
          <w:rPr>
            <w:noProof/>
            <w:webHidden/>
          </w:rPr>
          <w:fldChar w:fldCharType="end"/>
        </w:r>
      </w:hyperlink>
    </w:p>
    <w:p w14:paraId="669BA2CE" w14:textId="77777777" w:rsidR="00C010D6" w:rsidRDefault="00C010D6">
      <w:pPr>
        <w:pStyle w:val="TOC2"/>
        <w:rPr>
          <w:rFonts w:asciiTheme="minorHAnsi" w:eastAsiaTheme="minorEastAsia" w:hAnsiTheme="minorHAnsi" w:cstheme="minorBidi"/>
          <w:noProof/>
          <w:szCs w:val="22"/>
          <w:lang w:eastAsia="en-NZ"/>
        </w:rPr>
      </w:pPr>
      <w:hyperlink w:anchor="_Toc530661004" w:history="1">
        <w:r w:rsidRPr="00E1156E">
          <w:rPr>
            <w:rStyle w:val="Hyperlink"/>
            <w:noProof/>
          </w:rPr>
          <w:t>Screening colonoscopy</w:t>
        </w:r>
        <w:r>
          <w:rPr>
            <w:noProof/>
            <w:webHidden/>
          </w:rPr>
          <w:tab/>
        </w:r>
        <w:r>
          <w:rPr>
            <w:noProof/>
            <w:webHidden/>
          </w:rPr>
          <w:fldChar w:fldCharType="begin"/>
        </w:r>
        <w:r>
          <w:rPr>
            <w:noProof/>
            <w:webHidden/>
          </w:rPr>
          <w:instrText xml:space="preserve"> PAGEREF _Toc530661004 \h </w:instrText>
        </w:r>
        <w:r>
          <w:rPr>
            <w:noProof/>
            <w:webHidden/>
          </w:rPr>
        </w:r>
        <w:r>
          <w:rPr>
            <w:noProof/>
            <w:webHidden/>
          </w:rPr>
          <w:fldChar w:fldCharType="separate"/>
        </w:r>
        <w:r>
          <w:rPr>
            <w:noProof/>
            <w:webHidden/>
          </w:rPr>
          <w:t>9</w:t>
        </w:r>
        <w:r>
          <w:rPr>
            <w:noProof/>
            <w:webHidden/>
          </w:rPr>
          <w:fldChar w:fldCharType="end"/>
        </w:r>
      </w:hyperlink>
    </w:p>
    <w:p w14:paraId="7BC1ADB9" w14:textId="77777777" w:rsidR="00C010D6" w:rsidRDefault="00C010D6">
      <w:pPr>
        <w:pStyle w:val="TOC2"/>
        <w:rPr>
          <w:rFonts w:asciiTheme="minorHAnsi" w:eastAsiaTheme="minorEastAsia" w:hAnsiTheme="minorHAnsi" w:cstheme="minorBidi"/>
          <w:noProof/>
          <w:szCs w:val="22"/>
          <w:lang w:eastAsia="en-NZ"/>
        </w:rPr>
      </w:pPr>
      <w:hyperlink w:anchor="_Toc530661005" w:history="1">
        <w:r w:rsidRPr="00E1156E">
          <w:rPr>
            <w:rStyle w:val="Hyperlink"/>
            <w:noProof/>
          </w:rPr>
          <w:t>Surveillance colonoscopy</w:t>
        </w:r>
        <w:r>
          <w:rPr>
            <w:noProof/>
            <w:webHidden/>
          </w:rPr>
          <w:tab/>
        </w:r>
        <w:r>
          <w:rPr>
            <w:noProof/>
            <w:webHidden/>
          </w:rPr>
          <w:fldChar w:fldCharType="begin"/>
        </w:r>
        <w:r>
          <w:rPr>
            <w:noProof/>
            <w:webHidden/>
          </w:rPr>
          <w:instrText xml:space="preserve"> PAGEREF _Toc530661005 \h </w:instrText>
        </w:r>
        <w:r>
          <w:rPr>
            <w:noProof/>
            <w:webHidden/>
          </w:rPr>
        </w:r>
        <w:r>
          <w:rPr>
            <w:noProof/>
            <w:webHidden/>
          </w:rPr>
          <w:fldChar w:fldCharType="separate"/>
        </w:r>
        <w:r>
          <w:rPr>
            <w:noProof/>
            <w:webHidden/>
          </w:rPr>
          <w:t>9</w:t>
        </w:r>
        <w:r>
          <w:rPr>
            <w:noProof/>
            <w:webHidden/>
          </w:rPr>
          <w:fldChar w:fldCharType="end"/>
        </w:r>
      </w:hyperlink>
    </w:p>
    <w:p w14:paraId="503279D5" w14:textId="77777777" w:rsidR="00C010D6" w:rsidRDefault="00C010D6">
      <w:pPr>
        <w:pStyle w:val="TOC2"/>
        <w:tabs>
          <w:tab w:val="left" w:pos="1276"/>
        </w:tabs>
        <w:rPr>
          <w:rFonts w:asciiTheme="minorHAnsi" w:eastAsiaTheme="minorEastAsia" w:hAnsiTheme="minorHAnsi" w:cstheme="minorBidi"/>
          <w:noProof/>
          <w:szCs w:val="22"/>
          <w:lang w:eastAsia="en-NZ"/>
        </w:rPr>
      </w:pPr>
      <w:hyperlink w:anchor="_Toc530661006" w:history="1">
        <w:r w:rsidRPr="00E1156E">
          <w:rPr>
            <w:rStyle w:val="Hyperlink"/>
            <w:noProof/>
          </w:rPr>
          <w:t>G1</w:t>
        </w:r>
        <w:r>
          <w:rPr>
            <w:rFonts w:asciiTheme="minorHAnsi" w:eastAsiaTheme="minorEastAsia" w:hAnsiTheme="minorHAnsi" w:cstheme="minorBidi"/>
            <w:noProof/>
            <w:szCs w:val="22"/>
            <w:lang w:eastAsia="en-NZ"/>
          </w:rPr>
          <w:tab/>
        </w:r>
        <w:r w:rsidRPr="00E1156E">
          <w:rPr>
            <w:rStyle w:val="Hyperlink"/>
            <w:noProof/>
          </w:rPr>
          <w:t>Recommendations – equity and screening for priority groups</w:t>
        </w:r>
        <w:r>
          <w:rPr>
            <w:noProof/>
            <w:webHidden/>
          </w:rPr>
          <w:tab/>
        </w:r>
        <w:r>
          <w:rPr>
            <w:noProof/>
            <w:webHidden/>
          </w:rPr>
          <w:fldChar w:fldCharType="begin"/>
        </w:r>
        <w:r>
          <w:rPr>
            <w:noProof/>
            <w:webHidden/>
          </w:rPr>
          <w:instrText xml:space="preserve"> PAGEREF _Toc530661006 \h </w:instrText>
        </w:r>
        <w:r>
          <w:rPr>
            <w:noProof/>
            <w:webHidden/>
          </w:rPr>
        </w:r>
        <w:r>
          <w:rPr>
            <w:noProof/>
            <w:webHidden/>
          </w:rPr>
          <w:fldChar w:fldCharType="separate"/>
        </w:r>
        <w:r>
          <w:rPr>
            <w:noProof/>
            <w:webHidden/>
          </w:rPr>
          <w:t>10</w:t>
        </w:r>
        <w:r>
          <w:rPr>
            <w:noProof/>
            <w:webHidden/>
          </w:rPr>
          <w:fldChar w:fldCharType="end"/>
        </w:r>
      </w:hyperlink>
    </w:p>
    <w:p w14:paraId="3B78C250" w14:textId="77777777" w:rsidR="00C010D6" w:rsidRDefault="00C010D6">
      <w:pPr>
        <w:pStyle w:val="TOC2"/>
        <w:tabs>
          <w:tab w:val="left" w:pos="1276"/>
        </w:tabs>
        <w:rPr>
          <w:rFonts w:asciiTheme="minorHAnsi" w:eastAsiaTheme="minorEastAsia" w:hAnsiTheme="minorHAnsi" w:cstheme="minorBidi"/>
          <w:noProof/>
          <w:szCs w:val="22"/>
          <w:lang w:eastAsia="en-NZ"/>
        </w:rPr>
      </w:pPr>
      <w:hyperlink w:anchor="_Toc530661007" w:history="1">
        <w:r w:rsidRPr="00E1156E">
          <w:rPr>
            <w:rStyle w:val="Hyperlink"/>
            <w:noProof/>
          </w:rPr>
          <w:t>G2</w:t>
        </w:r>
        <w:r>
          <w:rPr>
            <w:rFonts w:asciiTheme="minorHAnsi" w:eastAsiaTheme="minorEastAsia" w:hAnsiTheme="minorHAnsi" w:cstheme="minorBidi"/>
            <w:noProof/>
            <w:szCs w:val="22"/>
            <w:lang w:eastAsia="en-NZ"/>
          </w:rPr>
          <w:tab/>
        </w:r>
        <w:r w:rsidRPr="00E1156E">
          <w:rPr>
            <w:rStyle w:val="Hyperlink"/>
            <w:noProof/>
          </w:rPr>
          <w:t>Recommendations – primary screening</w:t>
        </w:r>
        <w:r>
          <w:rPr>
            <w:noProof/>
            <w:webHidden/>
          </w:rPr>
          <w:tab/>
        </w:r>
        <w:r>
          <w:rPr>
            <w:noProof/>
            <w:webHidden/>
          </w:rPr>
          <w:fldChar w:fldCharType="begin"/>
        </w:r>
        <w:r>
          <w:rPr>
            <w:noProof/>
            <w:webHidden/>
          </w:rPr>
          <w:instrText xml:space="preserve"> PAGEREF _Toc530661007 \h </w:instrText>
        </w:r>
        <w:r>
          <w:rPr>
            <w:noProof/>
            <w:webHidden/>
          </w:rPr>
        </w:r>
        <w:r>
          <w:rPr>
            <w:noProof/>
            <w:webHidden/>
          </w:rPr>
          <w:fldChar w:fldCharType="separate"/>
        </w:r>
        <w:r>
          <w:rPr>
            <w:noProof/>
            <w:webHidden/>
          </w:rPr>
          <w:t>11</w:t>
        </w:r>
        <w:r>
          <w:rPr>
            <w:noProof/>
            <w:webHidden/>
          </w:rPr>
          <w:fldChar w:fldCharType="end"/>
        </w:r>
      </w:hyperlink>
    </w:p>
    <w:p w14:paraId="22C33A0D" w14:textId="77777777" w:rsidR="00C010D6" w:rsidRDefault="00C010D6">
      <w:pPr>
        <w:pStyle w:val="TOC2"/>
        <w:tabs>
          <w:tab w:val="left" w:pos="1276"/>
        </w:tabs>
        <w:rPr>
          <w:rFonts w:asciiTheme="minorHAnsi" w:eastAsiaTheme="minorEastAsia" w:hAnsiTheme="minorHAnsi" w:cstheme="minorBidi"/>
          <w:noProof/>
          <w:szCs w:val="22"/>
          <w:lang w:eastAsia="en-NZ"/>
        </w:rPr>
      </w:pPr>
      <w:hyperlink w:anchor="_Toc530661008" w:history="1">
        <w:r w:rsidRPr="00E1156E">
          <w:rPr>
            <w:rStyle w:val="Hyperlink"/>
            <w:noProof/>
          </w:rPr>
          <w:t>G3</w:t>
        </w:r>
        <w:r>
          <w:rPr>
            <w:rFonts w:asciiTheme="minorHAnsi" w:eastAsiaTheme="minorEastAsia" w:hAnsiTheme="minorHAnsi" w:cstheme="minorBidi"/>
            <w:noProof/>
            <w:szCs w:val="22"/>
            <w:lang w:eastAsia="en-NZ"/>
          </w:rPr>
          <w:tab/>
        </w:r>
        <w:r w:rsidRPr="00E1156E">
          <w:rPr>
            <w:rStyle w:val="Hyperlink"/>
            <w:noProof/>
          </w:rPr>
          <w:t>National coordination centre</w:t>
        </w:r>
        <w:r>
          <w:rPr>
            <w:noProof/>
            <w:webHidden/>
          </w:rPr>
          <w:tab/>
        </w:r>
        <w:r>
          <w:rPr>
            <w:noProof/>
            <w:webHidden/>
          </w:rPr>
          <w:fldChar w:fldCharType="begin"/>
        </w:r>
        <w:r>
          <w:rPr>
            <w:noProof/>
            <w:webHidden/>
          </w:rPr>
          <w:instrText xml:space="preserve"> PAGEREF _Toc530661008 \h </w:instrText>
        </w:r>
        <w:r>
          <w:rPr>
            <w:noProof/>
            <w:webHidden/>
          </w:rPr>
        </w:r>
        <w:r>
          <w:rPr>
            <w:noProof/>
            <w:webHidden/>
          </w:rPr>
          <w:fldChar w:fldCharType="separate"/>
        </w:r>
        <w:r>
          <w:rPr>
            <w:noProof/>
            <w:webHidden/>
          </w:rPr>
          <w:t>13</w:t>
        </w:r>
        <w:r>
          <w:rPr>
            <w:noProof/>
            <w:webHidden/>
          </w:rPr>
          <w:fldChar w:fldCharType="end"/>
        </w:r>
      </w:hyperlink>
    </w:p>
    <w:p w14:paraId="3696C709" w14:textId="77777777" w:rsidR="00C010D6" w:rsidRDefault="00C010D6">
      <w:pPr>
        <w:pStyle w:val="TOC2"/>
        <w:tabs>
          <w:tab w:val="left" w:pos="1276"/>
        </w:tabs>
        <w:rPr>
          <w:rFonts w:asciiTheme="minorHAnsi" w:eastAsiaTheme="minorEastAsia" w:hAnsiTheme="minorHAnsi" w:cstheme="minorBidi"/>
          <w:noProof/>
          <w:szCs w:val="22"/>
          <w:lang w:eastAsia="en-NZ"/>
        </w:rPr>
      </w:pPr>
      <w:hyperlink w:anchor="_Toc530661009" w:history="1">
        <w:r w:rsidRPr="00E1156E">
          <w:rPr>
            <w:rStyle w:val="Hyperlink"/>
            <w:noProof/>
          </w:rPr>
          <w:t>G4</w:t>
        </w:r>
        <w:r>
          <w:rPr>
            <w:rFonts w:asciiTheme="minorHAnsi" w:eastAsiaTheme="minorEastAsia" w:hAnsiTheme="minorHAnsi" w:cstheme="minorBidi"/>
            <w:noProof/>
            <w:szCs w:val="22"/>
            <w:lang w:eastAsia="en-NZ"/>
          </w:rPr>
          <w:tab/>
        </w:r>
        <w:r w:rsidRPr="00E1156E">
          <w:rPr>
            <w:rStyle w:val="Hyperlink"/>
            <w:noProof/>
          </w:rPr>
          <w:t>Recommendations – information to participants</w:t>
        </w:r>
        <w:r>
          <w:rPr>
            <w:noProof/>
            <w:webHidden/>
          </w:rPr>
          <w:tab/>
        </w:r>
        <w:r>
          <w:rPr>
            <w:noProof/>
            <w:webHidden/>
          </w:rPr>
          <w:fldChar w:fldCharType="begin"/>
        </w:r>
        <w:r>
          <w:rPr>
            <w:noProof/>
            <w:webHidden/>
          </w:rPr>
          <w:instrText xml:space="preserve"> PAGEREF _Toc530661009 \h </w:instrText>
        </w:r>
        <w:r>
          <w:rPr>
            <w:noProof/>
            <w:webHidden/>
          </w:rPr>
        </w:r>
        <w:r>
          <w:rPr>
            <w:noProof/>
            <w:webHidden/>
          </w:rPr>
          <w:fldChar w:fldCharType="separate"/>
        </w:r>
        <w:r>
          <w:rPr>
            <w:noProof/>
            <w:webHidden/>
          </w:rPr>
          <w:t>14</w:t>
        </w:r>
        <w:r>
          <w:rPr>
            <w:noProof/>
            <w:webHidden/>
          </w:rPr>
          <w:fldChar w:fldCharType="end"/>
        </w:r>
      </w:hyperlink>
    </w:p>
    <w:p w14:paraId="515E7498" w14:textId="77777777" w:rsidR="00C010D6" w:rsidRDefault="00C010D6">
      <w:pPr>
        <w:pStyle w:val="TOC2"/>
        <w:tabs>
          <w:tab w:val="left" w:pos="1276"/>
        </w:tabs>
        <w:rPr>
          <w:rFonts w:asciiTheme="minorHAnsi" w:eastAsiaTheme="minorEastAsia" w:hAnsiTheme="minorHAnsi" w:cstheme="minorBidi"/>
          <w:noProof/>
          <w:szCs w:val="22"/>
          <w:lang w:eastAsia="en-NZ"/>
        </w:rPr>
      </w:pPr>
      <w:hyperlink w:anchor="_Toc530661010" w:history="1">
        <w:r w:rsidRPr="00E1156E">
          <w:rPr>
            <w:rStyle w:val="Hyperlink"/>
            <w:noProof/>
          </w:rPr>
          <w:t>G5</w:t>
        </w:r>
        <w:r>
          <w:rPr>
            <w:rFonts w:asciiTheme="minorHAnsi" w:eastAsiaTheme="minorEastAsia" w:hAnsiTheme="minorHAnsi" w:cstheme="minorBidi"/>
            <w:noProof/>
            <w:szCs w:val="22"/>
            <w:lang w:eastAsia="en-NZ"/>
          </w:rPr>
          <w:tab/>
        </w:r>
        <w:r w:rsidRPr="00E1156E">
          <w:rPr>
            <w:rStyle w:val="Hyperlink"/>
            <w:noProof/>
          </w:rPr>
          <w:t>Recommendations – the FIT laboratory</w:t>
        </w:r>
        <w:r>
          <w:rPr>
            <w:noProof/>
            <w:webHidden/>
          </w:rPr>
          <w:tab/>
        </w:r>
        <w:r>
          <w:rPr>
            <w:noProof/>
            <w:webHidden/>
          </w:rPr>
          <w:fldChar w:fldCharType="begin"/>
        </w:r>
        <w:r>
          <w:rPr>
            <w:noProof/>
            <w:webHidden/>
          </w:rPr>
          <w:instrText xml:space="preserve"> PAGEREF _Toc530661010 \h </w:instrText>
        </w:r>
        <w:r>
          <w:rPr>
            <w:noProof/>
            <w:webHidden/>
          </w:rPr>
        </w:r>
        <w:r>
          <w:rPr>
            <w:noProof/>
            <w:webHidden/>
          </w:rPr>
          <w:fldChar w:fldCharType="separate"/>
        </w:r>
        <w:r>
          <w:rPr>
            <w:noProof/>
            <w:webHidden/>
          </w:rPr>
          <w:t>15</w:t>
        </w:r>
        <w:r>
          <w:rPr>
            <w:noProof/>
            <w:webHidden/>
          </w:rPr>
          <w:fldChar w:fldCharType="end"/>
        </w:r>
      </w:hyperlink>
    </w:p>
    <w:p w14:paraId="2FABBA45" w14:textId="77777777" w:rsidR="00C010D6" w:rsidRDefault="00C010D6">
      <w:pPr>
        <w:pStyle w:val="TOC2"/>
        <w:tabs>
          <w:tab w:val="left" w:pos="1276"/>
        </w:tabs>
        <w:rPr>
          <w:rFonts w:asciiTheme="minorHAnsi" w:eastAsiaTheme="minorEastAsia" w:hAnsiTheme="minorHAnsi" w:cstheme="minorBidi"/>
          <w:noProof/>
          <w:szCs w:val="22"/>
          <w:lang w:eastAsia="en-NZ"/>
        </w:rPr>
      </w:pPr>
      <w:hyperlink w:anchor="_Toc530661011" w:history="1">
        <w:r w:rsidRPr="00E1156E">
          <w:rPr>
            <w:rStyle w:val="Hyperlink"/>
            <w:noProof/>
          </w:rPr>
          <w:t>G6</w:t>
        </w:r>
        <w:r>
          <w:rPr>
            <w:rFonts w:asciiTheme="minorHAnsi" w:eastAsiaTheme="minorEastAsia" w:hAnsiTheme="minorHAnsi" w:cstheme="minorBidi"/>
            <w:noProof/>
            <w:szCs w:val="22"/>
            <w:lang w:eastAsia="en-NZ"/>
          </w:rPr>
          <w:tab/>
        </w:r>
        <w:r w:rsidRPr="00E1156E">
          <w:rPr>
            <w:rStyle w:val="Hyperlink"/>
            <w:noProof/>
          </w:rPr>
          <w:t>Recommendations – managing FIT results</w:t>
        </w:r>
        <w:r>
          <w:rPr>
            <w:noProof/>
            <w:webHidden/>
          </w:rPr>
          <w:tab/>
        </w:r>
        <w:r>
          <w:rPr>
            <w:noProof/>
            <w:webHidden/>
          </w:rPr>
          <w:fldChar w:fldCharType="begin"/>
        </w:r>
        <w:r>
          <w:rPr>
            <w:noProof/>
            <w:webHidden/>
          </w:rPr>
          <w:instrText xml:space="preserve"> PAGEREF _Toc530661011 \h </w:instrText>
        </w:r>
        <w:r>
          <w:rPr>
            <w:noProof/>
            <w:webHidden/>
          </w:rPr>
        </w:r>
        <w:r>
          <w:rPr>
            <w:noProof/>
            <w:webHidden/>
          </w:rPr>
          <w:fldChar w:fldCharType="separate"/>
        </w:r>
        <w:r>
          <w:rPr>
            <w:noProof/>
            <w:webHidden/>
          </w:rPr>
          <w:t>17</w:t>
        </w:r>
        <w:r>
          <w:rPr>
            <w:noProof/>
            <w:webHidden/>
          </w:rPr>
          <w:fldChar w:fldCharType="end"/>
        </w:r>
      </w:hyperlink>
    </w:p>
    <w:p w14:paraId="6A15B4BE" w14:textId="77777777" w:rsidR="00C010D6" w:rsidRDefault="00C010D6">
      <w:pPr>
        <w:pStyle w:val="TOC2"/>
        <w:tabs>
          <w:tab w:val="left" w:pos="1276"/>
        </w:tabs>
        <w:rPr>
          <w:rFonts w:asciiTheme="minorHAnsi" w:eastAsiaTheme="minorEastAsia" w:hAnsiTheme="minorHAnsi" w:cstheme="minorBidi"/>
          <w:noProof/>
          <w:szCs w:val="22"/>
          <w:lang w:eastAsia="en-NZ"/>
        </w:rPr>
      </w:pPr>
      <w:hyperlink w:anchor="_Toc530661012" w:history="1">
        <w:r w:rsidRPr="00E1156E">
          <w:rPr>
            <w:rStyle w:val="Hyperlink"/>
            <w:noProof/>
          </w:rPr>
          <w:t>G7</w:t>
        </w:r>
        <w:r>
          <w:rPr>
            <w:rFonts w:asciiTheme="minorHAnsi" w:eastAsiaTheme="minorEastAsia" w:hAnsiTheme="minorHAnsi" w:cstheme="minorBidi"/>
            <w:noProof/>
            <w:szCs w:val="22"/>
            <w:lang w:eastAsia="en-NZ"/>
          </w:rPr>
          <w:tab/>
        </w:r>
        <w:r w:rsidRPr="00E1156E">
          <w:rPr>
            <w:rStyle w:val="Hyperlink"/>
            <w:noProof/>
          </w:rPr>
          <w:t>Primary care and general practice</w:t>
        </w:r>
        <w:r>
          <w:rPr>
            <w:noProof/>
            <w:webHidden/>
          </w:rPr>
          <w:tab/>
        </w:r>
        <w:r>
          <w:rPr>
            <w:noProof/>
            <w:webHidden/>
          </w:rPr>
          <w:fldChar w:fldCharType="begin"/>
        </w:r>
        <w:r>
          <w:rPr>
            <w:noProof/>
            <w:webHidden/>
          </w:rPr>
          <w:instrText xml:space="preserve"> PAGEREF _Toc530661012 \h </w:instrText>
        </w:r>
        <w:r>
          <w:rPr>
            <w:noProof/>
            <w:webHidden/>
          </w:rPr>
        </w:r>
        <w:r>
          <w:rPr>
            <w:noProof/>
            <w:webHidden/>
          </w:rPr>
          <w:fldChar w:fldCharType="separate"/>
        </w:r>
        <w:r>
          <w:rPr>
            <w:noProof/>
            <w:webHidden/>
          </w:rPr>
          <w:t>18</w:t>
        </w:r>
        <w:r>
          <w:rPr>
            <w:noProof/>
            <w:webHidden/>
          </w:rPr>
          <w:fldChar w:fldCharType="end"/>
        </w:r>
      </w:hyperlink>
    </w:p>
    <w:p w14:paraId="5DC3C865" w14:textId="77777777" w:rsidR="00C010D6" w:rsidRDefault="00C010D6">
      <w:pPr>
        <w:pStyle w:val="TOC2"/>
        <w:tabs>
          <w:tab w:val="left" w:pos="1276"/>
        </w:tabs>
        <w:rPr>
          <w:rFonts w:asciiTheme="minorHAnsi" w:eastAsiaTheme="minorEastAsia" w:hAnsiTheme="minorHAnsi" w:cstheme="minorBidi"/>
          <w:noProof/>
          <w:szCs w:val="22"/>
          <w:lang w:eastAsia="en-NZ"/>
        </w:rPr>
      </w:pPr>
      <w:hyperlink w:anchor="_Toc530661013" w:history="1">
        <w:r w:rsidRPr="00E1156E">
          <w:rPr>
            <w:rStyle w:val="Hyperlink"/>
            <w:noProof/>
          </w:rPr>
          <w:t>G8</w:t>
        </w:r>
        <w:r>
          <w:rPr>
            <w:rFonts w:asciiTheme="minorHAnsi" w:eastAsiaTheme="minorEastAsia" w:hAnsiTheme="minorHAnsi" w:cstheme="minorBidi"/>
            <w:noProof/>
            <w:szCs w:val="22"/>
            <w:lang w:eastAsia="en-NZ"/>
          </w:rPr>
          <w:tab/>
        </w:r>
        <w:r w:rsidRPr="00E1156E">
          <w:rPr>
            <w:rStyle w:val="Hyperlink"/>
            <w:noProof/>
          </w:rPr>
          <w:t>Bowel screening colonoscopy</w:t>
        </w:r>
        <w:r>
          <w:rPr>
            <w:noProof/>
            <w:webHidden/>
          </w:rPr>
          <w:tab/>
        </w:r>
        <w:r>
          <w:rPr>
            <w:noProof/>
            <w:webHidden/>
          </w:rPr>
          <w:fldChar w:fldCharType="begin"/>
        </w:r>
        <w:r>
          <w:rPr>
            <w:noProof/>
            <w:webHidden/>
          </w:rPr>
          <w:instrText xml:space="preserve"> PAGEREF _Toc530661013 \h </w:instrText>
        </w:r>
        <w:r>
          <w:rPr>
            <w:noProof/>
            <w:webHidden/>
          </w:rPr>
        </w:r>
        <w:r>
          <w:rPr>
            <w:noProof/>
            <w:webHidden/>
          </w:rPr>
          <w:fldChar w:fldCharType="separate"/>
        </w:r>
        <w:r>
          <w:rPr>
            <w:noProof/>
            <w:webHidden/>
          </w:rPr>
          <w:t>20</w:t>
        </w:r>
        <w:r>
          <w:rPr>
            <w:noProof/>
            <w:webHidden/>
          </w:rPr>
          <w:fldChar w:fldCharType="end"/>
        </w:r>
      </w:hyperlink>
    </w:p>
    <w:p w14:paraId="3AEBAFB2" w14:textId="77777777" w:rsidR="00C010D6" w:rsidRDefault="00C010D6">
      <w:pPr>
        <w:pStyle w:val="TOC2"/>
        <w:tabs>
          <w:tab w:val="left" w:pos="1276"/>
        </w:tabs>
        <w:rPr>
          <w:rFonts w:asciiTheme="minorHAnsi" w:eastAsiaTheme="minorEastAsia" w:hAnsiTheme="minorHAnsi" w:cstheme="minorBidi"/>
          <w:noProof/>
          <w:szCs w:val="22"/>
          <w:lang w:eastAsia="en-NZ"/>
        </w:rPr>
      </w:pPr>
      <w:hyperlink w:anchor="_Toc530661014" w:history="1">
        <w:r w:rsidRPr="00E1156E">
          <w:rPr>
            <w:rStyle w:val="Hyperlink"/>
            <w:noProof/>
          </w:rPr>
          <w:t>G9</w:t>
        </w:r>
        <w:r>
          <w:rPr>
            <w:rFonts w:asciiTheme="minorHAnsi" w:eastAsiaTheme="minorEastAsia" w:hAnsiTheme="minorHAnsi" w:cstheme="minorBidi"/>
            <w:noProof/>
            <w:szCs w:val="22"/>
            <w:lang w:eastAsia="en-NZ"/>
          </w:rPr>
          <w:tab/>
        </w:r>
        <w:r w:rsidRPr="00E1156E">
          <w:rPr>
            <w:rStyle w:val="Hyperlink"/>
            <w:noProof/>
          </w:rPr>
          <w:t>Recommendations – histopathology</w:t>
        </w:r>
        <w:r>
          <w:rPr>
            <w:noProof/>
            <w:webHidden/>
          </w:rPr>
          <w:tab/>
        </w:r>
        <w:r>
          <w:rPr>
            <w:noProof/>
            <w:webHidden/>
          </w:rPr>
          <w:fldChar w:fldCharType="begin"/>
        </w:r>
        <w:r>
          <w:rPr>
            <w:noProof/>
            <w:webHidden/>
          </w:rPr>
          <w:instrText xml:space="preserve"> PAGEREF _Toc530661014 \h </w:instrText>
        </w:r>
        <w:r>
          <w:rPr>
            <w:noProof/>
            <w:webHidden/>
          </w:rPr>
        </w:r>
        <w:r>
          <w:rPr>
            <w:noProof/>
            <w:webHidden/>
          </w:rPr>
          <w:fldChar w:fldCharType="separate"/>
        </w:r>
        <w:r>
          <w:rPr>
            <w:noProof/>
            <w:webHidden/>
          </w:rPr>
          <w:t>35</w:t>
        </w:r>
        <w:r>
          <w:rPr>
            <w:noProof/>
            <w:webHidden/>
          </w:rPr>
          <w:fldChar w:fldCharType="end"/>
        </w:r>
      </w:hyperlink>
    </w:p>
    <w:p w14:paraId="7EC013CE" w14:textId="77777777" w:rsidR="00C010D6" w:rsidRDefault="00C010D6">
      <w:pPr>
        <w:pStyle w:val="TOC1"/>
        <w:rPr>
          <w:rFonts w:asciiTheme="minorHAnsi" w:eastAsiaTheme="minorEastAsia" w:hAnsiTheme="minorHAnsi" w:cstheme="minorBidi"/>
          <w:b w:val="0"/>
          <w:noProof/>
          <w:szCs w:val="22"/>
          <w:lang w:eastAsia="en-NZ"/>
        </w:rPr>
      </w:pPr>
      <w:hyperlink w:anchor="_Toc530661015" w:history="1">
        <w:r w:rsidRPr="00E1156E">
          <w:rPr>
            <w:rStyle w:val="Hyperlink"/>
            <w:noProof/>
          </w:rPr>
          <w:t>References</w:t>
        </w:r>
        <w:r>
          <w:rPr>
            <w:noProof/>
            <w:webHidden/>
          </w:rPr>
          <w:tab/>
        </w:r>
        <w:r>
          <w:rPr>
            <w:noProof/>
            <w:webHidden/>
          </w:rPr>
          <w:fldChar w:fldCharType="begin"/>
        </w:r>
        <w:r>
          <w:rPr>
            <w:noProof/>
            <w:webHidden/>
          </w:rPr>
          <w:instrText xml:space="preserve"> PAGEREF _Toc530661015 \h </w:instrText>
        </w:r>
        <w:r>
          <w:rPr>
            <w:noProof/>
            <w:webHidden/>
          </w:rPr>
        </w:r>
        <w:r>
          <w:rPr>
            <w:noProof/>
            <w:webHidden/>
          </w:rPr>
          <w:fldChar w:fldCharType="separate"/>
        </w:r>
        <w:r>
          <w:rPr>
            <w:noProof/>
            <w:webHidden/>
          </w:rPr>
          <w:t>38</w:t>
        </w:r>
        <w:r>
          <w:rPr>
            <w:noProof/>
            <w:webHidden/>
          </w:rPr>
          <w:fldChar w:fldCharType="end"/>
        </w:r>
      </w:hyperlink>
    </w:p>
    <w:p w14:paraId="29C4C55E" w14:textId="77777777" w:rsidR="00C010D6" w:rsidRDefault="00C010D6">
      <w:pPr>
        <w:pStyle w:val="TOC1"/>
        <w:rPr>
          <w:rFonts w:asciiTheme="minorHAnsi" w:eastAsiaTheme="minorEastAsia" w:hAnsiTheme="minorHAnsi" w:cstheme="minorBidi"/>
          <w:b w:val="0"/>
          <w:noProof/>
          <w:szCs w:val="22"/>
          <w:lang w:eastAsia="en-NZ"/>
        </w:rPr>
      </w:pPr>
      <w:hyperlink w:anchor="_Toc530661016" w:history="1">
        <w:r w:rsidRPr="00E1156E">
          <w:rPr>
            <w:rStyle w:val="Hyperlink"/>
            <w:noProof/>
          </w:rPr>
          <w:t>Information sources, organisations and groups</w:t>
        </w:r>
        <w:r>
          <w:rPr>
            <w:noProof/>
            <w:webHidden/>
          </w:rPr>
          <w:tab/>
        </w:r>
        <w:r>
          <w:rPr>
            <w:noProof/>
            <w:webHidden/>
          </w:rPr>
          <w:fldChar w:fldCharType="begin"/>
        </w:r>
        <w:r>
          <w:rPr>
            <w:noProof/>
            <w:webHidden/>
          </w:rPr>
          <w:instrText xml:space="preserve"> PAGEREF _Toc530661016 \h </w:instrText>
        </w:r>
        <w:r>
          <w:rPr>
            <w:noProof/>
            <w:webHidden/>
          </w:rPr>
        </w:r>
        <w:r>
          <w:rPr>
            <w:noProof/>
            <w:webHidden/>
          </w:rPr>
          <w:fldChar w:fldCharType="separate"/>
        </w:r>
        <w:r>
          <w:rPr>
            <w:noProof/>
            <w:webHidden/>
          </w:rPr>
          <w:t>40</w:t>
        </w:r>
        <w:r>
          <w:rPr>
            <w:noProof/>
            <w:webHidden/>
          </w:rPr>
          <w:fldChar w:fldCharType="end"/>
        </w:r>
      </w:hyperlink>
    </w:p>
    <w:p w14:paraId="7CD4609D" w14:textId="77777777" w:rsidR="00C010D6" w:rsidRDefault="00C010D6">
      <w:pPr>
        <w:pStyle w:val="TOC1"/>
        <w:rPr>
          <w:rFonts w:asciiTheme="minorHAnsi" w:eastAsiaTheme="minorEastAsia" w:hAnsiTheme="minorHAnsi" w:cstheme="minorBidi"/>
          <w:b w:val="0"/>
          <w:noProof/>
          <w:szCs w:val="22"/>
          <w:lang w:eastAsia="en-NZ"/>
        </w:rPr>
      </w:pPr>
      <w:hyperlink w:anchor="_Toc530661017" w:history="1">
        <w:r w:rsidRPr="00E1156E">
          <w:rPr>
            <w:rStyle w:val="Hyperlink"/>
            <w:noProof/>
          </w:rPr>
          <w:t>Grading of evidence</w:t>
        </w:r>
        <w:r>
          <w:rPr>
            <w:noProof/>
            <w:webHidden/>
          </w:rPr>
          <w:tab/>
        </w:r>
        <w:r>
          <w:rPr>
            <w:noProof/>
            <w:webHidden/>
          </w:rPr>
          <w:fldChar w:fldCharType="begin"/>
        </w:r>
        <w:r>
          <w:rPr>
            <w:noProof/>
            <w:webHidden/>
          </w:rPr>
          <w:instrText xml:space="preserve"> PAGEREF _Toc530661017 \h </w:instrText>
        </w:r>
        <w:r>
          <w:rPr>
            <w:noProof/>
            <w:webHidden/>
          </w:rPr>
        </w:r>
        <w:r>
          <w:rPr>
            <w:noProof/>
            <w:webHidden/>
          </w:rPr>
          <w:fldChar w:fldCharType="separate"/>
        </w:r>
        <w:r>
          <w:rPr>
            <w:noProof/>
            <w:webHidden/>
          </w:rPr>
          <w:t>43</w:t>
        </w:r>
        <w:r>
          <w:rPr>
            <w:noProof/>
            <w:webHidden/>
          </w:rPr>
          <w:fldChar w:fldCharType="end"/>
        </w:r>
      </w:hyperlink>
    </w:p>
    <w:p w14:paraId="7A8B7373" w14:textId="77777777" w:rsidR="00C010D6" w:rsidRDefault="00C010D6">
      <w:pPr>
        <w:pStyle w:val="TOC2"/>
        <w:rPr>
          <w:rFonts w:asciiTheme="minorHAnsi" w:eastAsiaTheme="minorEastAsia" w:hAnsiTheme="minorHAnsi" w:cstheme="minorBidi"/>
          <w:noProof/>
          <w:szCs w:val="22"/>
          <w:lang w:eastAsia="en-NZ"/>
        </w:rPr>
      </w:pPr>
      <w:hyperlink w:anchor="_Toc530661018" w:history="1">
        <w:r w:rsidRPr="00E1156E">
          <w:rPr>
            <w:rStyle w:val="Hyperlink"/>
            <w:noProof/>
          </w:rPr>
          <w:t>Grading – cross comparison table for levels of evidence</w:t>
        </w:r>
        <w:r>
          <w:rPr>
            <w:noProof/>
            <w:webHidden/>
          </w:rPr>
          <w:tab/>
        </w:r>
        <w:r>
          <w:rPr>
            <w:noProof/>
            <w:webHidden/>
          </w:rPr>
          <w:fldChar w:fldCharType="begin"/>
        </w:r>
        <w:r>
          <w:rPr>
            <w:noProof/>
            <w:webHidden/>
          </w:rPr>
          <w:instrText xml:space="preserve"> PAGEREF _Toc530661018 \h </w:instrText>
        </w:r>
        <w:r>
          <w:rPr>
            <w:noProof/>
            <w:webHidden/>
          </w:rPr>
        </w:r>
        <w:r>
          <w:rPr>
            <w:noProof/>
            <w:webHidden/>
          </w:rPr>
          <w:fldChar w:fldCharType="separate"/>
        </w:r>
        <w:r>
          <w:rPr>
            <w:noProof/>
            <w:webHidden/>
          </w:rPr>
          <w:t>43</w:t>
        </w:r>
        <w:r>
          <w:rPr>
            <w:noProof/>
            <w:webHidden/>
          </w:rPr>
          <w:fldChar w:fldCharType="end"/>
        </w:r>
      </w:hyperlink>
    </w:p>
    <w:p w14:paraId="55731774" w14:textId="5368AB81" w:rsidR="00C86248" w:rsidRDefault="00C010D6">
      <w:r>
        <w:fldChar w:fldCharType="end"/>
      </w:r>
    </w:p>
    <w:p w14:paraId="2AAF6834" w14:textId="77777777" w:rsidR="00C86248" w:rsidRDefault="00C86248" w:rsidP="003B1D10">
      <w:pPr>
        <w:pStyle w:val="TOC1"/>
        <w:keepNext/>
      </w:pPr>
      <w:r>
        <w:t>List of Tables</w:t>
      </w:r>
    </w:p>
    <w:p w14:paraId="029F9CD0" w14:textId="77777777" w:rsidR="00AE19B5" w:rsidRDefault="00C86248">
      <w:pPr>
        <w:pStyle w:val="TOC3"/>
        <w:rPr>
          <w:rFonts w:asciiTheme="minorHAnsi" w:eastAsiaTheme="minorEastAsia" w:hAnsiTheme="minorHAnsi" w:cstheme="minorBidi"/>
          <w:noProof/>
          <w:szCs w:val="22"/>
          <w:lang w:eastAsia="en-NZ"/>
        </w:rPr>
      </w:pPr>
      <w:r>
        <w:rPr>
          <w:sz w:val="20"/>
        </w:rPr>
        <w:fldChar w:fldCharType="begin"/>
      </w:r>
      <w:r>
        <w:instrText xml:space="preserve"> TOC \t "Table,3" </w:instrText>
      </w:r>
      <w:r>
        <w:rPr>
          <w:sz w:val="20"/>
        </w:rPr>
        <w:fldChar w:fldCharType="separate"/>
      </w:r>
      <w:r w:rsidR="00AE19B5">
        <w:rPr>
          <w:noProof/>
        </w:rPr>
        <w:t>Table 1: 2013 age-standardised registration and mortality rates (cases per 100,000) by year and ethnicity for colorectal cancer (ICD codes C18–C20)</w:t>
      </w:r>
      <w:r w:rsidR="00AE19B5">
        <w:rPr>
          <w:noProof/>
        </w:rPr>
        <w:tab/>
      </w:r>
      <w:r w:rsidR="00AE19B5">
        <w:rPr>
          <w:noProof/>
        </w:rPr>
        <w:fldChar w:fldCharType="begin"/>
      </w:r>
      <w:r w:rsidR="00AE19B5">
        <w:rPr>
          <w:noProof/>
        </w:rPr>
        <w:instrText xml:space="preserve"> PAGEREF _Toc530566678 \h </w:instrText>
      </w:r>
      <w:r w:rsidR="00AE19B5">
        <w:rPr>
          <w:noProof/>
        </w:rPr>
      </w:r>
      <w:r w:rsidR="00AE19B5">
        <w:rPr>
          <w:noProof/>
        </w:rPr>
        <w:fldChar w:fldCharType="separate"/>
      </w:r>
      <w:r w:rsidR="00AE19B5">
        <w:rPr>
          <w:noProof/>
        </w:rPr>
        <w:t>3</w:t>
      </w:r>
      <w:r w:rsidR="00AE19B5">
        <w:rPr>
          <w:noProof/>
        </w:rPr>
        <w:fldChar w:fldCharType="end"/>
      </w:r>
    </w:p>
    <w:p w14:paraId="18738DCE" w14:textId="77777777" w:rsidR="00C86248" w:rsidRDefault="00C86248" w:rsidP="0030382F">
      <w:r>
        <w:fldChar w:fldCharType="end"/>
      </w:r>
    </w:p>
    <w:p w14:paraId="2413D7E7" w14:textId="77777777" w:rsidR="003A5FEA" w:rsidRDefault="003A5FEA" w:rsidP="00BB09DA">
      <w:pPr>
        <w:pStyle w:val="TOC1"/>
        <w:keepNext/>
      </w:pPr>
      <w:r>
        <w:t>List of Figures</w:t>
      </w:r>
    </w:p>
    <w:p w14:paraId="02F0C598" w14:textId="77777777" w:rsidR="00AE19B5" w:rsidRDefault="003A5FEA">
      <w:pPr>
        <w:pStyle w:val="TOC3"/>
        <w:rPr>
          <w:rFonts w:asciiTheme="minorHAnsi" w:eastAsiaTheme="minorEastAsia" w:hAnsiTheme="minorHAnsi" w:cstheme="minorBidi"/>
          <w:noProof/>
          <w:szCs w:val="22"/>
          <w:lang w:eastAsia="en-NZ"/>
        </w:rPr>
      </w:pPr>
      <w:r>
        <w:fldChar w:fldCharType="begin"/>
      </w:r>
      <w:r>
        <w:instrText xml:space="preserve"> TOC \t "Figure,3" </w:instrText>
      </w:r>
      <w:r>
        <w:fldChar w:fldCharType="separate"/>
      </w:r>
      <w:r w:rsidR="00AE19B5">
        <w:rPr>
          <w:noProof/>
        </w:rPr>
        <w:t>Figure 1: Trends in rates of bowel cancer registrations for Māori and non-Māori by sex, 2004–2013</w:t>
      </w:r>
      <w:r w:rsidR="00AE19B5">
        <w:rPr>
          <w:noProof/>
        </w:rPr>
        <w:tab/>
      </w:r>
      <w:r w:rsidR="00AE19B5">
        <w:rPr>
          <w:noProof/>
        </w:rPr>
        <w:fldChar w:fldCharType="begin"/>
      </w:r>
      <w:r w:rsidR="00AE19B5">
        <w:rPr>
          <w:noProof/>
        </w:rPr>
        <w:instrText xml:space="preserve"> PAGEREF _Toc530566679 \h </w:instrText>
      </w:r>
      <w:r w:rsidR="00AE19B5">
        <w:rPr>
          <w:noProof/>
        </w:rPr>
      </w:r>
      <w:r w:rsidR="00AE19B5">
        <w:rPr>
          <w:noProof/>
        </w:rPr>
        <w:fldChar w:fldCharType="separate"/>
      </w:r>
      <w:r w:rsidR="00AE19B5">
        <w:rPr>
          <w:noProof/>
        </w:rPr>
        <w:t>4</w:t>
      </w:r>
      <w:r w:rsidR="00AE19B5">
        <w:rPr>
          <w:noProof/>
        </w:rPr>
        <w:fldChar w:fldCharType="end"/>
      </w:r>
    </w:p>
    <w:p w14:paraId="69D91189" w14:textId="77777777" w:rsidR="00AE19B5" w:rsidRDefault="00AE19B5">
      <w:pPr>
        <w:pStyle w:val="TOC3"/>
        <w:rPr>
          <w:rFonts w:asciiTheme="minorHAnsi" w:eastAsiaTheme="minorEastAsia" w:hAnsiTheme="minorHAnsi" w:cstheme="minorBidi"/>
          <w:noProof/>
          <w:szCs w:val="22"/>
          <w:lang w:eastAsia="en-NZ"/>
        </w:rPr>
      </w:pPr>
      <w:r>
        <w:rPr>
          <w:noProof/>
        </w:rPr>
        <w:lastRenderedPageBreak/>
        <w:t>Figure 2: Trends in rates of bowel cancer deaths for Māori and non-Māori by sex, 2004–2013</w:t>
      </w:r>
      <w:r>
        <w:rPr>
          <w:noProof/>
        </w:rPr>
        <w:tab/>
      </w:r>
      <w:r>
        <w:rPr>
          <w:noProof/>
        </w:rPr>
        <w:fldChar w:fldCharType="begin"/>
      </w:r>
      <w:r>
        <w:rPr>
          <w:noProof/>
        </w:rPr>
        <w:instrText xml:space="preserve"> PAGEREF _Toc530566680 \h </w:instrText>
      </w:r>
      <w:r>
        <w:rPr>
          <w:noProof/>
        </w:rPr>
      </w:r>
      <w:r>
        <w:rPr>
          <w:noProof/>
        </w:rPr>
        <w:fldChar w:fldCharType="separate"/>
      </w:r>
      <w:r>
        <w:rPr>
          <w:noProof/>
        </w:rPr>
        <w:t>5</w:t>
      </w:r>
      <w:r>
        <w:rPr>
          <w:noProof/>
        </w:rPr>
        <w:fldChar w:fldCharType="end"/>
      </w:r>
    </w:p>
    <w:p w14:paraId="4782B340" w14:textId="77777777" w:rsidR="00AE19B5" w:rsidRDefault="00AE19B5">
      <w:pPr>
        <w:pStyle w:val="TOC3"/>
        <w:rPr>
          <w:rFonts w:asciiTheme="minorHAnsi" w:eastAsiaTheme="minorEastAsia" w:hAnsiTheme="minorHAnsi" w:cstheme="minorBidi"/>
          <w:noProof/>
          <w:szCs w:val="22"/>
          <w:lang w:eastAsia="en-NZ"/>
        </w:rPr>
      </w:pPr>
      <w:r w:rsidRPr="00F87BEA">
        <w:rPr>
          <w:noProof/>
          <w:lang w:val="en"/>
        </w:rPr>
        <w:t>Figure 3: Participation in the Bowel Screening Pilot by ethnicity showing those invited from 1 January 2012 to 30 September 2016</w:t>
      </w:r>
      <w:r>
        <w:rPr>
          <w:noProof/>
        </w:rPr>
        <w:tab/>
      </w:r>
      <w:r>
        <w:rPr>
          <w:noProof/>
        </w:rPr>
        <w:fldChar w:fldCharType="begin"/>
      </w:r>
      <w:r>
        <w:rPr>
          <w:noProof/>
        </w:rPr>
        <w:instrText xml:space="preserve"> PAGEREF _Toc530566681 \h </w:instrText>
      </w:r>
      <w:r>
        <w:rPr>
          <w:noProof/>
        </w:rPr>
      </w:r>
      <w:r>
        <w:rPr>
          <w:noProof/>
        </w:rPr>
        <w:fldChar w:fldCharType="separate"/>
      </w:r>
      <w:r>
        <w:rPr>
          <w:noProof/>
        </w:rPr>
        <w:t>8</w:t>
      </w:r>
      <w:r>
        <w:rPr>
          <w:noProof/>
        </w:rPr>
        <w:fldChar w:fldCharType="end"/>
      </w:r>
    </w:p>
    <w:p w14:paraId="7C23801A" w14:textId="77777777" w:rsidR="00AE19B5" w:rsidRDefault="00AE19B5">
      <w:pPr>
        <w:pStyle w:val="TOC3"/>
        <w:rPr>
          <w:rFonts w:asciiTheme="minorHAnsi" w:eastAsiaTheme="minorEastAsia" w:hAnsiTheme="minorHAnsi" w:cstheme="minorBidi"/>
          <w:noProof/>
          <w:szCs w:val="22"/>
          <w:lang w:eastAsia="en-NZ"/>
        </w:rPr>
      </w:pPr>
      <w:r>
        <w:rPr>
          <w:noProof/>
        </w:rPr>
        <w:t>Figure 4: Basic screening pathway</w:t>
      </w:r>
      <w:r>
        <w:rPr>
          <w:noProof/>
        </w:rPr>
        <w:tab/>
      </w:r>
      <w:r>
        <w:rPr>
          <w:noProof/>
        </w:rPr>
        <w:fldChar w:fldCharType="begin"/>
      </w:r>
      <w:r>
        <w:rPr>
          <w:noProof/>
        </w:rPr>
        <w:instrText xml:space="preserve"> PAGEREF _Toc530566682 \h </w:instrText>
      </w:r>
      <w:r>
        <w:rPr>
          <w:noProof/>
        </w:rPr>
      </w:r>
      <w:r>
        <w:rPr>
          <w:noProof/>
        </w:rPr>
        <w:fldChar w:fldCharType="separate"/>
      </w:r>
      <w:r>
        <w:rPr>
          <w:noProof/>
        </w:rPr>
        <w:t>17</w:t>
      </w:r>
      <w:r>
        <w:rPr>
          <w:noProof/>
        </w:rPr>
        <w:fldChar w:fldCharType="end"/>
      </w:r>
    </w:p>
    <w:p w14:paraId="78F66E30" w14:textId="77777777" w:rsidR="00AE19B5" w:rsidRDefault="00AE19B5">
      <w:pPr>
        <w:pStyle w:val="TOC3"/>
        <w:rPr>
          <w:rFonts w:asciiTheme="minorHAnsi" w:eastAsiaTheme="minorEastAsia" w:hAnsiTheme="minorHAnsi" w:cstheme="minorBidi"/>
          <w:noProof/>
          <w:szCs w:val="22"/>
          <w:lang w:eastAsia="en-NZ"/>
        </w:rPr>
      </w:pPr>
      <w:r>
        <w:rPr>
          <w:noProof/>
        </w:rPr>
        <w:t>Figure 5: Cultural and supportive care</w:t>
      </w:r>
      <w:r>
        <w:rPr>
          <w:noProof/>
        </w:rPr>
        <w:tab/>
      </w:r>
      <w:r>
        <w:rPr>
          <w:noProof/>
        </w:rPr>
        <w:fldChar w:fldCharType="begin"/>
      </w:r>
      <w:r>
        <w:rPr>
          <w:noProof/>
        </w:rPr>
        <w:instrText xml:space="preserve"> PAGEREF _Toc530566683 \h </w:instrText>
      </w:r>
      <w:r>
        <w:rPr>
          <w:noProof/>
        </w:rPr>
      </w:r>
      <w:r>
        <w:rPr>
          <w:noProof/>
        </w:rPr>
        <w:fldChar w:fldCharType="separate"/>
      </w:r>
      <w:r>
        <w:rPr>
          <w:noProof/>
        </w:rPr>
        <w:t>33</w:t>
      </w:r>
      <w:r>
        <w:rPr>
          <w:noProof/>
        </w:rPr>
        <w:fldChar w:fldCharType="end"/>
      </w:r>
    </w:p>
    <w:p w14:paraId="20EE144F" w14:textId="77777777" w:rsidR="00AE19B5" w:rsidRDefault="00AE19B5">
      <w:pPr>
        <w:pStyle w:val="TOC3"/>
        <w:rPr>
          <w:rFonts w:asciiTheme="minorHAnsi" w:eastAsiaTheme="minorEastAsia" w:hAnsiTheme="minorHAnsi" w:cstheme="minorBidi"/>
          <w:noProof/>
          <w:szCs w:val="22"/>
          <w:lang w:eastAsia="en-NZ"/>
        </w:rPr>
      </w:pPr>
      <w:r>
        <w:rPr>
          <w:noProof/>
        </w:rPr>
        <w:t>Figure 6: Reporting algorithm for major pathology</w:t>
      </w:r>
      <w:r>
        <w:rPr>
          <w:noProof/>
        </w:rPr>
        <w:tab/>
      </w:r>
      <w:r>
        <w:rPr>
          <w:noProof/>
        </w:rPr>
        <w:fldChar w:fldCharType="begin"/>
      </w:r>
      <w:r>
        <w:rPr>
          <w:noProof/>
        </w:rPr>
        <w:instrText xml:space="preserve"> PAGEREF _Toc530566684 \h </w:instrText>
      </w:r>
      <w:r>
        <w:rPr>
          <w:noProof/>
        </w:rPr>
      </w:r>
      <w:r>
        <w:rPr>
          <w:noProof/>
        </w:rPr>
        <w:fldChar w:fldCharType="separate"/>
      </w:r>
      <w:r>
        <w:rPr>
          <w:noProof/>
        </w:rPr>
        <w:t>36</w:t>
      </w:r>
      <w:r>
        <w:rPr>
          <w:noProof/>
        </w:rPr>
        <w:fldChar w:fldCharType="end"/>
      </w:r>
    </w:p>
    <w:p w14:paraId="13E04FD0" w14:textId="77777777" w:rsidR="003A5FEA" w:rsidRDefault="003A5FEA" w:rsidP="003A5FEA">
      <w:r>
        <w:fldChar w:fldCharType="end"/>
      </w:r>
    </w:p>
    <w:p w14:paraId="1F62AA05" w14:textId="77777777" w:rsidR="00455CC9" w:rsidRDefault="00455CC9" w:rsidP="0086388B"/>
    <w:p w14:paraId="272131EC" w14:textId="77777777" w:rsidR="00C86248" w:rsidRDefault="00C86248">
      <w:pPr>
        <w:sectPr w:rsidR="00C86248" w:rsidSect="009D5125">
          <w:footerReference w:type="even" r:id="rId16"/>
          <w:pgSz w:w="11907" w:h="16840" w:code="9"/>
          <w:pgMar w:top="851" w:right="1134" w:bottom="1134" w:left="1134" w:header="284" w:footer="567" w:gutter="284"/>
          <w:pgNumType w:fmt="lowerRoman"/>
          <w:cols w:space="720"/>
        </w:sectPr>
      </w:pPr>
    </w:p>
    <w:p w14:paraId="3F84F5BD" w14:textId="77777777" w:rsidR="008C2973" w:rsidRDefault="00D1792C" w:rsidP="008E3A07">
      <w:pPr>
        <w:pStyle w:val="Heading1"/>
      </w:pPr>
      <w:bookmarkStart w:id="3" w:name="_Toc530660996"/>
      <w:r>
        <w:lastRenderedPageBreak/>
        <w:t>Introduction</w:t>
      </w:r>
      <w:bookmarkEnd w:id="3"/>
    </w:p>
    <w:p w14:paraId="6AD426AE" w14:textId="77777777" w:rsidR="00F301C7" w:rsidRPr="00D923A0" w:rsidRDefault="00F301C7" w:rsidP="00D923A0">
      <w:pPr>
        <w:rPr>
          <w:rFonts w:eastAsia="DFKai-SB"/>
        </w:rPr>
      </w:pPr>
      <w:r w:rsidRPr="00E07995">
        <w:t xml:space="preserve">New Zealand </w:t>
      </w:r>
      <w:r>
        <w:t>has a high rate of bowel cancer</w:t>
      </w:r>
      <w:r w:rsidR="00D923A0">
        <w:t>,</w:t>
      </w:r>
      <w:r w:rsidRPr="00D923A0">
        <w:rPr>
          <w:rStyle w:val="FootnoteReference"/>
        </w:rPr>
        <w:footnoteReference w:id="1"/>
      </w:r>
      <w:r w:rsidRPr="00E07995">
        <w:t xml:space="preserve"> having the 16th highest incidence rate and the 4th highest mortality rate for OECD countries.</w:t>
      </w:r>
    </w:p>
    <w:p w14:paraId="67DCC4F0" w14:textId="77777777" w:rsidR="00F301C7" w:rsidRPr="00B6351B" w:rsidRDefault="00F301C7" w:rsidP="00D923A0">
      <w:pPr>
        <w:pStyle w:val="Bullet"/>
        <w:rPr>
          <w:rFonts w:eastAsia="DFKai-SB" w:cs="Helvetica"/>
        </w:rPr>
      </w:pPr>
      <w:r w:rsidRPr="003B6490">
        <w:rPr>
          <w:rFonts w:eastAsia="DFKai-SB"/>
        </w:rPr>
        <w:t>Bowel cancer fulfils the NSU criteria for a population based cancer screening programme.</w:t>
      </w:r>
    </w:p>
    <w:p w14:paraId="1B7C2267" w14:textId="77777777" w:rsidR="00F301C7" w:rsidRPr="00B6351B" w:rsidRDefault="00F301C7" w:rsidP="00D923A0">
      <w:pPr>
        <w:pStyle w:val="Bullet"/>
        <w:rPr>
          <w:rFonts w:eastAsia="DFKai-SB" w:cs="Helvetica"/>
        </w:rPr>
      </w:pPr>
      <w:r w:rsidRPr="003B6490">
        <w:rPr>
          <w:rFonts w:eastAsia="DFKai-SB"/>
        </w:rPr>
        <w:t>Population screening for bowel cancer is for those at average risk of developing bowel cancer.</w:t>
      </w:r>
    </w:p>
    <w:p w14:paraId="04407C86" w14:textId="77777777" w:rsidR="00F301C7" w:rsidRPr="00B6351B" w:rsidRDefault="00F301C7" w:rsidP="00D923A0">
      <w:pPr>
        <w:pStyle w:val="Bullet"/>
        <w:rPr>
          <w:rFonts w:eastAsia="DFKai-SB" w:cs="Helvetica"/>
        </w:rPr>
      </w:pPr>
      <w:r w:rsidRPr="003B6490">
        <w:rPr>
          <w:rFonts w:eastAsia="DFKai-SB"/>
        </w:rPr>
        <w:t>Guidelines to identify and manage participants who are at moderate or potentially increased risk of developing bowel cancer should accompany a population screening programme.</w:t>
      </w:r>
    </w:p>
    <w:p w14:paraId="38F5CF83" w14:textId="77777777" w:rsidR="00F301C7" w:rsidRPr="007D4E1B" w:rsidRDefault="00F301C7" w:rsidP="00D923A0">
      <w:pPr>
        <w:pStyle w:val="Bullet"/>
        <w:rPr>
          <w:rFonts w:eastAsia="DFKai-SB" w:cs="Helvetica"/>
        </w:rPr>
      </w:pPr>
      <w:r w:rsidRPr="003B6490">
        <w:rPr>
          <w:rFonts w:eastAsia="DFKai-SB"/>
        </w:rPr>
        <w:t>The initial National Health Committee working party on Population screening for Colorectal Cancer in 1998 did not recommend screening for bowel cancer but recommended that Guidelines for the Surveillance of Groups at increased risk of colorectal cancer be developed for N</w:t>
      </w:r>
      <w:r w:rsidR="00D923A0">
        <w:rPr>
          <w:rFonts w:eastAsia="DFKai-SB"/>
        </w:rPr>
        <w:t xml:space="preserve">ew </w:t>
      </w:r>
      <w:r w:rsidRPr="003B6490">
        <w:rPr>
          <w:rFonts w:eastAsia="DFKai-SB"/>
        </w:rPr>
        <w:t>Z</w:t>
      </w:r>
      <w:r w:rsidR="00D923A0">
        <w:rPr>
          <w:rFonts w:eastAsia="DFKai-SB"/>
        </w:rPr>
        <w:t>ealand</w:t>
      </w:r>
      <w:r w:rsidRPr="003B6490">
        <w:rPr>
          <w:rFonts w:eastAsia="DFKai-SB"/>
        </w:rPr>
        <w:t>.</w:t>
      </w:r>
      <w:r>
        <w:rPr>
          <w:rFonts w:eastAsia="DFKai-SB" w:cs="Helvetica"/>
        </w:rPr>
        <w:t xml:space="preserve"> </w:t>
      </w:r>
      <w:r w:rsidRPr="003B6490">
        <w:rPr>
          <w:rFonts w:eastAsia="DFKai-SB"/>
        </w:rPr>
        <w:t>This was completed and first published in 2004</w:t>
      </w:r>
      <w:r w:rsidR="00D923A0">
        <w:rPr>
          <w:rFonts w:eastAsia="DFKai-SB"/>
        </w:rPr>
        <w:t>.</w:t>
      </w:r>
      <w:r w:rsidRPr="00D923A0">
        <w:rPr>
          <w:rStyle w:val="FootnoteReference"/>
          <w:rFonts w:eastAsia="DFKai-SB"/>
        </w:rPr>
        <w:footnoteReference w:id="2"/>
      </w:r>
    </w:p>
    <w:p w14:paraId="49269C39" w14:textId="77777777" w:rsidR="00F301C7" w:rsidRPr="00B6351B" w:rsidRDefault="00F301C7" w:rsidP="00D923A0">
      <w:pPr>
        <w:pStyle w:val="Bullet"/>
        <w:rPr>
          <w:rFonts w:eastAsia="DFKai-SB" w:cs="Helvetica"/>
        </w:rPr>
      </w:pPr>
      <w:r w:rsidRPr="003B6490">
        <w:rPr>
          <w:rFonts w:eastAsia="DFKai-SB"/>
        </w:rPr>
        <w:t>Establishment of</w:t>
      </w:r>
      <w:r w:rsidR="003B6490" w:rsidRPr="003B6490">
        <w:rPr>
          <w:rFonts w:eastAsia="DFKai-SB"/>
        </w:rPr>
        <w:t xml:space="preserve"> </w:t>
      </w:r>
      <w:r w:rsidRPr="003B6490">
        <w:rPr>
          <w:rFonts w:eastAsia="DFKai-SB"/>
        </w:rPr>
        <w:t>a National Familial Bowel Cancer Registry was recommended</w:t>
      </w:r>
      <w:r w:rsidR="00D923A0">
        <w:rPr>
          <w:rFonts w:eastAsia="DFKai-SB"/>
        </w:rPr>
        <w:t>.</w:t>
      </w:r>
    </w:p>
    <w:p w14:paraId="6944030F" w14:textId="77777777" w:rsidR="00F301C7" w:rsidRPr="00B6351B" w:rsidRDefault="00F301C7" w:rsidP="00D923A0">
      <w:pPr>
        <w:pStyle w:val="Bullet"/>
        <w:rPr>
          <w:rFonts w:eastAsia="DFKai-SB" w:cs="Helvetica"/>
        </w:rPr>
      </w:pPr>
      <w:r w:rsidRPr="003B6490">
        <w:rPr>
          <w:rFonts w:eastAsia="DFKai-SB"/>
        </w:rPr>
        <w:t xml:space="preserve">The </w:t>
      </w:r>
      <w:proofErr w:type="spellStart"/>
      <w:r w:rsidR="00D923A0">
        <w:rPr>
          <w:rFonts w:eastAsia="DFKai-SB"/>
        </w:rPr>
        <w:t>MoH</w:t>
      </w:r>
      <w:proofErr w:type="spellEnd"/>
      <w:r w:rsidR="00D923A0">
        <w:rPr>
          <w:rFonts w:eastAsia="DFKai-SB"/>
        </w:rPr>
        <w:t>-</w:t>
      </w:r>
      <w:r w:rsidRPr="003B6490">
        <w:rPr>
          <w:rFonts w:eastAsia="DFKai-SB"/>
        </w:rPr>
        <w:t>funded N</w:t>
      </w:r>
      <w:r w:rsidR="00D923A0">
        <w:rPr>
          <w:rFonts w:eastAsia="DFKai-SB"/>
        </w:rPr>
        <w:t xml:space="preserve">ew </w:t>
      </w:r>
      <w:r w:rsidRPr="003B6490">
        <w:rPr>
          <w:rFonts w:eastAsia="DFKai-SB"/>
        </w:rPr>
        <w:t>Z</w:t>
      </w:r>
      <w:r w:rsidR="00D923A0">
        <w:rPr>
          <w:rFonts w:eastAsia="DFKai-SB"/>
        </w:rPr>
        <w:t>ealand</w:t>
      </w:r>
      <w:r w:rsidRPr="003B6490">
        <w:rPr>
          <w:rFonts w:eastAsia="DFKai-SB"/>
        </w:rPr>
        <w:t xml:space="preserve"> Familial GI Cancer Registry began by combining two research registries in 2009.</w:t>
      </w:r>
    </w:p>
    <w:p w14:paraId="713633CF" w14:textId="77777777" w:rsidR="00F301C7" w:rsidRPr="00B6351B" w:rsidRDefault="00F301C7" w:rsidP="00D923A0">
      <w:pPr>
        <w:pStyle w:val="Bullet"/>
        <w:rPr>
          <w:rFonts w:eastAsia="DFKai-SB" w:cs="Helvetica"/>
        </w:rPr>
      </w:pPr>
      <w:r w:rsidRPr="003B6490">
        <w:rPr>
          <w:rFonts w:eastAsia="DFKai-SB"/>
        </w:rPr>
        <w:t xml:space="preserve">The NSU </w:t>
      </w:r>
      <w:r w:rsidR="00D923A0">
        <w:rPr>
          <w:rFonts w:eastAsia="DFKai-SB"/>
        </w:rPr>
        <w:t>W</w:t>
      </w:r>
      <w:r w:rsidRPr="003B6490">
        <w:rPr>
          <w:rFonts w:eastAsia="DFKai-SB"/>
        </w:rPr>
        <w:t>orking Party on Population Screening for CRC in 2006 recommended a pilot study using an immunochemical faecal occult blood test FOBT, now termed faecal immunochemical test (FIT).</w:t>
      </w:r>
    </w:p>
    <w:p w14:paraId="476E727A" w14:textId="77777777" w:rsidR="00F301C7" w:rsidRPr="00D923A0" w:rsidRDefault="00F301C7" w:rsidP="00D923A0">
      <w:pPr>
        <w:pStyle w:val="Bullet"/>
        <w:rPr>
          <w:rFonts w:eastAsia="DFKai-SB"/>
        </w:rPr>
      </w:pPr>
      <w:r w:rsidRPr="003B6490">
        <w:rPr>
          <w:rFonts w:eastAsia="DFKai-SB"/>
        </w:rPr>
        <w:t xml:space="preserve">The </w:t>
      </w:r>
      <w:proofErr w:type="spellStart"/>
      <w:r w:rsidRPr="003B6490">
        <w:rPr>
          <w:rFonts w:eastAsia="DFKai-SB"/>
        </w:rPr>
        <w:t>Waitemata</w:t>
      </w:r>
      <w:proofErr w:type="spellEnd"/>
      <w:r w:rsidRPr="003B6490">
        <w:rPr>
          <w:rFonts w:eastAsia="DFKai-SB"/>
        </w:rPr>
        <w:t xml:space="preserve"> bowel screening pilot offering a</w:t>
      </w:r>
      <w:r w:rsidR="003B6490" w:rsidRPr="003B6490">
        <w:rPr>
          <w:rFonts w:eastAsia="DFKai-SB"/>
        </w:rPr>
        <w:t xml:space="preserve"> </w:t>
      </w:r>
      <w:r w:rsidRPr="003B6490">
        <w:rPr>
          <w:rFonts w:eastAsia="DFKai-SB"/>
        </w:rPr>
        <w:t>biennial FIT test with</w:t>
      </w:r>
      <w:r w:rsidR="003B6490" w:rsidRPr="003B6490">
        <w:rPr>
          <w:rFonts w:eastAsia="DFKai-SB"/>
        </w:rPr>
        <w:t xml:space="preserve"> </w:t>
      </w:r>
      <w:r w:rsidRPr="003B6490">
        <w:rPr>
          <w:rFonts w:eastAsia="DFKai-SB"/>
        </w:rPr>
        <w:t xml:space="preserve">a threshold for positivity at 75 ng </w:t>
      </w:r>
      <w:proofErr w:type="spellStart"/>
      <w:r w:rsidRPr="003B6490">
        <w:rPr>
          <w:rFonts w:eastAsia="DFKai-SB"/>
        </w:rPr>
        <w:t>Hb</w:t>
      </w:r>
      <w:proofErr w:type="spellEnd"/>
      <w:r w:rsidRPr="003B6490">
        <w:rPr>
          <w:rFonts w:eastAsia="DFKai-SB"/>
        </w:rPr>
        <w:t>/ml buffer to those aged 50</w:t>
      </w:r>
      <w:r w:rsidR="00D923A0">
        <w:rPr>
          <w:rFonts w:eastAsia="DFKai-SB"/>
        </w:rPr>
        <w:t>–</w:t>
      </w:r>
      <w:r w:rsidRPr="003B6490">
        <w:rPr>
          <w:rFonts w:eastAsia="DFKai-SB"/>
        </w:rPr>
        <w:t>74 years, began in October 2011.</w:t>
      </w:r>
    </w:p>
    <w:p w14:paraId="732A89E9" w14:textId="77777777" w:rsidR="00F301C7" w:rsidRPr="00B6351B" w:rsidRDefault="00F301C7" w:rsidP="00D923A0">
      <w:pPr>
        <w:pStyle w:val="Bullet"/>
        <w:rPr>
          <w:rFonts w:eastAsia="DFKai-SB" w:cs="Helvetica"/>
        </w:rPr>
      </w:pPr>
      <w:r w:rsidRPr="003B6490">
        <w:rPr>
          <w:rFonts w:eastAsia="DFKai-SB"/>
        </w:rPr>
        <w:t>Colonoscopy capacity is a key concern for population bowel cancer screening programmes with the consequence that</w:t>
      </w:r>
      <w:r w:rsidR="003B6490" w:rsidRPr="003B6490">
        <w:rPr>
          <w:rFonts w:eastAsia="DFKai-SB"/>
        </w:rPr>
        <w:t xml:space="preserve"> </w:t>
      </w:r>
      <w:r w:rsidRPr="003B6490">
        <w:rPr>
          <w:rFonts w:eastAsia="DFKai-SB"/>
        </w:rPr>
        <w:t>most countries initially roll out bowel scre</w:t>
      </w:r>
      <w:r w:rsidR="00D923A0">
        <w:rPr>
          <w:rFonts w:eastAsia="DFKai-SB"/>
        </w:rPr>
        <w:t>ening to a restricted age range.</w:t>
      </w:r>
    </w:p>
    <w:p w14:paraId="41F99672" w14:textId="77777777" w:rsidR="00F301C7" w:rsidRPr="00A23089" w:rsidRDefault="00F301C7" w:rsidP="00D923A0">
      <w:pPr>
        <w:pStyle w:val="Bullet"/>
        <w:rPr>
          <w:rFonts w:eastAsia="DFKai-SB" w:cs="Helvetica"/>
        </w:rPr>
      </w:pPr>
      <w:r w:rsidRPr="003B6490">
        <w:rPr>
          <w:rFonts w:eastAsia="DFKai-SB"/>
        </w:rPr>
        <w:t>In preparation for bowel screening in New Zealand a number of initiatives were undertaken</w:t>
      </w:r>
      <w:r w:rsidR="00D923A0">
        <w:rPr>
          <w:rFonts w:eastAsia="DFKai-SB"/>
        </w:rPr>
        <w:t>:</w:t>
      </w:r>
    </w:p>
    <w:p w14:paraId="1F0D7559" w14:textId="77777777" w:rsidR="00F301C7" w:rsidRPr="00A23089" w:rsidRDefault="00D923A0" w:rsidP="00D923A0">
      <w:pPr>
        <w:pStyle w:val="Dash"/>
        <w:rPr>
          <w:rFonts w:eastAsia="DFKai-SB" w:cs="Helvetica"/>
        </w:rPr>
      </w:pPr>
      <w:r>
        <w:rPr>
          <w:rFonts w:eastAsia="DFKai-SB"/>
        </w:rPr>
        <w:t>t</w:t>
      </w:r>
      <w:r w:rsidR="00F301C7" w:rsidRPr="003B6490">
        <w:rPr>
          <w:rFonts w:eastAsia="DFKai-SB"/>
        </w:rPr>
        <w:t>he</w:t>
      </w:r>
      <w:r w:rsidR="003B6490" w:rsidRPr="003B6490">
        <w:rPr>
          <w:rFonts w:eastAsia="DFKai-SB"/>
        </w:rPr>
        <w:t xml:space="preserve"> </w:t>
      </w:r>
      <w:r w:rsidR="00F301C7" w:rsidRPr="003B6490">
        <w:rPr>
          <w:rFonts w:eastAsia="DFKai-SB"/>
        </w:rPr>
        <w:t>National Direct Access Referral Criteria for Colonoscopy and CTC were developed</w:t>
      </w:r>
    </w:p>
    <w:p w14:paraId="625B9A51" w14:textId="77777777" w:rsidR="00F301C7" w:rsidRPr="00A23089" w:rsidRDefault="00D923A0" w:rsidP="00D923A0">
      <w:pPr>
        <w:pStyle w:val="Dash"/>
        <w:rPr>
          <w:rFonts w:eastAsia="DFKai-SB" w:cs="Helvetica"/>
        </w:rPr>
      </w:pPr>
      <w:r>
        <w:rPr>
          <w:rFonts w:eastAsia="DFKai-SB"/>
        </w:rPr>
        <w:t>t</w:t>
      </w:r>
      <w:r w:rsidR="00F301C7" w:rsidRPr="003B6490">
        <w:rPr>
          <w:rFonts w:eastAsia="DFKai-SB"/>
        </w:rPr>
        <w:t xml:space="preserve">he </w:t>
      </w:r>
      <w:r>
        <w:rPr>
          <w:rFonts w:eastAsia="DFKai-SB"/>
        </w:rPr>
        <w:t>c</w:t>
      </w:r>
      <w:r w:rsidR="00F301C7" w:rsidRPr="003B6490">
        <w:rPr>
          <w:rFonts w:eastAsia="DFKai-SB"/>
        </w:rPr>
        <w:t xml:space="preserve">olonoscopy </w:t>
      </w:r>
      <w:r>
        <w:rPr>
          <w:rFonts w:eastAsia="DFKai-SB"/>
        </w:rPr>
        <w:t>w</w:t>
      </w:r>
      <w:r w:rsidR="00F301C7" w:rsidRPr="003B6490">
        <w:rPr>
          <w:rFonts w:eastAsia="DFKai-SB"/>
        </w:rPr>
        <w:t>ait time indicators were introduced as part of the wider Faster Cancer Treatment initiative</w:t>
      </w:r>
    </w:p>
    <w:p w14:paraId="6F3BFE19" w14:textId="77777777" w:rsidR="003B6490" w:rsidRPr="003B6490" w:rsidRDefault="00D923A0" w:rsidP="00D923A0">
      <w:pPr>
        <w:pStyle w:val="Dash"/>
        <w:rPr>
          <w:rFonts w:eastAsia="DFKai-SB"/>
        </w:rPr>
      </w:pPr>
      <w:proofErr w:type="gramStart"/>
      <w:r>
        <w:rPr>
          <w:rFonts w:eastAsia="DFKai-SB"/>
        </w:rPr>
        <w:t>t</w:t>
      </w:r>
      <w:r w:rsidR="00F301C7" w:rsidRPr="003B6490">
        <w:rPr>
          <w:rFonts w:eastAsia="DFKai-SB"/>
        </w:rPr>
        <w:t>he</w:t>
      </w:r>
      <w:proofErr w:type="gramEnd"/>
      <w:r w:rsidR="00F301C7" w:rsidRPr="003B6490">
        <w:rPr>
          <w:rFonts w:eastAsia="DFKai-SB"/>
        </w:rPr>
        <w:t xml:space="preserve"> National Bowel Cancer Working Group was established</w:t>
      </w:r>
      <w:r>
        <w:rPr>
          <w:rFonts w:eastAsia="DFKai-SB"/>
        </w:rPr>
        <w:t>.</w:t>
      </w:r>
    </w:p>
    <w:p w14:paraId="6B8FFBC4" w14:textId="77777777" w:rsidR="00F301C7" w:rsidRPr="00B6351B" w:rsidRDefault="00F301C7" w:rsidP="00D923A0">
      <w:pPr>
        <w:pStyle w:val="Bullet"/>
        <w:keepNext/>
        <w:rPr>
          <w:rFonts w:eastAsia="DFKai-SB" w:cs="Helvetica"/>
        </w:rPr>
      </w:pPr>
      <w:r w:rsidRPr="003B6490">
        <w:rPr>
          <w:rFonts w:eastAsia="DFKai-SB"/>
        </w:rPr>
        <w:lastRenderedPageBreak/>
        <w:t xml:space="preserve">Data from the </w:t>
      </w:r>
      <w:r w:rsidR="00D923A0">
        <w:rPr>
          <w:rFonts w:eastAsia="DFKai-SB"/>
        </w:rPr>
        <w:t>b</w:t>
      </w:r>
      <w:r w:rsidRPr="003B6490">
        <w:rPr>
          <w:rFonts w:eastAsia="DFKai-SB"/>
        </w:rPr>
        <w:t xml:space="preserve">owel </w:t>
      </w:r>
      <w:r w:rsidR="00D923A0">
        <w:rPr>
          <w:rFonts w:eastAsia="DFKai-SB"/>
        </w:rPr>
        <w:t>s</w:t>
      </w:r>
      <w:r w:rsidRPr="003B6490">
        <w:rPr>
          <w:rFonts w:eastAsia="DFKai-SB"/>
        </w:rPr>
        <w:t xml:space="preserve">creening </w:t>
      </w:r>
      <w:r w:rsidR="00D923A0">
        <w:rPr>
          <w:rFonts w:eastAsia="DFKai-SB"/>
        </w:rPr>
        <w:t>p</w:t>
      </w:r>
      <w:r w:rsidRPr="003B6490">
        <w:rPr>
          <w:rFonts w:eastAsia="DFKai-SB"/>
        </w:rPr>
        <w:t xml:space="preserve">ilot and the </w:t>
      </w:r>
      <w:r w:rsidR="00D923A0">
        <w:rPr>
          <w:rFonts w:eastAsia="DFKai-SB"/>
        </w:rPr>
        <w:t>c</w:t>
      </w:r>
      <w:r w:rsidRPr="003B6490">
        <w:rPr>
          <w:rFonts w:eastAsia="DFKai-SB"/>
        </w:rPr>
        <w:t xml:space="preserve">olonoscopy </w:t>
      </w:r>
      <w:r w:rsidR="00D923A0">
        <w:rPr>
          <w:rFonts w:eastAsia="DFKai-SB"/>
        </w:rPr>
        <w:t>w</w:t>
      </w:r>
      <w:r w:rsidRPr="003B6490">
        <w:rPr>
          <w:rFonts w:eastAsia="DFKai-SB"/>
        </w:rPr>
        <w:t>ait time indicators allowed Health Workforce NZ to model the colonoscopy requirements for a bowel screening programme.</w:t>
      </w:r>
    </w:p>
    <w:p w14:paraId="0DBA839F" w14:textId="77777777" w:rsidR="00F301C7" w:rsidRPr="00A23089" w:rsidRDefault="00F301C7" w:rsidP="00D923A0">
      <w:pPr>
        <w:pStyle w:val="Bullet"/>
        <w:keepNext/>
        <w:rPr>
          <w:rFonts w:eastAsia="DFKai-SB" w:cs="Helvetica"/>
        </w:rPr>
      </w:pPr>
      <w:r w:rsidRPr="003B6490">
        <w:rPr>
          <w:rFonts w:eastAsia="DFKai-SB"/>
        </w:rPr>
        <w:t>This subsequently</w:t>
      </w:r>
      <w:r w:rsidR="003B6490" w:rsidRPr="003B6490">
        <w:rPr>
          <w:rFonts w:eastAsia="DFKai-SB"/>
        </w:rPr>
        <w:t xml:space="preserve"> </w:t>
      </w:r>
      <w:r w:rsidRPr="003B6490">
        <w:rPr>
          <w:rFonts w:eastAsia="DFKai-SB"/>
        </w:rPr>
        <w:t>informed</w:t>
      </w:r>
      <w:r w:rsidR="00D923A0">
        <w:rPr>
          <w:rFonts w:eastAsia="DFKai-SB"/>
        </w:rPr>
        <w:t>:</w:t>
      </w:r>
    </w:p>
    <w:p w14:paraId="47581027" w14:textId="77777777" w:rsidR="003B6490" w:rsidRPr="003B6490" w:rsidRDefault="00F301C7" w:rsidP="00D923A0">
      <w:pPr>
        <w:pStyle w:val="Dash"/>
        <w:keepNext/>
        <w:rPr>
          <w:rFonts w:eastAsia="DFKai-SB"/>
        </w:rPr>
      </w:pPr>
      <w:r w:rsidRPr="003B6490">
        <w:rPr>
          <w:rFonts w:eastAsia="DFKai-SB"/>
        </w:rPr>
        <w:t xml:space="preserve">workforce planning initiatives that included increasing the number of </w:t>
      </w:r>
      <w:r w:rsidR="00D923A0">
        <w:rPr>
          <w:rFonts w:eastAsia="DFKai-SB"/>
        </w:rPr>
        <w:t>g</w:t>
      </w:r>
      <w:r w:rsidRPr="003B6490">
        <w:rPr>
          <w:rFonts w:eastAsia="DFKai-SB"/>
        </w:rPr>
        <w:t xml:space="preserve">astroenterology </w:t>
      </w:r>
      <w:r w:rsidR="00D923A0">
        <w:rPr>
          <w:rFonts w:eastAsia="DFKai-SB"/>
        </w:rPr>
        <w:t>t</w:t>
      </w:r>
      <w:r w:rsidRPr="003B6490">
        <w:rPr>
          <w:rFonts w:eastAsia="DFKai-SB"/>
        </w:rPr>
        <w:t xml:space="preserve">rainees and beginning a </w:t>
      </w:r>
      <w:r w:rsidR="00D923A0">
        <w:rPr>
          <w:rFonts w:eastAsia="DFKai-SB"/>
        </w:rPr>
        <w:t>n</w:t>
      </w:r>
      <w:r w:rsidRPr="003B6490">
        <w:rPr>
          <w:rFonts w:eastAsia="DFKai-SB"/>
        </w:rPr>
        <w:t xml:space="preserve">urse </w:t>
      </w:r>
      <w:r w:rsidR="00D923A0">
        <w:rPr>
          <w:rFonts w:eastAsia="DFKai-SB"/>
        </w:rPr>
        <w:t>e</w:t>
      </w:r>
      <w:r w:rsidRPr="003B6490">
        <w:rPr>
          <w:rFonts w:eastAsia="DFKai-SB"/>
        </w:rPr>
        <w:t xml:space="preserve">ndoscopy training </w:t>
      </w:r>
      <w:r w:rsidR="00D923A0">
        <w:rPr>
          <w:rFonts w:eastAsia="DFKai-SB"/>
        </w:rPr>
        <w:t>p</w:t>
      </w:r>
      <w:r w:rsidRPr="003B6490">
        <w:rPr>
          <w:rFonts w:eastAsia="DFKai-SB"/>
        </w:rPr>
        <w:t>rogramme</w:t>
      </w:r>
    </w:p>
    <w:p w14:paraId="18707426" w14:textId="3836978F" w:rsidR="00F301C7" w:rsidRPr="00672AF5" w:rsidRDefault="00F301C7" w:rsidP="00D923A0">
      <w:pPr>
        <w:pStyle w:val="Dash"/>
        <w:rPr>
          <w:rFonts w:eastAsia="DFKai-SB" w:cs="Helvetica"/>
        </w:rPr>
      </w:pPr>
      <w:r w:rsidRPr="003B6490">
        <w:rPr>
          <w:rFonts w:eastAsia="DFKai-SB"/>
        </w:rPr>
        <w:t>the decision to roll out the national bowel screening to those the BSP had identified to be most at risk</w:t>
      </w:r>
      <w:r w:rsidR="00D923A0">
        <w:rPr>
          <w:rFonts w:eastAsia="DFKai-SB"/>
        </w:rPr>
        <w:t>,</w:t>
      </w:r>
      <w:r w:rsidRPr="003B6490">
        <w:rPr>
          <w:rFonts w:eastAsia="DFKai-SB"/>
        </w:rPr>
        <w:t xml:space="preserve"> </w:t>
      </w:r>
      <w:r w:rsidR="003B1019" w:rsidRPr="003B6490">
        <w:rPr>
          <w:rFonts w:eastAsia="DFKai-SB"/>
        </w:rPr>
        <w:t>i.e.</w:t>
      </w:r>
      <w:r w:rsidR="00D923A0">
        <w:rPr>
          <w:rFonts w:eastAsia="DFKai-SB"/>
        </w:rPr>
        <w:t>,</w:t>
      </w:r>
      <w:r w:rsidRPr="003B6490">
        <w:rPr>
          <w:rFonts w:eastAsia="DFKai-SB"/>
        </w:rPr>
        <w:t xml:space="preserve"> those aged 60</w:t>
      </w:r>
      <w:r w:rsidR="00D923A0">
        <w:rPr>
          <w:rFonts w:eastAsia="DFKai-SB"/>
        </w:rPr>
        <w:t>–</w:t>
      </w:r>
      <w:r w:rsidRPr="003B6490">
        <w:rPr>
          <w:rFonts w:eastAsia="DFKai-SB"/>
        </w:rPr>
        <w:t>74</w:t>
      </w:r>
      <w:r w:rsidR="00D923A0">
        <w:rPr>
          <w:rFonts w:eastAsia="DFKai-SB"/>
        </w:rPr>
        <w:t xml:space="preserve"> </w:t>
      </w:r>
      <w:r w:rsidRPr="003B6490">
        <w:rPr>
          <w:rFonts w:eastAsia="DFKai-SB"/>
        </w:rPr>
        <w:t>y</w:t>
      </w:r>
      <w:r w:rsidR="00D923A0">
        <w:rPr>
          <w:rFonts w:eastAsia="DFKai-SB"/>
        </w:rPr>
        <w:t>ea</w:t>
      </w:r>
      <w:r w:rsidRPr="003B6490">
        <w:rPr>
          <w:rFonts w:eastAsia="DFKai-SB"/>
        </w:rPr>
        <w:t xml:space="preserve">rs with a threshold for positivity at 200 ng </w:t>
      </w:r>
      <w:proofErr w:type="spellStart"/>
      <w:r w:rsidRPr="003B6490">
        <w:rPr>
          <w:rFonts w:eastAsia="DFKai-SB"/>
        </w:rPr>
        <w:t>Hb</w:t>
      </w:r>
      <w:proofErr w:type="spellEnd"/>
      <w:r w:rsidRPr="003B6490">
        <w:rPr>
          <w:rFonts w:eastAsia="DFKai-SB"/>
        </w:rPr>
        <w:t>/ml buffer</w:t>
      </w:r>
      <w:r w:rsidRPr="00D923A0">
        <w:rPr>
          <w:rStyle w:val="FootnoteReference"/>
          <w:rFonts w:eastAsia="DFKai-SB"/>
        </w:rPr>
        <w:footnoteReference w:id="3"/>
      </w:r>
      <w:r w:rsidRPr="003B6490">
        <w:rPr>
          <w:rFonts w:eastAsia="DFKai-SB"/>
        </w:rPr>
        <w:t xml:space="preserve"> beginning with Hutt and </w:t>
      </w:r>
      <w:proofErr w:type="spellStart"/>
      <w:r w:rsidRPr="003B6490">
        <w:rPr>
          <w:rFonts w:eastAsia="DFKai-SB"/>
        </w:rPr>
        <w:t>Wairarapa</w:t>
      </w:r>
      <w:proofErr w:type="spellEnd"/>
      <w:r w:rsidRPr="003B6490">
        <w:rPr>
          <w:rFonts w:eastAsia="DFKai-SB"/>
        </w:rPr>
        <w:t xml:space="preserve"> DHBs in July 2018.</w:t>
      </w:r>
    </w:p>
    <w:p w14:paraId="2D249053" w14:textId="77777777" w:rsidR="00F301C7" w:rsidRPr="00581107" w:rsidRDefault="00F301C7" w:rsidP="00D923A0">
      <w:pPr>
        <w:rPr>
          <w:rFonts w:eastAsia="DFKai-SB"/>
        </w:rPr>
      </w:pPr>
    </w:p>
    <w:p w14:paraId="6EC194AB" w14:textId="77777777" w:rsidR="00F301C7" w:rsidRPr="00D923A0" w:rsidRDefault="00F301C7" w:rsidP="00D923A0">
      <w:pPr>
        <w:pStyle w:val="Heading1"/>
        <w:rPr>
          <w:rFonts w:eastAsiaTheme="minorHAnsi"/>
        </w:rPr>
      </w:pPr>
      <w:bookmarkStart w:id="4" w:name="_Toc530660997"/>
      <w:r w:rsidRPr="00D923A0">
        <w:lastRenderedPageBreak/>
        <w:t>Epidemiology</w:t>
      </w:r>
      <w:bookmarkEnd w:id="4"/>
    </w:p>
    <w:p w14:paraId="13716021" w14:textId="77777777" w:rsidR="003B6490" w:rsidRDefault="00F301C7" w:rsidP="00D923A0">
      <w:pPr>
        <w:pStyle w:val="Heading2"/>
        <w:rPr>
          <w:rFonts w:eastAsia="Calibri"/>
        </w:rPr>
      </w:pPr>
      <w:bookmarkStart w:id="5" w:name="_Toc530660998"/>
      <w:r w:rsidRPr="009C355F">
        <w:rPr>
          <w:rFonts w:eastAsia="Calibri"/>
        </w:rPr>
        <w:t>Incidence</w:t>
      </w:r>
      <w:bookmarkEnd w:id="5"/>
    </w:p>
    <w:p w14:paraId="7F819D23" w14:textId="77777777" w:rsidR="003B6490" w:rsidRDefault="00F301C7" w:rsidP="00D923A0">
      <w:r w:rsidRPr="005A167B">
        <w:t>In 2013, 3</w:t>
      </w:r>
      <w:r w:rsidR="00D923A0">
        <w:t>,</w:t>
      </w:r>
      <w:r w:rsidRPr="005A167B">
        <w:t>005 New Zealanders were diagnosed with colorectal cancer (1</w:t>
      </w:r>
      <w:r w:rsidR="00D923A0">
        <w:t>,</w:t>
      </w:r>
      <w:r w:rsidRPr="005A167B">
        <w:t>590 male and 1</w:t>
      </w:r>
      <w:r w:rsidR="00D923A0">
        <w:t>,</w:t>
      </w:r>
      <w:r w:rsidRPr="005A167B">
        <w:t>415</w:t>
      </w:r>
      <w:r w:rsidR="00D923A0">
        <w:t> </w:t>
      </w:r>
      <w:r w:rsidRPr="005A167B">
        <w:t>female) (</w:t>
      </w:r>
      <w:r w:rsidR="00D923A0">
        <w:t>T</w:t>
      </w:r>
      <w:r w:rsidRPr="005A167B">
        <w:t xml:space="preserve">able </w:t>
      </w:r>
      <w:r w:rsidR="00E005C0">
        <w:t>1</w:t>
      </w:r>
      <w:r w:rsidRPr="005A167B">
        <w:t xml:space="preserve">). </w:t>
      </w:r>
      <w:r>
        <w:t xml:space="preserve">Of those, </w:t>
      </w:r>
      <w:r w:rsidRPr="005A167B">
        <w:t>162 were Māori and 2</w:t>
      </w:r>
      <w:r w:rsidR="00D923A0">
        <w:t>,</w:t>
      </w:r>
      <w:r w:rsidRPr="005A167B">
        <w:t>843 were non-Māori.</w:t>
      </w:r>
    </w:p>
    <w:p w14:paraId="2A764F09" w14:textId="77777777" w:rsidR="00D923A0" w:rsidRDefault="00D923A0" w:rsidP="00D923A0"/>
    <w:p w14:paraId="17C2E7E9" w14:textId="77777777" w:rsidR="00F301C7" w:rsidRDefault="00F301C7" w:rsidP="00D923A0">
      <w:pPr>
        <w:pStyle w:val="Table"/>
      </w:pPr>
      <w:bookmarkStart w:id="6" w:name="_Toc530566678"/>
      <w:r>
        <w:t>T</w:t>
      </w:r>
      <w:r w:rsidRPr="00B124E0">
        <w:t xml:space="preserve">able </w:t>
      </w:r>
      <w:r w:rsidR="00E005C0">
        <w:t>1</w:t>
      </w:r>
      <w:r w:rsidR="00BB09DA">
        <w:t>: 2013 a</w:t>
      </w:r>
      <w:r w:rsidRPr="00B124E0">
        <w:t>ge-standardised registration and mortality rates (cases per 100,000) by year and ethnicity for colorectal cancer</w:t>
      </w:r>
      <w:r>
        <w:t xml:space="preserve"> (ICD codes C18</w:t>
      </w:r>
      <w:r w:rsidR="00D923A0">
        <w:t>–</w:t>
      </w:r>
      <w:r>
        <w:t>C20)</w:t>
      </w:r>
      <w:bookmarkEnd w:id="6"/>
    </w:p>
    <w:tbl>
      <w:tblPr>
        <w:tblStyle w:val="TableGrid"/>
        <w:tblW w:w="0" w:type="auto"/>
        <w:tblInd w:w="57" w:type="dxa"/>
        <w:tblLayout w:type="fixed"/>
        <w:tblCellMar>
          <w:left w:w="57" w:type="dxa"/>
          <w:right w:w="57" w:type="dxa"/>
        </w:tblCellMar>
        <w:tblLook w:val="04A0" w:firstRow="1" w:lastRow="0" w:firstColumn="1" w:lastColumn="0" w:noHBand="0" w:noVBand="1"/>
      </w:tblPr>
      <w:tblGrid>
        <w:gridCol w:w="1064"/>
        <w:gridCol w:w="2055"/>
        <w:gridCol w:w="899"/>
        <w:gridCol w:w="912"/>
        <w:gridCol w:w="852"/>
        <w:gridCol w:w="851"/>
        <w:gridCol w:w="912"/>
        <w:gridCol w:w="852"/>
      </w:tblGrid>
      <w:tr w:rsidR="00D923A0" w:rsidRPr="004E2B6A" w14:paraId="4A65D2AE" w14:textId="77777777" w:rsidTr="00D923A0">
        <w:trPr>
          <w:cantSplit/>
        </w:trPr>
        <w:tc>
          <w:tcPr>
            <w:tcW w:w="1064" w:type="dxa"/>
            <w:vMerge w:val="restart"/>
            <w:tcBorders>
              <w:left w:val="nil"/>
              <w:right w:val="nil"/>
            </w:tcBorders>
          </w:tcPr>
          <w:p w14:paraId="2B478EBE" w14:textId="77777777" w:rsidR="00D923A0" w:rsidRPr="004E2B6A" w:rsidRDefault="00D923A0" w:rsidP="00D923A0">
            <w:pPr>
              <w:pStyle w:val="TableText"/>
            </w:pPr>
          </w:p>
        </w:tc>
        <w:tc>
          <w:tcPr>
            <w:tcW w:w="2055" w:type="dxa"/>
            <w:vMerge w:val="restart"/>
            <w:tcBorders>
              <w:left w:val="nil"/>
              <w:right w:val="nil"/>
            </w:tcBorders>
          </w:tcPr>
          <w:p w14:paraId="733BD23B" w14:textId="77777777" w:rsidR="00D923A0" w:rsidRPr="004E2B6A" w:rsidRDefault="00D923A0" w:rsidP="00D923A0">
            <w:pPr>
              <w:pStyle w:val="TableText"/>
            </w:pPr>
          </w:p>
        </w:tc>
        <w:tc>
          <w:tcPr>
            <w:tcW w:w="2663" w:type="dxa"/>
            <w:gridSpan w:val="3"/>
            <w:tcBorders>
              <w:left w:val="nil"/>
              <w:bottom w:val="single" w:sz="4" w:space="0" w:color="A6A6A6" w:themeColor="background1" w:themeShade="A6"/>
              <w:right w:val="nil"/>
            </w:tcBorders>
          </w:tcPr>
          <w:p w14:paraId="58FD1F03" w14:textId="77777777" w:rsidR="00D923A0" w:rsidRPr="00D923A0" w:rsidRDefault="00D923A0" w:rsidP="00D923A0">
            <w:pPr>
              <w:pStyle w:val="TableText"/>
              <w:jc w:val="center"/>
              <w:rPr>
                <w:b/>
              </w:rPr>
            </w:pPr>
            <w:r w:rsidRPr="00D923A0">
              <w:rPr>
                <w:b/>
              </w:rPr>
              <w:t>New cancer registrations</w:t>
            </w:r>
          </w:p>
        </w:tc>
        <w:tc>
          <w:tcPr>
            <w:tcW w:w="2615" w:type="dxa"/>
            <w:gridSpan w:val="3"/>
            <w:tcBorders>
              <w:left w:val="nil"/>
              <w:bottom w:val="single" w:sz="4" w:space="0" w:color="A6A6A6" w:themeColor="background1" w:themeShade="A6"/>
              <w:right w:val="nil"/>
            </w:tcBorders>
          </w:tcPr>
          <w:p w14:paraId="019BA06B" w14:textId="77777777" w:rsidR="00D923A0" w:rsidRPr="00D923A0" w:rsidRDefault="00D923A0" w:rsidP="00D923A0">
            <w:pPr>
              <w:pStyle w:val="TableText"/>
              <w:jc w:val="center"/>
              <w:rPr>
                <w:b/>
              </w:rPr>
            </w:pPr>
            <w:r w:rsidRPr="00D923A0">
              <w:rPr>
                <w:b/>
              </w:rPr>
              <w:t>Cancer deaths</w:t>
            </w:r>
          </w:p>
        </w:tc>
      </w:tr>
      <w:tr w:rsidR="00D923A0" w:rsidRPr="004E2B6A" w14:paraId="5CCC3B9C" w14:textId="77777777" w:rsidTr="00D923A0">
        <w:trPr>
          <w:cantSplit/>
        </w:trPr>
        <w:tc>
          <w:tcPr>
            <w:tcW w:w="1064" w:type="dxa"/>
            <w:vMerge/>
            <w:tcBorders>
              <w:left w:val="nil"/>
              <w:bottom w:val="single" w:sz="4" w:space="0" w:color="auto"/>
              <w:right w:val="nil"/>
            </w:tcBorders>
          </w:tcPr>
          <w:p w14:paraId="3F5044B0" w14:textId="77777777" w:rsidR="00D923A0" w:rsidRPr="004E2B6A" w:rsidRDefault="00D923A0" w:rsidP="00D923A0">
            <w:pPr>
              <w:pStyle w:val="TableText"/>
            </w:pPr>
          </w:p>
        </w:tc>
        <w:tc>
          <w:tcPr>
            <w:tcW w:w="2055" w:type="dxa"/>
            <w:vMerge/>
            <w:tcBorders>
              <w:left w:val="nil"/>
              <w:bottom w:val="single" w:sz="4" w:space="0" w:color="auto"/>
              <w:right w:val="nil"/>
            </w:tcBorders>
          </w:tcPr>
          <w:p w14:paraId="0567F353" w14:textId="77777777" w:rsidR="00D923A0" w:rsidRPr="004E2B6A" w:rsidRDefault="00D923A0" w:rsidP="00D923A0">
            <w:pPr>
              <w:pStyle w:val="TableText"/>
            </w:pPr>
          </w:p>
        </w:tc>
        <w:tc>
          <w:tcPr>
            <w:tcW w:w="899" w:type="dxa"/>
            <w:tcBorders>
              <w:top w:val="single" w:sz="4" w:space="0" w:color="A6A6A6" w:themeColor="background1" w:themeShade="A6"/>
              <w:left w:val="nil"/>
              <w:bottom w:val="single" w:sz="4" w:space="0" w:color="auto"/>
              <w:right w:val="nil"/>
            </w:tcBorders>
          </w:tcPr>
          <w:p w14:paraId="7FEE7364" w14:textId="77777777" w:rsidR="00D923A0" w:rsidRPr="00D923A0" w:rsidRDefault="00D923A0" w:rsidP="00D923A0">
            <w:pPr>
              <w:pStyle w:val="TableText"/>
              <w:jc w:val="center"/>
              <w:rPr>
                <w:b/>
              </w:rPr>
            </w:pPr>
            <w:r w:rsidRPr="00D923A0">
              <w:rPr>
                <w:b/>
              </w:rPr>
              <w:t>Male</w:t>
            </w:r>
          </w:p>
        </w:tc>
        <w:tc>
          <w:tcPr>
            <w:tcW w:w="912" w:type="dxa"/>
            <w:tcBorders>
              <w:top w:val="single" w:sz="4" w:space="0" w:color="A6A6A6" w:themeColor="background1" w:themeShade="A6"/>
              <w:left w:val="nil"/>
              <w:bottom w:val="single" w:sz="4" w:space="0" w:color="auto"/>
              <w:right w:val="nil"/>
            </w:tcBorders>
          </w:tcPr>
          <w:p w14:paraId="79CDC507" w14:textId="77777777" w:rsidR="00D923A0" w:rsidRPr="00D923A0" w:rsidRDefault="00D923A0" w:rsidP="00D923A0">
            <w:pPr>
              <w:pStyle w:val="TableText"/>
              <w:jc w:val="center"/>
              <w:rPr>
                <w:b/>
              </w:rPr>
            </w:pPr>
            <w:r w:rsidRPr="00D923A0">
              <w:rPr>
                <w:b/>
              </w:rPr>
              <w:t>Female</w:t>
            </w:r>
          </w:p>
        </w:tc>
        <w:tc>
          <w:tcPr>
            <w:tcW w:w="852" w:type="dxa"/>
            <w:tcBorders>
              <w:top w:val="single" w:sz="4" w:space="0" w:color="A6A6A6" w:themeColor="background1" w:themeShade="A6"/>
              <w:left w:val="nil"/>
              <w:bottom w:val="single" w:sz="4" w:space="0" w:color="auto"/>
              <w:right w:val="nil"/>
            </w:tcBorders>
          </w:tcPr>
          <w:p w14:paraId="660C8791" w14:textId="77777777" w:rsidR="00D923A0" w:rsidRPr="00D923A0" w:rsidRDefault="00D923A0" w:rsidP="00D923A0">
            <w:pPr>
              <w:pStyle w:val="TableText"/>
              <w:jc w:val="center"/>
              <w:rPr>
                <w:b/>
              </w:rPr>
            </w:pPr>
            <w:r w:rsidRPr="00D923A0">
              <w:rPr>
                <w:b/>
              </w:rPr>
              <w:t>Total</w:t>
            </w:r>
          </w:p>
        </w:tc>
        <w:tc>
          <w:tcPr>
            <w:tcW w:w="851" w:type="dxa"/>
            <w:tcBorders>
              <w:top w:val="single" w:sz="4" w:space="0" w:color="A6A6A6" w:themeColor="background1" w:themeShade="A6"/>
              <w:left w:val="nil"/>
              <w:bottom w:val="single" w:sz="4" w:space="0" w:color="auto"/>
              <w:right w:val="nil"/>
            </w:tcBorders>
          </w:tcPr>
          <w:p w14:paraId="09B9A06B" w14:textId="77777777" w:rsidR="00D923A0" w:rsidRPr="00D923A0" w:rsidRDefault="00D923A0" w:rsidP="00D923A0">
            <w:pPr>
              <w:pStyle w:val="TableText"/>
              <w:jc w:val="center"/>
              <w:rPr>
                <w:b/>
              </w:rPr>
            </w:pPr>
            <w:r w:rsidRPr="00D923A0">
              <w:rPr>
                <w:b/>
              </w:rPr>
              <w:t>Male</w:t>
            </w:r>
          </w:p>
        </w:tc>
        <w:tc>
          <w:tcPr>
            <w:tcW w:w="912" w:type="dxa"/>
            <w:tcBorders>
              <w:top w:val="single" w:sz="4" w:space="0" w:color="A6A6A6" w:themeColor="background1" w:themeShade="A6"/>
              <w:left w:val="nil"/>
              <w:bottom w:val="single" w:sz="4" w:space="0" w:color="auto"/>
              <w:right w:val="nil"/>
            </w:tcBorders>
          </w:tcPr>
          <w:p w14:paraId="314BDB13" w14:textId="77777777" w:rsidR="00D923A0" w:rsidRPr="00D923A0" w:rsidRDefault="00D923A0" w:rsidP="00D923A0">
            <w:pPr>
              <w:pStyle w:val="TableText"/>
              <w:jc w:val="center"/>
              <w:rPr>
                <w:b/>
              </w:rPr>
            </w:pPr>
            <w:r w:rsidRPr="00D923A0">
              <w:rPr>
                <w:b/>
              </w:rPr>
              <w:t>Female</w:t>
            </w:r>
          </w:p>
        </w:tc>
        <w:tc>
          <w:tcPr>
            <w:tcW w:w="852" w:type="dxa"/>
            <w:tcBorders>
              <w:top w:val="single" w:sz="4" w:space="0" w:color="A6A6A6" w:themeColor="background1" w:themeShade="A6"/>
              <w:left w:val="nil"/>
              <w:bottom w:val="single" w:sz="4" w:space="0" w:color="auto"/>
              <w:right w:val="nil"/>
            </w:tcBorders>
          </w:tcPr>
          <w:p w14:paraId="46203634" w14:textId="77777777" w:rsidR="00D923A0" w:rsidRPr="00D923A0" w:rsidRDefault="00D923A0" w:rsidP="00D923A0">
            <w:pPr>
              <w:pStyle w:val="TableText"/>
              <w:jc w:val="center"/>
              <w:rPr>
                <w:b/>
              </w:rPr>
            </w:pPr>
            <w:r w:rsidRPr="00D923A0">
              <w:rPr>
                <w:b/>
              </w:rPr>
              <w:t>Total</w:t>
            </w:r>
          </w:p>
        </w:tc>
      </w:tr>
      <w:tr w:rsidR="00D923A0" w:rsidRPr="004E2B6A" w14:paraId="043210D3" w14:textId="77777777" w:rsidTr="00D923A0">
        <w:trPr>
          <w:cantSplit/>
        </w:trPr>
        <w:tc>
          <w:tcPr>
            <w:tcW w:w="1064" w:type="dxa"/>
            <w:vMerge w:val="restart"/>
            <w:tcBorders>
              <w:top w:val="single" w:sz="4" w:space="0" w:color="auto"/>
              <w:left w:val="nil"/>
              <w:right w:val="nil"/>
            </w:tcBorders>
          </w:tcPr>
          <w:p w14:paraId="2217BDE5" w14:textId="77777777" w:rsidR="00D923A0" w:rsidRPr="004E2B6A" w:rsidRDefault="00D923A0" w:rsidP="00D923A0">
            <w:pPr>
              <w:pStyle w:val="TableText"/>
            </w:pPr>
            <w:r w:rsidRPr="004E2B6A">
              <w:t>All</w:t>
            </w:r>
          </w:p>
        </w:tc>
        <w:tc>
          <w:tcPr>
            <w:tcW w:w="2055" w:type="dxa"/>
            <w:tcBorders>
              <w:top w:val="single" w:sz="4" w:space="0" w:color="auto"/>
              <w:left w:val="nil"/>
              <w:bottom w:val="nil"/>
              <w:right w:val="nil"/>
            </w:tcBorders>
          </w:tcPr>
          <w:p w14:paraId="03DCB517" w14:textId="77777777" w:rsidR="00D923A0" w:rsidRPr="004E2B6A" w:rsidRDefault="00D923A0" w:rsidP="00D923A0">
            <w:pPr>
              <w:pStyle w:val="TableText"/>
            </w:pPr>
            <w:r w:rsidRPr="004E2B6A">
              <w:t>Number</w:t>
            </w:r>
          </w:p>
        </w:tc>
        <w:tc>
          <w:tcPr>
            <w:tcW w:w="899" w:type="dxa"/>
            <w:tcBorders>
              <w:top w:val="single" w:sz="4" w:space="0" w:color="auto"/>
              <w:left w:val="nil"/>
              <w:bottom w:val="nil"/>
              <w:right w:val="nil"/>
            </w:tcBorders>
          </w:tcPr>
          <w:p w14:paraId="451BDDFD" w14:textId="77777777" w:rsidR="00D923A0" w:rsidRPr="004E2B6A" w:rsidRDefault="00D923A0" w:rsidP="00D923A0">
            <w:pPr>
              <w:pStyle w:val="TableText"/>
              <w:jc w:val="center"/>
            </w:pPr>
            <w:r w:rsidRPr="004E2B6A">
              <w:t>1</w:t>
            </w:r>
            <w:r>
              <w:t>,</w:t>
            </w:r>
            <w:r w:rsidRPr="004E2B6A">
              <w:t>590</w:t>
            </w:r>
          </w:p>
        </w:tc>
        <w:tc>
          <w:tcPr>
            <w:tcW w:w="912" w:type="dxa"/>
            <w:tcBorders>
              <w:top w:val="single" w:sz="4" w:space="0" w:color="auto"/>
              <w:left w:val="nil"/>
              <w:bottom w:val="nil"/>
              <w:right w:val="nil"/>
            </w:tcBorders>
          </w:tcPr>
          <w:p w14:paraId="59201A4F" w14:textId="77777777" w:rsidR="00D923A0" w:rsidRPr="004E2B6A" w:rsidRDefault="00D923A0" w:rsidP="00D923A0">
            <w:pPr>
              <w:pStyle w:val="TableText"/>
              <w:jc w:val="center"/>
            </w:pPr>
            <w:r w:rsidRPr="004E2B6A">
              <w:t>1</w:t>
            </w:r>
            <w:r>
              <w:t>,</w:t>
            </w:r>
            <w:r w:rsidRPr="004E2B6A">
              <w:t>415</w:t>
            </w:r>
          </w:p>
        </w:tc>
        <w:tc>
          <w:tcPr>
            <w:tcW w:w="852" w:type="dxa"/>
            <w:tcBorders>
              <w:top w:val="single" w:sz="4" w:space="0" w:color="auto"/>
              <w:left w:val="nil"/>
              <w:bottom w:val="nil"/>
              <w:right w:val="nil"/>
            </w:tcBorders>
          </w:tcPr>
          <w:p w14:paraId="3F9E3C04" w14:textId="77777777" w:rsidR="00D923A0" w:rsidRPr="004E2B6A" w:rsidRDefault="00D923A0" w:rsidP="00D923A0">
            <w:pPr>
              <w:pStyle w:val="TableText"/>
              <w:jc w:val="center"/>
            </w:pPr>
            <w:r w:rsidRPr="004E2B6A">
              <w:t>3</w:t>
            </w:r>
            <w:r>
              <w:t>,</w:t>
            </w:r>
            <w:r w:rsidRPr="004E2B6A">
              <w:t>005</w:t>
            </w:r>
          </w:p>
        </w:tc>
        <w:tc>
          <w:tcPr>
            <w:tcW w:w="851" w:type="dxa"/>
            <w:tcBorders>
              <w:top w:val="single" w:sz="4" w:space="0" w:color="auto"/>
              <w:left w:val="nil"/>
              <w:bottom w:val="nil"/>
              <w:right w:val="nil"/>
            </w:tcBorders>
          </w:tcPr>
          <w:p w14:paraId="34712DD6" w14:textId="77777777" w:rsidR="00D923A0" w:rsidRPr="004E2B6A" w:rsidRDefault="00D923A0" w:rsidP="00D923A0">
            <w:pPr>
              <w:pStyle w:val="TableText"/>
              <w:jc w:val="center"/>
            </w:pPr>
            <w:r w:rsidRPr="004E2B6A">
              <w:t>644</w:t>
            </w:r>
          </w:p>
        </w:tc>
        <w:tc>
          <w:tcPr>
            <w:tcW w:w="912" w:type="dxa"/>
            <w:tcBorders>
              <w:top w:val="single" w:sz="4" w:space="0" w:color="auto"/>
              <w:left w:val="nil"/>
              <w:bottom w:val="nil"/>
              <w:right w:val="nil"/>
            </w:tcBorders>
          </w:tcPr>
          <w:p w14:paraId="74F8300C" w14:textId="77777777" w:rsidR="00D923A0" w:rsidRPr="004E2B6A" w:rsidRDefault="00D923A0" w:rsidP="00D923A0">
            <w:pPr>
              <w:pStyle w:val="TableText"/>
              <w:jc w:val="center"/>
            </w:pPr>
            <w:r w:rsidRPr="004E2B6A">
              <w:t>579</w:t>
            </w:r>
          </w:p>
        </w:tc>
        <w:tc>
          <w:tcPr>
            <w:tcW w:w="852" w:type="dxa"/>
            <w:tcBorders>
              <w:top w:val="single" w:sz="4" w:space="0" w:color="auto"/>
              <w:left w:val="nil"/>
              <w:bottom w:val="nil"/>
              <w:right w:val="nil"/>
            </w:tcBorders>
          </w:tcPr>
          <w:p w14:paraId="70583D3C" w14:textId="77777777" w:rsidR="00D923A0" w:rsidRPr="004E2B6A" w:rsidRDefault="00D923A0" w:rsidP="00D923A0">
            <w:pPr>
              <w:pStyle w:val="TableText"/>
              <w:jc w:val="center"/>
            </w:pPr>
            <w:r w:rsidRPr="004E2B6A">
              <w:t>1</w:t>
            </w:r>
            <w:r>
              <w:t>,</w:t>
            </w:r>
            <w:r w:rsidRPr="004E2B6A">
              <w:t>223</w:t>
            </w:r>
          </w:p>
        </w:tc>
      </w:tr>
      <w:tr w:rsidR="00D923A0" w:rsidRPr="004E2B6A" w14:paraId="144828F5" w14:textId="77777777" w:rsidTr="00D923A0">
        <w:trPr>
          <w:cantSplit/>
        </w:trPr>
        <w:tc>
          <w:tcPr>
            <w:tcW w:w="1064" w:type="dxa"/>
            <w:vMerge/>
            <w:tcBorders>
              <w:left w:val="nil"/>
              <w:bottom w:val="single" w:sz="4" w:space="0" w:color="A6A6A6" w:themeColor="background1" w:themeShade="A6"/>
              <w:right w:val="nil"/>
            </w:tcBorders>
          </w:tcPr>
          <w:p w14:paraId="0FBC2308" w14:textId="77777777" w:rsidR="00D923A0" w:rsidRPr="004E2B6A" w:rsidRDefault="00D923A0" w:rsidP="00D923A0">
            <w:pPr>
              <w:pStyle w:val="TableText"/>
            </w:pPr>
          </w:p>
        </w:tc>
        <w:tc>
          <w:tcPr>
            <w:tcW w:w="2055" w:type="dxa"/>
            <w:tcBorders>
              <w:top w:val="nil"/>
              <w:left w:val="nil"/>
              <w:bottom w:val="single" w:sz="4" w:space="0" w:color="A6A6A6" w:themeColor="background1" w:themeShade="A6"/>
              <w:right w:val="nil"/>
            </w:tcBorders>
          </w:tcPr>
          <w:p w14:paraId="3F989C1C" w14:textId="77777777" w:rsidR="00D923A0" w:rsidRPr="004E2B6A" w:rsidRDefault="00D923A0" w:rsidP="00D923A0">
            <w:pPr>
              <w:pStyle w:val="TableText"/>
            </w:pPr>
            <w:r w:rsidRPr="004E2B6A">
              <w:t>Rate (per 100,000)*</w:t>
            </w:r>
          </w:p>
        </w:tc>
        <w:tc>
          <w:tcPr>
            <w:tcW w:w="899" w:type="dxa"/>
            <w:tcBorders>
              <w:top w:val="nil"/>
              <w:left w:val="nil"/>
              <w:bottom w:val="single" w:sz="4" w:space="0" w:color="A6A6A6" w:themeColor="background1" w:themeShade="A6"/>
              <w:right w:val="nil"/>
            </w:tcBorders>
          </w:tcPr>
          <w:p w14:paraId="5CA9AC78" w14:textId="77777777" w:rsidR="00D923A0" w:rsidRPr="004E2B6A" w:rsidRDefault="00D923A0" w:rsidP="00D923A0">
            <w:pPr>
              <w:pStyle w:val="TableText"/>
              <w:jc w:val="center"/>
            </w:pPr>
            <w:r w:rsidRPr="004E2B6A">
              <w:t>48.1</w:t>
            </w:r>
          </w:p>
        </w:tc>
        <w:tc>
          <w:tcPr>
            <w:tcW w:w="912" w:type="dxa"/>
            <w:tcBorders>
              <w:top w:val="nil"/>
              <w:left w:val="nil"/>
              <w:bottom w:val="single" w:sz="4" w:space="0" w:color="A6A6A6" w:themeColor="background1" w:themeShade="A6"/>
              <w:right w:val="nil"/>
            </w:tcBorders>
          </w:tcPr>
          <w:p w14:paraId="744A70AD" w14:textId="77777777" w:rsidR="00D923A0" w:rsidRPr="004E2B6A" w:rsidRDefault="00D923A0" w:rsidP="00D923A0">
            <w:pPr>
              <w:pStyle w:val="TableText"/>
              <w:jc w:val="center"/>
            </w:pPr>
            <w:r w:rsidRPr="004E2B6A">
              <w:t>36.7</w:t>
            </w:r>
          </w:p>
        </w:tc>
        <w:tc>
          <w:tcPr>
            <w:tcW w:w="852" w:type="dxa"/>
            <w:tcBorders>
              <w:top w:val="nil"/>
              <w:left w:val="nil"/>
              <w:bottom w:val="single" w:sz="4" w:space="0" w:color="A6A6A6" w:themeColor="background1" w:themeShade="A6"/>
              <w:right w:val="nil"/>
            </w:tcBorders>
          </w:tcPr>
          <w:p w14:paraId="66D18B11" w14:textId="77777777" w:rsidR="00D923A0" w:rsidRPr="004E2B6A" w:rsidRDefault="00D923A0" w:rsidP="00D923A0">
            <w:pPr>
              <w:pStyle w:val="TableText"/>
              <w:jc w:val="center"/>
            </w:pPr>
            <w:r w:rsidRPr="004E2B6A">
              <w:t>42.1</w:t>
            </w:r>
          </w:p>
        </w:tc>
        <w:tc>
          <w:tcPr>
            <w:tcW w:w="851" w:type="dxa"/>
            <w:tcBorders>
              <w:top w:val="nil"/>
              <w:left w:val="nil"/>
              <w:bottom w:val="single" w:sz="4" w:space="0" w:color="A6A6A6" w:themeColor="background1" w:themeShade="A6"/>
              <w:right w:val="nil"/>
            </w:tcBorders>
          </w:tcPr>
          <w:p w14:paraId="0FD0EC83" w14:textId="77777777" w:rsidR="00D923A0" w:rsidRPr="004E2B6A" w:rsidRDefault="00D923A0" w:rsidP="00D923A0">
            <w:pPr>
              <w:pStyle w:val="TableText"/>
              <w:jc w:val="center"/>
            </w:pPr>
            <w:r w:rsidRPr="004E2B6A">
              <w:t>18.7</w:t>
            </w:r>
          </w:p>
        </w:tc>
        <w:tc>
          <w:tcPr>
            <w:tcW w:w="912" w:type="dxa"/>
            <w:tcBorders>
              <w:top w:val="nil"/>
              <w:left w:val="nil"/>
              <w:bottom w:val="single" w:sz="4" w:space="0" w:color="A6A6A6" w:themeColor="background1" w:themeShade="A6"/>
              <w:right w:val="nil"/>
            </w:tcBorders>
          </w:tcPr>
          <w:p w14:paraId="5D0E0F31" w14:textId="77777777" w:rsidR="00D923A0" w:rsidRPr="004E2B6A" w:rsidRDefault="00D923A0" w:rsidP="00D923A0">
            <w:pPr>
              <w:pStyle w:val="TableText"/>
              <w:jc w:val="center"/>
            </w:pPr>
            <w:r w:rsidRPr="004E2B6A">
              <w:t>14.0</w:t>
            </w:r>
          </w:p>
        </w:tc>
        <w:tc>
          <w:tcPr>
            <w:tcW w:w="852" w:type="dxa"/>
            <w:tcBorders>
              <w:top w:val="nil"/>
              <w:left w:val="nil"/>
              <w:bottom w:val="single" w:sz="4" w:space="0" w:color="A6A6A6" w:themeColor="background1" w:themeShade="A6"/>
              <w:right w:val="nil"/>
            </w:tcBorders>
          </w:tcPr>
          <w:p w14:paraId="7F69AE14" w14:textId="77777777" w:rsidR="00D923A0" w:rsidRPr="004E2B6A" w:rsidRDefault="00D923A0" w:rsidP="00D923A0">
            <w:pPr>
              <w:pStyle w:val="TableText"/>
              <w:jc w:val="center"/>
            </w:pPr>
            <w:r w:rsidRPr="004E2B6A">
              <w:t>16.1</w:t>
            </w:r>
          </w:p>
        </w:tc>
      </w:tr>
      <w:tr w:rsidR="00D923A0" w:rsidRPr="004E2B6A" w14:paraId="2EE82CC0" w14:textId="77777777" w:rsidTr="00D923A0">
        <w:trPr>
          <w:cantSplit/>
        </w:trPr>
        <w:tc>
          <w:tcPr>
            <w:tcW w:w="1064" w:type="dxa"/>
            <w:vMerge w:val="restart"/>
            <w:tcBorders>
              <w:top w:val="single" w:sz="4" w:space="0" w:color="A6A6A6" w:themeColor="background1" w:themeShade="A6"/>
              <w:left w:val="nil"/>
              <w:right w:val="nil"/>
            </w:tcBorders>
          </w:tcPr>
          <w:p w14:paraId="2F5803DD" w14:textId="77777777" w:rsidR="00D923A0" w:rsidRPr="004E2B6A" w:rsidRDefault="00D923A0" w:rsidP="00D923A0">
            <w:pPr>
              <w:pStyle w:val="TableText"/>
            </w:pPr>
            <w:r>
              <w:t>Mā</w:t>
            </w:r>
            <w:r w:rsidRPr="004E2B6A">
              <w:t>ori</w:t>
            </w:r>
          </w:p>
        </w:tc>
        <w:tc>
          <w:tcPr>
            <w:tcW w:w="2055" w:type="dxa"/>
            <w:tcBorders>
              <w:top w:val="single" w:sz="4" w:space="0" w:color="A6A6A6" w:themeColor="background1" w:themeShade="A6"/>
              <w:left w:val="nil"/>
              <w:bottom w:val="nil"/>
              <w:right w:val="nil"/>
            </w:tcBorders>
          </w:tcPr>
          <w:p w14:paraId="5E990C5A" w14:textId="77777777" w:rsidR="00D923A0" w:rsidRPr="004E2B6A" w:rsidRDefault="00D923A0" w:rsidP="00D923A0">
            <w:pPr>
              <w:pStyle w:val="TableText"/>
            </w:pPr>
            <w:r w:rsidRPr="004E2B6A">
              <w:t>Number</w:t>
            </w:r>
          </w:p>
        </w:tc>
        <w:tc>
          <w:tcPr>
            <w:tcW w:w="899" w:type="dxa"/>
            <w:tcBorders>
              <w:top w:val="single" w:sz="4" w:space="0" w:color="A6A6A6" w:themeColor="background1" w:themeShade="A6"/>
              <w:left w:val="nil"/>
              <w:bottom w:val="nil"/>
              <w:right w:val="nil"/>
            </w:tcBorders>
          </w:tcPr>
          <w:p w14:paraId="307BB515" w14:textId="77777777" w:rsidR="00D923A0" w:rsidRPr="004E2B6A" w:rsidRDefault="00D923A0" w:rsidP="00D923A0">
            <w:pPr>
              <w:pStyle w:val="TableText"/>
              <w:jc w:val="center"/>
            </w:pPr>
            <w:r w:rsidRPr="004E2B6A">
              <w:t>94</w:t>
            </w:r>
          </w:p>
        </w:tc>
        <w:tc>
          <w:tcPr>
            <w:tcW w:w="912" w:type="dxa"/>
            <w:tcBorders>
              <w:top w:val="single" w:sz="4" w:space="0" w:color="A6A6A6" w:themeColor="background1" w:themeShade="A6"/>
              <w:left w:val="nil"/>
              <w:bottom w:val="nil"/>
              <w:right w:val="nil"/>
            </w:tcBorders>
          </w:tcPr>
          <w:p w14:paraId="14DEBF0C" w14:textId="77777777" w:rsidR="00D923A0" w:rsidRPr="004E2B6A" w:rsidRDefault="00D923A0" w:rsidP="00D923A0">
            <w:pPr>
              <w:pStyle w:val="TableText"/>
              <w:jc w:val="center"/>
            </w:pPr>
            <w:r w:rsidRPr="004E2B6A">
              <w:t>68</w:t>
            </w:r>
          </w:p>
        </w:tc>
        <w:tc>
          <w:tcPr>
            <w:tcW w:w="852" w:type="dxa"/>
            <w:tcBorders>
              <w:top w:val="single" w:sz="4" w:space="0" w:color="A6A6A6" w:themeColor="background1" w:themeShade="A6"/>
              <w:left w:val="nil"/>
              <w:bottom w:val="nil"/>
              <w:right w:val="nil"/>
            </w:tcBorders>
          </w:tcPr>
          <w:p w14:paraId="4053EFB9" w14:textId="77777777" w:rsidR="00D923A0" w:rsidRPr="004E2B6A" w:rsidRDefault="00D923A0" w:rsidP="00D923A0">
            <w:pPr>
              <w:pStyle w:val="TableText"/>
              <w:jc w:val="center"/>
            </w:pPr>
            <w:r w:rsidRPr="004E2B6A">
              <w:t>162</w:t>
            </w:r>
          </w:p>
        </w:tc>
        <w:tc>
          <w:tcPr>
            <w:tcW w:w="851" w:type="dxa"/>
            <w:tcBorders>
              <w:top w:val="single" w:sz="4" w:space="0" w:color="A6A6A6" w:themeColor="background1" w:themeShade="A6"/>
              <w:left w:val="nil"/>
              <w:bottom w:val="nil"/>
              <w:right w:val="nil"/>
            </w:tcBorders>
          </w:tcPr>
          <w:p w14:paraId="6F20672B" w14:textId="77777777" w:rsidR="00D923A0" w:rsidRPr="004E2B6A" w:rsidRDefault="00D923A0" w:rsidP="00D923A0">
            <w:pPr>
              <w:pStyle w:val="TableText"/>
              <w:jc w:val="center"/>
            </w:pPr>
            <w:r w:rsidRPr="004E2B6A">
              <w:t>37</w:t>
            </w:r>
          </w:p>
        </w:tc>
        <w:tc>
          <w:tcPr>
            <w:tcW w:w="912" w:type="dxa"/>
            <w:tcBorders>
              <w:top w:val="single" w:sz="4" w:space="0" w:color="A6A6A6" w:themeColor="background1" w:themeShade="A6"/>
              <w:left w:val="nil"/>
              <w:bottom w:val="nil"/>
              <w:right w:val="nil"/>
            </w:tcBorders>
          </w:tcPr>
          <w:p w14:paraId="4922CA17" w14:textId="77777777" w:rsidR="00D923A0" w:rsidRPr="004E2B6A" w:rsidRDefault="00D923A0" w:rsidP="00D923A0">
            <w:pPr>
              <w:pStyle w:val="TableText"/>
              <w:jc w:val="center"/>
            </w:pPr>
            <w:r w:rsidRPr="004E2B6A">
              <w:t>32</w:t>
            </w:r>
          </w:p>
        </w:tc>
        <w:tc>
          <w:tcPr>
            <w:tcW w:w="852" w:type="dxa"/>
            <w:tcBorders>
              <w:top w:val="single" w:sz="4" w:space="0" w:color="A6A6A6" w:themeColor="background1" w:themeShade="A6"/>
              <w:left w:val="nil"/>
              <w:bottom w:val="nil"/>
              <w:right w:val="nil"/>
            </w:tcBorders>
          </w:tcPr>
          <w:p w14:paraId="56AFBCBB" w14:textId="77777777" w:rsidR="00D923A0" w:rsidRPr="004E2B6A" w:rsidRDefault="00D923A0" w:rsidP="00D923A0">
            <w:pPr>
              <w:pStyle w:val="TableText"/>
              <w:jc w:val="center"/>
            </w:pPr>
            <w:r w:rsidRPr="004E2B6A">
              <w:t>69</w:t>
            </w:r>
          </w:p>
        </w:tc>
      </w:tr>
      <w:tr w:rsidR="00D923A0" w:rsidRPr="004E2B6A" w14:paraId="6A317A51" w14:textId="77777777" w:rsidTr="00D923A0">
        <w:trPr>
          <w:cantSplit/>
        </w:trPr>
        <w:tc>
          <w:tcPr>
            <w:tcW w:w="1064" w:type="dxa"/>
            <w:vMerge/>
            <w:tcBorders>
              <w:left w:val="nil"/>
              <w:bottom w:val="single" w:sz="4" w:space="0" w:color="A6A6A6" w:themeColor="background1" w:themeShade="A6"/>
              <w:right w:val="nil"/>
            </w:tcBorders>
          </w:tcPr>
          <w:p w14:paraId="1C097AEC" w14:textId="77777777" w:rsidR="00D923A0" w:rsidRPr="004E2B6A" w:rsidRDefault="00D923A0" w:rsidP="00D923A0">
            <w:pPr>
              <w:pStyle w:val="TableText"/>
            </w:pPr>
          </w:p>
        </w:tc>
        <w:tc>
          <w:tcPr>
            <w:tcW w:w="2055" w:type="dxa"/>
            <w:tcBorders>
              <w:top w:val="nil"/>
              <w:left w:val="nil"/>
              <w:bottom w:val="single" w:sz="4" w:space="0" w:color="A6A6A6" w:themeColor="background1" w:themeShade="A6"/>
              <w:right w:val="nil"/>
            </w:tcBorders>
          </w:tcPr>
          <w:p w14:paraId="32BD79EA" w14:textId="77777777" w:rsidR="00D923A0" w:rsidRPr="004E2B6A" w:rsidRDefault="00D923A0" w:rsidP="00D923A0">
            <w:pPr>
              <w:pStyle w:val="TableText"/>
            </w:pPr>
            <w:r w:rsidRPr="004E2B6A">
              <w:t>Rate (per 100,000)</w:t>
            </w:r>
          </w:p>
        </w:tc>
        <w:tc>
          <w:tcPr>
            <w:tcW w:w="899" w:type="dxa"/>
            <w:tcBorders>
              <w:top w:val="nil"/>
              <w:left w:val="nil"/>
              <w:bottom w:val="single" w:sz="4" w:space="0" w:color="A6A6A6" w:themeColor="background1" w:themeShade="A6"/>
              <w:right w:val="nil"/>
            </w:tcBorders>
          </w:tcPr>
          <w:p w14:paraId="29FAD91B" w14:textId="77777777" w:rsidR="00D923A0" w:rsidRPr="004E2B6A" w:rsidRDefault="00D923A0" w:rsidP="00D923A0">
            <w:pPr>
              <w:pStyle w:val="TableText"/>
              <w:jc w:val="center"/>
            </w:pPr>
            <w:r w:rsidRPr="004E2B6A">
              <w:t>43.4</w:t>
            </w:r>
          </w:p>
        </w:tc>
        <w:tc>
          <w:tcPr>
            <w:tcW w:w="912" w:type="dxa"/>
            <w:tcBorders>
              <w:top w:val="nil"/>
              <w:left w:val="nil"/>
              <w:bottom w:val="single" w:sz="4" w:space="0" w:color="A6A6A6" w:themeColor="background1" w:themeShade="A6"/>
              <w:right w:val="nil"/>
            </w:tcBorders>
          </w:tcPr>
          <w:p w14:paraId="1767A525" w14:textId="77777777" w:rsidR="00D923A0" w:rsidRPr="004E2B6A" w:rsidRDefault="00D923A0" w:rsidP="00D923A0">
            <w:pPr>
              <w:pStyle w:val="TableText"/>
              <w:jc w:val="center"/>
            </w:pPr>
            <w:r w:rsidRPr="004E2B6A">
              <w:t>25.4</w:t>
            </w:r>
          </w:p>
        </w:tc>
        <w:tc>
          <w:tcPr>
            <w:tcW w:w="852" w:type="dxa"/>
            <w:tcBorders>
              <w:top w:val="nil"/>
              <w:left w:val="nil"/>
              <w:bottom w:val="single" w:sz="4" w:space="0" w:color="A6A6A6" w:themeColor="background1" w:themeShade="A6"/>
              <w:right w:val="nil"/>
            </w:tcBorders>
          </w:tcPr>
          <w:p w14:paraId="7E374917" w14:textId="77777777" w:rsidR="00D923A0" w:rsidRPr="004E2B6A" w:rsidRDefault="00D923A0" w:rsidP="00D923A0">
            <w:pPr>
              <w:pStyle w:val="TableText"/>
              <w:jc w:val="center"/>
            </w:pPr>
            <w:r w:rsidRPr="004E2B6A">
              <w:t>33.6</w:t>
            </w:r>
          </w:p>
        </w:tc>
        <w:tc>
          <w:tcPr>
            <w:tcW w:w="851" w:type="dxa"/>
            <w:tcBorders>
              <w:top w:val="nil"/>
              <w:left w:val="nil"/>
              <w:bottom w:val="single" w:sz="4" w:space="0" w:color="A6A6A6" w:themeColor="background1" w:themeShade="A6"/>
              <w:right w:val="nil"/>
            </w:tcBorders>
          </w:tcPr>
          <w:p w14:paraId="29FBF097" w14:textId="77777777" w:rsidR="00D923A0" w:rsidRPr="004E2B6A" w:rsidRDefault="00D923A0" w:rsidP="00D923A0">
            <w:pPr>
              <w:pStyle w:val="TableText"/>
              <w:jc w:val="center"/>
            </w:pPr>
            <w:r w:rsidRPr="004E2B6A">
              <w:t>16.4</w:t>
            </w:r>
          </w:p>
        </w:tc>
        <w:tc>
          <w:tcPr>
            <w:tcW w:w="912" w:type="dxa"/>
            <w:tcBorders>
              <w:top w:val="nil"/>
              <w:left w:val="nil"/>
              <w:bottom w:val="single" w:sz="4" w:space="0" w:color="A6A6A6" w:themeColor="background1" w:themeShade="A6"/>
              <w:right w:val="nil"/>
            </w:tcBorders>
          </w:tcPr>
          <w:p w14:paraId="4149A6CC" w14:textId="77777777" w:rsidR="00D923A0" w:rsidRPr="004E2B6A" w:rsidRDefault="00D923A0" w:rsidP="00D923A0">
            <w:pPr>
              <w:pStyle w:val="TableText"/>
              <w:jc w:val="center"/>
            </w:pPr>
            <w:r w:rsidRPr="004E2B6A">
              <w:t>12.6</w:t>
            </w:r>
          </w:p>
        </w:tc>
        <w:tc>
          <w:tcPr>
            <w:tcW w:w="852" w:type="dxa"/>
            <w:tcBorders>
              <w:top w:val="nil"/>
              <w:left w:val="nil"/>
              <w:bottom w:val="single" w:sz="4" w:space="0" w:color="A6A6A6" w:themeColor="background1" w:themeShade="A6"/>
              <w:right w:val="nil"/>
            </w:tcBorders>
          </w:tcPr>
          <w:p w14:paraId="4190C710" w14:textId="77777777" w:rsidR="00D923A0" w:rsidRPr="004E2B6A" w:rsidRDefault="00D923A0" w:rsidP="00D923A0">
            <w:pPr>
              <w:pStyle w:val="TableText"/>
              <w:jc w:val="center"/>
            </w:pPr>
            <w:r w:rsidRPr="004E2B6A">
              <w:t>14.6</w:t>
            </w:r>
          </w:p>
        </w:tc>
      </w:tr>
      <w:tr w:rsidR="00D923A0" w:rsidRPr="004E2B6A" w14:paraId="0AE31096" w14:textId="77777777" w:rsidTr="00D923A0">
        <w:trPr>
          <w:cantSplit/>
        </w:trPr>
        <w:tc>
          <w:tcPr>
            <w:tcW w:w="1064" w:type="dxa"/>
            <w:vMerge w:val="restart"/>
            <w:tcBorders>
              <w:top w:val="single" w:sz="4" w:space="0" w:color="A6A6A6" w:themeColor="background1" w:themeShade="A6"/>
              <w:left w:val="nil"/>
              <w:right w:val="nil"/>
            </w:tcBorders>
          </w:tcPr>
          <w:p w14:paraId="072E5689" w14:textId="77777777" w:rsidR="00D923A0" w:rsidRPr="004E2B6A" w:rsidRDefault="00D923A0" w:rsidP="00D923A0">
            <w:pPr>
              <w:pStyle w:val="TableText"/>
            </w:pPr>
            <w:r>
              <w:t>Non-Mā</w:t>
            </w:r>
            <w:r w:rsidRPr="004E2B6A">
              <w:t>ori</w:t>
            </w:r>
          </w:p>
        </w:tc>
        <w:tc>
          <w:tcPr>
            <w:tcW w:w="2055" w:type="dxa"/>
            <w:tcBorders>
              <w:top w:val="single" w:sz="4" w:space="0" w:color="A6A6A6" w:themeColor="background1" w:themeShade="A6"/>
              <w:left w:val="nil"/>
              <w:bottom w:val="nil"/>
              <w:right w:val="nil"/>
            </w:tcBorders>
          </w:tcPr>
          <w:p w14:paraId="17BA88D5" w14:textId="77777777" w:rsidR="00D923A0" w:rsidRPr="004E2B6A" w:rsidRDefault="00D923A0" w:rsidP="00D923A0">
            <w:pPr>
              <w:pStyle w:val="TableText"/>
            </w:pPr>
            <w:r w:rsidRPr="004E2B6A">
              <w:t>Number</w:t>
            </w:r>
          </w:p>
        </w:tc>
        <w:tc>
          <w:tcPr>
            <w:tcW w:w="899" w:type="dxa"/>
            <w:tcBorders>
              <w:top w:val="single" w:sz="4" w:space="0" w:color="A6A6A6" w:themeColor="background1" w:themeShade="A6"/>
              <w:left w:val="nil"/>
              <w:bottom w:val="nil"/>
              <w:right w:val="nil"/>
            </w:tcBorders>
          </w:tcPr>
          <w:p w14:paraId="6A201CA8" w14:textId="77777777" w:rsidR="00D923A0" w:rsidRPr="004E2B6A" w:rsidRDefault="00D923A0" w:rsidP="00D923A0">
            <w:pPr>
              <w:pStyle w:val="TableText"/>
              <w:jc w:val="center"/>
            </w:pPr>
            <w:r w:rsidRPr="004E2B6A">
              <w:t>1</w:t>
            </w:r>
            <w:r>
              <w:t>,</w:t>
            </w:r>
            <w:r w:rsidRPr="004E2B6A">
              <w:t>496</w:t>
            </w:r>
          </w:p>
        </w:tc>
        <w:tc>
          <w:tcPr>
            <w:tcW w:w="912" w:type="dxa"/>
            <w:tcBorders>
              <w:top w:val="single" w:sz="4" w:space="0" w:color="A6A6A6" w:themeColor="background1" w:themeShade="A6"/>
              <w:left w:val="nil"/>
              <w:bottom w:val="nil"/>
              <w:right w:val="nil"/>
            </w:tcBorders>
          </w:tcPr>
          <w:p w14:paraId="6CF84B98" w14:textId="77777777" w:rsidR="00D923A0" w:rsidRPr="004E2B6A" w:rsidRDefault="00D923A0" w:rsidP="00D923A0">
            <w:pPr>
              <w:pStyle w:val="TableText"/>
              <w:jc w:val="center"/>
            </w:pPr>
            <w:r w:rsidRPr="004E2B6A">
              <w:t>1</w:t>
            </w:r>
            <w:r>
              <w:t>,</w:t>
            </w:r>
            <w:r w:rsidR="002D56F4">
              <w:t>3</w:t>
            </w:r>
            <w:r w:rsidRPr="004E2B6A">
              <w:t>47</w:t>
            </w:r>
          </w:p>
        </w:tc>
        <w:tc>
          <w:tcPr>
            <w:tcW w:w="852" w:type="dxa"/>
            <w:tcBorders>
              <w:top w:val="single" w:sz="4" w:space="0" w:color="A6A6A6" w:themeColor="background1" w:themeShade="A6"/>
              <w:left w:val="nil"/>
              <w:bottom w:val="nil"/>
              <w:right w:val="nil"/>
            </w:tcBorders>
          </w:tcPr>
          <w:p w14:paraId="0C78FC02" w14:textId="77777777" w:rsidR="00D923A0" w:rsidRPr="004E2B6A" w:rsidRDefault="00D923A0" w:rsidP="00D923A0">
            <w:pPr>
              <w:pStyle w:val="TableText"/>
              <w:jc w:val="center"/>
            </w:pPr>
            <w:r w:rsidRPr="004E2B6A">
              <w:t>2</w:t>
            </w:r>
            <w:r>
              <w:t>,</w:t>
            </w:r>
            <w:r w:rsidRPr="004E2B6A">
              <w:t>843</w:t>
            </w:r>
          </w:p>
        </w:tc>
        <w:tc>
          <w:tcPr>
            <w:tcW w:w="851" w:type="dxa"/>
            <w:tcBorders>
              <w:top w:val="single" w:sz="4" w:space="0" w:color="A6A6A6" w:themeColor="background1" w:themeShade="A6"/>
              <w:left w:val="nil"/>
              <w:bottom w:val="nil"/>
              <w:right w:val="nil"/>
            </w:tcBorders>
          </w:tcPr>
          <w:p w14:paraId="1868A0E3" w14:textId="77777777" w:rsidR="00D923A0" w:rsidRPr="004E2B6A" w:rsidRDefault="00D923A0" w:rsidP="00D923A0">
            <w:pPr>
              <w:pStyle w:val="TableText"/>
              <w:jc w:val="center"/>
            </w:pPr>
            <w:r w:rsidRPr="004E2B6A">
              <w:t>607</w:t>
            </w:r>
          </w:p>
        </w:tc>
        <w:tc>
          <w:tcPr>
            <w:tcW w:w="912" w:type="dxa"/>
            <w:tcBorders>
              <w:top w:val="single" w:sz="4" w:space="0" w:color="A6A6A6" w:themeColor="background1" w:themeShade="A6"/>
              <w:left w:val="nil"/>
              <w:bottom w:val="nil"/>
              <w:right w:val="nil"/>
            </w:tcBorders>
          </w:tcPr>
          <w:p w14:paraId="00F0D4DF" w14:textId="77777777" w:rsidR="00D923A0" w:rsidRPr="004E2B6A" w:rsidRDefault="00D923A0" w:rsidP="00D923A0">
            <w:pPr>
              <w:pStyle w:val="TableText"/>
              <w:jc w:val="center"/>
            </w:pPr>
            <w:r w:rsidRPr="004E2B6A">
              <w:t>547</w:t>
            </w:r>
          </w:p>
        </w:tc>
        <w:tc>
          <w:tcPr>
            <w:tcW w:w="852" w:type="dxa"/>
            <w:tcBorders>
              <w:top w:val="single" w:sz="4" w:space="0" w:color="A6A6A6" w:themeColor="background1" w:themeShade="A6"/>
              <w:left w:val="nil"/>
              <w:bottom w:val="nil"/>
              <w:right w:val="nil"/>
            </w:tcBorders>
          </w:tcPr>
          <w:p w14:paraId="32232F87" w14:textId="77777777" w:rsidR="00D923A0" w:rsidRPr="004E2B6A" w:rsidRDefault="00D923A0" w:rsidP="00D923A0">
            <w:pPr>
              <w:pStyle w:val="TableText"/>
              <w:jc w:val="center"/>
            </w:pPr>
            <w:r w:rsidRPr="004E2B6A">
              <w:t>1</w:t>
            </w:r>
            <w:r>
              <w:t>,</w:t>
            </w:r>
            <w:r w:rsidRPr="004E2B6A">
              <w:t>154</w:t>
            </w:r>
          </w:p>
        </w:tc>
      </w:tr>
      <w:tr w:rsidR="00D923A0" w:rsidRPr="004E2B6A" w14:paraId="1F110011" w14:textId="77777777" w:rsidTr="00D923A0">
        <w:trPr>
          <w:cantSplit/>
        </w:trPr>
        <w:tc>
          <w:tcPr>
            <w:tcW w:w="1064" w:type="dxa"/>
            <w:vMerge/>
            <w:tcBorders>
              <w:left w:val="nil"/>
              <w:right w:val="nil"/>
            </w:tcBorders>
          </w:tcPr>
          <w:p w14:paraId="43FFEE7F" w14:textId="77777777" w:rsidR="00D923A0" w:rsidRPr="004E2B6A" w:rsidRDefault="00D923A0" w:rsidP="00D923A0">
            <w:pPr>
              <w:pStyle w:val="TableText"/>
            </w:pPr>
          </w:p>
        </w:tc>
        <w:tc>
          <w:tcPr>
            <w:tcW w:w="2055" w:type="dxa"/>
            <w:tcBorders>
              <w:top w:val="nil"/>
              <w:left w:val="nil"/>
              <w:right w:val="nil"/>
            </w:tcBorders>
          </w:tcPr>
          <w:p w14:paraId="4C6D4F79" w14:textId="77777777" w:rsidR="00D923A0" w:rsidRPr="004E2B6A" w:rsidRDefault="00D923A0" w:rsidP="00D923A0">
            <w:pPr>
              <w:pStyle w:val="TableText"/>
            </w:pPr>
            <w:r w:rsidRPr="004E2B6A">
              <w:t>Rate (per 100,000)</w:t>
            </w:r>
          </w:p>
        </w:tc>
        <w:tc>
          <w:tcPr>
            <w:tcW w:w="899" w:type="dxa"/>
            <w:tcBorders>
              <w:top w:val="nil"/>
              <w:left w:val="nil"/>
              <w:right w:val="nil"/>
            </w:tcBorders>
          </w:tcPr>
          <w:p w14:paraId="188EA223" w14:textId="77777777" w:rsidR="00D923A0" w:rsidRPr="004E2B6A" w:rsidRDefault="00D923A0" w:rsidP="00D923A0">
            <w:pPr>
              <w:pStyle w:val="TableText"/>
              <w:jc w:val="center"/>
            </w:pPr>
            <w:r w:rsidRPr="004E2B6A">
              <w:t>48.5</w:t>
            </w:r>
          </w:p>
        </w:tc>
        <w:tc>
          <w:tcPr>
            <w:tcW w:w="912" w:type="dxa"/>
            <w:tcBorders>
              <w:top w:val="nil"/>
              <w:left w:val="nil"/>
              <w:right w:val="nil"/>
            </w:tcBorders>
          </w:tcPr>
          <w:p w14:paraId="32EECFA3" w14:textId="77777777" w:rsidR="00D923A0" w:rsidRPr="004E2B6A" w:rsidRDefault="00D923A0" w:rsidP="00D923A0">
            <w:pPr>
              <w:pStyle w:val="TableText"/>
              <w:jc w:val="center"/>
            </w:pPr>
            <w:r w:rsidRPr="004E2B6A">
              <w:t>37.6</w:t>
            </w:r>
          </w:p>
        </w:tc>
        <w:tc>
          <w:tcPr>
            <w:tcW w:w="852" w:type="dxa"/>
            <w:tcBorders>
              <w:top w:val="nil"/>
              <w:left w:val="nil"/>
              <w:right w:val="nil"/>
            </w:tcBorders>
          </w:tcPr>
          <w:p w14:paraId="0EA07F87" w14:textId="77777777" w:rsidR="00D923A0" w:rsidRPr="004E2B6A" w:rsidRDefault="00D923A0" w:rsidP="00D923A0">
            <w:pPr>
              <w:pStyle w:val="TableText"/>
              <w:jc w:val="center"/>
            </w:pPr>
            <w:r w:rsidRPr="004E2B6A">
              <w:t>42.7</w:t>
            </w:r>
          </w:p>
        </w:tc>
        <w:tc>
          <w:tcPr>
            <w:tcW w:w="851" w:type="dxa"/>
            <w:tcBorders>
              <w:top w:val="nil"/>
              <w:left w:val="nil"/>
              <w:right w:val="nil"/>
            </w:tcBorders>
          </w:tcPr>
          <w:p w14:paraId="3E491351" w14:textId="77777777" w:rsidR="00D923A0" w:rsidRPr="004E2B6A" w:rsidRDefault="00D923A0" w:rsidP="00D923A0">
            <w:pPr>
              <w:pStyle w:val="TableText"/>
              <w:jc w:val="center"/>
            </w:pPr>
            <w:r w:rsidRPr="004E2B6A">
              <w:t>18.8</w:t>
            </w:r>
          </w:p>
        </w:tc>
        <w:tc>
          <w:tcPr>
            <w:tcW w:w="912" w:type="dxa"/>
            <w:tcBorders>
              <w:top w:val="nil"/>
              <w:left w:val="nil"/>
              <w:right w:val="nil"/>
            </w:tcBorders>
          </w:tcPr>
          <w:p w14:paraId="1476E9E3" w14:textId="77777777" w:rsidR="00D923A0" w:rsidRPr="004E2B6A" w:rsidRDefault="00D923A0" w:rsidP="00D923A0">
            <w:pPr>
              <w:pStyle w:val="TableText"/>
              <w:jc w:val="center"/>
            </w:pPr>
            <w:r w:rsidRPr="004E2B6A">
              <w:t>14.2</w:t>
            </w:r>
          </w:p>
        </w:tc>
        <w:tc>
          <w:tcPr>
            <w:tcW w:w="852" w:type="dxa"/>
            <w:tcBorders>
              <w:top w:val="nil"/>
              <w:left w:val="nil"/>
              <w:right w:val="nil"/>
            </w:tcBorders>
          </w:tcPr>
          <w:p w14:paraId="30F76CAD" w14:textId="77777777" w:rsidR="00D923A0" w:rsidRPr="004E2B6A" w:rsidRDefault="00D923A0" w:rsidP="00D923A0">
            <w:pPr>
              <w:pStyle w:val="TableText"/>
              <w:jc w:val="center"/>
            </w:pPr>
            <w:r w:rsidRPr="004E2B6A">
              <w:t>16.3</w:t>
            </w:r>
          </w:p>
        </w:tc>
      </w:tr>
    </w:tbl>
    <w:p w14:paraId="6A3C5022" w14:textId="77777777" w:rsidR="00F301C7" w:rsidRPr="004E2B6A" w:rsidRDefault="00F301C7" w:rsidP="00D923A0">
      <w:pPr>
        <w:pStyle w:val="Note"/>
      </w:pPr>
      <w:r w:rsidRPr="004E2B6A">
        <w:t>*</w:t>
      </w:r>
      <w:r w:rsidR="00D923A0">
        <w:tab/>
        <w:t>I</w:t>
      </w:r>
      <w:r w:rsidRPr="004E2B6A">
        <w:t xml:space="preserve">ncludes a total of </w:t>
      </w:r>
      <w:r w:rsidR="00D923A0">
        <w:t>20</w:t>
      </w:r>
      <w:r w:rsidRPr="004E2B6A">
        <w:t xml:space="preserve"> (1.7% of all cases) of C18 (anus and anal canal) associated deaths</w:t>
      </w:r>
      <w:r w:rsidR="00D923A0">
        <w:t>.</w:t>
      </w:r>
    </w:p>
    <w:p w14:paraId="26DB1EE4" w14:textId="77777777" w:rsidR="00D923A0" w:rsidRDefault="00F301C7" w:rsidP="00D923A0">
      <w:pPr>
        <w:pStyle w:val="Note"/>
      </w:pPr>
      <w:r w:rsidRPr="004E2B6A">
        <w:t>*</w:t>
      </w:r>
      <w:r w:rsidR="00D923A0">
        <w:tab/>
        <w:t>R</w:t>
      </w:r>
      <w:r w:rsidRPr="004E2B6A">
        <w:t>ates are expressed per 100,000 population and age standardised to the WHO World Standard population.</w:t>
      </w:r>
    </w:p>
    <w:p w14:paraId="3F3CD1F1" w14:textId="77777777" w:rsidR="00F301C7" w:rsidRPr="009C355F" w:rsidRDefault="00F301C7" w:rsidP="00D923A0">
      <w:pPr>
        <w:pStyle w:val="Source"/>
      </w:pPr>
      <w:r w:rsidRPr="009C355F">
        <w:t>Source: New Zealand Mortality Collection</w:t>
      </w:r>
    </w:p>
    <w:p w14:paraId="1B4EDE79" w14:textId="77777777" w:rsidR="00F301C7" w:rsidRPr="009C355F" w:rsidRDefault="00F301C7" w:rsidP="00D923A0"/>
    <w:p w14:paraId="3BB98C38" w14:textId="77777777" w:rsidR="003B6490" w:rsidRDefault="00F301C7" w:rsidP="002D56F4">
      <w:pPr>
        <w:rPr>
          <w:rFonts w:eastAsia="Calibri"/>
        </w:rPr>
      </w:pPr>
      <w:r w:rsidRPr="00DD18FF">
        <w:rPr>
          <w:rFonts w:eastAsia="Calibri"/>
        </w:rPr>
        <w:t>For the total population in 2013, colorectal cancer was the second most common cancer registered for both males and females. In that year,</w:t>
      </w:r>
      <w:r w:rsidRPr="00DD18FF">
        <w:t xml:space="preserve"> </w:t>
      </w:r>
      <w:r w:rsidRPr="00DD18FF">
        <w:rPr>
          <w:rFonts w:eastAsia="Calibri"/>
        </w:rPr>
        <w:t>colorectal cancer was the third most commonly registered cancer for Māori.</w:t>
      </w:r>
      <w:r w:rsidR="003B6490">
        <w:rPr>
          <w:rFonts w:eastAsia="Calibri"/>
        </w:rPr>
        <w:t xml:space="preserve"> </w:t>
      </w:r>
      <w:r>
        <w:rPr>
          <w:rFonts w:eastAsia="Calibri"/>
        </w:rPr>
        <w:t>The age standardised rate for new case registrations in New Zealand was 42.1 per 100,000.</w:t>
      </w:r>
    </w:p>
    <w:p w14:paraId="58450607" w14:textId="77777777" w:rsidR="002D56F4" w:rsidRDefault="002D56F4" w:rsidP="002D56F4">
      <w:pPr>
        <w:rPr>
          <w:rFonts w:eastAsia="Calibri"/>
        </w:rPr>
      </w:pPr>
    </w:p>
    <w:p w14:paraId="6B051188" w14:textId="77777777" w:rsidR="00F301C7" w:rsidRDefault="00F301C7" w:rsidP="002D56F4">
      <w:pPr>
        <w:rPr>
          <w:rFonts w:eastAsia="Calibri"/>
        </w:rPr>
      </w:pPr>
      <w:r>
        <w:rPr>
          <w:rFonts w:eastAsia="Calibri"/>
        </w:rPr>
        <w:t>Males have a higher rate of colorectal cancer compared to females, both Māori and non-Māori.</w:t>
      </w:r>
      <w:r w:rsidR="003B6490">
        <w:rPr>
          <w:rFonts w:eastAsia="Calibri"/>
        </w:rPr>
        <w:t xml:space="preserve"> </w:t>
      </w:r>
      <w:r w:rsidRPr="00DD18FF">
        <w:rPr>
          <w:rFonts w:eastAsia="Calibri"/>
        </w:rPr>
        <w:t xml:space="preserve">Colorectal cancer is one of the few cancers for which Māori registration, and death rates, have historically been lower than non-Māori rates </w:t>
      </w:r>
      <w:r>
        <w:rPr>
          <w:rFonts w:eastAsia="Calibri"/>
        </w:rPr>
        <w:t>(Blakely et al 2010; Ministry of Health 2010, 2011, 2016; Robson et al 2007)</w:t>
      </w:r>
      <w:r w:rsidRPr="00DD18FF">
        <w:rPr>
          <w:rFonts w:eastAsia="Calibri"/>
        </w:rPr>
        <w:t>.</w:t>
      </w:r>
      <w:r>
        <w:rPr>
          <w:rFonts w:eastAsia="Calibri"/>
        </w:rPr>
        <w:t xml:space="preserve"> In 2013, the age standardised rate for Māori was 33.6 per 100,000.</w:t>
      </w:r>
      <w:r w:rsidR="003B6490">
        <w:rPr>
          <w:rFonts w:eastAsia="Calibri"/>
        </w:rPr>
        <w:t xml:space="preserve"> </w:t>
      </w:r>
      <w:r>
        <w:rPr>
          <w:rFonts w:eastAsia="Calibri"/>
        </w:rPr>
        <w:t>For Pacific peoples, colorectal cancer rates are low, with an average annual rate of 29.8 per 100,000 for males and 20.5 per 100,000 for females (</w:t>
      </w:r>
      <w:proofErr w:type="spellStart"/>
      <w:r>
        <w:rPr>
          <w:rFonts w:eastAsia="Calibri"/>
        </w:rPr>
        <w:t>Teng</w:t>
      </w:r>
      <w:proofErr w:type="spellEnd"/>
      <w:r>
        <w:rPr>
          <w:rFonts w:eastAsia="Calibri"/>
        </w:rPr>
        <w:t xml:space="preserve"> et al</w:t>
      </w:r>
      <w:r w:rsidR="002D56F4">
        <w:rPr>
          <w:rFonts w:eastAsia="Calibri"/>
        </w:rPr>
        <w:t xml:space="preserve"> </w:t>
      </w:r>
      <w:r>
        <w:rPr>
          <w:rFonts w:eastAsia="Calibri"/>
        </w:rPr>
        <w:t xml:space="preserve">2016). </w:t>
      </w:r>
      <w:r w:rsidRPr="00DD18FF">
        <w:rPr>
          <w:rFonts w:eastAsia="Calibri"/>
        </w:rPr>
        <w:t>Deprivation index does not appear to have an effect on the rate of cancer registra</w:t>
      </w:r>
      <w:r>
        <w:rPr>
          <w:rFonts w:eastAsia="Calibri"/>
        </w:rPr>
        <w:t>tions for either males or females.</w:t>
      </w:r>
    </w:p>
    <w:p w14:paraId="3C7E8A30" w14:textId="77777777" w:rsidR="002D56F4" w:rsidRDefault="002D56F4" w:rsidP="002D56F4">
      <w:pPr>
        <w:rPr>
          <w:rFonts w:eastAsia="Calibri"/>
        </w:rPr>
      </w:pPr>
    </w:p>
    <w:p w14:paraId="5D882FF9" w14:textId="77777777" w:rsidR="00F301C7" w:rsidRPr="00971C2E" w:rsidRDefault="00F301C7" w:rsidP="002D56F4">
      <w:pPr>
        <w:rPr>
          <w:rFonts w:eastAsia="Calibri"/>
        </w:rPr>
      </w:pPr>
      <w:r>
        <w:rPr>
          <w:rFonts w:eastAsia="Calibri"/>
        </w:rPr>
        <w:t>Between 2006 and 2013 there was</w:t>
      </w:r>
      <w:r w:rsidRPr="005A167B">
        <w:rPr>
          <w:rFonts w:eastAsia="Calibri"/>
        </w:rPr>
        <w:t xml:space="preserve"> a 9.5</w:t>
      </w:r>
      <w:r w:rsidR="007965CA">
        <w:rPr>
          <w:rFonts w:eastAsia="Calibri"/>
        </w:rPr>
        <w:t>%</w:t>
      </w:r>
      <w:r w:rsidRPr="005A167B">
        <w:rPr>
          <w:rFonts w:eastAsia="Calibri"/>
        </w:rPr>
        <w:t xml:space="preserve"> reduction in new registrations </w:t>
      </w:r>
      <w:r>
        <w:rPr>
          <w:rFonts w:eastAsia="Calibri"/>
        </w:rPr>
        <w:t>(from</w:t>
      </w:r>
      <w:r w:rsidRPr="005A167B">
        <w:rPr>
          <w:rFonts w:eastAsia="Calibri"/>
        </w:rPr>
        <w:t xml:space="preserve"> 46.5</w:t>
      </w:r>
      <w:r>
        <w:rPr>
          <w:rFonts w:eastAsia="Calibri"/>
        </w:rPr>
        <w:t xml:space="preserve"> to 42.1 per 100,000)</w:t>
      </w:r>
      <w:r w:rsidRPr="005A167B">
        <w:rPr>
          <w:rFonts w:eastAsia="Calibri"/>
        </w:rPr>
        <w:t>.</w:t>
      </w:r>
      <w:r>
        <w:rPr>
          <w:rFonts w:eastAsia="Calibri"/>
        </w:rPr>
        <w:t xml:space="preserve"> </w:t>
      </w:r>
      <w:r w:rsidRPr="00DD18FF">
        <w:rPr>
          <w:rFonts w:eastAsia="Calibri"/>
        </w:rPr>
        <w:t>While the rates of colorectal cancer have been steadily declining, th</w:t>
      </w:r>
      <w:r>
        <w:rPr>
          <w:rFonts w:eastAsia="Calibri"/>
        </w:rPr>
        <w:t>e actual number of registrations had increased</w:t>
      </w:r>
      <w:r w:rsidRPr="00DD18FF">
        <w:rPr>
          <w:rFonts w:eastAsia="Calibri"/>
        </w:rPr>
        <w:t xml:space="preserve"> as the </w:t>
      </w:r>
      <w:r>
        <w:rPr>
          <w:rFonts w:eastAsia="Calibri"/>
        </w:rPr>
        <w:t>New Zealand population increased</w:t>
      </w:r>
      <w:r w:rsidRPr="00DD18FF">
        <w:rPr>
          <w:rFonts w:eastAsia="Calibri"/>
        </w:rPr>
        <w:t xml:space="preserve"> in size and </w:t>
      </w:r>
      <w:r>
        <w:rPr>
          <w:rFonts w:eastAsia="Calibri"/>
        </w:rPr>
        <w:t>a</w:t>
      </w:r>
      <w:r w:rsidRPr="00DD18FF">
        <w:rPr>
          <w:rFonts w:eastAsia="Calibri"/>
        </w:rPr>
        <w:t xml:space="preserve"> greater proportion of the population is in older age groups (2754 in 2006 to 3005 in 2013)</w:t>
      </w:r>
      <w:r>
        <w:rPr>
          <w:rFonts w:eastAsia="Calibri"/>
        </w:rPr>
        <w:t>.</w:t>
      </w:r>
      <w:r w:rsidRPr="00E6360D">
        <w:rPr>
          <w:rFonts w:eastAsia="Calibri"/>
        </w:rPr>
        <w:t xml:space="preserve"> </w:t>
      </w:r>
      <w:r w:rsidRPr="00971C2E">
        <w:rPr>
          <w:rFonts w:eastAsia="Calibri"/>
        </w:rPr>
        <w:t>The age-stand</w:t>
      </w:r>
      <w:r>
        <w:rPr>
          <w:rFonts w:eastAsia="Calibri"/>
        </w:rPr>
        <w:t>ardised rate in males has fell</w:t>
      </w:r>
      <w:r w:rsidRPr="00971C2E">
        <w:rPr>
          <w:rFonts w:eastAsia="Calibri"/>
        </w:rPr>
        <w:t xml:space="preserve"> 12.1</w:t>
      </w:r>
      <w:r w:rsidR="007965CA">
        <w:rPr>
          <w:rFonts w:eastAsia="Calibri"/>
        </w:rPr>
        <w:t>%</w:t>
      </w:r>
      <w:r w:rsidRPr="00971C2E">
        <w:rPr>
          <w:rFonts w:eastAsia="Calibri"/>
        </w:rPr>
        <w:t xml:space="preserve"> from2006 to 2013. In females the age-standardised rate decreased by 6.6</w:t>
      </w:r>
      <w:r w:rsidR="007965CA">
        <w:rPr>
          <w:rFonts w:eastAsia="Calibri"/>
        </w:rPr>
        <w:t>%</w:t>
      </w:r>
      <w:r w:rsidRPr="00971C2E">
        <w:rPr>
          <w:rFonts w:eastAsia="Calibri"/>
        </w:rPr>
        <w:t xml:space="preserve"> during the same period.</w:t>
      </w:r>
    </w:p>
    <w:p w14:paraId="4CA549CF" w14:textId="77777777" w:rsidR="002D56F4" w:rsidRDefault="002D56F4" w:rsidP="002D56F4"/>
    <w:p w14:paraId="7C0D68AE" w14:textId="77777777" w:rsidR="00F301C7" w:rsidRPr="002D56F4" w:rsidRDefault="00F301C7" w:rsidP="002D56F4">
      <w:r>
        <w:t>The declining rates of colorectal cancer are not experienced equally by Māori and non-Māori (</w:t>
      </w:r>
      <w:r w:rsidR="002D56F4">
        <w:t>F</w:t>
      </w:r>
      <w:r>
        <w:t>igure</w:t>
      </w:r>
      <w:r w:rsidR="002D56F4">
        <w:t> </w:t>
      </w:r>
      <w:r w:rsidR="00E005C0">
        <w:t>1</w:t>
      </w:r>
      <w:r>
        <w:t>).</w:t>
      </w:r>
      <w:r w:rsidR="003B6490">
        <w:t xml:space="preserve"> </w:t>
      </w:r>
      <w:r w:rsidRPr="005A167B">
        <w:t xml:space="preserve">For non-Māori males, registration rates </w:t>
      </w:r>
      <w:r>
        <w:t>have</w:t>
      </w:r>
      <w:r w:rsidRPr="005A167B">
        <w:t xml:space="preserve"> trended downwards. However, for Māor</w:t>
      </w:r>
      <w:r>
        <w:t>i males, rates are increasing</w:t>
      </w:r>
      <w:r w:rsidRPr="005A167B">
        <w:t xml:space="preserve">. For females, the Māori registration rate </w:t>
      </w:r>
      <w:r>
        <w:t>trends are less clear</w:t>
      </w:r>
      <w:r w:rsidRPr="005A167B">
        <w:t xml:space="preserve">, whereas the non-Māori female rate </w:t>
      </w:r>
      <w:r>
        <w:t>showed a steady decline</w:t>
      </w:r>
      <w:r w:rsidR="002D56F4">
        <w:t>.</w:t>
      </w:r>
    </w:p>
    <w:p w14:paraId="2975DD4A" w14:textId="77777777" w:rsidR="002D56F4" w:rsidRDefault="002D56F4" w:rsidP="002D56F4"/>
    <w:p w14:paraId="29B71FF3" w14:textId="77777777" w:rsidR="00F301C7" w:rsidRPr="002D56F4" w:rsidRDefault="00F301C7" w:rsidP="002D56F4">
      <w:pPr>
        <w:pStyle w:val="Figure"/>
      </w:pPr>
      <w:bookmarkStart w:id="7" w:name="_Toc530566679"/>
      <w:r w:rsidRPr="00A538D3">
        <w:lastRenderedPageBreak/>
        <w:t xml:space="preserve">Figure </w:t>
      </w:r>
      <w:r w:rsidR="00E005C0">
        <w:t>1</w:t>
      </w:r>
      <w:r w:rsidRPr="00A538D3">
        <w:t>: Trends in rates of bowel cancer registrations for Māori and non-Māori</w:t>
      </w:r>
      <w:r w:rsidRPr="00A538D3">
        <w:rPr>
          <w:noProof/>
        </w:rPr>
        <w:t xml:space="preserve"> by sex, 2004</w:t>
      </w:r>
      <w:r w:rsidR="002D56F4">
        <w:rPr>
          <w:noProof/>
        </w:rPr>
        <w:t>–</w:t>
      </w:r>
      <w:r w:rsidRPr="00A538D3">
        <w:rPr>
          <w:noProof/>
        </w:rPr>
        <w:t>2013</w:t>
      </w:r>
      <w:bookmarkEnd w:id="7"/>
    </w:p>
    <w:p w14:paraId="71516C5D" w14:textId="77777777" w:rsidR="002D56F4" w:rsidRDefault="00F301C7" w:rsidP="002D56F4">
      <w:r w:rsidRPr="00A538D3">
        <w:rPr>
          <w:noProof/>
          <w:bdr w:val="single" w:sz="4" w:space="0" w:color="auto"/>
          <w:lang w:eastAsia="en-NZ"/>
        </w:rPr>
        <w:drawing>
          <wp:inline distT="0" distB="0" distL="0" distR="0" wp14:anchorId="61710007" wp14:editId="471AF717">
            <wp:extent cx="5973120" cy="2111432"/>
            <wp:effectExtent l="19050" t="19050" r="27940" b="22225"/>
            <wp:docPr id="4" name="Picture 4" title="Figure 1: Trends in rates of bowel cancer registrations for Māori and non-Māori by sex, 2004–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7">
                      <a:grayscl/>
                      <a:extLst>
                        <a:ext uri="{28A0092B-C50C-407E-A947-70E740481C1C}">
                          <a14:useLocalDpi xmlns:a14="http://schemas.microsoft.com/office/drawing/2010/main" val="0"/>
                        </a:ext>
                      </a:extLst>
                    </a:blip>
                    <a:srcRect r="7802"/>
                    <a:stretch/>
                  </pic:blipFill>
                  <pic:spPr bwMode="auto">
                    <a:xfrm>
                      <a:off x="0" y="0"/>
                      <a:ext cx="5972957" cy="2111374"/>
                    </a:xfrm>
                    <a:prstGeom prst="rect">
                      <a:avLst/>
                    </a:prstGeom>
                    <a:noFill/>
                    <a:ln>
                      <a:solidFill>
                        <a:schemeClr val="accent1"/>
                      </a:solidFill>
                    </a:ln>
                    <a:extLst>
                      <a:ext uri="{53640926-AAD7-44D8-BBD7-CCE9431645EC}">
                        <a14:shadowObscured xmlns:a14="http://schemas.microsoft.com/office/drawing/2010/main"/>
                      </a:ext>
                    </a:extLst>
                  </pic:spPr>
                </pic:pic>
              </a:graphicData>
            </a:graphic>
          </wp:inline>
        </w:drawing>
      </w:r>
    </w:p>
    <w:p w14:paraId="5BB729BD" w14:textId="77777777" w:rsidR="00F301C7" w:rsidRDefault="00F301C7" w:rsidP="002D56F4">
      <w:pPr>
        <w:pStyle w:val="Source"/>
      </w:pPr>
      <w:r w:rsidRPr="000223D7">
        <w:t xml:space="preserve">Source: </w:t>
      </w:r>
      <w:r w:rsidR="002D56F4">
        <w:t>R</w:t>
      </w:r>
      <w:r w:rsidRPr="000223D7">
        <w:t xml:space="preserve">egistration data for </w:t>
      </w:r>
      <w:r w:rsidR="002D56F4">
        <w:t>c</w:t>
      </w:r>
      <w:r w:rsidRPr="000223D7">
        <w:t>olorectal cancer (C18</w:t>
      </w:r>
      <w:r w:rsidR="002D56F4">
        <w:t>–</w:t>
      </w:r>
      <w:r w:rsidRPr="000223D7">
        <w:t xml:space="preserve">20) sourced from the New Zealand Cancer Registry and National Mortality Collection respectively. Rates are expressed per 100,000 population and age-standardised to the WHO World Standard Population. Prioritised ethnicity has been used </w:t>
      </w:r>
      <w:r w:rsidRPr="000223D7">
        <w:fldChar w:fldCharType="begin"/>
      </w:r>
      <w:r w:rsidRPr="000223D7">
        <w:instrText xml:space="preserve"> ADDIN EN.CITE &lt;EndNote&gt;&lt;Cite&gt;&lt;Author&gt;Ministry of Health&lt;/Author&gt;&lt;Year&gt;2016&lt;/Year&gt;&lt;RecNum&gt;186&lt;/RecNum&gt;&lt;DisplayText&gt;(Ministry of Health 2016)&lt;/DisplayText&gt;&lt;record&gt;&lt;rec-number&gt;186&lt;/rec-number&gt;&lt;foreign-keys&gt;&lt;key app="EN" db-id="0at9xdd0lszra9efpsuprd29s0swapezzfax"&gt;186&lt;/key&gt;&lt;/foreign-keys&gt;&lt;ref-type name="Report"&gt;27&lt;/ref-type&gt;&lt;contributors&gt;&lt;authors&gt;&lt;author&gt;Ministry of Health,&lt;/author&gt;&lt;/authors&gt;&lt;/contributors&gt;&lt;titles&gt;&lt;title&gt;Cancer: New registrations and deaths 2013.&lt;/title&gt;&lt;/titles&gt;&lt;keywords&gt;&lt;keyword&gt;Colorectal cancer&lt;/keyword&gt;&lt;/keywords&gt;&lt;dates&gt;&lt;year&gt;2016&lt;/year&gt;&lt;/dates&gt;&lt;pub-location&gt;Wellington&lt;/pub-location&gt;&lt;publisher&gt;Ministry of Health&lt;/publisher&gt;&lt;urls&gt;&lt;related-urls&gt;&lt;url&gt;http://www.health.govt.nz/system/files/documents/publications/cancer-new-registrations-deaths-2013-nov16.pdf &lt;/url&gt;&lt;/related-urls&gt;&lt;/urls&gt;&lt;/record&gt;&lt;/Cite&gt;&lt;/EndNote&gt;</w:instrText>
      </w:r>
      <w:r w:rsidRPr="000223D7">
        <w:fldChar w:fldCharType="separate"/>
      </w:r>
      <w:r w:rsidRPr="000223D7">
        <w:rPr>
          <w:noProof/>
        </w:rPr>
        <w:t>(</w:t>
      </w:r>
      <w:hyperlink w:anchor="_ENREF_20" w:tooltip="Ministry of Health, 2016 #186" w:history="1">
        <w:r w:rsidRPr="000223D7">
          <w:rPr>
            <w:noProof/>
          </w:rPr>
          <w:t>Ministry of Health 2016</w:t>
        </w:r>
      </w:hyperlink>
      <w:r w:rsidRPr="000223D7">
        <w:rPr>
          <w:noProof/>
        </w:rPr>
        <w:t>)</w:t>
      </w:r>
      <w:r w:rsidRPr="000223D7">
        <w:fldChar w:fldCharType="end"/>
      </w:r>
      <w:r w:rsidR="002D56F4">
        <w:t>.</w:t>
      </w:r>
    </w:p>
    <w:p w14:paraId="1CC91E8A" w14:textId="77777777" w:rsidR="002D56F4" w:rsidRPr="002D56F4" w:rsidRDefault="002D56F4" w:rsidP="002D56F4"/>
    <w:p w14:paraId="6AA556AB" w14:textId="77777777" w:rsidR="003B6490" w:rsidRPr="002D56F4" w:rsidRDefault="00F301C7" w:rsidP="002D56F4">
      <w:pPr>
        <w:pStyle w:val="Heading2"/>
      </w:pPr>
      <w:bookmarkStart w:id="8" w:name="_Toc530660999"/>
      <w:r w:rsidRPr="009C355F">
        <w:t>Mortality</w:t>
      </w:r>
      <w:bookmarkEnd w:id="8"/>
    </w:p>
    <w:p w14:paraId="63FAC359" w14:textId="3171E353" w:rsidR="003B6490" w:rsidRDefault="00F301C7" w:rsidP="002D56F4">
      <w:r w:rsidRPr="008124C1">
        <w:t>In 2013, 1</w:t>
      </w:r>
      <w:r w:rsidR="002D56F4">
        <w:t>,</w:t>
      </w:r>
      <w:r w:rsidRPr="008124C1">
        <w:t xml:space="preserve">223 </w:t>
      </w:r>
      <w:r>
        <w:t xml:space="preserve">people </w:t>
      </w:r>
      <w:r w:rsidRPr="008124C1">
        <w:t>died as a result of colorectal cancer (644 male and 579 female), with 69</w:t>
      </w:r>
      <w:r w:rsidR="002D56F4">
        <w:t> </w:t>
      </w:r>
      <w:r w:rsidRPr="008124C1">
        <w:t>deaths in Māori and 1</w:t>
      </w:r>
      <w:r w:rsidR="002D56F4">
        <w:t>,</w:t>
      </w:r>
      <w:r w:rsidRPr="008124C1">
        <w:t>154 deaths in non-Māori (</w:t>
      </w:r>
      <w:r w:rsidR="002D56F4">
        <w:t>T</w:t>
      </w:r>
      <w:r w:rsidRPr="008124C1">
        <w:t xml:space="preserve">able </w:t>
      </w:r>
      <w:r w:rsidR="001E04B4">
        <w:t>1</w:t>
      </w:r>
      <w:r w:rsidRPr="008124C1">
        <w:t xml:space="preserve">). It was the second most common cause of death from cancer in New Zealand. However, it was the most common cause of death in males but third most common in females. It was the third most common cause of death from cancer for Māori compared with </w:t>
      </w:r>
      <w:r>
        <w:t>the second most common for non-</w:t>
      </w:r>
      <w:r w:rsidRPr="008124C1">
        <w:t>Māori.</w:t>
      </w:r>
      <w:r w:rsidRPr="002D56F4">
        <w:rPr>
          <w:rFonts w:eastAsia="Calibri"/>
        </w:rPr>
        <w:t xml:space="preserve"> </w:t>
      </w:r>
      <w:r w:rsidRPr="005062FC">
        <w:t xml:space="preserve">The </w:t>
      </w:r>
      <w:r>
        <w:t xml:space="preserve">age standardised </w:t>
      </w:r>
      <w:r w:rsidRPr="005062FC">
        <w:t xml:space="preserve">mortality rate </w:t>
      </w:r>
      <w:r>
        <w:t xml:space="preserve">for the total population </w:t>
      </w:r>
      <w:r w:rsidRPr="005062FC">
        <w:t>was 16.1</w:t>
      </w:r>
      <w:r>
        <w:t xml:space="preserve"> per 100,000</w:t>
      </w:r>
      <w:r w:rsidRPr="005062FC">
        <w:t xml:space="preserve">. </w:t>
      </w:r>
      <w:r>
        <w:t xml:space="preserve">As with incidence, mortality was higher for males compared to females. </w:t>
      </w:r>
      <w:r w:rsidRPr="00971C2E">
        <w:t xml:space="preserve">Mortality rates in Māori were not statistically different from </w:t>
      </w:r>
      <w:r w:rsidR="002D56F4">
        <w:t>n</w:t>
      </w:r>
      <w:r w:rsidRPr="00971C2E">
        <w:t>on-Māori, despite low bowel cancer incidence among Māori.</w:t>
      </w:r>
      <w:r>
        <w:t xml:space="preserve"> </w:t>
      </w:r>
      <w:r w:rsidRPr="0028287D">
        <w:t xml:space="preserve">For Pacific peoples, colorectal cancer </w:t>
      </w:r>
      <w:r>
        <w:t>mortality is lower than for Māori or European/Other</w:t>
      </w:r>
      <w:r w:rsidRPr="0028287D">
        <w:t xml:space="preserve">, at </w:t>
      </w:r>
      <w:r>
        <w:t>an annual average of 9.4</w:t>
      </w:r>
      <w:r w:rsidRPr="0028287D">
        <w:t xml:space="preserve"> per 100,000 for males and </w:t>
      </w:r>
      <w:r>
        <w:t>10.0</w:t>
      </w:r>
      <w:r w:rsidRPr="0028287D">
        <w:t xml:space="preserve"> per 100,000 for females (</w:t>
      </w:r>
      <w:proofErr w:type="spellStart"/>
      <w:r w:rsidRPr="0028287D">
        <w:t>Teng</w:t>
      </w:r>
      <w:proofErr w:type="spellEnd"/>
      <w:r w:rsidRPr="0028287D">
        <w:t xml:space="preserve"> et al 2016). </w:t>
      </w:r>
      <w:r>
        <w:t>Deprivation</w:t>
      </w:r>
      <w:r w:rsidRPr="008124C1">
        <w:t xml:space="preserve"> (</w:t>
      </w:r>
      <w:proofErr w:type="spellStart"/>
      <w:r>
        <w:t>NZDep</w:t>
      </w:r>
      <w:proofErr w:type="spellEnd"/>
      <w:r>
        <w:t xml:space="preserve"> </w:t>
      </w:r>
      <w:r w:rsidRPr="008124C1">
        <w:t xml:space="preserve">quintiles 4 and 5) is associated with increased </w:t>
      </w:r>
      <w:r>
        <w:t>mortality</w:t>
      </w:r>
      <w:r w:rsidRPr="008124C1">
        <w:t xml:space="preserve"> rates for both genders compared to quintiles 1</w:t>
      </w:r>
      <w:r w:rsidR="002D56F4">
        <w:t>–</w:t>
      </w:r>
      <w:r w:rsidRPr="008124C1">
        <w:t>3.</w:t>
      </w:r>
    </w:p>
    <w:p w14:paraId="26251662" w14:textId="77777777" w:rsidR="00F301C7" w:rsidRDefault="00F301C7" w:rsidP="002D56F4"/>
    <w:p w14:paraId="77D87A66" w14:textId="77777777" w:rsidR="00F301C7" w:rsidRDefault="00F301C7" w:rsidP="002D56F4">
      <w:r w:rsidRPr="008124C1">
        <w:t xml:space="preserve">Mortality rates </w:t>
      </w:r>
      <w:r>
        <w:t>decreased</w:t>
      </w:r>
      <w:r w:rsidRPr="008124C1">
        <w:t xml:space="preserve"> </w:t>
      </w:r>
      <w:r>
        <w:t xml:space="preserve">over the last decade (Figure </w:t>
      </w:r>
      <w:r w:rsidR="00E005C0">
        <w:t>2</w:t>
      </w:r>
      <w:r>
        <w:t>)</w:t>
      </w:r>
      <w:r w:rsidRPr="008124C1">
        <w:t>.</w:t>
      </w:r>
      <w:r w:rsidRPr="002D56F4">
        <w:t xml:space="preserve"> </w:t>
      </w:r>
      <w:r>
        <w:t>There wa</w:t>
      </w:r>
      <w:r w:rsidRPr="005062FC">
        <w:t>s a 7.5</w:t>
      </w:r>
      <w:r w:rsidR="007965CA">
        <w:t>%</w:t>
      </w:r>
      <w:r w:rsidRPr="005062FC">
        <w:t xml:space="preserve"> reduction in mortality from a rate of 17.4 in 2006.</w:t>
      </w:r>
      <w:r>
        <w:t xml:space="preserve"> Declining mortality rates are seen for both males and females. The trend is also similar for Māori and non-Māori. </w:t>
      </w:r>
      <w:r w:rsidRPr="00B3707A">
        <w:t xml:space="preserve">This is in contrast for between 1998 and 2008 where male and female </w:t>
      </w:r>
      <w:r>
        <w:t xml:space="preserve">mortality </w:t>
      </w:r>
      <w:r w:rsidRPr="00B3707A">
        <w:t>rates increased b</w:t>
      </w:r>
      <w:r>
        <w:t>y 62</w:t>
      </w:r>
      <w:r w:rsidR="007965CA">
        <w:t>%</w:t>
      </w:r>
      <w:r>
        <w:t xml:space="preserve"> and 2</w:t>
      </w:r>
      <w:r w:rsidR="007965CA">
        <w:t>%</w:t>
      </w:r>
      <w:r>
        <w:t>, respectively (Ministry of Health</w:t>
      </w:r>
      <w:r w:rsidRPr="00B3707A">
        <w:t xml:space="preserve"> 2011).</w:t>
      </w:r>
    </w:p>
    <w:p w14:paraId="46DCA23A" w14:textId="77777777" w:rsidR="002D56F4" w:rsidRDefault="002D56F4" w:rsidP="002D56F4"/>
    <w:p w14:paraId="194858A0" w14:textId="77777777" w:rsidR="00F301C7" w:rsidRPr="002D56F4" w:rsidRDefault="00F301C7" w:rsidP="002D56F4">
      <w:pPr>
        <w:pStyle w:val="Figure"/>
      </w:pPr>
      <w:bookmarkStart w:id="9" w:name="_Toc530566680"/>
      <w:r w:rsidRPr="00A538D3">
        <w:lastRenderedPageBreak/>
        <w:t xml:space="preserve">Figure </w:t>
      </w:r>
      <w:r w:rsidR="00E005C0">
        <w:t>2</w:t>
      </w:r>
      <w:r w:rsidRPr="00A538D3">
        <w:t>: Trends in rates of bowel cancer deaths for Māori and non-Māori</w:t>
      </w:r>
      <w:r w:rsidRPr="00A538D3">
        <w:rPr>
          <w:noProof/>
        </w:rPr>
        <w:t xml:space="preserve"> by sex,</w:t>
      </w:r>
      <w:r w:rsidR="002D56F4">
        <w:rPr>
          <w:noProof/>
        </w:rPr>
        <w:br/>
      </w:r>
      <w:r w:rsidRPr="00A538D3">
        <w:rPr>
          <w:noProof/>
        </w:rPr>
        <w:t>2004</w:t>
      </w:r>
      <w:r w:rsidR="002D56F4">
        <w:rPr>
          <w:noProof/>
        </w:rPr>
        <w:t>–</w:t>
      </w:r>
      <w:r w:rsidRPr="00A538D3">
        <w:rPr>
          <w:noProof/>
        </w:rPr>
        <w:t>2013</w:t>
      </w:r>
      <w:bookmarkEnd w:id="9"/>
    </w:p>
    <w:p w14:paraId="077CA588" w14:textId="77777777" w:rsidR="002D56F4" w:rsidRPr="002D56F4" w:rsidRDefault="00F301C7" w:rsidP="002D56F4">
      <w:r w:rsidRPr="00A538D3">
        <w:rPr>
          <w:noProof/>
          <w:bdr w:val="single" w:sz="4" w:space="0" w:color="auto"/>
          <w:lang w:eastAsia="en-NZ"/>
        </w:rPr>
        <w:drawing>
          <wp:inline distT="0" distB="0" distL="0" distR="0" wp14:anchorId="7086126E" wp14:editId="627E076F">
            <wp:extent cx="5723890" cy="2017808"/>
            <wp:effectExtent l="19050" t="19050" r="10160" b="20955"/>
            <wp:docPr id="5" name="Picture 5" title="Figure 2: Trends in rates of bowel cancer deaths for Māori and non-Māori by sex, 2004–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8">
                      <a:grayscl/>
                      <a:extLst>
                        <a:ext uri="{28A0092B-C50C-407E-A947-70E740481C1C}">
                          <a14:useLocalDpi xmlns:a14="http://schemas.microsoft.com/office/drawing/2010/main" val="0"/>
                        </a:ext>
                      </a:extLst>
                    </a:blip>
                    <a:srcRect r="7802"/>
                    <a:stretch/>
                  </pic:blipFill>
                  <pic:spPr bwMode="auto">
                    <a:xfrm>
                      <a:off x="0" y="0"/>
                      <a:ext cx="5760374" cy="2030670"/>
                    </a:xfrm>
                    <a:prstGeom prst="rect">
                      <a:avLst/>
                    </a:prstGeom>
                    <a:noFill/>
                    <a:ln>
                      <a:solidFill>
                        <a:schemeClr val="accent1"/>
                      </a:solidFill>
                    </a:ln>
                    <a:extLst>
                      <a:ext uri="{53640926-AAD7-44D8-BBD7-CCE9431645EC}">
                        <a14:shadowObscured xmlns:a14="http://schemas.microsoft.com/office/drawing/2010/main"/>
                      </a:ext>
                    </a:extLst>
                  </pic:spPr>
                </pic:pic>
              </a:graphicData>
            </a:graphic>
          </wp:inline>
        </w:drawing>
      </w:r>
    </w:p>
    <w:p w14:paraId="53E6F6BF" w14:textId="77777777" w:rsidR="00F301C7" w:rsidRDefault="00F301C7" w:rsidP="002D56F4">
      <w:pPr>
        <w:pStyle w:val="Source"/>
      </w:pPr>
      <w:r w:rsidRPr="000223D7">
        <w:t xml:space="preserve">Source: </w:t>
      </w:r>
      <w:r w:rsidR="002D56F4">
        <w:t>M</w:t>
      </w:r>
      <w:r w:rsidRPr="000223D7">
        <w:t xml:space="preserve">ortality data for </w:t>
      </w:r>
      <w:proofErr w:type="gramStart"/>
      <w:r w:rsidRPr="000223D7">
        <w:t>Colorectal</w:t>
      </w:r>
      <w:proofErr w:type="gramEnd"/>
      <w:r w:rsidRPr="000223D7">
        <w:t xml:space="preserve"> cancer (C18</w:t>
      </w:r>
      <w:r w:rsidR="002D56F4">
        <w:t>–</w:t>
      </w:r>
      <w:r w:rsidRPr="000223D7">
        <w:t xml:space="preserve">20) sourced from the New Zealand Cancer Registry and National Mortality Collection respectively. Rates are expressed per 100,000 population and age-standardised to the WHO World Standard Population. Prioritised ethnicity has been used </w:t>
      </w:r>
      <w:r w:rsidRPr="000223D7">
        <w:fldChar w:fldCharType="begin"/>
      </w:r>
      <w:r w:rsidRPr="000223D7">
        <w:instrText xml:space="preserve"> ADDIN EN.CITE &lt;EndNote&gt;&lt;Cite&gt;&lt;Author&gt;Ministry of Health&lt;/Author&gt;&lt;Year&gt;2016&lt;/Year&gt;&lt;RecNum&gt;186&lt;/RecNum&gt;&lt;DisplayText&gt;(Ministry of Health 2016)&lt;/DisplayText&gt;&lt;record&gt;&lt;rec-number&gt;186&lt;/rec-number&gt;&lt;foreign-keys&gt;&lt;key app="EN" db-id="0at9xdd0lszra9efpsuprd29s0swapezzfax"&gt;186&lt;/key&gt;&lt;/foreign-keys&gt;&lt;ref-type name="Report"&gt;27&lt;/ref-type&gt;&lt;contributors&gt;&lt;authors&gt;&lt;author&gt;Ministry of Health,&lt;/author&gt;&lt;/authors&gt;&lt;/contributors&gt;&lt;titles&gt;&lt;title&gt;Cancer: New registrations and deaths 2013.&lt;/title&gt;&lt;/titles&gt;&lt;keywords&gt;&lt;keyword&gt;Colorectal cancer&lt;/keyword&gt;&lt;/keywords&gt;&lt;dates&gt;&lt;year&gt;2016&lt;/year&gt;&lt;/dates&gt;&lt;pub-location&gt;Wellington&lt;/pub-location&gt;&lt;publisher&gt;Ministry of Health&lt;/publisher&gt;&lt;urls&gt;&lt;related-urls&gt;&lt;url&gt;http://www.health.govt.nz/system/files/documents/publications/cancer-new-registrations-deaths-2013-nov16.pdf &lt;/url&gt;&lt;/related-urls&gt;&lt;/urls&gt;&lt;/record&gt;&lt;/Cite&gt;&lt;/EndNote&gt;</w:instrText>
      </w:r>
      <w:r w:rsidRPr="000223D7">
        <w:fldChar w:fldCharType="separate"/>
      </w:r>
      <w:r w:rsidRPr="000223D7">
        <w:rPr>
          <w:noProof/>
        </w:rPr>
        <w:t>(</w:t>
      </w:r>
      <w:hyperlink w:anchor="_ENREF_20" w:tooltip="Ministry of Health, 2016 #186" w:history="1">
        <w:r w:rsidRPr="000223D7">
          <w:rPr>
            <w:noProof/>
          </w:rPr>
          <w:t>Ministry of Health 2016</w:t>
        </w:r>
      </w:hyperlink>
      <w:r w:rsidRPr="000223D7">
        <w:rPr>
          <w:noProof/>
        </w:rPr>
        <w:t>)</w:t>
      </w:r>
      <w:r w:rsidRPr="000223D7">
        <w:fldChar w:fldCharType="end"/>
      </w:r>
      <w:r w:rsidR="002D56F4">
        <w:t>.</w:t>
      </w:r>
    </w:p>
    <w:p w14:paraId="5E94DAE5" w14:textId="77777777" w:rsidR="002D56F4" w:rsidRPr="002D56F4" w:rsidRDefault="002D56F4" w:rsidP="002D56F4"/>
    <w:p w14:paraId="0F9E7769" w14:textId="77777777" w:rsidR="00F301C7" w:rsidRPr="009C355F" w:rsidRDefault="00F301C7" w:rsidP="002D56F4">
      <w:pPr>
        <w:pStyle w:val="Heading2"/>
        <w:rPr>
          <w:rFonts w:eastAsia="Calibri"/>
        </w:rPr>
      </w:pPr>
      <w:bookmarkStart w:id="10" w:name="_Toc530661000"/>
      <w:r w:rsidRPr="009C355F">
        <w:rPr>
          <w:rFonts w:eastAsia="Calibri"/>
        </w:rPr>
        <w:t>Stage and survival</w:t>
      </w:r>
      <w:bookmarkEnd w:id="10"/>
    </w:p>
    <w:p w14:paraId="4D57A00E" w14:textId="77777777" w:rsidR="003B6490" w:rsidRDefault="00F301C7" w:rsidP="002D56F4">
      <w:pPr>
        <w:rPr>
          <w:rFonts w:eastAsia="Calibri"/>
        </w:rPr>
      </w:pPr>
      <w:r w:rsidRPr="005A167B">
        <w:rPr>
          <w:rFonts w:eastAsia="Calibri"/>
        </w:rPr>
        <w:t>By international standards, New Zealand has a low rate of early stage diagnosis of colorectal cancer and the lowest percentage of surgically curable (stage I and II) localised disease (28%) when compared with Australia (New South Wales) (34%), United Kingdom (42%), United States (40%) and Hong Kong (35%) data. Twenty percent of disease at diagnosis in New Zealand is metastatic</w:t>
      </w:r>
      <w:r>
        <w:rPr>
          <w:rFonts w:eastAsia="Calibri"/>
        </w:rPr>
        <w:t xml:space="preserve"> (Samson et al 2009)</w:t>
      </w:r>
      <w:r w:rsidRPr="005A167B">
        <w:rPr>
          <w:rFonts w:eastAsia="Calibri"/>
        </w:rPr>
        <w:t>.</w:t>
      </w:r>
    </w:p>
    <w:p w14:paraId="35A419AB" w14:textId="77777777" w:rsidR="002D56F4" w:rsidRDefault="002D56F4" w:rsidP="002D56F4"/>
    <w:p w14:paraId="73799421" w14:textId="77777777" w:rsidR="00F301C7" w:rsidRDefault="00F301C7" w:rsidP="002D56F4">
      <w:r w:rsidRPr="005A167B">
        <w:t xml:space="preserve">Māori are more likely to have distant disease at diagnosis than non-Māori (30.4% compared with 19.4%) and are more likely to have unknown </w:t>
      </w:r>
      <w:r w:rsidRPr="00812AAE">
        <w:t>stage at diagnosis than non-Māori (12.7% c</w:t>
      </w:r>
      <w:r>
        <w:t>ompared with 9.4%) (Robson and Harris</w:t>
      </w:r>
      <w:r w:rsidRPr="00812AAE">
        <w:t xml:space="preserve"> 2007).</w:t>
      </w:r>
      <w:r w:rsidR="003B6490">
        <w:t xml:space="preserve"> </w:t>
      </w:r>
      <w:r>
        <w:t xml:space="preserve">Higher proportions of Pacific colorectal cancer patients are also diagnosed with advanced disease (Jackson et al 2015). </w:t>
      </w:r>
      <w:r w:rsidRPr="00812AAE">
        <w:t>More advance</w:t>
      </w:r>
      <w:r>
        <w:t>d</w:t>
      </w:r>
      <w:r w:rsidRPr="00812AAE">
        <w:t xml:space="preserve"> disease contributes to significantly poorer cancer survival for </w:t>
      </w:r>
      <w:r>
        <w:t>Māori than non-Māori (hazard ratio</w:t>
      </w:r>
      <w:r w:rsidRPr="00812AAE">
        <w:t xml:space="preserve"> 1.33; 95% CI 1.03–1.</w:t>
      </w:r>
      <w:r w:rsidRPr="00330206">
        <w:t>71) (Hill et al 2010b). Levels</w:t>
      </w:r>
      <w:r w:rsidRPr="00812AAE">
        <w:t xml:space="preserve"> of comorbidity and socioeconomic deprivation also contribute to survival rates, along with access</w:t>
      </w:r>
      <w:r>
        <w:t xml:space="preserve"> to</w:t>
      </w:r>
      <w:r w:rsidRPr="00812AAE">
        <w:t xml:space="preserve"> and quality of health care (</w:t>
      </w:r>
      <w:r w:rsidRPr="00C742FD">
        <w:t>C3 Quantitative Study</w:t>
      </w:r>
      <w:r>
        <w:t xml:space="preserve">; Hill et al 2010a, 2010b, </w:t>
      </w:r>
      <w:r w:rsidRPr="00C742FD">
        <w:t xml:space="preserve">2013; </w:t>
      </w:r>
      <w:r>
        <w:t>Jackson et al 2015;</w:t>
      </w:r>
      <w:r w:rsidRPr="00C742FD">
        <w:t xml:space="preserve"> </w:t>
      </w:r>
      <w:proofErr w:type="spellStart"/>
      <w:r w:rsidRPr="00C742FD">
        <w:t>Sarfati</w:t>
      </w:r>
      <w:proofErr w:type="spellEnd"/>
      <w:r w:rsidRPr="00C742FD">
        <w:t xml:space="preserve"> et al 2010)</w:t>
      </w:r>
      <w:r>
        <w:t>.</w:t>
      </w:r>
    </w:p>
    <w:p w14:paraId="1A349C1E" w14:textId="77777777" w:rsidR="002D56F4" w:rsidRDefault="002D56F4" w:rsidP="002D56F4"/>
    <w:p w14:paraId="6F55F48D" w14:textId="77777777" w:rsidR="003B6490" w:rsidRDefault="00F301C7" w:rsidP="002D56F4">
      <w:pPr>
        <w:pStyle w:val="Heading1"/>
      </w:pPr>
      <w:bookmarkStart w:id="11" w:name="_Toc530661001"/>
      <w:r w:rsidRPr="009C355F">
        <w:lastRenderedPageBreak/>
        <w:t>Equity</w:t>
      </w:r>
      <w:bookmarkEnd w:id="11"/>
    </w:p>
    <w:p w14:paraId="4F93B444" w14:textId="77777777" w:rsidR="003B6490" w:rsidRDefault="00F301C7" w:rsidP="002D56F4">
      <w:r w:rsidRPr="00201B39">
        <w:t>Equity is an essential component of a quality screening programme</w:t>
      </w:r>
      <w:r>
        <w:t xml:space="preserve"> (National Screening Unit 2015).</w:t>
      </w:r>
      <w:r w:rsidRPr="00201B39">
        <w:t xml:space="preserve"> The World Health Organization defines equity as the absence of avoidable, unnecessary and unjust differences in the health of groups of people (Ministry of Health 2002; Whitehead 1990; Whitehead and Dahlgren 2006).</w:t>
      </w:r>
    </w:p>
    <w:p w14:paraId="70777608" w14:textId="77777777" w:rsidR="002D56F4" w:rsidRDefault="002D56F4" w:rsidP="002D56F4"/>
    <w:p w14:paraId="31F80F3D" w14:textId="77777777" w:rsidR="00F301C7" w:rsidRDefault="00F301C7" w:rsidP="002D56F4">
      <w:r w:rsidRPr="000223D7">
        <w:t>A key priority for the NBSP is achieving equitable access to and through the bowel screening pathway.</w:t>
      </w:r>
      <w:r>
        <w:t xml:space="preserve"> Māori, Pacific and those living in deprived areas (</w:t>
      </w:r>
      <w:proofErr w:type="spellStart"/>
      <w:r>
        <w:t>NZDep</w:t>
      </w:r>
      <w:proofErr w:type="spellEnd"/>
      <w:r>
        <w:t xml:space="preserve"> 9 and 10) have been identified as priority groups for the programme.</w:t>
      </w:r>
      <w:r w:rsidR="003B6490">
        <w:t xml:space="preserve"> </w:t>
      </w:r>
      <w:r>
        <w:t>This was because of a number of factors: ongoing broader health inequities experienced by these groups;</w:t>
      </w:r>
      <w:r w:rsidRPr="009D1558">
        <w:t xml:space="preserve"> </w:t>
      </w:r>
      <w:r>
        <w:t>lower participation in the bowel screening pilot; and the potential to improve survival due to earlier detection.</w:t>
      </w:r>
    </w:p>
    <w:p w14:paraId="146D543B" w14:textId="77777777" w:rsidR="00F301C7" w:rsidRDefault="00F301C7" w:rsidP="002D56F4"/>
    <w:p w14:paraId="41451055" w14:textId="77777777" w:rsidR="00F301C7" w:rsidRDefault="00F301C7" w:rsidP="002D56F4">
      <w:r w:rsidRPr="004819AB">
        <w:t xml:space="preserve">To achieve the aim of equitable access </w:t>
      </w:r>
      <w:r>
        <w:t>in bowel screening</w:t>
      </w:r>
      <w:r w:rsidRPr="004819AB">
        <w:t xml:space="preserve"> equity is considered at all levels of the programme</w:t>
      </w:r>
      <w:r>
        <w:t xml:space="preserve"> and with all providers.</w:t>
      </w:r>
      <w:r w:rsidRPr="004819AB">
        <w:t xml:space="preserve"> </w:t>
      </w:r>
      <w:r>
        <w:t xml:space="preserve">Achieving equity is expected not only in </w:t>
      </w:r>
      <w:r w:rsidRPr="004819AB">
        <w:t>participation in the programme</w:t>
      </w:r>
      <w:r>
        <w:t>, but also in other quality indicators such as</w:t>
      </w:r>
      <w:r w:rsidRPr="004819AB">
        <w:t xml:space="preserve"> timely progress along the screening pathway. </w:t>
      </w:r>
      <w:r>
        <w:t>Evidence based initiatives are supported, as well as testing innovative approaches designed to meet the needs of priority populations.</w:t>
      </w:r>
      <w:r w:rsidR="003B6490">
        <w:t xml:space="preserve"> </w:t>
      </w:r>
      <w:r>
        <w:t>Strong leadership for equity is important throughout the programme.</w:t>
      </w:r>
    </w:p>
    <w:p w14:paraId="11906FDD" w14:textId="77777777" w:rsidR="002D56F4" w:rsidRDefault="002D56F4" w:rsidP="002D56F4"/>
    <w:p w14:paraId="6D2022BC" w14:textId="77777777" w:rsidR="003B6490" w:rsidRDefault="00F301C7" w:rsidP="002D56F4">
      <w:r w:rsidRPr="00201B39">
        <w:t xml:space="preserve">Equity for Māori is </w:t>
      </w:r>
      <w:r>
        <w:t>a key focus for</w:t>
      </w:r>
      <w:r w:rsidRPr="00201B39">
        <w:t xml:space="preserve"> the NBSP as part of the Crown</w:t>
      </w:r>
      <w:r w:rsidR="003B6490">
        <w:t>’</w:t>
      </w:r>
      <w:r w:rsidRPr="00201B39">
        <w:t xml:space="preserve">s obligations to the indigenous people of New Zealand as a partner to </w:t>
      </w:r>
      <w:proofErr w:type="spellStart"/>
      <w:r w:rsidRPr="00201B39">
        <w:t>Te</w:t>
      </w:r>
      <w:proofErr w:type="spellEnd"/>
      <w:r w:rsidRPr="00201B39">
        <w:t xml:space="preserve"> </w:t>
      </w:r>
      <w:proofErr w:type="spellStart"/>
      <w:r w:rsidRPr="00201B39">
        <w:t>Tiriti</w:t>
      </w:r>
      <w:proofErr w:type="spellEnd"/>
      <w:r w:rsidRPr="00201B39">
        <w:t xml:space="preserve"> o Waitangi. </w:t>
      </w:r>
      <w:r>
        <w:t xml:space="preserve">While the programme </w:t>
      </w:r>
      <w:r w:rsidRPr="00BF75FD">
        <w:t>has positive health gains for both Māori and non-Māori</w:t>
      </w:r>
      <w:r>
        <w:t xml:space="preserve"> and aims for equitable access, it acknowledges that the overall health gains from the programme will be greater for non-Māori at the start of the programme. In depth consideration was given to lowering the starting range for Māori as a way to achieve the same health gain</w:t>
      </w:r>
      <w:r w:rsidR="002D56F4">
        <w:t>.</w:t>
      </w:r>
      <w:r w:rsidRPr="002D56F4">
        <w:rPr>
          <w:rStyle w:val="FootnoteReference"/>
        </w:rPr>
        <w:footnoteReference w:id="4"/>
      </w:r>
      <w:r>
        <w:t xml:space="preserve"> The </w:t>
      </w:r>
      <w:r w:rsidRPr="00E52973">
        <w:t xml:space="preserve">Bowel Screening Advisory Group (BSAG) </w:t>
      </w:r>
      <w:r>
        <w:t>reviewed the evidence about the balance of benefits and risks of screening for younger Māori in 2017, and did not recommend it at that stage.</w:t>
      </w:r>
      <w:r w:rsidR="003B6490">
        <w:t xml:space="preserve"> </w:t>
      </w:r>
      <w:r>
        <w:t>The programme accepted that decision, but is committed to reviewing new evidence as it becomes available.</w:t>
      </w:r>
    </w:p>
    <w:p w14:paraId="04E18202" w14:textId="77777777" w:rsidR="002D56F4" w:rsidRDefault="002D56F4" w:rsidP="002D56F4"/>
    <w:p w14:paraId="5A453601" w14:textId="77777777" w:rsidR="00F301C7" w:rsidRDefault="00F301C7" w:rsidP="002D56F4">
      <w:r>
        <w:t>The National Bowel Cancer Working Group (NBCWG) has identified actions for clinicians in addition to screening which address the inequities in bowel cancer survival between Māori and non-Māori. The NBCWG Māori Equity Statement</w:t>
      </w:r>
      <w:r w:rsidRPr="002D56F4">
        <w:rPr>
          <w:rStyle w:val="FootnoteReference"/>
        </w:rPr>
        <w:footnoteReference w:id="5"/>
      </w:r>
      <w:r>
        <w:t xml:space="preserve"> has a </w:t>
      </w:r>
      <w:r w:rsidR="003B6490">
        <w:t>‘</w:t>
      </w:r>
      <w:r>
        <w:t>get it right for Māori, get it right for all</w:t>
      </w:r>
      <w:r w:rsidR="003B6490">
        <w:t>’</w:t>
      </w:r>
      <w:r>
        <w:t xml:space="preserve"> focus.</w:t>
      </w:r>
      <w:r w:rsidR="003B6490">
        <w:t xml:space="preserve"> </w:t>
      </w:r>
      <w:r>
        <w:t>The actions include early referral, referral for chemotherapy, management of co</w:t>
      </w:r>
      <w:r w:rsidR="002D56F4">
        <w:noBreakHyphen/>
      </w:r>
      <w:r>
        <w:t>morbidities, high quality smoking cessation treatment, socioeconomic support and advocating for Māori patients. These are actions that can influence earlier detection and improved quality of care, both of which contribute to poorer survival for Māori (Hill et al 2010a).</w:t>
      </w:r>
    </w:p>
    <w:p w14:paraId="2C35B5CE" w14:textId="77777777" w:rsidR="002D56F4" w:rsidRPr="004E2B6A" w:rsidRDefault="002D56F4" w:rsidP="002D56F4"/>
    <w:p w14:paraId="55C7B5A3" w14:textId="77777777" w:rsidR="003B6490" w:rsidRDefault="00F301C7" w:rsidP="007965CA">
      <w:pPr>
        <w:pStyle w:val="Heading1"/>
        <w:rPr>
          <w:lang w:eastAsia="en-NZ"/>
        </w:rPr>
      </w:pPr>
      <w:bookmarkStart w:id="12" w:name="_Toc530661002"/>
      <w:r>
        <w:rPr>
          <w:lang w:eastAsia="en-NZ"/>
        </w:rPr>
        <w:lastRenderedPageBreak/>
        <w:t xml:space="preserve">Key findings from the </w:t>
      </w:r>
      <w:proofErr w:type="spellStart"/>
      <w:r>
        <w:rPr>
          <w:lang w:eastAsia="en-NZ"/>
        </w:rPr>
        <w:t>Waite</w:t>
      </w:r>
      <w:r w:rsidRPr="000509BD">
        <w:rPr>
          <w:lang w:eastAsia="en-NZ"/>
        </w:rPr>
        <w:t>mata</w:t>
      </w:r>
      <w:proofErr w:type="spellEnd"/>
      <w:r w:rsidRPr="000509BD">
        <w:rPr>
          <w:lang w:eastAsia="en-NZ"/>
        </w:rPr>
        <w:t xml:space="preserve"> Bowel Screening Pilot</w:t>
      </w:r>
      <w:r w:rsidRPr="007965CA">
        <w:rPr>
          <w:rStyle w:val="FootnoteReference"/>
          <w:b w:val="0"/>
        </w:rPr>
        <w:footnoteReference w:id="6"/>
      </w:r>
      <w:bookmarkEnd w:id="12"/>
    </w:p>
    <w:p w14:paraId="699019F6" w14:textId="77777777" w:rsidR="00F301C7" w:rsidRPr="007B6C3C" w:rsidRDefault="00F301C7" w:rsidP="007965CA">
      <w:pPr>
        <w:pStyle w:val="Number"/>
      </w:pPr>
      <w:r w:rsidRPr="007B6C3C">
        <w:t>In the first screening round (Round 1) a total of 121,798 people were invited to take part and 69,176 people (56.8%) returned a correctly completed kit (and documentation) that could be tested by the laboratory. In the second screening round (Round 2), a total of 130,094 people were invited and 71,810 (55.2%) people returned a correctly completed kit. In the third screening round (first nine months – 1 January 2016 to 30 September 2016), 48,524 people were invited and 26,621 people (54.9%) returned a correctly completed kit.</w:t>
      </w:r>
    </w:p>
    <w:p w14:paraId="5840D3D9" w14:textId="77777777" w:rsidR="003B6490" w:rsidRDefault="00F301C7" w:rsidP="007965CA">
      <w:pPr>
        <w:pStyle w:val="Number"/>
      </w:pPr>
      <w:r w:rsidRPr="007B6C3C">
        <w:t>The New Zealand participation rate for Round 1 of 56.8% was higher than the internationally acceptable minimum participation rate of 45.0% for first screening rounds.</w:t>
      </w:r>
    </w:p>
    <w:p w14:paraId="4A0C11BC" w14:textId="77777777" w:rsidR="00F301C7" w:rsidRPr="007B6C3C" w:rsidRDefault="00F301C7" w:rsidP="007965CA">
      <w:pPr>
        <w:pStyle w:val="Number"/>
      </w:pPr>
      <w:r w:rsidRPr="007B6C3C">
        <w:t>The data shows that for all those who received an invite in Round 2, the average participation was 55% for that round. The average participation for the initial nine months of Round 3 is similar, at 55%. For people for whom Round 2 was their first screen, due to aging in or moving into the area, participation is low (47%). This may be because the average age of a person in this group was 53 and participation is known to be much lower in younger age groups. The initial result from Round 3 shows a similar participation for this group (46%).</w:t>
      </w:r>
    </w:p>
    <w:p w14:paraId="4C113456" w14:textId="77777777" w:rsidR="00F301C7" w:rsidRPr="007B6C3C" w:rsidRDefault="00F301C7" w:rsidP="007965CA">
      <w:pPr>
        <w:pStyle w:val="Number"/>
      </w:pPr>
      <w:r w:rsidRPr="007B6C3C">
        <w:t>For people who were invited in Round 1, but either did not complete their kit correctly or did not take part, only 25% participated in Round 2.</w:t>
      </w:r>
    </w:p>
    <w:p w14:paraId="4B119551" w14:textId="77777777" w:rsidR="00F301C7" w:rsidRPr="007C64AD" w:rsidRDefault="00F301C7" w:rsidP="007965CA">
      <w:pPr>
        <w:pStyle w:val="Number"/>
      </w:pPr>
      <w:r w:rsidRPr="007B6C3C">
        <w:t>The participation was 20% in Round 3, for people who were invited in Round 1 and/or Round 2, but either did not complete their kit correctly or did not take part. A similar pattern is seen in international data; if a person did not take part in an initial screening round, they are less likely to take part when invited a second time.</w:t>
      </w:r>
    </w:p>
    <w:p w14:paraId="7C9A289A" w14:textId="77777777" w:rsidR="00F301C7" w:rsidRPr="007C64AD" w:rsidRDefault="00F301C7" w:rsidP="007965CA">
      <w:pPr>
        <w:pStyle w:val="Number"/>
      </w:pPr>
      <w:r w:rsidRPr="007C64AD">
        <w:rPr>
          <w:lang w:val="en"/>
        </w:rPr>
        <w:t xml:space="preserve">The participation rate for Pacific people in Round 1 was about half that of the </w:t>
      </w:r>
      <w:r w:rsidR="003B6490">
        <w:rPr>
          <w:lang w:val="en"/>
        </w:rPr>
        <w:t>‘</w:t>
      </w:r>
      <w:r w:rsidRPr="007C64AD">
        <w:rPr>
          <w:lang w:val="en"/>
        </w:rPr>
        <w:t>European and Other</w:t>
      </w:r>
      <w:r w:rsidR="003B6490">
        <w:rPr>
          <w:lang w:val="en"/>
        </w:rPr>
        <w:t>’</w:t>
      </w:r>
      <w:r w:rsidRPr="007C64AD">
        <w:rPr>
          <w:lang w:val="en"/>
        </w:rPr>
        <w:t xml:space="preserve"> group. The final results for Round 2 and initial results for Round 3 show this gap, while having closed somewhat (possibly in response to a number of initiatives) still remains.</w:t>
      </w:r>
    </w:p>
    <w:p w14:paraId="41149687" w14:textId="77777777" w:rsidR="00F301C7" w:rsidRPr="007B6C3C" w:rsidRDefault="00F301C7" w:rsidP="007965CA">
      <w:pPr>
        <w:pStyle w:val="Number"/>
      </w:pPr>
      <w:r w:rsidRPr="007B6C3C">
        <w:t>For people who successfully took part in previous screening rounds (returning a kit that could be tested by the laboratory) it was very likely that they would return a successful kit in Round 2. The participation rate for this group of people was 85% and this is towards the higher range reported internationally. A similarly high percentage participation was seen for those invited in the first nine months of Round 3 (82%).</w:t>
      </w:r>
      <w:r>
        <w:t xml:space="preserve"> Participation by ethnicity for each round is shown in figure 1.</w:t>
      </w:r>
    </w:p>
    <w:p w14:paraId="4DDF992D" w14:textId="77777777" w:rsidR="00F301C7" w:rsidRPr="007B6C3C" w:rsidRDefault="00F301C7" w:rsidP="007965CA">
      <w:pPr>
        <w:pStyle w:val="Number"/>
        <w:keepLines/>
      </w:pPr>
      <w:r w:rsidRPr="007B6C3C">
        <w:lastRenderedPageBreak/>
        <w:t>The positivity rate refers to the percentage of people returning a completed test kit who were reported to have a positive FIT during the first and subsequent screening rounds between 1 January 2012 and 30 September 2016. Māori and Pacific participants had slightly higher proportions of positive tests compared with other participants (8.1% and 7.5% for Māori and Pacific respectively compared with 6.4% for Asian and 6.1% for European/other).</w:t>
      </w:r>
    </w:p>
    <w:p w14:paraId="16042EEA" w14:textId="77777777" w:rsidR="00F301C7" w:rsidRPr="007B6C3C" w:rsidRDefault="00F301C7" w:rsidP="007965CA">
      <w:pPr>
        <w:pStyle w:val="Number"/>
      </w:pPr>
      <w:r w:rsidRPr="007B6C3C">
        <w:t>About 6 in 10 people who have a colonoscopy will have adenomas detected. Adenomas may be removed at colonoscopy. Some participants identified with adenomas will be advised to have regular colonoscopy in the future. About 4 in 100 people who have a colonoscopy after their first screening test through the programme will be found to have bowel cancer. For those taking part in Round 2, about 3 in 100 colonoscopies will find bowel cancer. They will be referred for treatment.</w:t>
      </w:r>
    </w:p>
    <w:p w14:paraId="39887923" w14:textId="77777777" w:rsidR="00F301C7" w:rsidRPr="007B6C3C" w:rsidRDefault="00F301C7" w:rsidP="007965CA">
      <w:pPr>
        <w:pStyle w:val="Number"/>
      </w:pPr>
      <w:r w:rsidRPr="007B6C3C">
        <w:t>Māori participants had the highest proportion of cancer or advanced adenoma detected compared to all other ethnicities. Nearly 14 out of 1000 Māori participants screened with a FIT result available were diagnosed with either an advanced adenoma or cancer compared to around 12 for European/Other, 9 for Pacific and 8 for Asian participants.</w:t>
      </w:r>
    </w:p>
    <w:p w14:paraId="439BFB0C" w14:textId="77777777" w:rsidR="00F301C7" w:rsidRDefault="00F301C7" w:rsidP="007965CA">
      <w:pPr>
        <w:pStyle w:val="Number"/>
      </w:pPr>
      <w:r w:rsidRPr="007B6C3C">
        <w:t>The positive predictive value for any abnormality detected was highest for Māori and European/Other groups (57% each) followed by Asian and Pacific people (52% and 47% respectively).</w:t>
      </w:r>
    </w:p>
    <w:p w14:paraId="51FAD233" w14:textId="77777777" w:rsidR="00F301C7" w:rsidRPr="00F24449" w:rsidRDefault="00F301C7" w:rsidP="007965CA"/>
    <w:p w14:paraId="1E5EDC60" w14:textId="77777777" w:rsidR="00F301C7" w:rsidRPr="007C64AD" w:rsidRDefault="00E005C0" w:rsidP="007965CA">
      <w:pPr>
        <w:pStyle w:val="Figure"/>
      </w:pPr>
      <w:bookmarkStart w:id="13" w:name="_Toc530566681"/>
      <w:r>
        <w:rPr>
          <w:lang w:val="en"/>
        </w:rPr>
        <w:t>Figure 3</w:t>
      </w:r>
      <w:r w:rsidR="00F301C7">
        <w:rPr>
          <w:lang w:val="en"/>
        </w:rPr>
        <w:t xml:space="preserve">: </w:t>
      </w:r>
      <w:r w:rsidR="00F301C7" w:rsidRPr="007C64AD">
        <w:rPr>
          <w:lang w:val="en"/>
        </w:rPr>
        <w:t>Participation in the</w:t>
      </w:r>
      <w:r w:rsidR="007965CA">
        <w:rPr>
          <w:lang w:val="en"/>
        </w:rPr>
        <w:t xml:space="preserve"> </w:t>
      </w:r>
      <w:r w:rsidR="00F301C7" w:rsidRPr="007C64AD">
        <w:rPr>
          <w:lang w:val="en"/>
        </w:rPr>
        <w:t>Bowe</w:t>
      </w:r>
      <w:r w:rsidR="00F301C7">
        <w:rPr>
          <w:lang w:val="en"/>
        </w:rPr>
        <w:t>l Screening Pilot by ethnicity s</w:t>
      </w:r>
      <w:r w:rsidR="00F301C7" w:rsidRPr="007C64AD">
        <w:rPr>
          <w:lang w:val="en"/>
        </w:rPr>
        <w:t>howing those invited from 1</w:t>
      </w:r>
      <w:r w:rsidR="007965CA">
        <w:rPr>
          <w:lang w:val="en"/>
        </w:rPr>
        <w:t> </w:t>
      </w:r>
      <w:r w:rsidR="00F301C7" w:rsidRPr="007C64AD">
        <w:rPr>
          <w:lang w:val="en"/>
        </w:rPr>
        <w:t>January 2012 to 30 September 2016</w:t>
      </w:r>
      <w:bookmarkEnd w:id="13"/>
    </w:p>
    <w:p w14:paraId="38390D4B" w14:textId="77777777" w:rsidR="00F301C7" w:rsidRDefault="00F301C7" w:rsidP="007965CA">
      <w:r>
        <w:rPr>
          <w:noProof/>
          <w:lang w:eastAsia="en-NZ"/>
        </w:rPr>
        <w:drawing>
          <wp:inline distT="0" distB="0" distL="0" distR="0" wp14:anchorId="17F028BC" wp14:editId="73576DFD">
            <wp:extent cx="5893724" cy="2442889"/>
            <wp:effectExtent l="19050" t="19050" r="12065" b="14605"/>
            <wp:docPr id="11" name="Picture 11" title="Figure 1: Participation in the Bowel Screening Pilot by ethnicity showing those invited from 1 January 2012 to 30 September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wel-screening-pilot-results.png"/>
                    <pic:cNvPicPr/>
                  </pic:nvPicPr>
                  <pic:blipFill>
                    <a:blip r:embed="rId19">
                      <a:grayscl/>
                      <a:extLst>
                        <a:ext uri="{28A0092B-C50C-407E-A947-70E740481C1C}">
                          <a14:useLocalDpi xmlns:a14="http://schemas.microsoft.com/office/drawing/2010/main" val="0"/>
                        </a:ext>
                      </a:extLst>
                    </a:blip>
                    <a:stretch>
                      <a:fillRect/>
                    </a:stretch>
                  </pic:blipFill>
                  <pic:spPr>
                    <a:xfrm>
                      <a:off x="0" y="0"/>
                      <a:ext cx="5959818" cy="2470284"/>
                    </a:xfrm>
                    <a:prstGeom prst="rect">
                      <a:avLst/>
                    </a:prstGeom>
                    <a:ln>
                      <a:solidFill>
                        <a:srgbClr val="002060"/>
                      </a:solidFill>
                    </a:ln>
                  </pic:spPr>
                </pic:pic>
              </a:graphicData>
            </a:graphic>
          </wp:inline>
        </w:drawing>
      </w:r>
    </w:p>
    <w:p w14:paraId="7FBFB57B" w14:textId="77777777" w:rsidR="007965CA" w:rsidRDefault="007965CA" w:rsidP="007965CA"/>
    <w:p w14:paraId="78A23B92" w14:textId="0B266B5C" w:rsidR="00F301C7" w:rsidRDefault="00F301C7" w:rsidP="007965CA">
      <w:pPr>
        <w:pStyle w:val="Heading1"/>
      </w:pPr>
      <w:bookmarkStart w:id="14" w:name="_Toc530661003"/>
      <w:r>
        <w:lastRenderedPageBreak/>
        <w:t>Colonoscopy definitions</w:t>
      </w:r>
      <w:r w:rsidR="00A74B14">
        <w:rPr>
          <w:rStyle w:val="FootnoteReference"/>
        </w:rPr>
        <w:footnoteReference w:id="7"/>
      </w:r>
      <w:bookmarkEnd w:id="14"/>
    </w:p>
    <w:p w14:paraId="02D4550A" w14:textId="77777777" w:rsidR="00F301C7" w:rsidRPr="00814799" w:rsidRDefault="00F301C7" w:rsidP="007965CA">
      <w:pPr>
        <w:pStyle w:val="Heading2"/>
      </w:pPr>
      <w:bookmarkStart w:id="15" w:name="_Toc530661004"/>
      <w:r w:rsidRPr="00814799">
        <w:t>Screening colonoscopy</w:t>
      </w:r>
      <w:bookmarkEnd w:id="15"/>
    </w:p>
    <w:p w14:paraId="2309DD45" w14:textId="5DF0CA52" w:rsidR="002B26E2" w:rsidRPr="00B33BD8" w:rsidRDefault="00F111C1" w:rsidP="00B33BD8">
      <w:pPr>
        <w:pStyle w:val="NormalWeb"/>
        <w:spacing w:line="276" w:lineRule="auto"/>
        <w:rPr>
          <w:rFonts w:ascii="Georgia" w:hAnsi="Georgia"/>
          <w:sz w:val="22"/>
          <w:szCs w:val="22"/>
        </w:rPr>
      </w:pPr>
      <w:r>
        <w:rPr>
          <w:rFonts w:ascii="Georgia" w:hAnsi="Georgia"/>
          <w:sz w:val="22"/>
          <w:szCs w:val="22"/>
        </w:rPr>
        <w:t>Screenin</w:t>
      </w:r>
      <w:r w:rsidR="00EF7283">
        <w:rPr>
          <w:rFonts w:ascii="Georgia" w:hAnsi="Georgia"/>
          <w:sz w:val="22"/>
          <w:szCs w:val="22"/>
        </w:rPr>
        <w:t>g</w:t>
      </w:r>
      <w:r w:rsidR="002B26E2" w:rsidRPr="00B33BD8">
        <w:rPr>
          <w:rFonts w:ascii="Georgia" w:hAnsi="Georgia"/>
          <w:sz w:val="22"/>
          <w:szCs w:val="22"/>
        </w:rPr>
        <w:t xml:space="preserve"> is the examination of asymptomatic or well individuals in order to classify them as unlikely or likely to have a disease. A national screening programme is an example of a population preventive strategy, where everyone in a particular age-group is invited to participate. A population preventive strategy has the potential to identify a high proportion of individuals with early disease in a population. In a screening programme, this proportion is dependent on the uptake of screening and the sensitivity of the test. </w:t>
      </w:r>
    </w:p>
    <w:p w14:paraId="1013FCEF" w14:textId="0165AF59" w:rsidR="002B26E2" w:rsidRPr="00B33BD8" w:rsidRDefault="002B26E2" w:rsidP="00B33BD8">
      <w:pPr>
        <w:pStyle w:val="NormalWeb"/>
        <w:spacing w:line="276" w:lineRule="auto"/>
        <w:rPr>
          <w:rFonts w:ascii="Georgia" w:hAnsi="Georgia"/>
          <w:sz w:val="22"/>
          <w:szCs w:val="22"/>
        </w:rPr>
      </w:pPr>
      <w:r w:rsidRPr="00B33BD8">
        <w:rPr>
          <w:rFonts w:ascii="Georgia" w:hAnsi="Georgia"/>
          <w:sz w:val="22"/>
          <w:szCs w:val="22"/>
        </w:rPr>
        <w:t>The faecal immunochemical test (FIT) is the primary screening test for the NBSP. If the FIT is negative the participant is returned for 2 yearly FIT screening. If the FIT is positive the participant has a higher likelihood of having a colorectal abnormality or cancer and therefore they are referred for colonoscopy to exclude or confirm disease. In effect a two tier screening strategy - FIT first followed, if indicated, by colonoscopy.</w:t>
      </w:r>
    </w:p>
    <w:p w14:paraId="0F77CAAF" w14:textId="77777777" w:rsidR="00F301C7" w:rsidRDefault="00F301C7" w:rsidP="007965CA">
      <w:pPr>
        <w:pStyle w:val="Heading2"/>
      </w:pPr>
      <w:bookmarkStart w:id="16" w:name="_Toc530661005"/>
      <w:r w:rsidRPr="00814799">
        <w:t>Surveillance colonoscopy</w:t>
      </w:r>
      <w:bookmarkEnd w:id="16"/>
    </w:p>
    <w:p w14:paraId="0D9E5439" w14:textId="27E7BC3A" w:rsidR="007965CA" w:rsidRPr="00B33BD8" w:rsidRDefault="00B33BD8" w:rsidP="00B33BD8">
      <w:pPr>
        <w:pStyle w:val="NormalWeb"/>
        <w:spacing w:line="276" w:lineRule="auto"/>
        <w:rPr>
          <w:rFonts w:ascii="Georgia" w:hAnsi="Georgia"/>
          <w:sz w:val="22"/>
          <w:szCs w:val="22"/>
        </w:rPr>
      </w:pPr>
      <w:r w:rsidRPr="00B33BD8">
        <w:rPr>
          <w:rFonts w:ascii="Georgia" w:hAnsi="Georgia"/>
          <w:sz w:val="22"/>
          <w:szCs w:val="22"/>
        </w:rPr>
        <w:t>Surveillance colonoscopy, as opposed to screening, refers to monitoring individuals known to have a disease or to be at increased risk of a disease. Recommendations are made on the follow-up and management of individuals identified to be at increased risk of developing colorectal cancer and therefore the term surveillance rather than screening is appropriate. A greater proportion of this group could potentially benefit from surveillance because the prevalence of the disease is likely to be higher. Thus, the benefit-to-risk ratio of surveillance (as opposed to population screening) is more favourable. Colonoscopy, as opposed to FIT, is widely recommended for surveillance in individuals with a significant increase in risk of developing colorectal cancer.</w:t>
      </w:r>
    </w:p>
    <w:p w14:paraId="0E11B959" w14:textId="77777777" w:rsidR="00F301C7" w:rsidRPr="008648A4" w:rsidRDefault="00F301C7" w:rsidP="007965CA">
      <w:pPr>
        <w:pStyle w:val="Heading2"/>
      </w:pPr>
      <w:bookmarkStart w:id="17" w:name="_Toc530661006"/>
      <w:r>
        <w:lastRenderedPageBreak/>
        <w:t>G1</w:t>
      </w:r>
      <w:r w:rsidR="007965CA">
        <w:tab/>
      </w:r>
      <w:r w:rsidRPr="001E4D31">
        <w:t>Recommendations – equity and screening for priority groups</w:t>
      </w:r>
      <w:bookmarkEnd w:id="17"/>
    </w:p>
    <w:tbl>
      <w:tblPr>
        <w:tblW w:w="9356" w:type="dxa"/>
        <w:tblInd w:w="57" w:type="dxa"/>
        <w:tblBorders>
          <w:top w:val="single" w:sz="4" w:space="0" w:color="auto"/>
          <w:bottom w:val="single" w:sz="4" w:space="0" w:color="auto"/>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2410"/>
        <w:gridCol w:w="6946"/>
      </w:tblGrid>
      <w:tr w:rsidR="00F301C7" w:rsidRPr="00F64CE2" w14:paraId="21ABF0FE" w14:textId="77777777" w:rsidTr="00B4045B">
        <w:trPr>
          <w:cantSplit/>
        </w:trPr>
        <w:tc>
          <w:tcPr>
            <w:tcW w:w="2410" w:type="dxa"/>
            <w:shd w:val="clear" w:color="auto" w:fill="F2F2F2" w:themeFill="background1" w:themeFillShade="F2"/>
          </w:tcPr>
          <w:p w14:paraId="59003182" w14:textId="77777777" w:rsidR="00F301C7" w:rsidRPr="00B4045B" w:rsidRDefault="00F301C7" w:rsidP="00B4045B">
            <w:pPr>
              <w:pStyle w:val="TableText"/>
              <w:ind w:left="709" w:right="142" w:hanging="709"/>
            </w:pPr>
            <w:r w:rsidRPr="00B4045B">
              <w:t>R1.01</w:t>
            </w:r>
            <w:r w:rsidRPr="00B4045B">
              <w:tab/>
              <w:t>Commitment to equity in health outcomes</w:t>
            </w:r>
          </w:p>
        </w:tc>
        <w:tc>
          <w:tcPr>
            <w:tcW w:w="6946" w:type="dxa"/>
            <w:shd w:val="clear" w:color="auto" w:fill="F2F2F2" w:themeFill="background1" w:themeFillShade="F2"/>
          </w:tcPr>
          <w:p w14:paraId="777823D3" w14:textId="77777777" w:rsidR="00F301C7" w:rsidRPr="00B4045B" w:rsidRDefault="00F301C7" w:rsidP="00B4045B">
            <w:pPr>
              <w:pStyle w:val="TableText"/>
              <w:rPr>
                <w:iCs/>
              </w:rPr>
            </w:pPr>
            <w:r w:rsidRPr="00B4045B">
              <w:rPr>
                <w:b/>
                <w:i/>
              </w:rPr>
              <w:t>Practice point</w:t>
            </w:r>
            <w:r w:rsidRPr="00B4045B">
              <w:t xml:space="preserve"> (</w:t>
            </w:r>
            <w:proofErr w:type="spellStart"/>
            <w:r w:rsidRPr="00B4045B">
              <w:t>MoH</w:t>
            </w:r>
            <w:proofErr w:type="spellEnd"/>
            <w:r w:rsidRPr="00B4045B">
              <w:t xml:space="preserve"> Equity; </w:t>
            </w:r>
            <w:proofErr w:type="spellStart"/>
            <w:r w:rsidRPr="00B4045B">
              <w:t>MoH</w:t>
            </w:r>
            <w:proofErr w:type="spellEnd"/>
            <w:r w:rsidRPr="00B4045B">
              <w:t xml:space="preserve"> Priority)</w:t>
            </w:r>
          </w:p>
          <w:p w14:paraId="570344D8" w14:textId="77777777" w:rsidR="00F301C7" w:rsidRPr="00B4045B" w:rsidRDefault="00F301C7" w:rsidP="00B4045B">
            <w:pPr>
              <w:pStyle w:val="TableText"/>
            </w:pPr>
            <w:r w:rsidRPr="00B4045B">
              <w:t>A key priority for the NBSP is achieving equitable access to and through the bowel screening pathway across all population groups</w:t>
            </w:r>
            <w:r w:rsidR="00B4045B" w:rsidRPr="00B4045B">
              <w:t>.</w:t>
            </w:r>
          </w:p>
          <w:p w14:paraId="33750197" w14:textId="77777777" w:rsidR="00F301C7" w:rsidRPr="00B4045B" w:rsidRDefault="00F301C7" w:rsidP="00B4045B">
            <w:pPr>
              <w:pStyle w:val="TableText"/>
            </w:pPr>
            <w:r w:rsidRPr="00B4045B">
              <w:t xml:space="preserve">To achieve equitable participation and quality throughout the screening pathway, additional effort is needed to support priority group people to be screened and access assessment and treatment services. For the NBSP, </w:t>
            </w:r>
            <w:r w:rsidRPr="00B4045B">
              <w:rPr>
                <w:b/>
              </w:rPr>
              <w:t xml:space="preserve">priority group people </w:t>
            </w:r>
            <w:r w:rsidRPr="00B4045B">
              <w:t>are Māori, Pacific Peoples, and those living in areas of deprivation (NZ Deprivation index 9 and 10) within the eligible age range for screening.</w:t>
            </w:r>
            <w:r w:rsidR="003B6490" w:rsidRPr="00B4045B">
              <w:t xml:space="preserve"> </w:t>
            </w:r>
            <w:r w:rsidRPr="00B4045B">
              <w:t>Providers are expected to use evidence-based strategies to support equal access and quality for priority group people.</w:t>
            </w:r>
          </w:p>
          <w:p w14:paraId="2ACABFA5" w14:textId="77777777" w:rsidR="00F301C7" w:rsidRPr="00B4045B" w:rsidRDefault="00F301C7" w:rsidP="00B4045B">
            <w:pPr>
              <w:pStyle w:val="TableText"/>
            </w:pPr>
            <w:r w:rsidRPr="00B4045B">
              <w:t>For more details, see</w:t>
            </w:r>
            <w:r w:rsidR="00B4045B" w:rsidRPr="00B4045B">
              <w:t>:</w:t>
            </w:r>
            <w:r w:rsidRPr="00B4045B">
              <w:rPr>
                <w:rStyle w:val="FootnoteReference"/>
              </w:rPr>
              <w:footnoteReference w:id="8"/>
            </w:r>
          </w:p>
          <w:p w14:paraId="3F26E2DA" w14:textId="77777777" w:rsidR="00F301C7" w:rsidRPr="00B4045B" w:rsidRDefault="00F301C7" w:rsidP="00B4045B">
            <w:pPr>
              <w:pStyle w:val="TableBullet"/>
            </w:pPr>
            <w:r w:rsidRPr="00B4045B">
              <w:t>Equity Options Report for the Bowel Screening Programme</w:t>
            </w:r>
          </w:p>
          <w:p w14:paraId="51D98ABA" w14:textId="77777777" w:rsidR="00F301C7" w:rsidRPr="00B4045B" w:rsidRDefault="00F301C7" w:rsidP="00B4045B">
            <w:pPr>
              <w:pStyle w:val="TableBullet"/>
            </w:pPr>
            <w:r w:rsidRPr="00B4045B">
              <w:t>Equity Checklist</w:t>
            </w:r>
            <w:r w:rsidR="00B4045B" w:rsidRPr="00B4045B">
              <w:t>.</w:t>
            </w:r>
          </w:p>
        </w:tc>
      </w:tr>
      <w:tr w:rsidR="00F301C7" w:rsidRPr="00F64CE2" w14:paraId="0346BF1C" w14:textId="77777777" w:rsidTr="00B4045B">
        <w:trPr>
          <w:cantSplit/>
        </w:trPr>
        <w:tc>
          <w:tcPr>
            <w:tcW w:w="2410" w:type="dxa"/>
            <w:shd w:val="clear" w:color="auto" w:fill="F2F2F2" w:themeFill="background1" w:themeFillShade="F2"/>
          </w:tcPr>
          <w:p w14:paraId="5C48F792" w14:textId="77777777" w:rsidR="00F301C7" w:rsidRPr="00B4045B" w:rsidRDefault="00F301C7" w:rsidP="00B4045B">
            <w:pPr>
              <w:pStyle w:val="TableText"/>
              <w:ind w:left="709" w:right="142" w:hanging="709"/>
            </w:pPr>
            <w:r w:rsidRPr="00B4045B">
              <w:t>R1.02</w:t>
            </w:r>
            <w:r w:rsidR="00B4045B" w:rsidRPr="00B4045B">
              <w:tab/>
            </w:r>
            <w:r w:rsidRPr="00B4045B">
              <w:t>Responsiveness to Maori</w:t>
            </w:r>
          </w:p>
        </w:tc>
        <w:tc>
          <w:tcPr>
            <w:tcW w:w="6946" w:type="dxa"/>
            <w:shd w:val="clear" w:color="auto" w:fill="F2F2F2" w:themeFill="background1" w:themeFillShade="F2"/>
          </w:tcPr>
          <w:p w14:paraId="764E77D3" w14:textId="77777777" w:rsidR="00F301C7" w:rsidRPr="00B4045B" w:rsidRDefault="00B4045B" w:rsidP="00B4045B">
            <w:pPr>
              <w:pStyle w:val="TableText"/>
            </w:pPr>
            <w:r w:rsidRPr="00B4045B">
              <w:rPr>
                <w:b/>
                <w:i/>
              </w:rPr>
              <w:t>Practice p</w:t>
            </w:r>
            <w:r w:rsidR="00F301C7" w:rsidRPr="00B4045B">
              <w:rPr>
                <w:b/>
                <w:i/>
              </w:rPr>
              <w:t>oint</w:t>
            </w:r>
            <w:r w:rsidR="00F301C7" w:rsidRPr="00B4045B">
              <w:t xml:space="preserve"> (</w:t>
            </w:r>
            <w:proofErr w:type="spellStart"/>
            <w:r w:rsidR="00F301C7" w:rsidRPr="00B4045B">
              <w:t>MoH</w:t>
            </w:r>
            <w:proofErr w:type="spellEnd"/>
            <w:r w:rsidRPr="00B4045B">
              <w:t>)</w:t>
            </w:r>
            <w:r w:rsidR="00F301C7" w:rsidRPr="00B4045B">
              <w:rPr>
                <w:rStyle w:val="FootnoteReference"/>
              </w:rPr>
              <w:footnoteReference w:id="9"/>
            </w:r>
          </w:p>
          <w:p w14:paraId="3B57C70C" w14:textId="77777777" w:rsidR="00F301C7" w:rsidRPr="00B4045B" w:rsidRDefault="00F301C7" w:rsidP="00B4045B">
            <w:pPr>
              <w:pStyle w:val="TableText"/>
            </w:pPr>
            <w:r w:rsidRPr="00B4045B">
              <w:rPr>
                <w:lang w:eastAsia="en-AU"/>
              </w:rPr>
              <w:t>Services must recognise the principles of the Treaty of Waitangi and be responsive to the needs of Māori.</w:t>
            </w:r>
          </w:p>
          <w:p w14:paraId="317BF8B1" w14:textId="77777777" w:rsidR="00F301C7" w:rsidRPr="00B4045B" w:rsidRDefault="00F301C7" w:rsidP="00B4045B">
            <w:pPr>
              <w:pStyle w:val="TableText"/>
            </w:pPr>
            <w:r w:rsidRPr="00B4045B">
              <w:rPr>
                <w:lang w:eastAsia="en-AU"/>
              </w:rPr>
              <w:t>The principles of partnership, participation and protection underpin the relationship between the Government and Māori under the Treaty of Waitangi.</w:t>
            </w:r>
          </w:p>
          <w:p w14:paraId="7C007643" w14:textId="77777777" w:rsidR="00F301C7" w:rsidRPr="00B4045B" w:rsidRDefault="00F301C7" w:rsidP="00B4045B">
            <w:pPr>
              <w:pStyle w:val="TableBullet"/>
            </w:pPr>
            <w:r w:rsidRPr="00B4045B">
              <w:rPr>
                <w:b/>
                <w:lang w:eastAsia="en-AU"/>
              </w:rPr>
              <w:t>Partnership</w:t>
            </w:r>
            <w:r w:rsidRPr="00B4045B">
              <w:rPr>
                <w:lang w:eastAsia="en-AU"/>
              </w:rPr>
              <w:t xml:space="preserve"> involves working together with iwi, </w:t>
            </w:r>
            <w:proofErr w:type="spellStart"/>
            <w:r w:rsidRPr="00B4045B">
              <w:rPr>
                <w:lang w:eastAsia="en-AU"/>
              </w:rPr>
              <w:t>hapū</w:t>
            </w:r>
            <w:proofErr w:type="spellEnd"/>
            <w:r w:rsidRPr="00B4045B">
              <w:rPr>
                <w:lang w:eastAsia="en-AU"/>
              </w:rPr>
              <w:t>, whānau and Māori communities to develop strategies for Māori health gain and appropriate health and disability services.</w:t>
            </w:r>
          </w:p>
          <w:p w14:paraId="38C5F1FC" w14:textId="77777777" w:rsidR="00F301C7" w:rsidRPr="00B4045B" w:rsidRDefault="00F301C7" w:rsidP="00B4045B">
            <w:pPr>
              <w:pStyle w:val="TableBullet"/>
            </w:pPr>
            <w:r w:rsidRPr="00B4045B">
              <w:rPr>
                <w:b/>
                <w:lang w:eastAsia="en-AU"/>
              </w:rPr>
              <w:t>Participation</w:t>
            </w:r>
            <w:r w:rsidRPr="00B4045B">
              <w:rPr>
                <w:lang w:eastAsia="en-AU"/>
              </w:rPr>
              <w:t xml:space="preserve"> requires Māori to be involved at all levels of the health and disability sector, including in decision-making, planning, development and delivery of health and disability services.</w:t>
            </w:r>
          </w:p>
          <w:p w14:paraId="1CE11DF3" w14:textId="77777777" w:rsidR="00F301C7" w:rsidRPr="00B4045B" w:rsidRDefault="00F301C7" w:rsidP="00B4045B">
            <w:pPr>
              <w:pStyle w:val="TableBullet"/>
            </w:pPr>
            <w:r w:rsidRPr="00B4045B">
              <w:rPr>
                <w:b/>
                <w:lang w:eastAsia="en-AU"/>
              </w:rPr>
              <w:t>Protection</w:t>
            </w:r>
            <w:r w:rsidRPr="00B4045B">
              <w:rPr>
                <w:lang w:eastAsia="en-AU"/>
              </w:rPr>
              <w:t xml:space="preserve"> involves the Government working to ensure Māori have at least the same level of health as non-Māori, and safeguarding Māori cultural concepts, values and practices.</w:t>
            </w:r>
          </w:p>
        </w:tc>
      </w:tr>
      <w:tr w:rsidR="00F301C7" w:rsidRPr="00F64CE2" w14:paraId="48ABFEB5" w14:textId="77777777" w:rsidTr="00B4045B">
        <w:trPr>
          <w:cantSplit/>
        </w:trPr>
        <w:tc>
          <w:tcPr>
            <w:tcW w:w="2410" w:type="dxa"/>
            <w:shd w:val="clear" w:color="auto" w:fill="F2F2F2" w:themeFill="background1" w:themeFillShade="F2"/>
          </w:tcPr>
          <w:p w14:paraId="4C1E41C1" w14:textId="77777777" w:rsidR="00F301C7" w:rsidRPr="00B4045B" w:rsidRDefault="00F301C7" w:rsidP="00B4045B">
            <w:pPr>
              <w:pStyle w:val="TableText"/>
              <w:keepNext/>
              <w:ind w:left="709" w:right="142" w:hanging="709"/>
            </w:pPr>
            <w:r w:rsidRPr="00B4045B">
              <w:t>R1.03</w:t>
            </w:r>
            <w:r w:rsidR="00B4045B" w:rsidRPr="00B4045B">
              <w:tab/>
            </w:r>
            <w:r w:rsidRPr="00B4045B">
              <w:t>Culturally competent/</w:t>
            </w:r>
            <w:r w:rsidR="00B4045B" w:rsidRPr="00B4045B">
              <w:t xml:space="preserve"> </w:t>
            </w:r>
            <w:r w:rsidRPr="00B4045B">
              <w:t>appropriate services</w:t>
            </w:r>
          </w:p>
        </w:tc>
        <w:tc>
          <w:tcPr>
            <w:tcW w:w="6946" w:type="dxa"/>
            <w:shd w:val="clear" w:color="auto" w:fill="F2F2F2" w:themeFill="background1" w:themeFillShade="F2"/>
          </w:tcPr>
          <w:p w14:paraId="3FCD65E1" w14:textId="77777777" w:rsidR="00F301C7" w:rsidRPr="00B4045B" w:rsidRDefault="00F301C7" w:rsidP="00B4045B">
            <w:pPr>
              <w:pStyle w:val="TableText"/>
              <w:keepNext/>
            </w:pPr>
            <w:r w:rsidRPr="00B4045B">
              <w:rPr>
                <w:b/>
                <w:i/>
              </w:rPr>
              <w:t xml:space="preserve">Practice point </w:t>
            </w:r>
            <w:r w:rsidRPr="00B4045B">
              <w:t>(</w:t>
            </w:r>
            <w:proofErr w:type="spellStart"/>
            <w:r w:rsidRPr="00B4045B">
              <w:t>MoH</w:t>
            </w:r>
            <w:proofErr w:type="spellEnd"/>
            <w:r w:rsidRPr="00B4045B">
              <w:t>)</w:t>
            </w:r>
            <w:r w:rsidRPr="00B4045B">
              <w:rPr>
                <w:rStyle w:val="FootnoteReference"/>
              </w:rPr>
              <w:footnoteReference w:id="10"/>
            </w:r>
            <w:r w:rsidRPr="00B4045B">
              <w:rPr>
                <w:vertAlign w:val="superscript"/>
              </w:rPr>
              <w:t>,</w:t>
            </w:r>
            <w:r w:rsidRPr="00B4045B">
              <w:rPr>
                <w:rStyle w:val="FootnoteReference"/>
              </w:rPr>
              <w:footnoteReference w:id="11"/>
            </w:r>
          </w:p>
          <w:p w14:paraId="45CA2E46" w14:textId="77777777" w:rsidR="00F301C7" w:rsidRPr="00B4045B" w:rsidRDefault="00F301C7" w:rsidP="00B4045B">
            <w:pPr>
              <w:pStyle w:val="TableText"/>
              <w:keepNext/>
            </w:pPr>
            <w:r w:rsidRPr="00B4045B">
              <w:t>Culturally appropriate service delivery is an integral requirement in the provision of health services.</w:t>
            </w:r>
          </w:p>
          <w:p w14:paraId="785DFC7B" w14:textId="77777777" w:rsidR="00F301C7" w:rsidRPr="00B4045B" w:rsidRDefault="00F301C7" w:rsidP="00B4045B">
            <w:pPr>
              <w:pStyle w:val="TableText"/>
              <w:keepNext/>
            </w:pPr>
            <w:r w:rsidRPr="00B4045B">
              <w:t>Bowel screening services must be provided in an environment that respects the culture and the dignity and autonomy of people.</w:t>
            </w:r>
          </w:p>
        </w:tc>
      </w:tr>
      <w:tr w:rsidR="00F301C7" w:rsidRPr="00F64CE2" w14:paraId="1C8D129F" w14:textId="77777777" w:rsidTr="00B4045B">
        <w:trPr>
          <w:cantSplit/>
        </w:trPr>
        <w:tc>
          <w:tcPr>
            <w:tcW w:w="2410" w:type="dxa"/>
            <w:shd w:val="clear" w:color="auto" w:fill="BFBFBF" w:themeFill="background1" w:themeFillShade="BF"/>
          </w:tcPr>
          <w:p w14:paraId="095741B2" w14:textId="77777777" w:rsidR="00F301C7" w:rsidRPr="00B4045B" w:rsidRDefault="00F301C7" w:rsidP="00B4045B">
            <w:pPr>
              <w:pStyle w:val="TableText"/>
              <w:ind w:left="709" w:right="142" w:hanging="709"/>
            </w:pPr>
            <w:r w:rsidRPr="00B4045B">
              <w:t>R1.04</w:t>
            </w:r>
            <w:r w:rsidR="00B4045B" w:rsidRPr="00B4045B">
              <w:tab/>
            </w:r>
            <w:r w:rsidRPr="00B4045B">
              <w:t>Practical points and</w:t>
            </w:r>
            <w:r w:rsidR="00B4045B" w:rsidRPr="00B4045B">
              <w:t xml:space="preserve"> </w:t>
            </w:r>
            <w:r w:rsidRPr="00B4045B">
              <w:t>considerations for</w:t>
            </w:r>
            <w:r w:rsidR="00B4045B">
              <w:t> </w:t>
            </w:r>
            <w:r w:rsidRPr="00B4045B">
              <w:t>clinicians</w:t>
            </w:r>
          </w:p>
        </w:tc>
        <w:tc>
          <w:tcPr>
            <w:tcW w:w="6946" w:type="dxa"/>
            <w:shd w:val="clear" w:color="auto" w:fill="BFBFBF" w:themeFill="background1" w:themeFillShade="BF"/>
          </w:tcPr>
          <w:p w14:paraId="737FF844" w14:textId="77777777" w:rsidR="00F301C7" w:rsidRPr="00B4045B" w:rsidRDefault="00F301C7" w:rsidP="00B4045B">
            <w:pPr>
              <w:pStyle w:val="TableText"/>
              <w:rPr>
                <w:b/>
                <w:i/>
              </w:rPr>
            </w:pPr>
            <w:r w:rsidRPr="00B4045B">
              <w:rPr>
                <w:b/>
                <w:i/>
              </w:rPr>
              <w:t>Evidence-based recommendation</w:t>
            </w:r>
            <w:r w:rsidRPr="00B4045B">
              <w:t xml:space="preserve"> (</w:t>
            </w:r>
            <w:proofErr w:type="spellStart"/>
            <w:r w:rsidRPr="00B4045B">
              <w:t>MoH</w:t>
            </w:r>
            <w:proofErr w:type="spellEnd"/>
            <w:r w:rsidRPr="00B4045B">
              <w:t>)</w:t>
            </w:r>
            <w:r w:rsidRPr="00B4045B">
              <w:rPr>
                <w:rStyle w:val="FootnoteReference"/>
              </w:rPr>
              <w:footnoteReference w:id="12"/>
            </w:r>
          </w:p>
          <w:p w14:paraId="0F644829" w14:textId="77777777" w:rsidR="00F301C7" w:rsidRPr="00B4045B" w:rsidRDefault="00F301C7" w:rsidP="00B4045B">
            <w:pPr>
              <w:pStyle w:val="TableText"/>
              <w:rPr>
                <w:bCs/>
              </w:rPr>
            </w:pPr>
            <w:r w:rsidRPr="00B4045B">
              <w:rPr>
                <w:bCs/>
              </w:rPr>
              <w:t>Advocate for your priority group participants.</w:t>
            </w:r>
          </w:p>
          <w:p w14:paraId="1530FF53" w14:textId="77777777" w:rsidR="00F301C7" w:rsidRPr="00B4045B" w:rsidRDefault="00F301C7" w:rsidP="00B4045B">
            <w:pPr>
              <w:pStyle w:val="TableBullet"/>
            </w:pPr>
            <w:r w:rsidRPr="00B4045B">
              <w:t>Endorsement of the programme or encouragement to participate by a GP, nurse or Māori or Pacific health provider can increase participation for priority populations.</w:t>
            </w:r>
          </w:p>
          <w:p w14:paraId="13BFCFFF" w14:textId="77777777" w:rsidR="00F301C7" w:rsidRPr="00B4045B" w:rsidRDefault="00F301C7" w:rsidP="00B4045B">
            <w:pPr>
              <w:pStyle w:val="TableBullet"/>
            </w:pPr>
            <w:r w:rsidRPr="00B4045B">
              <w:t>Take into account different levels of health literacy and present information in a language and a manner that is culturally appropriate and easy to understand.</w:t>
            </w:r>
          </w:p>
          <w:p w14:paraId="409B2FFF" w14:textId="77777777" w:rsidR="00F301C7" w:rsidRPr="00B4045B" w:rsidRDefault="00F301C7" w:rsidP="00B4045B">
            <w:pPr>
              <w:pStyle w:val="TableBullet"/>
            </w:pPr>
            <w:r w:rsidRPr="00B4045B">
              <w:t>Refer to available support services that can support participation through the screening pathway.</w:t>
            </w:r>
          </w:p>
        </w:tc>
      </w:tr>
    </w:tbl>
    <w:p w14:paraId="6B100E17" w14:textId="77777777" w:rsidR="00F301C7" w:rsidRDefault="00F301C7" w:rsidP="00B4045B"/>
    <w:p w14:paraId="61F96843" w14:textId="77777777" w:rsidR="00F301C7" w:rsidRPr="007410C5" w:rsidRDefault="00F301C7" w:rsidP="00B4045B">
      <w:pPr>
        <w:pStyle w:val="Heading2"/>
      </w:pPr>
      <w:bookmarkStart w:id="18" w:name="_Toc530661007"/>
      <w:r>
        <w:t>G2</w:t>
      </w:r>
      <w:r w:rsidR="00B4045B">
        <w:tab/>
      </w:r>
      <w:r>
        <w:t>Recommendations – primary screening</w:t>
      </w:r>
      <w:bookmarkEnd w:id="18"/>
    </w:p>
    <w:p w14:paraId="3821BF5C" w14:textId="77777777" w:rsidR="00F301C7" w:rsidRPr="00CA22E3" w:rsidRDefault="00F301C7" w:rsidP="00B4045B">
      <w:pPr>
        <w:pStyle w:val="Heading3"/>
      </w:pPr>
      <w:r>
        <w:t xml:space="preserve">Recommendations: </w:t>
      </w:r>
      <w:r w:rsidRPr="00CA22E3">
        <w:t>The screening test</w:t>
      </w:r>
    </w:p>
    <w:tbl>
      <w:tblPr>
        <w:tblW w:w="0" w:type="auto"/>
        <w:tblInd w:w="57" w:type="dxa"/>
        <w:tblBorders>
          <w:top w:val="single" w:sz="4" w:space="0" w:color="auto"/>
          <w:bottom w:val="single" w:sz="4" w:space="0" w:color="auto"/>
        </w:tblBorders>
        <w:shd w:val="clear" w:color="auto" w:fill="D9D9D9" w:themeFill="background1" w:themeFillShade="D9"/>
        <w:tblLayout w:type="fixed"/>
        <w:tblCellMar>
          <w:left w:w="57" w:type="dxa"/>
          <w:right w:w="57" w:type="dxa"/>
        </w:tblCellMar>
        <w:tblLook w:val="04A0" w:firstRow="1" w:lastRow="0" w:firstColumn="1" w:lastColumn="0" w:noHBand="0" w:noVBand="1"/>
      </w:tblPr>
      <w:tblGrid>
        <w:gridCol w:w="2410"/>
        <w:gridCol w:w="6946"/>
      </w:tblGrid>
      <w:tr w:rsidR="00F301C7" w:rsidRPr="00BD48DA" w14:paraId="0DAFD7B9" w14:textId="77777777" w:rsidTr="00B4045B">
        <w:trPr>
          <w:cantSplit/>
        </w:trPr>
        <w:tc>
          <w:tcPr>
            <w:tcW w:w="2410" w:type="dxa"/>
            <w:tcBorders>
              <w:bottom w:val="single" w:sz="4" w:space="0" w:color="A6A6A6" w:themeColor="background1" w:themeShade="A6"/>
            </w:tcBorders>
            <w:shd w:val="clear" w:color="auto" w:fill="BFBFBF" w:themeFill="background1" w:themeFillShade="BF"/>
          </w:tcPr>
          <w:p w14:paraId="01B71148" w14:textId="77777777" w:rsidR="00F301C7" w:rsidRPr="00BD48DA" w:rsidRDefault="00F301C7" w:rsidP="00B4045B">
            <w:pPr>
              <w:pStyle w:val="TableText"/>
              <w:ind w:left="709" w:right="142" w:hanging="709"/>
            </w:pPr>
            <w:r w:rsidRPr="00BD48DA">
              <w:t>R</w:t>
            </w:r>
            <w:r>
              <w:t>2.01</w:t>
            </w:r>
            <w:r w:rsidR="00B4045B">
              <w:tab/>
            </w:r>
            <w:r w:rsidRPr="00BD48DA">
              <w:t>The primary screening test</w:t>
            </w:r>
          </w:p>
        </w:tc>
        <w:tc>
          <w:tcPr>
            <w:tcW w:w="6946" w:type="dxa"/>
            <w:tcBorders>
              <w:bottom w:val="single" w:sz="4" w:space="0" w:color="A6A6A6" w:themeColor="background1" w:themeShade="A6"/>
            </w:tcBorders>
            <w:shd w:val="clear" w:color="auto" w:fill="BFBFBF" w:themeFill="background1" w:themeFillShade="BF"/>
          </w:tcPr>
          <w:p w14:paraId="671E9700" w14:textId="77777777" w:rsidR="00F301C7" w:rsidRPr="00B4045B" w:rsidRDefault="00F301C7" w:rsidP="00B4045B">
            <w:pPr>
              <w:pStyle w:val="TableText"/>
            </w:pPr>
            <w:r w:rsidRPr="00B4045B">
              <w:rPr>
                <w:b/>
                <w:i/>
              </w:rPr>
              <w:t>Evidence-based recommendation</w:t>
            </w:r>
            <w:r w:rsidRPr="00B4045B">
              <w:t xml:space="preserve"> (EC)</w:t>
            </w:r>
          </w:p>
          <w:p w14:paraId="1B93BC69" w14:textId="77777777" w:rsidR="00F301C7" w:rsidRPr="00B4045B" w:rsidRDefault="00F301C7" w:rsidP="00B4045B">
            <w:pPr>
              <w:pStyle w:val="TableText"/>
            </w:pPr>
            <w:r w:rsidRPr="00B4045B">
              <w:t>The recommended screening test for detecting faecal occult blood is the faecal immunochemical (FIT)</w:t>
            </w:r>
            <w:r w:rsidR="00B4045B">
              <w:t>.</w:t>
            </w:r>
            <w:r w:rsidRPr="00B4045B">
              <w:rPr>
                <w:rStyle w:val="FootnoteReference"/>
              </w:rPr>
              <w:footnoteReference w:id="13"/>
            </w:r>
          </w:p>
        </w:tc>
      </w:tr>
      <w:tr w:rsidR="00F301C7" w:rsidRPr="00BD48DA" w14:paraId="6244EFF4" w14:textId="77777777" w:rsidTr="00B4045B">
        <w:trPr>
          <w:cantSplit/>
        </w:trPr>
        <w:tc>
          <w:tcPr>
            <w:tcW w:w="2410" w:type="dxa"/>
            <w:tcBorders>
              <w:top w:val="single" w:sz="4" w:space="0" w:color="A6A6A6" w:themeColor="background1" w:themeShade="A6"/>
              <w:bottom w:val="single" w:sz="4" w:space="0" w:color="auto"/>
            </w:tcBorders>
            <w:shd w:val="clear" w:color="auto" w:fill="BFBFBF" w:themeFill="background1" w:themeFillShade="BF"/>
          </w:tcPr>
          <w:p w14:paraId="2DF383F0" w14:textId="77777777" w:rsidR="00F301C7" w:rsidRPr="00BD48DA" w:rsidRDefault="00F301C7" w:rsidP="00B4045B">
            <w:pPr>
              <w:pStyle w:val="TableText"/>
              <w:ind w:left="709" w:right="142" w:hanging="709"/>
            </w:pPr>
            <w:r w:rsidRPr="00BD48DA">
              <w:t>R</w:t>
            </w:r>
            <w:r>
              <w:t>2.02</w:t>
            </w:r>
            <w:r w:rsidR="00B4045B">
              <w:tab/>
            </w:r>
            <w:r>
              <w:t>F</w:t>
            </w:r>
            <w:r w:rsidRPr="00BD48DA">
              <w:t>requency of the screening test</w:t>
            </w:r>
          </w:p>
        </w:tc>
        <w:tc>
          <w:tcPr>
            <w:tcW w:w="6946" w:type="dxa"/>
            <w:tcBorders>
              <w:top w:val="single" w:sz="4" w:space="0" w:color="A6A6A6" w:themeColor="background1" w:themeShade="A6"/>
              <w:bottom w:val="single" w:sz="4" w:space="0" w:color="auto"/>
            </w:tcBorders>
            <w:shd w:val="clear" w:color="auto" w:fill="BFBFBF" w:themeFill="background1" w:themeFillShade="BF"/>
          </w:tcPr>
          <w:p w14:paraId="72195CB6" w14:textId="77777777" w:rsidR="00F301C7" w:rsidRPr="00B4045B" w:rsidRDefault="00F301C7" w:rsidP="00B4045B">
            <w:pPr>
              <w:pStyle w:val="TableText"/>
            </w:pPr>
            <w:r w:rsidRPr="00B4045B">
              <w:rPr>
                <w:b/>
                <w:i/>
              </w:rPr>
              <w:t>Evidence-based recommendation</w:t>
            </w:r>
            <w:r w:rsidRPr="00B4045B">
              <w:t xml:space="preserve"> </w:t>
            </w:r>
            <w:r w:rsidRPr="00B4045B">
              <w:rPr>
                <w:u w:color="231F20"/>
              </w:rPr>
              <w:t>(EC)</w:t>
            </w:r>
          </w:p>
          <w:p w14:paraId="520699BE" w14:textId="77777777" w:rsidR="00F301C7" w:rsidRPr="00B4045B" w:rsidRDefault="00F301C7" w:rsidP="00B4045B">
            <w:pPr>
              <w:pStyle w:val="TableText"/>
            </w:pPr>
            <w:r w:rsidRPr="00B4045B">
              <w:rPr>
                <w:u w:color="231F20"/>
              </w:rPr>
              <w:t>Eligible people are invited to take part in the screening programme every 24 months</w:t>
            </w:r>
            <w:r w:rsidR="00B4045B">
              <w:rPr>
                <w:u w:color="231F20"/>
              </w:rPr>
              <w:t>.</w:t>
            </w:r>
          </w:p>
        </w:tc>
      </w:tr>
    </w:tbl>
    <w:p w14:paraId="09B64CFE" w14:textId="77777777" w:rsidR="00F301C7" w:rsidRDefault="00F301C7" w:rsidP="00B4045B"/>
    <w:p w14:paraId="31B46E96" w14:textId="77777777" w:rsidR="00F301C7" w:rsidRPr="00CA22E3" w:rsidRDefault="00F301C7" w:rsidP="00B4045B">
      <w:pPr>
        <w:pStyle w:val="Heading3"/>
      </w:pPr>
      <w:r w:rsidRPr="00CA22E3">
        <w:t>Recommendations: Eligibility to participate in the screening programme</w:t>
      </w:r>
    </w:p>
    <w:tbl>
      <w:tblPr>
        <w:tblW w:w="9356" w:type="dxa"/>
        <w:tblInd w:w="57" w:type="dxa"/>
        <w:tblBorders>
          <w:top w:val="single" w:sz="4" w:space="0" w:color="auto"/>
          <w:bottom w:val="single" w:sz="4" w:space="0" w:color="auto"/>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2410"/>
        <w:gridCol w:w="6946"/>
      </w:tblGrid>
      <w:tr w:rsidR="00F301C7" w:rsidRPr="00D2480D" w14:paraId="3F862D62" w14:textId="77777777" w:rsidTr="00B4045B">
        <w:trPr>
          <w:cantSplit/>
        </w:trPr>
        <w:tc>
          <w:tcPr>
            <w:tcW w:w="2410" w:type="dxa"/>
            <w:shd w:val="clear" w:color="auto" w:fill="D9D9D9" w:themeFill="background1" w:themeFillShade="D9"/>
          </w:tcPr>
          <w:p w14:paraId="720340D0" w14:textId="77777777" w:rsidR="00F301C7" w:rsidRPr="00D2480D" w:rsidRDefault="00F301C7" w:rsidP="00B4045B">
            <w:pPr>
              <w:pStyle w:val="TableText"/>
              <w:ind w:left="709" w:right="142" w:hanging="709"/>
            </w:pPr>
            <w:r w:rsidRPr="00D2480D">
              <w:t>R2.03</w:t>
            </w:r>
            <w:r w:rsidR="00B4045B">
              <w:tab/>
            </w:r>
            <w:r w:rsidRPr="00D2480D">
              <w:t>Age for screening</w:t>
            </w:r>
          </w:p>
        </w:tc>
        <w:tc>
          <w:tcPr>
            <w:tcW w:w="6946" w:type="dxa"/>
            <w:shd w:val="clear" w:color="auto" w:fill="D9D9D9" w:themeFill="background1" w:themeFillShade="D9"/>
          </w:tcPr>
          <w:p w14:paraId="01DA60FB" w14:textId="77777777" w:rsidR="00F301C7" w:rsidRPr="00B4045B" w:rsidRDefault="00F301C7" w:rsidP="00B4045B">
            <w:pPr>
              <w:pStyle w:val="TableText"/>
            </w:pPr>
            <w:r w:rsidRPr="00B4045B">
              <w:rPr>
                <w:b/>
                <w:bCs/>
                <w:i/>
              </w:rPr>
              <w:t xml:space="preserve">Consensus-based recommendation </w:t>
            </w:r>
            <w:r w:rsidRPr="00B4045B">
              <w:t>(EC)</w:t>
            </w:r>
          </w:p>
          <w:p w14:paraId="31C72293" w14:textId="77777777" w:rsidR="00F301C7" w:rsidRPr="00B4045B" w:rsidRDefault="00F301C7" w:rsidP="00B4045B">
            <w:pPr>
              <w:pStyle w:val="TableText"/>
              <w:rPr>
                <w:b/>
                <w:bCs/>
              </w:rPr>
            </w:pPr>
            <w:r w:rsidRPr="00B4045B">
              <w:rPr>
                <w:u w:color="231F20"/>
              </w:rPr>
              <w:t xml:space="preserve">The eligible age range to screen for the NBSP is 60 to 74 years of age. </w:t>
            </w:r>
            <w:r w:rsidRPr="00B4045B">
              <w:t>There is evidence that population-based screening amongst the age range 60</w:t>
            </w:r>
            <w:r w:rsidR="00B4045B">
              <w:t>–</w:t>
            </w:r>
            <w:r w:rsidRPr="00B4045B">
              <w:t>74 years leads to a reduction in incidence and mortality from bowel cancer</w:t>
            </w:r>
            <w:r w:rsidR="00B4045B">
              <w:t>.</w:t>
            </w:r>
          </w:p>
        </w:tc>
      </w:tr>
      <w:tr w:rsidR="00F301C7" w:rsidRPr="00D2480D" w14:paraId="7FC9294C" w14:textId="77777777" w:rsidTr="00B4045B">
        <w:trPr>
          <w:cantSplit/>
        </w:trPr>
        <w:tc>
          <w:tcPr>
            <w:tcW w:w="2410" w:type="dxa"/>
            <w:shd w:val="clear" w:color="auto" w:fill="D9D9D9" w:themeFill="background1" w:themeFillShade="D9"/>
          </w:tcPr>
          <w:p w14:paraId="1987DA20" w14:textId="77777777" w:rsidR="00F301C7" w:rsidRPr="00D2480D" w:rsidRDefault="00F301C7" w:rsidP="00B4045B">
            <w:pPr>
              <w:pStyle w:val="TableText"/>
              <w:ind w:left="709" w:right="142" w:hanging="709"/>
            </w:pPr>
            <w:r w:rsidRPr="00D2480D">
              <w:t>R2.04</w:t>
            </w:r>
            <w:r w:rsidR="00B4045B">
              <w:tab/>
            </w:r>
            <w:r w:rsidRPr="00D2480D">
              <w:t>Screening after age 74</w:t>
            </w:r>
            <w:r w:rsidR="00B4045B">
              <w:t xml:space="preserve"> </w:t>
            </w:r>
            <w:r w:rsidRPr="00D2480D">
              <w:t>years</w:t>
            </w:r>
          </w:p>
        </w:tc>
        <w:tc>
          <w:tcPr>
            <w:tcW w:w="6946" w:type="dxa"/>
            <w:shd w:val="clear" w:color="auto" w:fill="D9D9D9" w:themeFill="background1" w:themeFillShade="D9"/>
          </w:tcPr>
          <w:p w14:paraId="0BC7C915" w14:textId="77777777" w:rsidR="00F301C7" w:rsidRPr="00B4045B" w:rsidRDefault="00F301C7" w:rsidP="00B4045B">
            <w:pPr>
              <w:pStyle w:val="TableText"/>
            </w:pPr>
            <w:r w:rsidRPr="00B4045B">
              <w:rPr>
                <w:b/>
                <w:bCs/>
                <w:i/>
              </w:rPr>
              <w:t xml:space="preserve">Consensus-based recommendation </w:t>
            </w:r>
            <w:r w:rsidRPr="00B4045B">
              <w:t>(EC)</w:t>
            </w:r>
          </w:p>
          <w:p w14:paraId="0A79DABD" w14:textId="77777777" w:rsidR="00F301C7" w:rsidRPr="00B4045B" w:rsidRDefault="00F301C7" w:rsidP="00B4045B">
            <w:pPr>
              <w:pStyle w:val="TableText"/>
              <w:rPr>
                <w:b/>
                <w:bCs/>
              </w:rPr>
            </w:pPr>
            <w:r w:rsidRPr="00B4045B">
              <w:t>Screening after age 74 is currently not recommended due the increasing co-morbidity in this age range</w:t>
            </w:r>
            <w:r w:rsidR="00B4045B">
              <w:t>.</w:t>
            </w:r>
          </w:p>
        </w:tc>
      </w:tr>
      <w:tr w:rsidR="00F301C7" w:rsidRPr="00D2480D" w14:paraId="12BD76FC" w14:textId="77777777" w:rsidTr="00B4045B">
        <w:trPr>
          <w:cantSplit/>
        </w:trPr>
        <w:tc>
          <w:tcPr>
            <w:tcW w:w="2410" w:type="dxa"/>
            <w:shd w:val="clear" w:color="auto" w:fill="D9D9D9" w:themeFill="background1" w:themeFillShade="D9"/>
          </w:tcPr>
          <w:p w14:paraId="634241FE" w14:textId="77777777" w:rsidR="00F301C7" w:rsidRPr="00D2480D" w:rsidRDefault="00F301C7" w:rsidP="00B4045B">
            <w:pPr>
              <w:pStyle w:val="TableText"/>
              <w:ind w:left="709" w:right="142" w:hanging="709"/>
            </w:pPr>
            <w:r w:rsidRPr="00D2480D">
              <w:t>R2.05</w:t>
            </w:r>
            <w:r w:rsidR="00B4045B">
              <w:tab/>
            </w:r>
            <w:r w:rsidRPr="00D2480D">
              <w:t>Family history of bowel</w:t>
            </w:r>
            <w:r w:rsidR="00B4045B">
              <w:t xml:space="preserve"> </w:t>
            </w:r>
            <w:r w:rsidRPr="00D2480D">
              <w:t>cancer</w:t>
            </w:r>
          </w:p>
        </w:tc>
        <w:tc>
          <w:tcPr>
            <w:tcW w:w="6946" w:type="dxa"/>
            <w:shd w:val="clear" w:color="auto" w:fill="D9D9D9" w:themeFill="background1" w:themeFillShade="D9"/>
          </w:tcPr>
          <w:p w14:paraId="7FEA9100" w14:textId="77777777" w:rsidR="00F301C7" w:rsidRPr="00B4045B" w:rsidRDefault="00F301C7" w:rsidP="00B4045B">
            <w:pPr>
              <w:pStyle w:val="TableText"/>
            </w:pPr>
            <w:r w:rsidRPr="00B4045B">
              <w:rPr>
                <w:b/>
                <w:i/>
              </w:rPr>
              <w:t>Consensus-based recommendation</w:t>
            </w:r>
            <w:r w:rsidRPr="00B4045B">
              <w:t xml:space="preserve"> (EC)</w:t>
            </w:r>
          </w:p>
          <w:p w14:paraId="64C9A422" w14:textId="77777777" w:rsidR="00F301C7" w:rsidRPr="00B4045B" w:rsidRDefault="00F301C7" w:rsidP="00B4045B">
            <w:pPr>
              <w:pStyle w:val="TableText"/>
            </w:pPr>
            <w:r w:rsidRPr="00B4045B">
              <w:t>People with a family history of bowel cancer should complete the FIT and discuss bowel cancer risk factors with their GP team</w:t>
            </w:r>
            <w:r w:rsidR="00B4045B">
              <w:t>:</w:t>
            </w:r>
          </w:p>
          <w:p w14:paraId="26AAA55D" w14:textId="77777777" w:rsidR="00F301C7" w:rsidRPr="00B4045B" w:rsidRDefault="00B4045B" w:rsidP="00B4045B">
            <w:pPr>
              <w:pStyle w:val="TableBullet"/>
            </w:pPr>
            <w:r>
              <w:t>t</w:t>
            </w:r>
            <w:r w:rsidR="00F301C7" w:rsidRPr="00B4045B">
              <w:t>hose with low to average risk continue with screening</w:t>
            </w:r>
          </w:p>
          <w:p w14:paraId="7B96A1AB" w14:textId="77777777" w:rsidR="00F301C7" w:rsidRPr="00B4045B" w:rsidRDefault="00B4045B" w:rsidP="00B4045B">
            <w:pPr>
              <w:pStyle w:val="TableBullet"/>
            </w:pPr>
            <w:r>
              <w:t>t</w:t>
            </w:r>
            <w:r w:rsidR="00F301C7" w:rsidRPr="00B4045B">
              <w:t>hose with moderate risk continue with surveillance</w:t>
            </w:r>
          </w:p>
          <w:p w14:paraId="5CC528DC" w14:textId="77777777" w:rsidR="00F301C7" w:rsidRPr="00B4045B" w:rsidRDefault="00B4045B" w:rsidP="00B4045B">
            <w:pPr>
              <w:pStyle w:val="TableBullet"/>
            </w:pPr>
            <w:proofErr w:type="gramStart"/>
            <w:r>
              <w:t>t</w:t>
            </w:r>
            <w:r w:rsidR="00F301C7" w:rsidRPr="00B4045B">
              <w:t>hose</w:t>
            </w:r>
            <w:proofErr w:type="gramEnd"/>
            <w:r w:rsidR="00F301C7" w:rsidRPr="00B4045B">
              <w:t xml:space="preserve"> with potentially high risk are referred to </w:t>
            </w:r>
            <w:r w:rsidR="00F301C7" w:rsidRPr="00B4045B">
              <w:rPr>
                <w:rStyle w:val="TableTextChar"/>
                <w:rFonts w:eastAsia="Calibri"/>
                <w:i/>
              </w:rPr>
              <w:t>New Zealand Familial Gastrointestinal Cancer Service</w:t>
            </w:r>
            <w:r w:rsidR="00F301C7" w:rsidRPr="00B4045B">
              <w:rPr>
                <w:rStyle w:val="TableTextChar"/>
                <w:rFonts w:eastAsia="Calibri"/>
              </w:rPr>
              <w:t xml:space="preserve"> </w:t>
            </w:r>
            <w:r w:rsidR="00F301C7" w:rsidRPr="00B4045B">
              <w:rPr>
                <w:rFonts w:ascii="Calibri" w:eastAsia="Calibri" w:hAnsi="Calibri" w:cs="Calibri"/>
              </w:rPr>
              <w:t>(</w:t>
            </w:r>
            <w:r w:rsidR="00F301C7" w:rsidRPr="00B4045B">
              <w:t>NZFGICS)</w:t>
            </w:r>
            <w:r>
              <w:t>.</w:t>
            </w:r>
            <w:r w:rsidR="00F301C7" w:rsidRPr="00B4045B">
              <w:rPr>
                <w:rStyle w:val="FootnoteReference"/>
              </w:rPr>
              <w:footnoteReference w:id="14"/>
            </w:r>
          </w:p>
        </w:tc>
      </w:tr>
      <w:tr w:rsidR="00F301C7" w:rsidRPr="00D2480D" w14:paraId="16F025CF" w14:textId="77777777" w:rsidTr="00B4045B">
        <w:trPr>
          <w:cantSplit/>
        </w:trPr>
        <w:tc>
          <w:tcPr>
            <w:tcW w:w="2410" w:type="dxa"/>
            <w:shd w:val="clear" w:color="auto" w:fill="F2F2F2" w:themeFill="background1" w:themeFillShade="F2"/>
          </w:tcPr>
          <w:p w14:paraId="098A6D14" w14:textId="77777777" w:rsidR="00F301C7" w:rsidRPr="00D2480D" w:rsidRDefault="00F301C7" w:rsidP="00B4045B">
            <w:pPr>
              <w:pStyle w:val="TableText"/>
              <w:ind w:left="709" w:right="142" w:hanging="709"/>
            </w:pPr>
            <w:r w:rsidRPr="00D2480D">
              <w:t>R2.06</w:t>
            </w:r>
            <w:r w:rsidR="00B4045B">
              <w:tab/>
            </w:r>
            <w:r w:rsidRPr="00D2480D">
              <w:t>Benefits from screening</w:t>
            </w:r>
          </w:p>
        </w:tc>
        <w:tc>
          <w:tcPr>
            <w:tcW w:w="6946" w:type="dxa"/>
            <w:shd w:val="clear" w:color="auto" w:fill="F2F2F2" w:themeFill="background1" w:themeFillShade="F2"/>
          </w:tcPr>
          <w:p w14:paraId="1E874F57" w14:textId="77777777" w:rsidR="00F301C7" w:rsidRPr="00B4045B" w:rsidRDefault="00F301C7" w:rsidP="00B4045B">
            <w:pPr>
              <w:pStyle w:val="TableText"/>
              <w:rPr>
                <w:iCs/>
              </w:rPr>
            </w:pPr>
            <w:r w:rsidRPr="00B4045B">
              <w:rPr>
                <w:b/>
                <w:i/>
              </w:rPr>
              <w:t>Practice point</w:t>
            </w:r>
            <w:r w:rsidRPr="00B4045B">
              <w:t xml:space="preserve"> (NBSP)</w:t>
            </w:r>
          </w:p>
          <w:p w14:paraId="47FB837D" w14:textId="77777777" w:rsidR="00F301C7" w:rsidRPr="00B4045B" w:rsidRDefault="00F301C7" w:rsidP="00B4045B">
            <w:pPr>
              <w:pStyle w:val="TableText"/>
            </w:pPr>
            <w:r w:rsidRPr="00B4045B">
              <w:t>There is evidence that effective invitation and subsequent recall maximises these benefits</w:t>
            </w:r>
            <w:r w:rsidR="00B4045B">
              <w:t>.</w:t>
            </w:r>
          </w:p>
        </w:tc>
      </w:tr>
      <w:tr w:rsidR="00F301C7" w:rsidRPr="00D2480D" w14:paraId="6A2DD536" w14:textId="77777777" w:rsidTr="00B4045B">
        <w:trPr>
          <w:cantSplit/>
        </w:trPr>
        <w:tc>
          <w:tcPr>
            <w:tcW w:w="2410" w:type="dxa"/>
            <w:shd w:val="clear" w:color="auto" w:fill="F2F2F2" w:themeFill="background1" w:themeFillShade="F2"/>
          </w:tcPr>
          <w:p w14:paraId="15E7300C" w14:textId="77777777" w:rsidR="00F301C7" w:rsidRPr="00D2480D" w:rsidRDefault="00F301C7" w:rsidP="00B4045B">
            <w:pPr>
              <w:pStyle w:val="TableText"/>
              <w:ind w:left="709" w:right="142" w:hanging="709"/>
            </w:pPr>
            <w:r w:rsidRPr="00D2480D">
              <w:t>R2.07</w:t>
            </w:r>
            <w:r w:rsidR="00B4045B">
              <w:tab/>
              <w:t>M</w:t>
            </w:r>
            <w:r w:rsidRPr="00D2480D">
              <w:t>ethod of invitation</w:t>
            </w:r>
          </w:p>
        </w:tc>
        <w:tc>
          <w:tcPr>
            <w:tcW w:w="6946" w:type="dxa"/>
            <w:shd w:val="clear" w:color="auto" w:fill="F2F2F2" w:themeFill="background1" w:themeFillShade="F2"/>
          </w:tcPr>
          <w:p w14:paraId="612AF886" w14:textId="77777777" w:rsidR="00F301C7" w:rsidRPr="00B4045B" w:rsidRDefault="00F301C7" w:rsidP="00B4045B">
            <w:pPr>
              <w:pStyle w:val="TableText"/>
              <w:rPr>
                <w:iCs/>
              </w:rPr>
            </w:pPr>
            <w:r w:rsidRPr="00B4045B">
              <w:rPr>
                <w:b/>
                <w:i/>
              </w:rPr>
              <w:t>Practice point</w:t>
            </w:r>
            <w:r w:rsidRPr="00B4045B">
              <w:t xml:space="preserve"> (NBSP)</w:t>
            </w:r>
          </w:p>
          <w:p w14:paraId="488D2769" w14:textId="77777777" w:rsidR="00F301C7" w:rsidRPr="00B4045B" w:rsidRDefault="00F301C7" w:rsidP="00B4045B">
            <w:pPr>
              <w:pStyle w:val="TableText"/>
            </w:pPr>
            <w:r w:rsidRPr="00B4045B">
              <w:rPr>
                <w:u w:color="231F20"/>
              </w:rPr>
              <w:t>By a mailed pre-notification letter followed by an invitation letter which includes a FIT kit</w:t>
            </w:r>
            <w:r w:rsidR="00B4045B">
              <w:rPr>
                <w:u w:color="231F20"/>
              </w:rPr>
              <w:t>.</w:t>
            </w:r>
          </w:p>
        </w:tc>
      </w:tr>
      <w:tr w:rsidR="00F301C7" w:rsidRPr="00712950" w14:paraId="34D9A8EF" w14:textId="77777777" w:rsidTr="00B4045B">
        <w:trPr>
          <w:cantSplit/>
        </w:trPr>
        <w:tc>
          <w:tcPr>
            <w:tcW w:w="2410" w:type="dxa"/>
            <w:shd w:val="clear" w:color="auto" w:fill="D9D9D9" w:themeFill="background1" w:themeFillShade="D9"/>
          </w:tcPr>
          <w:p w14:paraId="7B59724C" w14:textId="77777777" w:rsidR="00F301C7" w:rsidRPr="00712950" w:rsidRDefault="00F301C7" w:rsidP="00B4045B">
            <w:pPr>
              <w:pStyle w:val="TableText"/>
              <w:ind w:left="709" w:right="142" w:hanging="709"/>
            </w:pPr>
            <w:r w:rsidRPr="00712950">
              <w:lastRenderedPageBreak/>
              <w:t>R2.08</w:t>
            </w:r>
            <w:r w:rsidR="00B4045B">
              <w:tab/>
            </w:r>
            <w:r w:rsidRPr="00712950">
              <w:t>Risks from screening</w:t>
            </w:r>
          </w:p>
        </w:tc>
        <w:tc>
          <w:tcPr>
            <w:tcW w:w="6946" w:type="dxa"/>
            <w:shd w:val="clear" w:color="auto" w:fill="D9D9D9" w:themeFill="background1" w:themeFillShade="D9"/>
          </w:tcPr>
          <w:p w14:paraId="3182CD37" w14:textId="77777777" w:rsidR="00F301C7" w:rsidRPr="00B4045B" w:rsidRDefault="00F301C7" w:rsidP="00B4045B">
            <w:pPr>
              <w:pStyle w:val="TableText"/>
            </w:pPr>
            <w:r w:rsidRPr="00B4045B">
              <w:rPr>
                <w:b/>
                <w:i/>
              </w:rPr>
              <w:t>Consensus-based recommendation</w:t>
            </w:r>
            <w:r w:rsidRPr="00B4045B">
              <w:t xml:space="preserve"> </w:t>
            </w:r>
            <w:r w:rsidRPr="00B4045B">
              <w:rPr>
                <w:rFonts w:cs="Tahoma"/>
              </w:rPr>
              <w:t>(EC</w:t>
            </w:r>
            <w:r w:rsidRPr="00B4045B">
              <w:rPr>
                <w:rFonts w:cs="Tahoma-Bold"/>
              </w:rPr>
              <w:t>, NBSP)</w:t>
            </w:r>
          </w:p>
          <w:p w14:paraId="02077759" w14:textId="77777777" w:rsidR="00F301C7" w:rsidRPr="00B4045B" w:rsidRDefault="00F301C7" w:rsidP="00B4045B">
            <w:pPr>
              <w:pStyle w:val="TableText"/>
            </w:pPr>
            <w:r w:rsidRPr="00B4045B">
              <w:rPr>
                <w:rFonts w:cs="Tahoma"/>
              </w:rPr>
              <w:t>In a well-organised high-quality FIT screening programme, the risks of adverse effects may occur from diagnostic colonoscopies after positive test results. These are defined, monitored and not exceed rates as per NBSP Interim Quality Standards</w:t>
            </w:r>
            <w:r w:rsidR="00B4045B">
              <w:rPr>
                <w:rFonts w:cs="Tahoma"/>
              </w:rPr>
              <w:t>.</w:t>
            </w:r>
            <w:r w:rsidRPr="00B4045B">
              <w:rPr>
                <w:rStyle w:val="FootnoteReference"/>
              </w:rPr>
              <w:footnoteReference w:id="15"/>
            </w:r>
          </w:p>
          <w:p w14:paraId="737A45EE" w14:textId="77777777" w:rsidR="00F301C7" w:rsidRPr="00B4045B" w:rsidRDefault="00F301C7" w:rsidP="00B4045B">
            <w:pPr>
              <w:pStyle w:val="TableText"/>
            </w:pPr>
            <w:r w:rsidRPr="00B4045B">
              <w:rPr>
                <w:rFonts w:cs="Tahoma"/>
              </w:rPr>
              <w:t>All screening tests will have false negative and false positive results. The outcomes of positive predictive value (PPV), false negative and false positive FIT are minimised and monitored by quality systems, and risks managed appropriately</w:t>
            </w:r>
            <w:r w:rsidR="00B4045B">
              <w:rPr>
                <w:rFonts w:cs="Tahoma"/>
              </w:rPr>
              <w:t>,</w:t>
            </w:r>
            <w:r w:rsidRPr="00B4045B">
              <w:rPr>
                <w:rStyle w:val="FootnoteReference"/>
              </w:rPr>
              <w:footnoteReference w:id="16"/>
            </w:r>
            <w:r w:rsidRPr="00B4045B">
              <w:t xml:space="preserve"> including open disclosure for serious events,</w:t>
            </w:r>
            <w:r w:rsidRPr="00B4045B">
              <w:rPr>
                <w:rStyle w:val="FootnoteReference"/>
              </w:rPr>
              <w:footnoteReference w:id="17"/>
            </w:r>
            <w:r w:rsidR="00B4045B" w:rsidRPr="00B4045B">
              <w:rPr>
                <w:vertAlign w:val="superscript"/>
              </w:rPr>
              <w:t>,</w:t>
            </w:r>
            <w:r w:rsidRPr="00B4045B">
              <w:rPr>
                <w:rStyle w:val="FootnoteReference"/>
              </w:rPr>
              <w:footnoteReference w:id="18"/>
            </w:r>
            <w:r w:rsidR="00B4045B" w:rsidRPr="00B4045B">
              <w:rPr>
                <w:vertAlign w:val="superscript"/>
              </w:rPr>
              <w:t>,</w:t>
            </w:r>
            <w:r w:rsidRPr="00B4045B">
              <w:rPr>
                <w:rStyle w:val="FootnoteReference"/>
              </w:rPr>
              <w:footnoteReference w:id="19"/>
            </w:r>
            <w:r w:rsidR="00B4045B" w:rsidRPr="00B4045B">
              <w:rPr>
                <w:vertAlign w:val="superscript"/>
              </w:rPr>
              <w:t>,</w:t>
            </w:r>
            <w:r w:rsidRPr="00B4045B">
              <w:rPr>
                <w:rStyle w:val="FootnoteReference"/>
              </w:rPr>
              <w:footnoteReference w:id="20"/>
            </w:r>
          </w:p>
        </w:tc>
      </w:tr>
      <w:tr w:rsidR="00F301C7" w:rsidRPr="00D2480D" w14:paraId="59FE3E01" w14:textId="77777777" w:rsidTr="00B4045B">
        <w:trPr>
          <w:cantSplit/>
        </w:trPr>
        <w:tc>
          <w:tcPr>
            <w:tcW w:w="2410" w:type="dxa"/>
            <w:shd w:val="clear" w:color="auto" w:fill="F2F2F2" w:themeFill="background1" w:themeFillShade="F2"/>
          </w:tcPr>
          <w:p w14:paraId="1D32B1C4" w14:textId="77777777" w:rsidR="00F301C7" w:rsidRPr="00D2480D" w:rsidRDefault="00F301C7" w:rsidP="00B4045B">
            <w:pPr>
              <w:pStyle w:val="TableText"/>
              <w:ind w:left="709" w:right="142" w:hanging="709"/>
            </w:pPr>
            <w:r w:rsidRPr="00D2480D">
              <w:t>R2.</w:t>
            </w:r>
            <w:r>
              <w:t>0</w:t>
            </w:r>
            <w:r w:rsidRPr="00D2480D">
              <w:t>9</w:t>
            </w:r>
            <w:r w:rsidR="00B4045B">
              <w:tab/>
            </w:r>
            <w:r w:rsidRPr="00D2480D">
              <w:t>Exclusions to screening</w:t>
            </w:r>
          </w:p>
        </w:tc>
        <w:tc>
          <w:tcPr>
            <w:tcW w:w="6946" w:type="dxa"/>
            <w:shd w:val="clear" w:color="auto" w:fill="F2F2F2" w:themeFill="background1" w:themeFillShade="F2"/>
          </w:tcPr>
          <w:p w14:paraId="3CDA76FB" w14:textId="77777777" w:rsidR="00F301C7" w:rsidRPr="00B4045B" w:rsidRDefault="00F301C7" w:rsidP="00B4045B">
            <w:pPr>
              <w:pStyle w:val="TableText"/>
              <w:rPr>
                <w:iCs/>
              </w:rPr>
            </w:pPr>
            <w:r w:rsidRPr="00FD04B3">
              <w:rPr>
                <w:b/>
                <w:i/>
              </w:rPr>
              <w:t>Practice point</w:t>
            </w:r>
            <w:r w:rsidRPr="00B4045B">
              <w:t xml:space="preserve"> (NBSP; NHSBCSP)</w:t>
            </w:r>
          </w:p>
          <w:p w14:paraId="24135FAA" w14:textId="77777777" w:rsidR="003B6490" w:rsidRPr="00B4045B" w:rsidRDefault="00F301C7" w:rsidP="00B4045B">
            <w:pPr>
              <w:pStyle w:val="TableText"/>
              <w:rPr>
                <w:rFonts w:cs="Tahoma-Bold"/>
              </w:rPr>
            </w:pPr>
            <w:r w:rsidRPr="00B4045B">
              <w:rPr>
                <w:rFonts w:cs="Tahoma-Bold"/>
              </w:rPr>
              <w:t>People with the following conditions are informed of the information in the NBSP booklet</w:t>
            </w:r>
            <w:r w:rsidRPr="00FD04B3">
              <w:rPr>
                <w:rStyle w:val="FootnoteReference"/>
              </w:rPr>
              <w:footnoteReference w:id="21"/>
            </w:r>
            <w:r w:rsidRPr="00B4045B">
              <w:rPr>
                <w:rFonts w:cs="Tahoma-Bold"/>
              </w:rPr>
              <w:t xml:space="preserve"> and advised to the NBSP, but do not complete a screening test</w:t>
            </w:r>
            <w:r w:rsidR="00FD04B3">
              <w:rPr>
                <w:rFonts w:cs="Tahoma-Bold"/>
              </w:rPr>
              <w:t>:</w:t>
            </w:r>
          </w:p>
          <w:p w14:paraId="1649C67D" w14:textId="77777777" w:rsidR="00F301C7" w:rsidRPr="00B4045B" w:rsidRDefault="00F301C7" w:rsidP="00FD04B3">
            <w:pPr>
              <w:pStyle w:val="TableBullet"/>
            </w:pPr>
            <w:r w:rsidRPr="00B4045B">
              <w:t>have had, or currently being treated for bowel cancer</w:t>
            </w:r>
          </w:p>
          <w:p w14:paraId="27507910" w14:textId="77777777" w:rsidR="00F301C7" w:rsidRPr="00B4045B" w:rsidRDefault="00F301C7" w:rsidP="00FD04B3">
            <w:pPr>
              <w:pStyle w:val="TableBullet"/>
            </w:pPr>
            <w:r w:rsidRPr="00B4045B">
              <w:t>have symptoms of bowel cancer</w:t>
            </w:r>
          </w:p>
          <w:p w14:paraId="55411182" w14:textId="77777777" w:rsidR="003B6490" w:rsidRPr="00B4045B" w:rsidRDefault="00F301C7" w:rsidP="00FD04B3">
            <w:pPr>
              <w:pStyle w:val="TableBullet"/>
            </w:pPr>
            <w:r w:rsidRPr="00B4045B">
              <w:t xml:space="preserve">have had a colonoscopy in the last </w:t>
            </w:r>
            <w:r w:rsidR="00FD04B3">
              <w:t>five</w:t>
            </w:r>
            <w:r w:rsidRPr="00B4045B">
              <w:t xml:space="preserve"> years</w:t>
            </w:r>
          </w:p>
          <w:p w14:paraId="3C4998FF" w14:textId="77777777" w:rsidR="00F301C7" w:rsidRPr="00B4045B" w:rsidRDefault="00F301C7" w:rsidP="00FD04B3">
            <w:pPr>
              <w:pStyle w:val="TableBullet"/>
              <w:rPr>
                <w:rFonts w:cstheme="minorBidi"/>
                <w:iCs/>
              </w:rPr>
            </w:pPr>
            <w:r w:rsidRPr="00B4045B">
              <w:t>are on a bowel polyp or bowel cancer surveillance programme</w:t>
            </w:r>
          </w:p>
          <w:p w14:paraId="6E7F3045" w14:textId="77777777" w:rsidR="00F301C7" w:rsidRPr="00B4045B" w:rsidRDefault="00F301C7" w:rsidP="00FD04B3">
            <w:pPr>
              <w:pStyle w:val="TableBullet"/>
            </w:pPr>
            <w:r w:rsidRPr="00B4045B">
              <w:t>have had, or currently being treated for, bowel cancer</w:t>
            </w:r>
          </w:p>
          <w:p w14:paraId="206BCBC4" w14:textId="77777777" w:rsidR="00F301C7" w:rsidRPr="00B4045B" w:rsidRDefault="00F301C7" w:rsidP="00FD04B3">
            <w:pPr>
              <w:pStyle w:val="TableBullet"/>
            </w:pPr>
            <w:r w:rsidRPr="00B4045B">
              <w:t>had their large bowel removed</w:t>
            </w:r>
          </w:p>
          <w:p w14:paraId="6274EC0D" w14:textId="77777777" w:rsidR="00F301C7" w:rsidRPr="00B4045B" w:rsidRDefault="00F301C7" w:rsidP="00FD04B3">
            <w:pPr>
              <w:pStyle w:val="TableBullet"/>
            </w:pPr>
            <w:r w:rsidRPr="00B4045B">
              <w:t>have ulcerative colitis or Crohn</w:t>
            </w:r>
            <w:r w:rsidR="003B6490" w:rsidRPr="00B4045B">
              <w:t>’</w:t>
            </w:r>
            <w:r w:rsidRPr="00B4045B">
              <w:t>s disease that is currently active</w:t>
            </w:r>
          </w:p>
          <w:p w14:paraId="3A90A45C" w14:textId="77777777" w:rsidR="00F301C7" w:rsidRPr="00B4045B" w:rsidRDefault="00F301C7" w:rsidP="00FD04B3">
            <w:pPr>
              <w:pStyle w:val="TableBullet"/>
            </w:pPr>
            <w:r w:rsidRPr="00B4045B">
              <w:t xml:space="preserve">seeing a doctor </w:t>
            </w:r>
            <w:r w:rsidRPr="00B4045B">
              <w:rPr>
                <w:rFonts w:cs="Gotham Rounded Book"/>
                <w:iCs/>
              </w:rPr>
              <w:t xml:space="preserve">about </w:t>
            </w:r>
            <w:r w:rsidRPr="00B4045B">
              <w:t>bowel problems</w:t>
            </w:r>
          </w:p>
        </w:tc>
      </w:tr>
      <w:tr w:rsidR="00F301C7" w:rsidRPr="00D2480D" w14:paraId="078718C3" w14:textId="77777777" w:rsidTr="00B4045B">
        <w:trPr>
          <w:cantSplit/>
        </w:trPr>
        <w:tc>
          <w:tcPr>
            <w:tcW w:w="2410" w:type="dxa"/>
            <w:shd w:val="clear" w:color="auto" w:fill="F2F2F2" w:themeFill="background1" w:themeFillShade="F2"/>
          </w:tcPr>
          <w:p w14:paraId="099D8B60" w14:textId="77777777" w:rsidR="00F301C7" w:rsidRPr="00D2480D" w:rsidRDefault="00F301C7" w:rsidP="00FD04B3">
            <w:pPr>
              <w:pStyle w:val="TableText"/>
              <w:ind w:left="709" w:right="142" w:hanging="709"/>
            </w:pPr>
            <w:r w:rsidRPr="00D2480D">
              <w:t>R2.10</w:t>
            </w:r>
            <w:r w:rsidR="00FD04B3">
              <w:tab/>
            </w:r>
            <w:r w:rsidRPr="00D2480D">
              <w:t>Did not respond to</w:t>
            </w:r>
            <w:r w:rsidR="00FD04B3">
              <w:t xml:space="preserve"> </w:t>
            </w:r>
            <w:r w:rsidRPr="00D2480D">
              <w:t>invitation</w:t>
            </w:r>
          </w:p>
        </w:tc>
        <w:tc>
          <w:tcPr>
            <w:tcW w:w="6946" w:type="dxa"/>
            <w:shd w:val="clear" w:color="auto" w:fill="F2F2F2" w:themeFill="background1" w:themeFillShade="F2"/>
          </w:tcPr>
          <w:p w14:paraId="7BF8A1A3" w14:textId="77777777" w:rsidR="00F301C7" w:rsidRPr="00FD04B3" w:rsidRDefault="00F301C7" w:rsidP="00B4045B">
            <w:pPr>
              <w:pStyle w:val="TableText"/>
            </w:pPr>
            <w:r w:rsidRPr="00B4045B">
              <w:rPr>
                <w:b/>
                <w:i/>
              </w:rPr>
              <w:t>Practice point</w:t>
            </w:r>
            <w:r w:rsidRPr="00FD04B3">
              <w:t xml:space="preserve"> (</w:t>
            </w:r>
            <w:r w:rsidRPr="00B4045B">
              <w:t>NBSP)</w:t>
            </w:r>
          </w:p>
          <w:p w14:paraId="0C5DDA29" w14:textId="77777777" w:rsidR="00F301C7" w:rsidRPr="00B4045B" w:rsidRDefault="00FD04B3" w:rsidP="00B4045B">
            <w:pPr>
              <w:pStyle w:val="TableText"/>
              <w:rPr>
                <w:b/>
                <w:iCs/>
              </w:rPr>
            </w:pPr>
            <w:r>
              <w:t>Recall for screening within two</w:t>
            </w:r>
            <w:r w:rsidR="00F301C7" w:rsidRPr="00B4045B">
              <w:t xml:space="preserve"> years</w:t>
            </w:r>
            <w:r>
              <w:t>.</w:t>
            </w:r>
          </w:p>
        </w:tc>
      </w:tr>
      <w:tr w:rsidR="00F301C7" w:rsidRPr="00D2480D" w14:paraId="76C1861A" w14:textId="77777777" w:rsidTr="00B4045B">
        <w:trPr>
          <w:cantSplit/>
        </w:trPr>
        <w:tc>
          <w:tcPr>
            <w:tcW w:w="2410" w:type="dxa"/>
            <w:shd w:val="clear" w:color="auto" w:fill="BFBFBF" w:themeFill="background1" w:themeFillShade="BF"/>
          </w:tcPr>
          <w:p w14:paraId="64CD975A" w14:textId="77777777" w:rsidR="00F301C7" w:rsidRPr="00D2480D" w:rsidRDefault="00F301C7" w:rsidP="00FD04B3">
            <w:pPr>
              <w:pStyle w:val="TableText"/>
              <w:ind w:left="709" w:right="142" w:hanging="709"/>
            </w:pPr>
            <w:r>
              <w:t>R2.11</w:t>
            </w:r>
            <w:r w:rsidR="00FD04B3">
              <w:tab/>
            </w:r>
            <w:r>
              <w:t>Eligibility for free health</w:t>
            </w:r>
            <w:r w:rsidR="00FD04B3">
              <w:t xml:space="preserve"> </w:t>
            </w:r>
            <w:r>
              <w:t>care in New Zealand</w:t>
            </w:r>
          </w:p>
        </w:tc>
        <w:tc>
          <w:tcPr>
            <w:tcW w:w="6946" w:type="dxa"/>
            <w:shd w:val="clear" w:color="auto" w:fill="BFBFBF" w:themeFill="background1" w:themeFillShade="BF"/>
          </w:tcPr>
          <w:p w14:paraId="3E343F79" w14:textId="77777777" w:rsidR="00F301C7" w:rsidRPr="00B4045B" w:rsidRDefault="00F301C7" w:rsidP="00B4045B">
            <w:pPr>
              <w:pStyle w:val="TableText"/>
            </w:pPr>
            <w:r w:rsidRPr="00B4045B">
              <w:rPr>
                <w:b/>
                <w:i/>
              </w:rPr>
              <w:t>Evidence-based recommendation</w:t>
            </w:r>
            <w:r w:rsidRPr="00FD04B3">
              <w:t xml:space="preserve"> </w:t>
            </w:r>
            <w:r w:rsidRPr="00B4045B">
              <w:t>(</w:t>
            </w:r>
            <w:proofErr w:type="spellStart"/>
            <w:r w:rsidRPr="00B4045B">
              <w:t>MoH</w:t>
            </w:r>
            <w:proofErr w:type="spellEnd"/>
            <w:r w:rsidRPr="00B4045B">
              <w:t xml:space="preserve"> Eligibility)</w:t>
            </w:r>
          </w:p>
          <w:p w14:paraId="7573CE62" w14:textId="77777777" w:rsidR="00F301C7" w:rsidRPr="00B4045B" w:rsidRDefault="00F301C7" w:rsidP="00B4045B">
            <w:pPr>
              <w:pStyle w:val="TableText"/>
              <w:rPr>
                <w:b/>
                <w:i/>
              </w:rPr>
            </w:pPr>
            <w:r w:rsidRPr="00B4045B">
              <w:t xml:space="preserve">Information is available for participants and service providers if there is uncertainty regarding a </w:t>
            </w:r>
            <w:proofErr w:type="gramStart"/>
            <w:r w:rsidRPr="00B4045B">
              <w:t>participants</w:t>
            </w:r>
            <w:proofErr w:type="gramEnd"/>
            <w:r w:rsidRPr="00B4045B">
              <w:t xml:space="preserve"> eligibility for free health care services </w:t>
            </w:r>
            <w:r w:rsidR="00FD04B3">
              <w:t>and publically funded screening.</w:t>
            </w:r>
          </w:p>
        </w:tc>
      </w:tr>
    </w:tbl>
    <w:p w14:paraId="79428110" w14:textId="77777777" w:rsidR="00F301C7" w:rsidRDefault="00F301C7" w:rsidP="00FD04B3"/>
    <w:p w14:paraId="075E3921" w14:textId="77777777" w:rsidR="00F301C7" w:rsidRDefault="00F301C7" w:rsidP="00FD04B3">
      <w:pPr>
        <w:pStyle w:val="Heading2"/>
      </w:pPr>
      <w:bookmarkStart w:id="19" w:name="_Toc530661008"/>
      <w:r w:rsidRPr="00B325E7">
        <w:lastRenderedPageBreak/>
        <w:t>G</w:t>
      </w:r>
      <w:r>
        <w:t>3</w:t>
      </w:r>
      <w:r w:rsidR="00FD04B3">
        <w:tab/>
      </w:r>
      <w:r w:rsidRPr="00B325E7">
        <w:t>National coordination centre</w:t>
      </w:r>
      <w:bookmarkEnd w:id="19"/>
    </w:p>
    <w:p w14:paraId="44C25345" w14:textId="77777777" w:rsidR="00F301C7" w:rsidRDefault="00F301C7" w:rsidP="00FD04B3">
      <w:pPr>
        <w:pStyle w:val="Heading3"/>
      </w:pPr>
      <w:r w:rsidRPr="004A652C">
        <w:t>Recommendation:</w:t>
      </w:r>
      <w:r>
        <w:t xml:space="preserve"> Key functions of the National Coordination Centre (NCC)</w:t>
      </w:r>
    </w:p>
    <w:tbl>
      <w:tblPr>
        <w:tblW w:w="0" w:type="auto"/>
        <w:tblInd w:w="57" w:type="dxa"/>
        <w:tblBorders>
          <w:top w:val="single" w:sz="4" w:space="0" w:color="auto"/>
          <w:bottom w:val="single" w:sz="4" w:space="0" w:color="auto"/>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2410"/>
        <w:gridCol w:w="6946"/>
      </w:tblGrid>
      <w:tr w:rsidR="00F301C7" w:rsidRPr="00B325E7" w14:paraId="27496A00" w14:textId="77777777" w:rsidTr="00A72CFF">
        <w:trPr>
          <w:cantSplit/>
        </w:trPr>
        <w:tc>
          <w:tcPr>
            <w:tcW w:w="2410" w:type="dxa"/>
            <w:shd w:val="clear" w:color="auto" w:fill="F2F2F2" w:themeFill="background1" w:themeFillShade="F2"/>
          </w:tcPr>
          <w:p w14:paraId="6E016551" w14:textId="77777777" w:rsidR="00F301C7" w:rsidRPr="00B325E7" w:rsidRDefault="00F301C7" w:rsidP="00A72CFF">
            <w:pPr>
              <w:pStyle w:val="TableText"/>
              <w:ind w:left="709" w:right="142" w:hanging="709"/>
            </w:pPr>
            <w:r>
              <w:t>R3.</w:t>
            </w:r>
            <w:r w:rsidRPr="00B325E7">
              <w:t>01</w:t>
            </w:r>
            <w:r w:rsidR="00A72CFF">
              <w:tab/>
            </w:r>
            <w:r w:rsidRPr="00B325E7">
              <w:t>Participation, invitation</w:t>
            </w:r>
            <w:r w:rsidR="00A72CFF">
              <w:t xml:space="preserve"> </w:t>
            </w:r>
            <w:r w:rsidRPr="00B325E7">
              <w:t>and results</w:t>
            </w:r>
          </w:p>
        </w:tc>
        <w:tc>
          <w:tcPr>
            <w:tcW w:w="6946" w:type="dxa"/>
            <w:shd w:val="clear" w:color="auto" w:fill="F2F2F2" w:themeFill="background1" w:themeFillShade="F2"/>
          </w:tcPr>
          <w:p w14:paraId="4698B9CE" w14:textId="77777777" w:rsidR="00F301C7" w:rsidRPr="00A72CFF" w:rsidRDefault="00F301C7" w:rsidP="00A72CFF">
            <w:pPr>
              <w:pStyle w:val="TableText"/>
            </w:pPr>
            <w:r w:rsidRPr="00A72CFF">
              <w:rPr>
                <w:b/>
                <w:i/>
              </w:rPr>
              <w:t>Practice point</w:t>
            </w:r>
            <w:r w:rsidRPr="00A72CFF">
              <w:t xml:space="preserve"> (NBSP)</w:t>
            </w:r>
          </w:p>
          <w:p w14:paraId="6C1CE488" w14:textId="77777777" w:rsidR="00F301C7" w:rsidRPr="00A72CFF" w:rsidRDefault="00F301C7" w:rsidP="00A72CFF">
            <w:pPr>
              <w:pStyle w:val="TableText"/>
            </w:pPr>
            <w:bookmarkStart w:id="20" w:name="_Toc470252558"/>
            <w:r w:rsidRPr="00A72CFF">
              <w:t>Bowel screening is effectively delivered to the eligible population</w:t>
            </w:r>
            <w:bookmarkEnd w:id="20"/>
            <w:r w:rsidRPr="00A72CFF">
              <w:t xml:space="preserve"> by:</w:t>
            </w:r>
          </w:p>
          <w:p w14:paraId="2B78274D" w14:textId="77777777" w:rsidR="00F301C7" w:rsidRPr="00A72CFF" w:rsidRDefault="00A72CFF" w:rsidP="00A72CFF">
            <w:pPr>
              <w:pStyle w:val="TableBullet"/>
            </w:pPr>
            <w:r>
              <w:t>m</w:t>
            </w:r>
            <w:r w:rsidR="00F301C7" w:rsidRPr="00A72CFF">
              <w:t>anaging participant pathways</w:t>
            </w:r>
          </w:p>
          <w:p w14:paraId="3B886C0C" w14:textId="77777777" w:rsidR="00F301C7" w:rsidRPr="00A72CFF" w:rsidRDefault="00A72CFF" w:rsidP="00A72CFF">
            <w:pPr>
              <w:pStyle w:val="TableBullet"/>
            </w:pPr>
            <w:r>
              <w:t>i</w:t>
            </w:r>
            <w:r w:rsidR="00F301C7" w:rsidRPr="00A72CFF">
              <w:t>nviting eligible participants between the age of 60 and 74 years</w:t>
            </w:r>
          </w:p>
          <w:p w14:paraId="7BA5CF3D" w14:textId="77777777" w:rsidR="00F301C7" w:rsidRPr="00A72CFF" w:rsidRDefault="00A72CFF" w:rsidP="00A72CFF">
            <w:pPr>
              <w:pStyle w:val="TableBullet"/>
            </w:pPr>
            <w:r>
              <w:t>r</w:t>
            </w:r>
            <w:r w:rsidR="00F301C7" w:rsidRPr="00A72CFF">
              <w:t>ecalling eligible participants for routine rescreening every 2 years</w:t>
            </w:r>
          </w:p>
          <w:p w14:paraId="230C50EC" w14:textId="77777777" w:rsidR="00F301C7" w:rsidRPr="00A72CFF" w:rsidRDefault="00A72CFF" w:rsidP="00A72CFF">
            <w:pPr>
              <w:pStyle w:val="TableBullet"/>
            </w:pPr>
            <w:r>
              <w:t>t</w:t>
            </w:r>
            <w:r w:rsidR="00F301C7" w:rsidRPr="00A72CFF">
              <w:t>aking all steps to ensure participants receive appropriate referral or recall depending on the test result by:</w:t>
            </w:r>
          </w:p>
          <w:p w14:paraId="2A8927A8" w14:textId="77777777" w:rsidR="00F301C7" w:rsidRPr="00A72CFF" w:rsidRDefault="00F301C7" w:rsidP="00A72CFF">
            <w:pPr>
              <w:pStyle w:val="TableDash"/>
            </w:pPr>
            <w:r w:rsidRPr="00A72CFF">
              <w:t>notifying participants of a negative FIT result</w:t>
            </w:r>
          </w:p>
          <w:p w14:paraId="6AC31B2A" w14:textId="77777777" w:rsidR="00F301C7" w:rsidRPr="00A72CFF" w:rsidRDefault="00F301C7" w:rsidP="00A72CFF">
            <w:pPr>
              <w:pStyle w:val="TableDash"/>
            </w:pPr>
            <w:r w:rsidRPr="00A72CFF">
              <w:t>finding and notifying the participants general practitioner (if not recorded) of a positive FIT result</w:t>
            </w:r>
          </w:p>
          <w:p w14:paraId="59F610DE" w14:textId="77777777" w:rsidR="00F301C7" w:rsidRPr="00A72CFF" w:rsidRDefault="00F301C7" w:rsidP="00A72CFF">
            <w:pPr>
              <w:pStyle w:val="TableDash"/>
            </w:pPr>
            <w:r w:rsidRPr="00A72CFF">
              <w:t>If the general practitioner is not found for a participant with a positive FIT result, the endoscopy unit will be notified to contact the participant</w:t>
            </w:r>
          </w:p>
          <w:p w14:paraId="4FF20318" w14:textId="77777777" w:rsidR="00F301C7" w:rsidRPr="00A72CFF" w:rsidRDefault="00F301C7" w:rsidP="00A72CFF">
            <w:pPr>
              <w:pStyle w:val="TableDash"/>
            </w:pPr>
            <w:r w:rsidRPr="00A72CFF">
              <w:t>NCC does not notify participants of a positive FIT result</w:t>
            </w:r>
            <w:r w:rsidR="00A72CFF">
              <w:t>.</w:t>
            </w:r>
          </w:p>
          <w:p w14:paraId="126D7F85" w14:textId="77777777" w:rsidR="00F301C7" w:rsidRPr="00A72CFF" w:rsidRDefault="00A72CFF" w:rsidP="00A72CFF">
            <w:pPr>
              <w:pStyle w:val="TableBullet"/>
              <w:spacing w:before="60"/>
            </w:pPr>
            <w:r>
              <w:t>a</w:t>
            </w:r>
            <w:r w:rsidR="00F301C7" w:rsidRPr="00A72CFF">
              <w:t>ppropriate referral or recall is dependent on the FIT result:</w:t>
            </w:r>
          </w:p>
          <w:p w14:paraId="0DC1D5F4" w14:textId="77777777" w:rsidR="00F301C7" w:rsidRPr="00A72CFF" w:rsidRDefault="00A72CFF" w:rsidP="00A72CFF">
            <w:pPr>
              <w:pStyle w:val="TableDash"/>
            </w:pPr>
            <w:r>
              <w:t>s</w:t>
            </w:r>
            <w:r w:rsidR="00F301C7" w:rsidRPr="00A72CFF">
              <w:t xml:space="preserve">creen negative: invitation in </w:t>
            </w:r>
            <w:r>
              <w:t>two</w:t>
            </w:r>
            <w:r w:rsidR="00F301C7" w:rsidRPr="00A72CFF">
              <w:t xml:space="preserve"> years</w:t>
            </w:r>
          </w:p>
          <w:p w14:paraId="6039B3CD" w14:textId="77777777" w:rsidR="00F301C7" w:rsidRPr="00A72CFF" w:rsidRDefault="00A72CFF" w:rsidP="00A72CFF">
            <w:pPr>
              <w:pStyle w:val="TableDash"/>
            </w:pPr>
            <w:r>
              <w:t>s</w:t>
            </w:r>
            <w:r w:rsidR="00F301C7" w:rsidRPr="00A72CFF">
              <w:t>creen positive: referral to endoscopy</w:t>
            </w:r>
          </w:p>
          <w:p w14:paraId="20B3A83A" w14:textId="77777777" w:rsidR="00F301C7" w:rsidRPr="00A72CFF" w:rsidRDefault="00A72CFF" w:rsidP="00A72CFF">
            <w:pPr>
              <w:pStyle w:val="TableDash"/>
              <w:spacing w:after="60"/>
              <w:ind w:left="568" w:hanging="284"/>
            </w:pPr>
            <w:r>
              <w:t>s</w:t>
            </w:r>
            <w:r w:rsidR="00F301C7" w:rsidRPr="00A72CFF">
              <w:t>poilt test: resend a FIT kit</w:t>
            </w:r>
          </w:p>
        </w:tc>
      </w:tr>
      <w:tr w:rsidR="00F301C7" w:rsidRPr="00B325E7" w14:paraId="79AD9E89" w14:textId="77777777" w:rsidTr="00A72CFF">
        <w:trPr>
          <w:cantSplit/>
        </w:trPr>
        <w:tc>
          <w:tcPr>
            <w:tcW w:w="2410" w:type="dxa"/>
            <w:shd w:val="clear" w:color="auto" w:fill="F2F2F2" w:themeFill="background1" w:themeFillShade="F2"/>
          </w:tcPr>
          <w:p w14:paraId="46744CEE" w14:textId="77777777" w:rsidR="00F301C7" w:rsidRPr="00B325E7" w:rsidRDefault="00F301C7" w:rsidP="00271641">
            <w:pPr>
              <w:pStyle w:val="TableText"/>
              <w:ind w:left="709" w:right="142" w:hanging="709"/>
            </w:pPr>
            <w:r>
              <w:t>R3.</w:t>
            </w:r>
            <w:r w:rsidRPr="00B325E7">
              <w:t>02</w:t>
            </w:r>
            <w:r w:rsidR="00271641">
              <w:tab/>
            </w:r>
            <w:r w:rsidRPr="00B325E7">
              <w:t>Equity, information and</w:t>
            </w:r>
            <w:r w:rsidR="00271641">
              <w:t xml:space="preserve"> </w:t>
            </w:r>
            <w:r w:rsidRPr="00B325E7">
              <w:t>support</w:t>
            </w:r>
          </w:p>
        </w:tc>
        <w:tc>
          <w:tcPr>
            <w:tcW w:w="6946" w:type="dxa"/>
            <w:shd w:val="clear" w:color="auto" w:fill="F2F2F2" w:themeFill="background1" w:themeFillShade="F2"/>
          </w:tcPr>
          <w:p w14:paraId="76B81283" w14:textId="77777777" w:rsidR="00F301C7" w:rsidRPr="00A72CFF" w:rsidRDefault="00F301C7" w:rsidP="00A72CFF">
            <w:pPr>
              <w:pStyle w:val="TableText"/>
            </w:pPr>
            <w:r w:rsidRPr="00271641">
              <w:rPr>
                <w:b/>
                <w:i/>
              </w:rPr>
              <w:t>Practice point</w:t>
            </w:r>
            <w:r w:rsidRPr="00A72CFF">
              <w:t xml:space="preserve"> (NBSP)</w:t>
            </w:r>
          </w:p>
          <w:p w14:paraId="0EAB1372" w14:textId="77777777" w:rsidR="00F301C7" w:rsidRPr="00A72CFF" w:rsidRDefault="00F301C7" w:rsidP="00A72CFF">
            <w:pPr>
              <w:pStyle w:val="TableText"/>
            </w:pPr>
            <w:r w:rsidRPr="00A72CFF">
              <w:t>Equity, information and support for participants is best achieved by:</w:t>
            </w:r>
          </w:p>
          <w:p w14:paraId="5415A699" w14:textId="77777777" w:rsidR="00F301C7" w:rsidRPr="00A72CFF" w:rsidRDefault="00271641" w:rsidP="00271641">
            <w:pPr>
              <w:pStyle w:val="TableBullet"/>
            </w:pPr>
            <w:r>
              <w:t>e</w:t>
            </w:r>
            <w:r w:rsidR="00F301C7" w:rsidRPr="00A72CFF">
              <w:t>nsuring a high level of equitable participation for all population groups to maximise the benefits of screening, with a particular focus on priority groups</w:t>
            </w:r>
            <w:r>
              <w:t>:</w:t>
            </w:r>
          </w:p>
          <w:p w14:paraId="5DA51F89" w14:textId="77777777" w:rsidR="00F301C7" w:rsidRPr="00A72CFF" w:rsidRDefault="00F301C7" w:rsidP="00271641">
            <w:pPr>
              <w:pStyle w:val="TableDash"/>
            </w:pPr>
            <w:r w:rsidRPr="00A72CFF">
              <w:t>Maori</w:t>
            </w:r>
          </w:p>
          <w:p w14:paraId="22B7B073" w14:textId="77777777" w:rsidR="00F301C7" w:rsidRPr="00A72CFF" w:rsidRDefault="00F301C7" w:rsidP="00271641">
            <w:pPr>
              <w:pStyle w:val="TableDash"/>
            </w:pPr>
            <w:r w:rsidRPr="00A72CFF">
              <w:t>Pacific</w:t>
            </w:r>
          </w:p>
          <w:p w14:paraId="7BF8F1E8" w14:textId="77777777" w:rsidR="00F301C7" w:rsidRPr="00A72CFF" w:rsidRDefault="00271641" w:rsidP="00271641">
            <w:pPr>
              <w:pStyle w:val="TableDash"/>
            </w:pPr>
            <w:r>
              <w:t>t</w:t>
            </w:r>
            <w:r w:rsidR="00F301C7" w:rsidRPr="00A72CFF">
              <w:t>hose living in deprived areas (NZ Deprivation Index 9 and 10)</w:t>
            </w:r>
          </w:p>
          <w:p w14:paraId="18655216" w14:textId="77777777" w:rsidR="003B6490" w:rsidRPr="00A72CFF" w:rsidRDefault="00271641" w:rsidP="00271641">
            <w:pPr>
              <w:pStyle w:val="TableBullet"/>
              <w:spacing w:before="60"/>
            </w:pPr>
            <w:r>
              <w:t>b</w:t>
            </w:r>
            <w:r w:rsidR="00F301C7" w:rsidRPr="00A72CFF">
              <w:t xml:space="preserve">eing participant focused and providing effective information about the programme in written and verbal forms as required, that conforms with </w:t>
            </w:r>
            <w:r w:rsidR="00F301C7" w:rsidRPr="00A72CFF">
              <w:rPr>
                <w:u w:color="231F20"/>
              </w:rPr>
              <w:t>Code of Health and Disability Services Consumers</w:t>
            </w:r>
            <w:r w:rsidR="003B6490" w:rsidRPr="00A72CFF">
              <w:rPr>
                <w:u w:color="231F20"/>
              </w:rPr>
              <w:t>’</w:t>
            </w:r>
            <w:r w:rsidR="00F301C7" w:rsidRPr="00A72CFF">
              <w:rPr>
                <w:u w:color="231F20"/>
              </w:rPr>
              <w:t xml:space="preserve"> Rights</w:t>
            </w:r>
            <w:r w:rsidR="00F301C7" w:rsidRPr="00271641">
              <w:rPr>
                <w:rStyle w:val="FootnoteReference"/>
              </w:rPr>
              <w:footnoteReference w:id="22"/>
            </w:r>
            <w:r w:rsidR="00F301C7" w:rsidRPr="00A72CFF">
              <w:t xml:space="preserve"> the enabling them to make an informed choice and provide their inform</w:t>
            </w:r>
            <w:r>
              <w:t>ed consent where it is required</w:t>
            </w:r>
          </w:p>
          <w:p w14:paraId="020AD2C3" w14:textId="77777777" w:rsidR="00F301C7" w:rsidRPr="00A72CFF" w:rsidRDefault="00F301C7" w:rsidP="00271641">
            <w:pPr>
              <w:pStyle w:val="TableBullet"/>
            </w:pPr>
            <w:r w:rsidRPr="00A72CFF">
              <w:t>being responsive to Maori participants and their whanau by ensuring all staff and service providers apply the Treaty principles of partnership, participation and protecti</w:t>
            </w:r>
            <w:r w:rsidR="00271641">
              <w:t>on to the services they deliver</w:t>
            </w:r>
          </w:p>
          <w:p w14:paraId="7444423A" w14:textId="77777777" w:rsidR="00F301C7" w:rsidRPr="00A72CFF" w:rsidRDefault="00271641" w:rsidP="00271641">
            <w:pPr>
              <w:pStyle w:val="TableBullet"/>
            </w:pPr>
            <w:proofErr w:type="gramStart"/>
            <w:r>
              <w:t>p</w:t>
            </w:r>
            <w:r w:rsidR="00F301C7" w:rsidRPr="00A72CFF">
              <w:t>roviding</w:t>
            </w:r>
            <w:proofErr w:type="gramEnd"/>
            <w:r w:rsidR="00F301C7" w:rsidRPr="00A72CFF">
              <w:t xml:space="preserve"> a free telephone helpline for verbal clarification or extra information a participant may require, in a timely manner and communicated in a sensitive, respectful and culturally appropriate manner.</w:t>
            </w:r>
          </w:p>
        </w:tc>
      </w:tr>
      <w:tr w:rsidR="00F301C7" w:rsidRPr="00B325E7" w14:paraId="185CFCD0" w14:textId="77777777" w:rsidTr="00A72CFF">
        <w:trPr>
          <w:cantSplit/>
        </w:trPr>
        <w:tc>
          <w:tcPr>
            <w:tcW w:w="2410" w:type="dxa"/>
            <w:shd w:val="clear" w:color="auto" w:fill="F2F2F2" w:themeFill="background1" w:themeFillShade="F2"/>
          </w:tcPr>
          <w:p w14:paraId="14A7DB18" w14:textId="77777777" w:rsidR="00F301C7" w:rsidRPr="00B325E7" w:rsidRDefault="00F301C7" w:rsidP="00271641">
            <w:pPr>
              <w:pStyle w:val="TableText"/>
              <w:ind w:left="709" w:right="142" w:hanging="709"/>
            </w:pPr>
            <w:r>
              <w:lastRenderedPageBreak/>
              <w:t>R3.</w:t>
            </w:r>
            <w:r w:rsidRPr="00B325E7">
              <w:t>03</w:t>
            </w:r>
            <w:r w:rsidR="00271641">
              <w:tab/>
            </w:r>
            <w:r w:rsidRPr="00B325E7">
              <w:t>Information technology</w:t>
            </w:r>
            <w:r w:rsidR="00271641">
              <w:t xml:space="preserve"> </w:t>
            </w:r>
            <w:r w:rsidRPr="00B325E7">
              <w:t>and systems</w:t>
            </w:r>
          </w:p>
        </w:tc>
        <w:tc>
          <w:tcPr>
            <w:tcW w:w="6946" w:type="dxa"/>
            <w:shd w:val="clear" w:color="auto" w:fill="F2F2F2" w:themeFill="background1" w:themeFillShade="F2"/>
          </w:tcPr>
          <w:p w14:paraId="068CDBCC" w14:textId="77777777" w:rsidR="00F301C7" w:rsidRPr="00A72CFF" w:rsidRDefault="00F301C7" w:rsidP="00A72CFF">
            <w:pPr>
              <w:pStyle w:val="TableText"/>
            </w:pPr>
            <w:r w:rsidRPr="00271641">
              <w:rPr>
                <w:b/>
                <w:i/>
              </w:rPr>
              <w:t>Practice point</w:t>
            </w:r>
            <w:r w:rsidRPr="00A72CFF">
              <w:t xml:space="preserve"> (NBSP)</w:t>
            </w:r>
          </w:p>
          <w:p w14:paraId="64D8DDCD" w14:textId="77777777" w:rsidR="00F301C7" w:rsidRPr="00A72CFF" w:rsidRDefault="00F301C7" w:rsidP="00A72CFF">
            <w:pPr>
              <w:pStyle w:val="TableText"/>
            </w:pPr>
            <w:r w:rsidRPr="00A72CFF">
              <w:t>Quality data is essential for monitoring and evaluating the NBSP to enable the best possible data-driven decisions. IT systems and processes that are fit for purpose, reliable and well supported by:</w:t>
            </w:r>
          </w:p>
          <w:p w14:paraId="6EC1E041" w14:textId="77777777" w:rsidR="00F301C7" w:rsidRPr="00A72CFF" w:rsidRDefault="00271641" w:rsidP="00271641">
            <w:pPr>
              <w:pStyle w:val="TableBullet"/>
            </w:pPr>
            <w:r>
              <w:t>e</w:t>
            </w:r>
            <w:r w:rsidR="00F301C7" w:rsidRPr="00A72CFF">
              <w:t>nsuring that information collection and data management supports the clinical and business needs of the NCC by being</w:t>
            </w:r>
            <w:r>
              <w:t>:</w:t>
            </w:r>
          </w:p>
          <w:p w14:paraId="1EC51534" w14:textId="77777777" w:rsidR="003B6490" w:rsidRPr="00A72CFF" w:rsidRDefault="00F301C7" w:rsidP="00271641">
            <w:pPr>
              <w:pStyle w:val="TableDash"/>
            </w:pPr>
            <w:r w:rsidRPr="00A72CFF">
              <w:t>timely</w:t>
            </w:r>
          </w:p>
          <w:p w14:paraId="09CB1B79" w14:textId="77777777" w:rsidR="00F301C7" w:rsidRPr="00A72CFF" w:rsidRDefault="00F301C7" w:rsidP="00271641">
            <w:pPr>
              <w:pStyle w:val="TableDash"/>
            </w:pPr>
            <w:r w:rsidRPr="00A72CFF">
              <w:t>accurate and reliable</w:t>
            </w:r>
          </w:p>
          <w:p w14:paraId="4FE9B18B" w14:textId="77777777" w:rsidR="003B6490" w:rsidRPr="00A72CFF" w:rsidRDefault="00F301C7" w:rsidP="00271641">
            <w:pPr>
              <w:pStyle w:val="TableDash"/>
            </w:pPr>
            <w:r w:rsidRPr="00A72CFF">
              <w:t>complete</w:t>
            </w:r>
          </w:p>
          <w:p w14:paraId="534D115D" w14:textId="77777777" w:rsidR="003B6490" w:rsidRPr="00A72CFF" w:rsidRDefault="00F301C7" w:rsidP="00271641">
            <w:pPr>
              <w:pStyle w:val="TableDash"/>
            </w:pPr>
            <w:r w:rsidRPr="00A72CFF">
              <w:t>in an appropriate format</w:t>
            </w:r>
          </w:p>
          <w:p w14:paraId="4E9FFDE4" w14:textId="77777777" w:rsidR="003B6490" w:rsidRPr="00A72CFF" w:rsidRDefault="00F301C7" w:rsidP="00271641">
            <w:pPr>
              <w:pStyle w:val="TableText"/>
              <w:ind w:left="284"/>
            </w:pPr>
            <w:r w:rsidRPr="00A72CFF">
              <w:t>with particular emphasis on</w:t>
            </w:r>
            <w:r w:rsidR="00271641">
              <w:t>:</w:t>
            </w:r>
          </w:p>
          <w:p w14:paraId="6ADBFD40" w14:textId="77777777" w:rsidR="00F301C7" w:rsidRPr="00A72CFF" w:rsidRDefault="00F301C7" w:rsidP="00271641">
            <w:pPr>
              <w:pStyle w:val="TableDash"/>
            </w:pPr>
            <w:r w:rsidRPr="00A72CFF">
              <w:t>participant care</w:t>
            </w:r>
          </w:p>
          <w:p w14:paraId="148F6FE5" w14:textId="77777777" w:rsidR="00F301C7" w:rsidRPr="00A72CFF" w:rsidRDefault="00F301C7" w:rsidP="00271641">
            <w:pPr>
              <w:pStyle w:val="TableDash"/>
            </w:pPr>
            <w:r w:rsidRPr="00A72CFF">
              <w:t>management and privacy</w:t>
            </w:r>
          </w:p>
          <w:p w14:paraId="5DC4708B" w14:textId="77777777" w:rsidR="00F301C7" w:rsidRPr="00A72CFF" w:rsidRDefault="00F301C7" w:rsidP="00271641">
            <w:pPr>
              <w:pStyle w:val="TableDash"/>
            </w:pPr>
            <w:r w:rsidRPr="00A72CFF">
              <w:t>quality assurance</w:t>
            </w:r>
          </w:p>
          <w:p w14:paraId="541E61DB" w14:textId="77777777" w:rsidR="00F301C7" w:rsidRPr="00A72CFF" w:rsidRDefault="00F301C7" w:rsidP="00271641">
            <w:pPr>
              <w:pStyle w:val="TableDash"/>
            </w:pPr>
            <w:r w:rsidRPr="00A72CFF">
              <w:t>security</w:t>
            </w:r>
          </w:p>
          <w:p w14:paraId="2C9CF4D6" w14:textId="77777777" w:rsidR="00F301C7" w:rsidRPr="00A72CFF" w:rsidRDefault="00F301C7" w:rsidP="00271641">
            <w:pPr>
              <w:pStyle w:val="TableDash"/>
            </w:pPr>
            <w:r w:rsidRPr="00A72CFF">
              <w:t>governance</w:t>
            </w:r>
          </w:p>
          <w:p w14:paraId="1C698D43" w14:textId="77777777" w:rsidR="00F301C7" w:rsidRPr="00A72CFF" w:rsidRDefault="00F301C7" w:rsidP="00271641">
            <w:pPr>
              <w:pStyle w:val="TableBullet"/>
              <w:spacing w:before="60"/>
            </w:pPr>
            <w:proofErr w:type="gramStart"/>
            <w:r w:rsidRPr="00A72CFF">
              <w:t>ongoing</w:t>
            </w:r>
            <w:proofErr w:type="gramEnd"/>
            <w:r w:rsidRPr="00A72CFF">
              <w:t xml:space="preserve"> training and support of all users</w:t>
            </w:r>
            <w:r w:rsidR="00271641">
              <w:t>.</w:t>
            </w:r>
          </w:p>
        </w:tc>
      </w:tr>
      <w:tr w:rsidR="00F301C7" w:rsidRPr="00B325E7" w14:paraId="6B7325B1" w14:textId="77777777" w:rsidTr="00A72CFF">
        <w:trPr>
          <w:cantSplit/>
        </w:trPr>
        <w:tc>
          <w:tcPr>
            <w:tcW w:w="2410" w:type="dxa"/>
            <w:shd w:val="clear" w:color="auto" w:fill="F2F2F2" w:themeFill="background1" w:themeFillShade="F2"/>
          </w:tcPr>
          <w:p w14:paraId="425B7740" w14:textId="77777777" w:rsidR="00F301C7" w:rsidRPr="00B325E7" w:rsidRDefault="00F301C7" w:rsidP="00271641">
            <w:pPr>
              <w:pStyle w:val="TableText"/>
              <w:ind w:left="709" w:right="142" w:hanging="709"/>
            </w:pPr>
            <w:r>
              <w:t>R3.</w:t>
            </w:r>
            <w:r w:rsidRPr="00B325E7">
              <w:t>04</w:t>
            </w:r>
            <w:r w:rsidR="00271641">
              <w:tab/>
            </w:r>
            <w:r w:rsidRPr="00B325E7">
              <w:t>Incidents and complaints</w:t>
            </w:r>
          </w:p>
        </w:tc>
        <w:tc>
          <w:tcPr>
            <w:tcW w:w="6946" w:type="dxa"/>
            <w:shd w:val="clear" w:color="auto" w:fill="F2F2F2" w:themeFill="background1" w:themeFillShade="F2"/>
          </w:tcPr>
          <w:p w14:paraId="49FABB39" w14:textId="77777777" w:rsidR="00F301C7" w:rsidRPr="00A72CFF" w:rsidRDefault="00F301C7" w:rsidP="00A72CFF">
            <w:pPr>
              <w:pStyle w:val="TableText"/>
            </w:pPr>
            <w:r w:rsidRPr="00271641">
              <w:rPr>
                <w:b/>
                <w:i/>
              </w:rPr>
              <w:t>Practice point</w:t>
            </w:r>
            <w:r w:rsidRPr="00A72CFF">
              <w:t xml:space="preserve"> (NBSP)</w:t>
            </w:r>
          </w:p>
          <w:p w14:paraId="32ED65E8" w14:textId="77777777" w:rsidR="00F301C7" w:rsidRPr="00A72CFF" w:rsidRDefault="00F301C7" w:rsidP="00A72CFF">
            <w:pPr>
              <w:pStyle w:val="TableText"/>
            </w:pPr>
            <w:r w:rsidRPr="00A72CFF">
              <w:t>Reducing potential risks to participants and supporting quality improvement are maximised by:</w:t>
            </w:r>
          </w:p>
          <w:p w14:paraId="586B33D8" w14:textId="77777777" w:rsidR="00F301C7" w:rsidRPr="00A72CFF" w:rsidRDefault="00F301C7" w:rsidP="00271641">
            <w:pPr>
              <w:pStyle w:val="TableBullet"/>
            </w:pPr>
            <w:r w:rsidRPr="00A72CFF">
              <w:t>maintaining documented incident and complaints management and reporting processes</w:t>
            </w:r>
          </w:p>
          <w:p w14:paraId="23B0D903" w14:textId="77777777" w:rsidR="00F301C7" w:rsidRPr="00A72CFF" w:rsidRDefault="00F301C7" w:rsidP="00271641">
            <w:pPr>
              <w:pStyle w:val="TableBullet"/>
            </w:pPr>
            <w:r w:rsidRPr="00A72CFF">
              <w:t>managing incidents and complaints according to documented protocols, and reporting them in line with the Ministry requirements</w:t>
            </w:r>
          </w:p>
          <w:p w14:paraId="5281FF03" w14:textId="77777777" w:rsidR="00F301C7" w:rsidRPr="00A72CFF" w:rsidRDefault="00F301C7" w:rsidP="00271641">
            <w:pPr>
              <w:pStyle w:val="TableBullet"/>
            </w:pPr>
            <w:r w:rsidRPr="00A72CFF">
              <w:t>quality systems that are an explicit part of incident management</w:t>
            </w:r>
          </w:p>
          <w:p w14:paraId="6020F566" w14:textId="77777777" w:rsidR="00F301C7" w:rsidRPr="00A72CFF" w:rsidRDefault="00F301C7" w:rsidP="00271641">
            <w:pPr>
              <w:pStyle w:val="TableBullet"/>
            </w:pPr>
            <w:proofErr w:type="gramStart"/>
            <w:r w:rsidRPr="00A72CFF">
              <w:t>meeting</w:t>
            </w:r>
            <w:proofErr w:type="gramEnd"/>
            <w:r w:rsidRPr="00A72CFF">
              <w:t xml:space="preserve"> the requirements of the Code of Health and Disability Services Consumers</w:t>
            </w:r>
            <w:r w:rsidR="003B6490" w:rsidRPr="00A72CFF">
              <w:t>’</w:t>
            </w:r>
            <w:r w:rsidRPr="00A72CFF">
              <w:t xml:space="preserve"> Rights, in particular the right to complain (Right 10)</w:t>
            </w:r>
            <w:r w:rsidR="00271641">
              <w:t>.</w:t>
            </w:r>
            <w:r w:rsidRPr="00271641">
              <w:rPr>
                <w:rStyle w:val="FootnoteReference"/>
              </w:rPr>
              <w:footnoteReference w:id="23"/>
            </w:r>
          </w:p>
        </w:tc>
      </w:tr>
    </w:tbl>
    <w:p w14:paraId="3B79D6C3" w14:textId="77777777" w:rsidR="00F301C7" w:rsidRPr="00B325E7" w:rsidRDefault="00F301C7" w:rsidP="00271641"/>
    <w:p w14:paraId="4C30BA33" w14:textId="77777777" w:rsidR="00F301C7" w:rsidRDefault="00F301C7" w:rsidP="009F787F">
      <w:pPr>
        <w:pStyle w:val="Heading2"/>
      </w:pPr>
      <w:bookmarkStart w:id="21" w:name="_Toc530661009"/>
      <w:r>
        <w:t>G4</w:t>
      </w:r>
      <w:r w:rsidR="009F787F">
        <w:tab/>
      </w:r>
      <w:r w:rsidRPr="00C77884">
        <w:t>Recommendations</w:t>
      </w:r>
      <w:r w:rsidR="003B6490">
        <w:t xml:space="preserve"> – </w:t>
      </w:r>
      <w:r w:rsidRPr="00C77884">
        <w:t>information to participants</w:t>
      </w:r>
      <w:bookmarkEnd w:id="21"/>
    </w:p>
    <w:p w14:paraId="04641BAF" w14:textId="77777777" w:rsidR="00F301C7" w:rsidRPr="00F73A99" w:rsidRDefault="00F301C7" w:rsidP="009F787F">
      <w:pPr>
        <w:pStyle w:val="Heading3"/>
        <w:rPr>
          <w:color w:val="000000"/>
        </w:rPr>
      </w:pPr>
      <w:r>
        <w:t>Recommendations: Information to participants – the Programme</w:t>
      </w:r>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2410"/>
        <w:gridCol w:w="6946"/>
      </w:tblGrid>
      <w:tr w:rsidR="00F301C7" w:rsidRPr="00BD48DA" w14:paraId="5C6FBD60" w14:textId="77777777" w:rsidTr="00C57D06">
        <w:trPr>
          <w:cantSplit/>
        </w:trPr>
        <w:tc>
          <w:tcPr>
            <w:tcW w:w="2410" w:type="dxa"/>
            <w:shd w:val="clear" w:color="auto" w:fill="F2F2F2" w:themeFill="background1" w:themeFillShade="F2"/>
          </w:tcPr>
          <w:p w14:paraId="0F86C44C" w14:textId="77777777" w:rsidR="00F301C7" w:rsidRPr="00BD48DA" w:rsidRDefault="00F301C7" w:rsidP="00C57D06">
            <w:pPr>
              <w:pStyle w:val="TableText"/>
              <w:ind w:left="709" w:right="142" w:hanging="709"/>
            </w:pPr>
            <w:r w:rsidRPr="00BD48DA">
              <w:t>R</w:t>
            </w:r>
            <w:r>
              <w:t>4.01</w:t>
            </w:r>
            <w:r w:rsidR="00C57D06">
              <w:tab/>
            </w:r>
            <w:r w:rsidRPr="00BD48DA">
              <w:t>Information on the national</w:t>
            </w:r>
            <w:r w:rsidR="00271641">
              <w:t xml:space="preserve"> </w:t>
            </w:r>
            <w:r w:rsidRPr="00BD48DA">
              <w:t>bowel screening programme</w:t>
            </w:r>
          </w:p>
        </w:tc>
        <w:tc>
          <w:tcPr>
            <w:tcW w:w="6946" w:type="dxa"/>
            <w:shd w:val="clear" w:color="auto" w:fill="F2F2F2" w:themeFill="background1" w:themeFillShade="F2"/>
          </w:tcPr>
          <w:p w14:paraId="4025422B" w14:textId="77777777" w:rsidR="00F301C7" w:rsidRPr="00C57D06" w:rsidRDefault="00F301C7" w:rsidP="00C57D06">
            <w:pPr>
              <w:pStyle w:val="TableText"/>
              <w:rPr>
                <w:iCs/>
              </w:rPr>
            </w:pPr>
            <w:r w:rsidRPr="00C57D06">
              <w:rPr>
                <w:b/>
                <w:i/>
              </w:rPr>
              <w:t>Practice point</w:t>
            </w:r>
            <w:r w:rsidRPr="00C57D06">
              <w:t xml:space="preserve"> (NBSP)</w:t>
            </w:r>
          </w:p>
          <w:p w14:paraId="70684C0D" w14:textId="77777777" w:rsidR="00F301C7" w:rsidRPr="00C57D06" w:rsidRDefault="00F301C7" w:rsidP="00C57D06">
            <w:pPr>
              <w:pStyle w:val="TableText"/>
              <w:rPr>
                <w:u w:val="single"/>
              </w:rPr>
            </w:pPr>
            <w:r w:rsidRPr="00C57D06">
              <w:t>NBSP resources are available to assist in explaining all aspects of the national bowel screening programme to include:</w:t>
            </w:r>
          </w:p>
          <w:p w14:paraId="6C3A8628" w14:textId="77777777" w:rsidR="00F301C7" w:rsidRPr="00C57D06" w:rsidRDefault="00F301C7" w:rsidP="00C57D06">
            <w:pPr>
              <w:pStyle w:val="TableBullet"/>
            </w:pPr>
            <w:r w:rsidRPr="00C57D06">
              <w:t>the objectives and benefits of participating in the NBSP, including the letters and information participants receive from the NBSP</w:t>
            </w:r>
          </w:p>
          <w:p w14:paraId="1C399B0E" w14:textId="77777777" w:rsidR="00F301C7" w:rsidRPr="00C57D06" w:rsidRDefault="00F301C7" w:rsidP="00C57D06">
            <w:pPr>
              <w:pStyle w:val="TableBullet"/>
            </w:pPr>
            <w:r w:rsidRPr="00C57D06">
              <w:t>enrolment in the NBSP including how a participant may cancel their enrolment in the NBSP, if they wish to do so (refer below)</w:t>
            </w:r>
          </w:p>
          <w:p w14:paraId="68FE1890" w14:textId="77777777" w:rsidR="00F301C7" w:rsidRPr="00C57D06" w:rsidRDefault="00F301C7" w:rsidP="00C57D06">
            <w:pPr>
              <w:pStyle w:val="TableBullet"/>
            </w:pPr>
            <w:r w:rsidRPr="00C57D06">
              <w:t>who can access the information stored on the NBSP Register</w:t>
            </w:r>
          </w:p>
          <w:p w14:paraId="77013A28" w14:textId="77777777" w:rsidR="00F301C7" w:rsidRPr="00C57D06" w:rsidRDefault="00F301C7" w:rsidP="00C57D06">
            <w:pPr>
              <w:pStyle w:val="TableBullet"/>
            </w:pPr>
            <w:r w:rsidRPr="00C57D06">
              <w:t>the ways in which information can be used following enrolment in the Programme</w:t>
            </w:r>
          </w:p>
          <w:p w14:paraId="0520F550" w14:textId="77777777" w:rsidR="00F301C7" w:rsidRPr="00C57D06" w:rsidRDefault="00F301C7" w:rsidP="00C57D06">
            <w:pPr>
              <w:pStyle w:val="TableBullet"/>
            </w:pPr>
            <w:proofErr w:type="gramStart"/>
            <w:r w:rsidRPr="00C57D06">
              <w:t>the</w:t>
            </w:r>
            <w:proofErr w:type="gramEnd"/>
            <w:r w:rsidRPr="00C57D06">
              <w:t xml:space="preserve"> process and implications of declining to participate or withdraw from the programme</w:t>
            </w:r>
            <w:r w:rsidR="00C57D06">
              <w:t>.</w:t>
            </w:r>
          </w:p>
        </w:tc>
      </w:tr>
    </w:tbl>
    <w:p w14:paraId="45C0F85F" w14:textId="77777777" w:rsidR="00F301C7" w:rsidRDefault="00F301C7" w:rsidP="00C57D06"/>
    <w:p w14:paraId="17052EF4" w14:textId="77777777" w:rsidR="00F301C7" w:rsidRPr="001B41A3" w:rsidRDefault="00F301C7" w:rsidP="009F787F">
      <w:pPr>
        <w:pStyle w:val="Heading3"/>
      </w:pPr>
      <w:r w:rsidRPr="001B41A3">
        <w:lastRenderedPageBreak/>
        <w:t>Recommendations: Information to participants – bowel cancer screening</w:t>
      </w:r>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2410"/>
        <w:gridCol w:w="6946"/>
      </w:tblGrid>
      <w:tr w:rsidR="00F301C7" w:rsidRPr="00BD48DA" w14:paraId="6967CA6C" w14:textId="77777777" w:rsidTr="00175121">
        <w:trPr>
          <w:cantSplit/>
        </w:trPr>
        <w:tc>
          <w:tcPr>
            <w:tcW w:w="2410" w:type="dxa"/>
            <w:shd w:val="clear" w:color="auto" w:fill="F2F2F2" w:themeFill="background1" w:themeFillShade="F2"/>
          </w:tcPr>
          <w:p w14:paraId="3CE70355" w14:textId="77777777" w:rsidR="00F301C7" w:rsidRPr="00BD48DA" w:rsidRDefault="00F301C7" w:rsidP="00175121">
            <w:pPr>
              <w:pStyle w:val="TableText"/>
              <w:ind w:left="709" w:right="142" w:hanging="709"/>
            </w:pPr>
            <w:r w:rsidRPr="00BD48DA">
              <w:t>R</w:t>
            </w:r>
            <w:r>
              <w:t>4.02</w:t>
            </w:r>
            <w:r w:rsidR="00175121">
              <w:tab/>
            </w:r>
            <w:r>
              <w:t>Information on bowel</w:t>
            </w:r>
            <w:r w:rsidR="00271641">
              <w:t xml:space="preserve"> </w:t>
            </w:r>
            <w:r w:rsidRPr="00BD48DA">
              <w:t>cancer screening</w:t>
            </w:r>
          </w:p>
        </w:tc>
        <w:tc>
          <w:tcPr>
            <w:tcW w:w="6946" w:type="dxa"/>
            <w:shd w:val="clear" w:color="auto" w:fill="F2F2F2" w:themeFill="background1" w:themeFillShade="F2"/>
          </w:tcPr>
          <w:p w14:paraId="0577B2AB" w14:textId="77777777" w:rsidR="00F301C7" w:rsidRPr="00C57D06" w:rsidRDefault="00F301C7" w:rsidP="00C57D06">
            <w:pPr>
              <w:pStyle w:val="TableText"/>
              <w:rPr>
                <w:iCs/>
              </w:rPr>
            </w:pPr>
            <w:r w:rsidRPr="00175121">
              <w:rPr>
                <w:b/>
                <w:i/>
              </w:rPr>
              <w:t>Practice point</w:t>
            </w:r>
            <w:r w:rsidRPr="00C57D06">
              <w:t xml:space="preserve"> (NBSP)</w:t>
            </w:r>
          </w:p>
          <w:p w14:paraId="5C0DF4FB" w14:textId="77777777" w:rsidR="00F301C7" w:rsidRPr="00C57D06" w:rsidRDefault="00F301C7" w:rsidP="00C57D06">
            <w:pPr>
              <w:pStyle w:val="TableText"/>
            </w:pPr>
            <w:r w:rsidRPr="00C57D06">
              <w:t>NBSP resources are available to assist in explaining all aspects of the bowel cancer screening to include</w:t>
            </w:r>
            <w:r w:rsidR="00175121">
              <w:t>:</w:t>
            </w:r>
            <w:r w:rsidRPr="00175121">
              <w:rPr>
                <w:rStyle w:val="FootnoteReference"/>
              </w:rPr>
              <w:footnoteReference w:id="24"/>
            </w:r>
            <w:r w:rsidRPr="00175121">
              <w:rPr>
                <w:vertAlign w:val="superscript"/>
              </w:rPr>
              <w:t>,</w:t>
            </w:r>
            <w:r w:rsidRPr="00175121">
              <w:rPr>
                <w:rStyle w:val="FootnoteReference"/>
              </w:rPr>
              <w:footnoteReference w:id="25"/>
            </w:r>
          </w:p>
          <w:p w14:paraId="1E7C1721" w14:textId="77777777" w:rsidR="00F301C7" w:rsidRPr="00C57D06" w:rsidRDefault="00F301C7" w:rsidP="00175121">
            <w:pPr>
              <w:pStyle w:val="TableBullet"/>
            </w:pPr>
            <w:r w:rsidRPr="00C57D06">
              <w:t>risk factors</w:t>
            </w:r>
          </w:p>
          <w:p w14:paraId="19900D94" w14:textId="77777777" w:rsidR="003B6490" w:rsidRPr="00C57D06" w:rsidRDefault="00F301C7" w:rsidP="00175121">
            <w:pPr>
              <w:pStyle w:val="TableBullet"/>
            </w:pPr>
            <w:r w:rsidRPr="00C57D06">
              <w:t>the importance of having regular bowel screening tests, even if no symptoms</w:t>
            </w:r>
          </w:p>
          <w:p w14:paraId="4665B045" w14:textId="77777777" w:rsidR="00F301C7" w:rsidRPr="00C57D06" w:rsidRDefault="00F301C7" w:rsidP="00175121">
            <w:pPr>
              <w:pStyle w:val="TableBullet"/>
            </w:pPr>
            <w:r w:rsidRPr="00C57D06">
              <w:t>the benefits and limitations of bowel screening</w:t>
            </w:r>
          </w:p>
          <w:p w14:paraId="4628282C" w14:textId="77777777" w:rsidR="00F301C7" w:rsidRPr="00C57D06" w:rsidRDefault="00F301C7" w:rsidP="00175121">
            <w:pPr>
              <w:pStyle w:val="TableBullet"/>
            </w:pPr>
            <w:r w:rsidRPr="00C57D06">
              <w:t>the difference between a screening test</w:t>
            </w:r>
            <w:r w:rsidRPr="00175121">
              <w:rPr>
                <w:rStyle w:val="FootnoteReference"/>
              </w:rPr>
              <w:footnoteReference w:id="26"/>
            </w:r>
            <w:r w:rsidRPr="00C57D06">
              <w:t xml:space="preserve"> and a diagnostic test, explaining that the bowel screening test is a screening test only, and has limitations, such as the possibility of a false positive or negative result</w:t>
            </w:r>
            <w:r w:rsidR="00175121">
              <w:t>; h</w:t>
            </w:r>
            <w:r w:rsidRPr="00C57D06">
              <w:t xml:space="preserve">owever regular tests increase the likelihood </w:t>
            </w:r>
            <w:r w:rsidR="00175121">
              <w:t>of abnormalities being detected</w:t>
            </w:r>
          </w:p>
          <w:p w14:paraId="0D9A0969" w14:textId="77777777" w:rsidR="00F301C7" w:rsidRPr="00C57D06" w:rsidRDefault="00F301C7" w:rsidP="00175121">
            <w:pPr>
              <w:pStyle w:val="TableBullet"/>
            </w:pPr>
            <w:proofErr w:type="gramStart"/>
            <w:r w:rsidRPr="00C57D06">
              <w:t>the</w:t>
            </w:r>
            <w:proofErr w:type="gramEnd"/>
            <w:r w:rsidRPr="00C57D06">
              <w:t xml:space="preserve"> importance of reporting any abnormal symptoms such as bleeding to their doctor immediately, even if they have had a recent negative FIT screening test.</w:t>
            </w:r>
          </w:p>
        </w:tc>
      </w:tr>
    </w:tbl>
    <w:p w14:paraId="4DCD83CD" w14:textId="77777777" w:rsidR="00F301C7" w:rsidRDefault="00F301C7" w:rsidP="009F787F"/>
    <w:p w14:paraId="60461EE5" w14:textId="77777777" w:rsidR="00F301C7" w:rsidRPr="001B41A3" w:rsidRDefault="00F301C7" w:rsidP="009F787F">
      <w:pPr>
        <w:pStyle w:val="Heading3"/>
      </w:pPr>
      <w:r w:rsidRPr="001B41A3">
        <w:t>Recommendations: Information to participants – the FIT screening test</w:t>
      </w:r>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2410"/>
        <w:gridCol w:w="6946"/>
      </w:tblGrid>
      <w:tr w:rsidR="00F301C7" w:rsidRPr="00BD48DA" w14:paraId="692C5AD5" w14:textId="77777777" w:rsidTr="00175121">
        <w:trPr>
          <w:cantSplit/>
        </w:trPr>
        <w:tc>
          <w:tcPr>
            <w:tcW w:w="2410" w:type="dxa"/>
            <w:shd w:val="clear" w:color="auto" w:fill="F2F2F2" w:themeFill="background1" w:themeFillShade="F2"/>
          </w:tcPr>
          <w:p w14:paraId="7D1C25B5" w14:textId="77777777" w:rsidR="00F301C7" w:rsidRPr="00BD48DA" w:rsidRDefault="00F301C7" w:rsidP="00175121">
            <w:pPr>
              <w:pStyle w:val="TableText"/>
              <w:ind w:left="709" w:right="142" w:hanging="709"/>
            </w:pPr>
            <w:r w:rsidRPr="00BD48DA">
              <w:t>R</w:t>
            </w:r>
            <w:r>
              <w:t>4.03</w:t>
            </w:r>
            <w:r w:rsidR="00175121">
              <w:tab/>
            </w:r>
            <w:r w:rsidRPr="00BD48DA">
              <w:t>Information on the FIT test</w:t>
            </w:r>
          </w:p>
        </w:tc>
        <w:tc>
          <w:tcPr>
            <w:tcW w:w="6946" w:type="dxa"/>
            <w:shd w:val="clear" w:color="auto" w:fill="F2F2F2" w:themeFill="background1" w:themeFillShade="F2"/>
          </w:tcPr>
          <w:p w14:paraId="3BDF8DE2" w14:textId="77777777" w:rsidR="00F301C7" w:rsidRPr="00C57D06" w:rsidRDefault="00F301C7" w:rsidP="00C57D06">
            <w:pPr>
              <w:pStyle w:val="TableText"/>
              <w:rPr>
                <w:iCs/>
              </w:rPr>
            </w:pPr>
            <w:r w:rsidRPr="00175121">
              <w:rPr>
                <w:b/>
                <w:i/>
              </w:rPr>
              <w:t>Practice point</w:t>
            </w:r>
            <w:r w:rsidRPr="00C57D06">
              <w:t xml:space="preserve"> (NBSP)</w:t>
            </w:r>
          </w:p>
          <w:p w14:paraId="0A52FE22" w14:textId="77777777" w:rsidR="00F301C7" w:rsidRPr="00C57D06" w:rsidRDefault="00F301C7" w:rsidP="00C57D06">
            <w:pPr>
              <w:pStyle w:val="TableText"/>
              <w:rPr>
                <w:u w:val="single"/>
              </w:rPr>
            </w:pPr>
            <w:r w:rsidRPr="00C57D06">
              <w:t>NBSP resources are available to assist in explaining all aspects of the bowel FIT screening</w:t>
            </w:r>
            <w:r w:rsidR="003B6490" w:rsidRPr="00C57D06">
              <w:t xml:space="preserve"> </w:t>
            </w:r>
            <w:r w:rsidRPr="00C57D06">
              <w:t>to include:</w:t>
            </w:r>
          </w:p>
          <w:p w14:paraId="2CEC0876" w14:textId="77777777" w:rsidR="003B6490" w:rsidRPr="00C57D06" w:rsidRDefault="00F301C7" w:rsidP="00175121">
            <w:pPr>
              <w:pStyle w:val="TableBullet"/>
            </w:pPr>
            <w:r w:rsidRPr="00C57D06">
              <w:t>details of the test</w:t>
            </w:r>
          </w:p>
          <w:p w14:paraId="760D73DA" w14:textId="77777777" w:rsidR="00F301C7" w:rsidRPr="00C57D06" w:rsidRDefault="00F301C7" w:rsidP="00175121">
            <w:pPr>
              <w:pStyle w:val="TableBullet"/>
            </w:pPr>
            <w:r w:rsidRPr="00C57D06">
              <w:t>the procedure for taking and submitting the sample</w:t>
            </w:r>
          </w:p>
          <w:p w14:paraId="7D225BFE" w14:textId="77777777" w:rsidR="00F301C7" w:rsidRPr="00C57D06" w:rsidRDefault="00F301C7" w:rsidP="00175121">
            <w:pPr>
              <w:pStyle w:val="TableBullet"/>
            </w:pPr>
            <w:r w:rsidRPr="00C57D06">
              <w:t>how and when results will be provided</w:t>
            </w:r>
          </w:p>
          <w:p w14:paraId="2A300B66" w14:textId="77777777" w:rsidR="00F301C7" w:rsidRPr="00C57D06" w:rsidRDefault="00F301C7" w:rsidP="00175121">
            <w:pPr>
              <w:pStyle w:val="TableBullet"/>
            </w:pPr>
            <w:r w:rsidRPr="00C57D06">
              <w:t>what the results mean and subsequent recall and follow up</w:t>
            </w:r>
          </w:p>
          <w:p w14:paraId="1031FFBB" w14:textId="77777777" w:rsidR="00F301C7" w:rsidRPr="00C57D06" w:rsidRDefault="00F301C7" w:rsidP="00175121">
            <w:pPr>
              <w:pStyle w:val="TableBullet"/>
            </w:pPr>
            <w:proofErr w:type="gramStart"/>
            <w:r w:rsidRPr="00C57D06">
              <w:t>accuracy</w:t>
            </w:r>
            <w:proofErr w:type="gramEnd"/>
            <w:r w:rsidRPr="00C57D06">
              <w:t xml:space="preserve"> of the test including false negative and false positive test results</w:t>
            </w:r>
            <w:r w:rsidR="00175121">
              <w:t>.</w:t>
            </w:r>
          </w:p>
        </w:tc>
      </w:tr>
    </w:tbl>
    <w:p w14:paraId="65A59C88" w14:textId="77777777" w:rsidR="00F301C7" w:rsidRPr="009D484D" w:rsidRDefault="00F301C7" w:rsidP="009F787F"/>
    <w:p w14:paraId="1D72F09D" w14:textId="77777777" w:rsidR="00F301C7" w:rsidRDefault="00F301C7" w:rsidP="009F787F">
      <w:pPr>
        <w:pStyle w:val="Heading2"/>
      </w:pPr>
      <w:bookmarkStart w:id="22" w:name="_Toc530661010"/>
      <w:r w:rsidRPr="00245FDC">
        <w:t>G</w:t>
      </w:r>
      <w:r>
        <w:t>5</w:t>
      </w:r>
      <w:r w:rsidR="009F787F">
        <w:tab/>
      </w:r>
      <w:r w:rsidRPr="00245FDC">
        <w:t xml:space="preserve">Recommendations – the </w:t>
      </w:r>
      <w:r>
        <w:t xml:space="preserve">FIT </w:t>
      </w:r>
      <w:r w:rsidR="00A72CFF">
        <w:t>l</w:t>
      </w:r>
      <w:r w:rsidRPr="00245FDC">
        <w:t>aboratory</w:t>
      </w:r>
      <w:bookmarkEnd w:id="22"/>
    </w:p>
    <w:p w14:paraId="5D857D64" w14:textId="77777777" w:rsidR="00F301C7" w:rsidRDefault="00F301C7" w:rsidP="009F787F">
      <w:pPr>
        <w:pStyle w:val="Heading3"/>
      </w:pPr>
      <w:r>
        <w:t>Recommendations – FIT thresholds and results</w:t>
      </w:r>
    </w:p>
    <w:tbl>
      <w:tblPr>
        <w:tblW w:w="0" w:type="auto"/>
        <w:tblInd w:w="57" w:type="dxa"/>
        <w:tblBorders>
          <w:top w:val="single" w:sz="4" w:space="0" w:color="auto"/>
          <w:bottom w:val="single" w:sz="4" w:space="0" w:color="auto"/>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2410"/>
        <w:gridCol w:w="6946"/>
      </w:tblGrid>
      <w:tr w:rsidR="00F301C7" w:rsidRPr="0000783A" w14:paraId="084EF9A3" w14:textId="77777777" w:rsidTr="00564D98">
        <w:trPr>
          <w:cantSplit/>
        </w:trPr>
        <w:tc>
          <w:tcPr>
            <w:tcW w:w="2410" w:type="dxa"/>
            <w:shd w:val="clear" w:color="auto" w:fill="D9D9D9" w:themeFill="background1" w:themeFillShade="D9"/>
          </w:tcPr>
          <w:p w14:paraId="652854AB" w14:textId="77777777" w:rsidR="00F301C7" w:rsidRPr="0000783A" w:rsidRDefault="00F301C7" w:rsidP="00D30AB2">
            <w:pPr>
              <w:pStyle w:val="TableText"/>
              <w:ind w:left="709" w:right="142" w:hanging="709"/>
            </w:pPr>
            <w:r>
              <w:t>R5.01</w:t>
            </w:r>
            <w:r w:rsidR="00D30AB2">
              <w:tab/>
            </w:r>
            <w:r>
              <w:t>Reporting FIT results</w:t>
            </w:r>
          </w:p>
        </w:tc>
        <w:tc>
          <w:tcPr>
            <w:tcW w:w="6946" w:type="dxa"/>
            <w:shd w:val="clear" w:color="auto" w:fill="D9D9D9" w:themeFill="background1" w:themeFillShade="D9"/>
          </w:tcPr>
          <w:p w14:paraId="5745212D" w14:textId="77777777" w:rsidR="00F301C7" w:rsidRPr="00C57D06" w:rsidRDefault="00F301C7" w:rsidP="00C57D06">
            <w:pPr>
              <w:pStyle w:val="TableText"/>
            </w:pPr>
            <w:r w:rsidRPr="00D30AB2">
              <w:rPr>
                <w:b/>
                <w:i/>
              </w:rPr>
              <w:t>Consensus-based recommendation</w:t>
            </w:r>
            <w:r w:rsidRPr="00C57D06">
              <w:t xml:space="preserve"> (EC; NBSP)</w:t>
            </w:r>
          </w:p>
          <w:p w14:paraId="12169B42" w14:textId="7CA69816" w:rsidR="00F301C7" w:rsidRPr="00C57D06" w:rsidRDefault="00F301C7" w:rsidP="00D30AB2">
            <w:pPr>
              <w:pStyle w:val="TableText"/>
              <w:rPr>
                <w:rFonts w:cs="Calibri"/>
              </w:rPr>
            </w:pPr>
            <w:r w:rsidRPr="00C57D06">
              <w:rPr>
                <w:rFonts w:cs="Calibri"/>
              </w:rPr>
              <w:t xml:space="preserve">FIT results are reported as negative or positive. </w:t>
            </w:r>
            <w:r w:rsidR="00A42B10">
              <w:rPr>
                <w:rFonts w:cs="Calibri"/>
              </w:rPr>
              <w:t xml:space="preserve">Quantitative (numerical) results are only sent to BSP+. </w:t>
            </w:r>
            <w:r w:rsidRPr="00C57D06">
              <w:t>If the provider (</w:t>
            </w:r>
            <w:r w:rsidR="003B1019" w:rsidRPr="00C57D06">
              <w:t>e.g.</w:t>
            </w:r>
            <w:r w:rsidR="00D30AB2">
              <w:t>,</w:t>
            </w:r>
            <w:r w:rsidRPr="00C57D06">
              <w:t xml:space="preserve"> GP) requests the numerical FIT result on behalf of the participant, the result is provided </w:t>
            </w:r>
            <w:r w:rsidR="00A42B10">
              <w:t xml:space="preserve">by the NBSP </w:t>
            </w:r>
            <w:r w:rsidRPr="00C57D06">
              <w:t xml:space="preserve">using international units as </w:t>
            </w:r>
            <w:proofErr w:type="spellStart"/>
            <w:r w:rsidRPr="00C57D06">
              <w:t>nanograms</w:t>
            </w:r>
            <w:proofErr w:type="spellEnd"/>
            <w:r w:rsidRPr="00C57D06">
              <w:t xml:space="preserve"> of haemoglobin/ml of buffer (ng </w:t>
            </w:r>
            <w:proofErr w:type="spellStart"/>
            <w:r w:rsidRPr="00C57D06">
              <w:t>Hb</w:t>
            </w:r>
            <w:proofErr w:type="spellEnd"/>
            <w:r w:rsidRPr="00C57D06">
              <w:t>/ml buffer)</w:t>
            </w:r>
            <w:r w:rsidR="00D30AB2">
              <w:t>.</w:t>
            </w:r>
            <w:r w:rsidRPr="00D30AB2">
              <w:rPr>
                <w:rStyle w:val="FootnoteReference"/>
              </w:rPr>
              <w:footnoteReference w:id="27"/>
            </w:r>
          </w:p>
        </w:tc>
      </w:tr>
      <w:tr w:rsidR="00F301C7" w:rsidRPr="0000783A" w14:paraId="30CE7DDD" w14:textId="77777777" w:rsidTr="00564D98">
        <w:trPr>
          <w:cantSplit/>
        </w:trPr>
        <w:tc>
          <w:tcPr>
            <w:tcW w:w="2410" w:type="dxa"/>
            <w:shd w:val="clear" w:color="auto" w:fill="F2F2F2" w:themeFill="background1" w:themeFillShade="F2"/>
          </w:tcPr>
          <w:p w14:paraId="58CBA0B4" w14:textId="77777777" w:rsidR="00F301C7" w:rsidRDefault="00F301C7" w:rsidP="00D30AB2">
            <w:pPr>
              <w:pStyle w:val="TableText"/>
              <w:ind w:left="709" w:right="142" w:hanging="709"/>
            </w:pPr>
            <w:r>
              <w:lastRenderedPageBreak/>
              <w:t>R5.02</w:t>
            </w:r>
            <w:r w:rsidR="00D30AB2">
              <w:tab/>
            </w:r>
            <w:r>
              <w:t>FIT positive threshold</w:t>
            </w:r>
          </w:p>
        </w:tc>
        <w:tc>
          <w:tcPr>
            <w:tcW w:w="6946" w:type="dxa"/>
            <w:shd w:val="clear" w:color="auto" w:fill="F2F2F2" w:themeFill="background1" w:themeFillShade="F2"/>
          </w:tcPr>
          <w:p w14:paraId="16E105F7" w14:textId="77777777" w:rsidR="00F301C7" w:rsidRPr="00C57D06" w:rsidRDefault="00F301C7" w:rsidP="00C57D06">
            <w:pPr>
              <w:pStyle w:val="TableText"/>
            </w:pPr>
            <w:r w:rsidRPr="00D30AB2">
              <w:rPr>
                <w:b/>
                <w:i/>
              </w:rPr>
              <w:t>Practice point</w:t>
            </w:r>
            <w:r w:rsidRPr="00C57D06">
              <w:t xml:space="preserve"> (NBSP)</w:t>
            </w:r>
          </w:p>
          <w:p w14:paraId="51AE8FC6" w14:textId="77777777" w:rsidR="00F301C7" w:rsidRPr="00C57D06" w:rsidRDefault="00F301C7" w:rsidP="00C57D06">
            <w:pPr>
              <w:pStyle w:val="TableText"/>
              <w:rPr>
                <w:rFonts w:cs="Calibri"/>
                <w:sz w:val="20"/>
              </w:rPr>
            </w:pPr>
            <w:r w:rsidRPr="00C57D06">
              <w:t xml:space="preserve">The FIT threshold for a positive test results is ≥200ng </w:t>
            </w:r>
            <w:proofErr w:type="spellStart"/>
            <w:r w:rsidRPr="00C57D06">
              <w:t>Hb</w:t>
            </w:r>
            <w:proofErr w:type="spellEnd"/>
            <w:r w:rsidRPr="00C57D06">
              <w:t>/ml buffer</w:t>
            </w:r>
            <w:r w:rsidRPr="00D30AB2">
              <w:rPr>
                <w:rStyle w:val="FootnoteReference"/>
              </w:rPr>
              <w:footnoteReference w:id="28"/>
            </w:r>
            <w:r w:rsidRPr="00C57D06" w:rsidDel="00F2170E">
              <w:t xml:space="preserve"> </w:t>
            </w:r>
            <w:r w:rsidRPr="00C57D06">
              <w:t xml:space="preserve">(this is equivalent to ≥40 </w:t>
            </w:r>
            <w:proofErr w:type="spellStart"/>
            <w:r w:rsidRPr="00C57D06">
              <w:t>μg</w:t>
            </w:r>
            <w:proofErr w:type="spellEnd"/>
            <w:r w:rsidRPr="00C57D06">
              <w:t xml:space="preserve"> </w:t>
            </w:r>
            <w:proofErr w:type="spellStart"/>
            <w:r w:rsidRPr="00C57D06">
              <w:t>Hb</w:t>
            </w:r>
            <w:proofErr w:type="spellEnd"/>
            <w:r w:rsidRPr="00C57D06">
              <w:t>/gram faeces for OC Sensor Diana analysis)</w:t>
            </w:r>
            <w:r w:rsidR="00D30AB2">
              <w:t>.</w:t>
            </w:r>
            <w:r w:rsidRPr="00D30AB2">
              <w:rPr>
                <w:rStyle w:val="FootnoteReference"/>
              </w:rPr>
              <w:footnoteReference w:id="29"/>
            </w:r>
          </w:p>
        </w:tc>
      </w:tr>
    </w:tbl>
    <w:p w14:paraId="7CBF6671" w14:textId="77777777" w:rsidR="00F301C7" w:rsidRDefault="00F301C7" w:rsidP="007547B3"/>
    <w:p w14:paraId="55C9F11D" w14:textId="77777777" w:rsidR="00F301C7" w:rsidRPr="00F63818" w:rsidRDefault="00F301C7" w:rsidP="009F787F">
      <w:pPr>
        <w:pStyle w:val="Heading3"/>
      </w:pPr>
      <w:r w:rsidRPr="00F63818">
        <w:t>Recommendation</w:t>
      </w:r>
      <w:r w:rsidR="003B6490">
        <w:t xml:space="preserve"> – </w:t>
      </w:r>
      <w:r w:rsidRPr="00F63818">
        <w:t>Organisation, quality and equity</w:t>
      </w:r>
    </w:p>
    <w:tbl>
      <w:tblPr>
        <w:tblW w:w="0" w:type="auto"/>
        <w:tblInd w:w="57" w:type="dxa"/>
        <w:tblBorders>
          <w:top w:val="single" w:sz="4" w:space="0" w:color="auto"/>
          <w:bottom w:val="single" w:sz="4" w:space="0" w:color="auto"/>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2410"/>
        <w:gridCol w:w="6946"/>
      </w:tblGrid>
      <w:tr w:rsidR="00F301C7" w:rsidRPr="0000783A" w14:paraId="7881E715" w14:textId="77777777" w:rsidTr="00564D98">
        <w:trPr>
          <w:cantSplit/>
        </w:trPr>
        <w:tc>
          <w:tcPr>
            <w:tcW w:w="2410" w:type="dxa"/>
            <w:shd w:val="clear" w:color="auto" w:fill="F2F2F2" w:themeFill="background1" w:themeFillShade="F2"/>
          </w:tcPr>
          <w:p w14:paraId="3F33CD50" w14:textId="77777777" w:rsidR="00F301C7" w:rsidRPr="0000783A" w:rsidRDefault="00F301C7" w:rsidP="00D30AB2">
            <w:pPr>
              <w:pStyle w:val="TableText"/>
              <w:ind w:left="709" w:right="142" w:hanging="709"/>
            </w:pPr>
            <w:r>
              <w:t>R5.03</w:t>
            </w:r>
            <w:r w:rsidR="00D30AB2">
              <w:tab/>
            </w:r>
            <w:r>
              <w:t>Laboratory organisation</w:t>
            </w:r>
          </w:p>
        </w:tc>
        <w:tc>
          <w:tcPr>
            <w:tcW w:w="6946" w:type="dxa"/>
            <w:shd w:val="clear" w:color="auto" w:fill="F2F2F2" w:themeFill="background1" w:themeFillShade="F2"/>
          </w:tcPr>
          <w:p w14:paraId="41583F7E" w14:textId="77777777" w:rsidR="00F301C7" w:rsidRPr="00C57D06" w:rsidRDefault="00F301C7" w:rsidP="00C57D06">
            <w:pPr>
              <w:pStyle w:val="TableText"/>
              <w:rPr>
                <w:iCs/>
              </w:rPr>
            </w:pPr>
            <w:r w:rsidRPr="00D30AB2">
              <w:rPr>
                <w:b/>
                <w:i/>
              </w:rPr>
              <w:t>Practice point</w:t>
            </w:r>
            <w:r w:rsidRPr="00C57D06">
              <w:t xml:space="preserve"> (NBSP)</w:t>
            </w:r>
          </w:p>
          <w:p w14:paraId="71889EE9" w14:textId="77777777" w:rsidR="00F301C7" w:rsidRPr="00C57D06" w:rsidRDefault="00F301C7" w:rsidP="00C57D06">
            <w:pPr>
              <w:pStyle w:val="TableText"/>
            </w:pPr>
            <w:r w:rsidRPr="00C57D06">
              <w:t>Bowel screening is effectively delivered to the eligible population by the laboratory:</w:t>
            </w:r>
          </w:p>
          <w:p w14:paraId="21453E31" w14:textId="77777777" w:rsidR="00F301C7" w:rsidRPr="00C57D06" w:rsidRDefault="00F301C7" w:rsidP="00D30AB2">
            <w:pPr>
              <w:pStyle w:val="TableBullet"/>
            </w:pPr>
            <w:r w:rsidRPr="00C57D06">
              <w:t>having management structures, business processes and operational components in place to provide a high quality bowel screening service</w:t>
            </w:r>
          </w:p>
          <w:p w14:paraId="786FA6DA" w14:textId="77777777" w:rsidR="00F301C7" w:rsidRPr="00C57D06" w:rsidRDefault="00F301C7" w:rsidP="00D30AB2">
            <w:pPr>
              <w:pStyle w:val="TableBullet"/>
            </w:pPr>
            <w:r w:rsidRPr="00C57D06">
              <w:t>ensuring organisational requirements include controlled standard operational procedures, monitoring and evaluation processes and reporting, a recovery plan for under performance, and protocols for identifying and managing risk and adverse events</w:t>
            </w:r>
          </w:p>
          <w:p w14:paraId="6E60FD37" w14:textId="77777777" w:rsidR="00F301C7" w:rsidRPr="00C57D06" w:rsidRDefault="00F301C7" w:rsidP="00D30AB2">
            <w:pPr>
              <w:pStyle w:val="TableBullet"/>
            </w:pPr>
            <w:r w:rsidRPr="00C57D06">
              <w:t>providing clinical and governance oversight</w:t>
            </w:r>
          </w:p>
          <w:p w14:paraId="19DF2949" w14:textId="77777777" w:rsidR="00F301C7" w:rsidRPr="00C57D06" w:rsidRDefault="00F301C7" w:rsidP="00D30AB2">
            <w:pPr>
              <w:pStyle w:val="TableBullet"/>
            </w:pPr>
            <w:r w:rsidRPr="00C57D06">
              <w:t>establishing and maintaining linkages and regular meetings with Ministry service providers, including the NCC, and stakeholders</w:t>
            </w:r>
          </w:p>
          <w:p w14:paraId="213F8434" w14:textId="77777777" w:rsidR="00F301C7" w:rsidRPr="00C57D06" w:rsidRDefault="00F301C7" w:rsidP="00D30AB2">
            <w:pPr>
              <w:pStyle w:val="TableBullet"/>
            </w:pPr>
            <w:r w:rsidRPr="00C57D06">
              <w:t>having a suitable mix of qualified, trained and competent staff</w:t>
            </w:r>
          </w:p>
          <w:p w14:paraId="1CBF7897" w14:textId="77777777" w:rsidR="00F301C7" w:rsidRPr="00C57D06" w:rsidRDefault="00F301C7" w:rsidP="00D30AB2">
            <w:pPr>
              <w:pStyle w:val="TableBullet"/>
            </w:pPr>
            <w:proofErr w:type="gramStart"/>
            <w:r w:rsidRPr="00C57D06">
              <w:t>ensuring</w:t>
            </w:r>
            <w:proofErr w:type="gramEnd"/>
            <w:r w:rsidRPr="00C57D06">
              <w:t xml:space="preserve"> that IT systems are maintained and provide high quality data and information</w:t>
            </w:r>
            <w:r w:rsidR="00D30AB2">
              <w:t>.</w:t>
            </w:r>
          </w:p>
        </w:tc>
      </w:tr>
      <w:tr w:rsidR="00F301C7" w:rsidRPr="0000783A" w14:paraId="302E48E7" w14:textId="77777777" w:rsidTr="00564D98">
        <w:trPr>
          <w:cantSplit/>
        </w:trPr>
        <w:tc>
          <w:tcPr>
            <w:tcW w:w="2410" w:type="dxa"/>
            <w:shd w:val="clear" w:color="auto" w:fill="F2F2F2" w:themeFill="background1" w:themeFillShade="F2"/>
          </w:tcPr>
          <w:p w14:paraId="2A8B139B" w14:textId="77777777" w:rsidR="00F301C7" w:rsidRDefault="00F301C7" w:rsidP="00D30AB2">
            <w:pPr>
              <w:pStyle w:val="TableText"/>
              <w:ind w:left="709" w:right="142" w:hanging="709"/>
            </w:pPr>
            <w:r>
              <w:t>R5.04</w:t>
            </w:r>
            <w:r w:rsidR="00D30AB2">
              <w:tab/>
            </w:r>
            <w:r>
              <w:t>Quality</w:t>
            </w:r>
          </w:p>
        </w:tc>
        <w:tc>
          <w:tcPr>
            <w:tcW w:w="6946" w:type="dxa"/>
            <w:shd w:val="clear" w:color="auto" w:fill="F2F2F2" w:themeFill="background1" w:themeFillShade="F2"/>
          </w:tcPr>
          <w:p w14:paraId="347BE844" w14:textId="77777777" w:rsidR="00F301C7" w:rsidRPr="00C57D06" w:rsidRDefault="00F301C7" w:rsidP="00C57D06">
            <w:pPr>
              <w:pStyle w:val="TableText"/>
            </w:pPr>
            <w:r w:rsidRPr="00D30AB2">
              <w:rPr>
                <w:b/>
                <w:i/>
              </w:rPr>
              <w:t>Practice point</w:t>
            </w:r>
            <w:r w:rsidRPr="00C57D06">
              <w:t xml:space="preserve"> (NBSP)</w:t>
            </w:r>
          </w:p>
          <w:p w14:paraId="108A5312" w14:textId="77777777" w:rsidR="00F301C7" w:rsidRPr="00C57D06" w:rsidRDefault="00F301C7" w:rsidP="00C57D06">
            <w:pPr>
              <w:pStyle w:val="TableText"/>
            </w:pPr>
            <w:r w:rsidRPr="00C57D06">
              <w:t>Quality FIT for haemoglobin is achieved at the laboratory by</w:t>
            </w:r>
            <w:r w:rsidR="00D30AB2">
              <w:t>:</w:t>
            </w:r>
          </w:p>
          <w:p w14:paraId="25A18F44" w14:textId="77777777" w:rsidR="00F301C7" w:rsidRPr="00C57D06" w:rsidRDefault="00F301C7" w:rsidP="00D30AB2">
            <w:pPr>
              <w:pStyle w:val="TableBullet"/>
            </w:pPr>
            <w:r w:rsidRPr="00C57D06">
              <w:t xml:space="preserve">validation of test platforms, </w:t>
            </w:r>
            <w:proofErr w:type="spellStart"/>
            <w:r w:rsidRPr="00C57D06">
              <w:t>analyticals</w:t>
            </w:r>
            <w:proofErr w:type="spellEnd"/>
            <w:r w:rsidRPr="00C57D06">
              <w:t>, and sample collection kits</w:t>
            </w:r>
          </w:p>
          <w:p w14:paraId="4201E03F" w14:textId="77777777" w:rsidR="00F301C7" w:rsidRPr="00C57D06" w:rsidRDefault="00F301C7" w:rsidP="00D30AB2">
            <w:pPr>
              <w:pStyle w:val="TableBullet"/>
            </w:pPr>
            <w:r w:rsidRPr="00C57D06">
              <w:t>having protocols, QC and internal and external QA programmes that ensure high quality registration, processing, analysing and result reporting</w:t>
            </w:r>
          </w:p>
          <w:p w14:paraId="5D04A1BC" w14:textId="77777777" w:rsidR="00F301C7" w:rsidRPr="00C57D06" w:rsidRDefault="00F301C7" w:rsidP="00D30AB2">
            <w:pPr>
              <w:pStyle w:val="TableBullet"/>
            </w:pPr>
            <w:r w:rsidRPr="00C57D06">
              <w:t>delivering timely reports to participants, general practice, the NBSP and when appropriate the endoscopy unit</w:t>
            </w:r>
          </w:p>
          <w:p w14:paraId="15BD82C4" w14:textId="77777777" w:rsidR="00F301C7" w:rsidRPr="00C57D06" w:rsidRDefault="00F301C7" w:rsidP="00D30AB2">
            <w:pPr>
              <w:pStyle w:val="TableBullet"/>
            </w:pPr>
            <w:r w:rsidRPr="00C57D06">
              <w:t>FIT results being reported as both qualitative and quantitative</w:t>
            </w:r>
          </w:p>
          <w:p w14:paraId="224E4809" w14:textId="77777777" w:rsidR="00F301C7" w:rsidRPr="00C57D06" w:rsidRDefault="00D30AB2" w:rsidP="00D30AB2">
            <w:pPr>
              <w:pStyle w:val="TableBullet"/>
            </w:pPr>
            <w:proofErr w:type="gramStart"/>
            <w:r>
              <w:t>m</w:t>
            </w:r>
            <w:r w:rsidR="00F301C7" w:rsidRPr="00C57D06">
              <w:t>aintaining</w:t>
            </w:r>
            <w:proofErr w:type="gramEnd"/>
            <w:r w:rsidR="00F301C7" w:rsidRPr="00C57D06">
              <w:t xml:space="preserve"> accreditation against ISO15189</w:t>
            </w:r>
            <w:r>
              <w:t>.</w:t>
            </w:r>
          </w:p>
        </w:tc>
      </w:tr>
      <w:tr w:rsidR="00F301C7" w:rsidRPr="0000783A" w14:paraId="2FB22F72" w14:textId="77777777" w:rsidTr="00564D98">
        <w:trPr>
          <w:cantSplit/>
        </w:trPr>
        <w:tc>
          <w:tcPr>
            <w:tcW w:w="2410" w:type="dxa"/>
            <w:shd w:val="clear" w:color="auto" w:fill="F2F2F2" w:themeFill="background1" w:themeFillShade="F2"/>
          </w:tcPr>
          <w:p w14:paraId="7AAF9244" w14:textId="77777777" w:rsidR="00F301C7" w:rsidRDefault="00F301C7" w:rsidP="00564D98">
            <w:pPr>
              <w:pStyle w:val="TableText"/>
              <w:ind w:left="709" w:right="142" w:hanging="709"/>
            </w:pPr>
            <w:r>
              <w:t>R5.05 Equity</w:t>
            </w:r>
          </w:p>
        </w:tc>
        <w:tc>
          <w:tcPr>
            <w:tcW w:w="6946" w:type="dxa"/>
            <w:shd w:val="clear" w:color="auto" w:fill="F2F2F2" w:themeFill="background1" w:themeFillShade="F2"/>
          </w:tcPr>
          <w:p w14:paraId="3C8B3E6D" w14:textId="77777777" w:rsidR="00F301C7" w:rsidRPr="00C57D06" w:rsidRDefault="00F301C7" w:rsidP="00C57D06">
            <w:pPr>
              <w:pStyle w:val="TableText"/>
            </w:pPr>
            <w:r w:rsidRPr="00D30AB2">
              <w:rPr>
                <w:b/>
                <w:i/>
              </w:rPr>
              <w:t>Practice point</w:t>
            </w:r>
            <w:r w:rsidRPr="00C57D06">
              <w:t xml:space="preserve"> (NBSP)</w:t>
            </w:r>
          </w:p>
          <w:p w14:paraId="44E6C206" w14:textId="77777777" w:rsidR="00F301C7" w:rsidRPr="00C57D06" w:rsidRDefault="00F301C7" w:rsidP="00C57D06">
            <w:pPr>
              <w:pStyle w:val="TableText"/>
            </w:pPr>
            <w:r w:rsidRPr="00C57D06">
              <w:t>The laboratory and staff are responsive to cultural diversity and committed to ongoing development of cultural competency</w:t>
            </w:r>
            <w:r w:rsidR="00D30AB2">
              <w:t>.</w:t>
            </w:r>
          </w:p>
          <w:p w14:paraId="63AE45A1" w14:textId="77777777" w:rsidR="00F301C7" w:rsidRPr="00C57D06" w:rsidRDefault="00F301C7" w:rsidP="00C57D06">
            <w:pPr>
              <w:pStyle w:val="TableText"/>
            </w:pPr>
            <w:r w:rsidRPr="00C57D06">
              <w:t>Samples are handled and disposed of in a culturally sensitive manner</w:t>
            </w:r>
            <w:r w:rsidR="00D30AB2">
              <w:t>.</w:t>
            </w:r>
          </w:p>
        </w:tc>
      </w:tr>
    </w:tbl>
    <w:p w14:paraId="61D2E8DA" w14:textId="77777777" w:rsidR="009F787F" w:rsidRDefault="009F787F" w:rsidP="009F787F"/>
    <w:p w14:paraId="733BD520" w14:textId="77777777" w:rsidR="00F301C7" w:rsidRPr="008648A4" w:rsidRDefault="00F301C7" w:rsidP="009F787F">
      <w:pPr>
        <w:pStyle w:val="Heading2"/>
      </w:pPr>
      <w:bookmarkStart w:id="23" w:name="_Toc530661011"/>
      <w:r>
        <w:lastRenderedPageBreak/>
        <w:t>G6</w:t>
      </w:r>
      <w:r w:rsidR="009F787F">
        <w:tab/>
      </w:r>
      <w:r w:rsidRPr="00E14975">
        <w:t>Recommendations – managing FIT results</w:t>
      </w:r>
      <w:bookmarkEnd w:id="23"/>
    </w:p>
    <w:p w14:paraId="596C15F9" w14:textId="77777777" w:rsidR="00F301C7" w:rsidRDefault="003725AF" w:rsidP="003725AF">
      <w:pPr>
        <w:pStyle w:val="Figure"/>
      </w:pPr>
      <w:bookmarkStart w:id="24" w:name="_Toc530566682"/>
      <w:r>
        <w:t xml:space="preserve">Figure </w:t>
      </w:r>
      <w:r w:rsidR="00E005C0">
        <w:t>4</w:t>
      </w:r>
      <w:r>
        <w:t xml:space="preserve">: </w:t>
      </w:r>
      <w:r w:rsidR="00F301C7" w:rsidRPr="00437DE2">
        <w:t>Basic screening pathway</w:t>
      </w:r>
      <w:bookmarkEnd w:id="24"/>
    </w:p>
    <w:p w14:paraId="2293DA49" w14:textId="77777777" w:rsidR="003725AF" w:rsidRPr="003725AF" w:rsidRDefault="003725AF" w:rsidP="003725AF">
      <w:r>
        <w:rPr>
          <w:noProof/>
          <w:lang w:eastAsia="en-NZ"/>
        </w:rPr>
        <w:drawing>
          <wp:inline distT="0" distB="0" distL="0" distR="0" wp14:anchorId="7C237DDD" wp14:editId="78A08A55">
            <wp:extent cx="3591098" cy="2211134"/>
            <wp:effectExtent l="0" t="0" r="9525" b="0"/>
            <wp:docPr id="13" name="Picture 13" title="Figure 4: Basic screening path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0">
                      <a:grayscl/>
                      <a:extLst>
                        <a:ext uri="{28A0092B-C50C-407E-A947-70E740481C1C}">
                          <a14:useLocalDpi xmlns:a14="http://schemas.microsoft.com/office/drawing/2010/main" val="0"/>
                        </a:ext>
                      </a:extLst>
                    </a:blip>
                    <a:srcRect l="4654" r="4976"/>
                    <a:stretch/>
                  </pic:blipFill>
                  <pic:spPr bwMode="auto">
                    <a:xfrm>
                      <a:off x="0" y="0"/>
                      <a:ext cx="3594511" cy="2213236"/>
                    </a:xfrm>
                    <a:prstGeom prst="rect">
                      <a:avLst/>
                    </a:prstGeom>
                    <a:noFill/>
                    <a:ln>
                      <a:noFill/>
                    </a:ln>
                    <a:extLst>
                      <a:ext uri="{53640926-AAD7-44D8-BBD7-CCE9431645EC}">
                        <a14:shadowObscured xmlns:a14="http://schemas.microsoft.com/office/drawing/2010/main"/>
                      </a:ext>
                    </a:extLst>
                  </pic:spPr>
                </pic:pic>
              </a:graphicData>
            </a:graphic>
          </wp:inline>
        </w:drawing>
      </w:r>
    </w:p>
    <w:p w14:paraId="1D29DA6B" w14:textId="77777777" w:rsidR="00F301C7" w:rsidRDefault="00F301C7" w:rsidP="003725AF">
      <w:pPr>
        <w:rPr>
          <w:highlight w:val="yellow"/>
        </w:rPr>
      </w:pPr>
    </w:p>
    <w:p w14:paraId="69AD01AD" w14:textId="77777777" w:rsidR="00F301C7" w:rsidRDefault="00F301C7" w:rsidP="009F787F">
      <w:pPr>
        <w:pStyle w:val="Heading3"/>
      </w:pPr>
      <w:r w:rsidRPr="00BF0807">
        <w:t>Recommendations: Managing FIT results</w:t>
      </w:r>
    </w:p>
    <w:tbl>
      <w:tblPr>
        <w:tblW w:w="0" w:type="auto"/>
        <w:tblInd w:w="57" w:type="dxa"/>
        <w:tblBorders>
          <w:top w:val="single" w:sz="4" w:space="0" w:color="auto"/>
          <w:bottom w:val="single" w:sz="4" w:space="0" w:color="auto"/>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2977"/>
        <w:gridCol w:w="6379"/>
      </w:tblGrid>
      <w:tr w:rsidR="00F301C7" w:rsidRPr="00BD48DA" w14:paraId="7821C18E" w14:textId="77777777" w:rsidTr="00CF30A3">
        <w:trPr>
          <w:cantSplit/>
        </w:trPr>
        <w:tc>
          <w:tcPr>
            <w:tcW w:w="2977" w:type="dxa"/>
            <w:shd w:val="clear" w:color="auto" w:fill="D9D9D9" w:themeFill="background1" w:themeFillShade="D9"/>
          </w:tcPr>
          <w:p w14:paraId="2D263CA4" w14:textId="77777777" w:rsidR="00F301C7" w:rsidRPr="00BD48DA" w:rsidRDefault="00F301C7" w:rsidP="003725AF">
            <w:pPr>
              <w:pStyle w:val="TableText"/>
              <w:ind w:left="709" w:right="142" w:hanging="709"/>
            </w:pPr>
            <w:r w:rsidRPr="00BD48DA">
              <w:t>R</w:t>
            </w:r>
            <w:r>
              <w:t>6.01</w:t>
            </w:r>
            <w:r w:rsidR="003725AF">
              <w:tab/>
            </w:r>
            <w:r w:rsidRPr="00BD48DA">
              <w:t>Recall for negative FIT test</w:t>
            </w:r>
          </w:p>
        </w:tc>
        <w:tc>
          <w:tcPr>
            <w:tcW w:w="6379" w:type="dxa"/>
            <w:shd w:val="clear" w:color="auto" w:fill="D9D9D9" w:themeFill="background1" w:themeFillShade="D9"/>
          </w:tcPr>
          <w:p w14:paraId="2EF11D8C" w14:textId="77777777" w:rsidR="00F301C7" w:rsidRPr="00C57D06" w:rsidRDefault="00F301C7" w:rsidP="00C57D06">
            <w:pPr>
              <w:pStyle w:val="TableText"/>
            </w:pPr>
            <w:r w:rsidRPr="003725AF">
              <w:rPr>
                <w:b/>
                <w:i/>
              </w:rPr>
              <w:t>Consensus-based recommendation</w:t>
            </w:r>
            <w:r w:rsidRPr="00C57D06">
              <w:t xml:space="preserve"> </w:t>
            </w:r>
            <w:r w:rsidRPr="00C57D06">
              <w:rPr>
                <w:rFonts w:cs="Tahoma-Bold"/>
              </w:rPr>
              <w:t>(EC)</w:t>
            </w:r>
          </w:p>
          <w:p w14:paraId="73073FA6" w14:textId="77777777" w:rsidR="00F301C7" w:rsidRPr="00C57D06" w:rsidRDefault="00F301C7" w:rsidP="003725AF">
            <w:pPr>
              <w:pStyle w:val="TableText"/>
            </w:pPr>
            <w:r w:rsidRPr="00C57D06">
              <w:rPr>
                <w:rFonts w:cs="Tahoma-Bold"/>
              </w:rPr>
              <w:t xml:space="preserve">Recall for screening in </w:t>
            </w:r>
            <w:r w:rsidR="003725AF">
              <w:rPr>
                <w:rFonts w:cs="Tahoma-Bold"/>
              </w:rPr>
              <w:t>two</w:t>
            </w:r>
            <w:r w:rsidRPr="00C57D06">
              <w:rPr>
                <w:rFonts w:cs="Tahoma-Bold"/>
              </w:rPr>
              <w:t xml:space="preserve"> years is recommend</w:t>
            </w:r>
            <w:r w:rsidR="003725AF">
              <w:rPr>
                <w:rFonts w:cs="Tahoma-Bold"/>
              </w:rPr>
              <w:t>ed.</w:t>
            </w:r>
          </w:p>
        </w:tc>
      </w:tr>
      <w:tr w:rsidR="00F301C7" w:rsidRPr="00BD48DA" w14:paraId="700B1454" w14:textId="77777777" w:rsidTr="00CF30A3">
        <w:trPr>
          <w:cantSplit/>
        </w:trPr>
        <w:tc>
          <w:tcPr>
            <w:tcW w:w="2977" w:type="dxa"/>
            <w:shd w:val="clear" w:color="auto" w:fill="D9D9D9" w:themeFill="background1" w:themeFillShade="D9"/>
          </w:tcPr>
          <w:p w14:paraId="420B6756" w14:textId="77777777" w:rsidR="00F301C7" w:rsidRPr="00BD48DA" w:rsidRDefault="00F301C7" w:rsidP="003725AF">
            <w:pPr>
              <w:pStyle w:val="TableText"/>
              <w:ind w:left="709" w:right="142" w:hanging="709"/>
            </w:pPr>
            <w:r>
              <w:t>R6.02</w:t>
            </w:r>
            <w:r w:rsidR="003725AF">
              <w:tab/>
            </w:r>
            <w:r>
              <w:t>R</w:t>
            </w:r>
            <w:r w:rsidRPr="00BD48DA">
              <w:t>eferral for a positive FIT</w:t>
            </w:r>
            <w:r w:rsidR="00271641">
              <w:t xml:space="preserve"> </w:t>
            </w:r>
            <w:r w:rsidRPr="00BD48DA">
              <w:t>test</w:t>
            </w:r>
          </w:p>
        </w:tc>
        <w:tc>
          <w:tcPr>
            <w:tcW w:w="6379" w:type="dxa"/>
            <w:shd w:val="clear" w:color="auto" w:fill="D9D9D9" w:themeFill="background1" w:themeFillShade="D9"/>
          </w:tcPr>
          <w:p w14:paraId="4A8826BB" w14:textId="77777777" w:rsidR="00F301C7" w:rsidRPr="00C57D06" w:rsidRDefault="00F301C7" w:rsidP="00C57D06">
            <w:pPr>
              <w:pStyle w:val="TableText"/>
            </w:pPr>
            <w:r w:rsidRPr="003725AF">
              <w:rPr>
                <w:b/>
                <w:i/>
              </w:rPr>
              <w:t>Consensus-based recommendation</w:t>
            </w:r>
            <w:r w:rsidRPr="00C57D06">
              <w:t xml:space="preserve"> </w:t>
            </w:r>
            <w:r w:rsidRPr="00C57D06">
              <w:rPr>
                <w:rFonts w:cs="Tahoma-Bold"/>
              </w:rPr>
              <w:t>(EC)</w:t>
            </w:r>
          </w:p>
          <w:p w14:paraId="6442C1A0" w14:textId="77777777" w:rsidR="00F301C7" w:rsidRPr="00C57D06" w:rsidRDefault="00F301C7" w:rsidP="00C57D06">
            <w:pPr>
              <w:pStyle w:val="TableText"/>
            </w:pPr>
            <w:r w:rsidRPr="00C57D06">
              <w:rPr>
                <w:rFonts w:cs="Tahoma-Bold"/>
              </w:rPr>
              <w:t>Referral for colonoscopy is recommend</w:t>
            </w:r>
            <w:r w:rsidR="003725AF">
              <w:rPr>
                <w:rFonts w:cs="Tahoma-Bold"/>
              </w:rPr>
              <w:t>ed.</w:t>
            </w:r>
          </w:p>
        </w:tc>
      </w:tr>
      <w:tr w:rsidR="00F301C7" w:rsidRPr="00BD48DA" w14:paraId="57B3332B" w14:textId="77777777" w:rsidTr="00CF30A3">
        <w:trPr>
          <w:cantSplit/>
        </w:trPr>
        <w:tc>
          <w:tcPr>
            <w:tcW w:w="2977" w:type="dxa"/>
            <w:shd w:val="clear" w:color="auto" w:fill="F2F2F2" w:themeFill="background1" w:themeFillShade="F2"/>
          </w:tcPr>
          <w:p w14:paraId="7417C85C" w14:textId="77777777" w:rsidR="00F301C7" w:rsidRPr="00BD48DA" w:rsidRDefault="00F301C7" w:rsidP="00CF30A3">
            <w:pPr>
              <w:pStyle w:val="TableText"/>
              <w:ind w:left="709" w:right="142" w:hanging="709"/>
            </w:pPr>
            <w:r>
              <w:t>R6.03</w:t>
            </w:r>
            <w:r w:rsidR="003725AF">
              <w:tab/>
            </w:r>
            <w:r>
              <w:t>A</w:t>
            </w:r>
            <w:r w:rsidRPr="00BD48DA">
              <w:t>ccess to colonoscopy</w:t>
            </w:r>
            <w:r>
              <w:t xml:space="preserve"> (also</w:t>
            </w:r>
            <w:r w:rsidR="00271641">
              <w:t xml:space="preserve"> </w:t>
            </w:r>
            <w:r>
              <w:t>refer to</w:t>
            </w:r>
            <w:r w:rsidR="00CF30A3">
              <w:br/>
            </w:r>
            <w:r>
              <w:t>R7.03</w:t>
            </w:r>
            <w:r w:rsidR="003725AF">
              <w:t>–</w:t>
            </w:r>
            <w:r>
              <w:t>R7.04)</w:t>
            </w:r>
          </w:p>
        </w:tc>
        <w:tc>
          <w:tcPr>
            <w:tcW w:w="6379" w:type="dxa"/>
            <w:shd w:val="clear" w:color="auto" w:fill="F2F2F2" w:themeFill="background1" w:themeFillShade="F2"/>
          </w:tcPr>
          <w:p w14:paraId="4F6E565A" w14:textId="77777777" w:rsidR="00F301C7" w:rsidRPr="00C57D06" w:rsidRDefault="00F301C7" w:rsidP="00C57D06">
            <w:pPr>
              <w:pStyle w:val="TableText"/>
              <w:rPr>
                <w:iCs/>
              </w:rPr>
            </w:pPr>
            <w:r w:rsidRPr="003725AF">
              <w:rPr>
                <w:b/>
                <w:i/>
              </w:rPr>
              <w:t>Practice point</w:t>
            </w:r>
            <w:r w:rsidRPr="00C57D06">
              <w:t xml:space="preserve"> (NBSP)</w:t>
            </w:r>
          </w:p>
          <w:p w14:paraId="56F387F2" w14:textId="77777777" w:rsidR="00F301C7" w:rsidRPr="00C57D06" w:rsidRDefault="00F301C7" w:rsidP="00C57D06">
            <w:pPr>
              <w:pStyle w:val="TableText"/>
            </w:pPr>
            <w:r w:rsidRPr="00C57D06">
              <w:t>All participants with a positive screening test are provided with every opportunity by the GP and endoscopy unit to undergo colonoscopy (or other diagnostic investigation within 45 working days)</w:t>
            </w:r>
            <w:r w:rsidR="003725AF">
              <w:t>.</w:t>
            </w:r>
          </w:p>
        </w:tc>
      </w:tr>
      <w:tr w:rsidR="00F301C7" w:rsidRPr="00BD48DA" w14:paraId="23DABFD4" w14:textId="77777777" w:rsidTr="00CF30A3">
        <w:trPr>
          <w:cantSplit/>
        </w:trPr>
        <w:tc>
          <w:tcPr>
            <w:tcW w:w="2977" w:type="dxa"/>
            <w:shd w:val="clear" w:color="auto" w:fill="F2F2F2" w:themeFill="background1" w:themeFillShade="F2"/>
          </w:tcPr>
          <w:p w14:paraId="10BED3D0" w14:textId="77777777" w:rsidR="00F301C7" w:rsidRPr="00BD48DA" w:rsidRDefault="00F301C7" w:rsidP="003725AF">
            <w:pPr>
              <w:pStyle w:val="TableText"/>
              <w:ind w:left="709" w:right="142" w:hanging="709"/>
            </w:pPr>
            <w:r>
              <w:t>R6.04</w:t>
            </w:r>
            <w:r w:rsidR="003725AF">
              <w:tab/>
            </w:r>
            <w:r>
              <w:t>O</w:t>
            </w:r>
            <w:r w:rsidRPr="00BD48DA">
              <w:t>ffer of pre assessment for</w:t>
            </w:r>
            <w:r w:rsidR="00271641">
              <w:t xml:space="preserve"> </w:t>
            </w:r>
            <w:r>
              <w:t>c</w:t>
            </w:r>
            <w:r w:rsidRPr="00BD48DA">
              <w:t>olonoscopy</w:t>
            </w:r>
            <w:r>
              <w:t xml:space="preserve"> </w:t>
            </w:r>
            <w:r w:rsidRPr="004F723A">
              <w:t xml:space="preserve">(also refer to </w:t>
            </w:r>
            <w:r>
              <w:t>R7.03</w:t>
            </w:r>
            <w:r w:rsidR="00271641">
              <w:t>–</w:t>
            </w:r>
            <w:r>
              <w:t xml:space="preserve">R7.04, </w:t>
            </w:r>
            <w:r w:rsidRPr="004F723A">
              <w:t>R8.01</w:t>
            </w:r>
            <w:r w:rsidR="00271641">
              <w:t>–</w:t>
            </w:r>
            <w:r>
              <w:t>8.06)</w:t>
            </w:r>
          </w:p>
        </w:tc>
        <w:tc>
          <w:tcPr>
            <w:tcW w:w="6379" w:type="dxa"/>
            <w:shd w:val="clear" w:color="auto" w:fill="F2F2F2" w:themeFill="background1" w:themeFillShade="F2"/>
          </w:tcPr>
          <w:p w14:paraId="03D08837" w14:textId="77777777" w:rsidR="00F301C7" w:rsidRPr="00C57D06" w:rsidRDefault="00F301C7" w:rsidP="00C57D06">
            <w:pPr>
              <w:pStyle w:val="TableText"/>
              <w:rPr>
                <w:iCs/>
              </w:rPr>
            </w:pPr>
            <w:r w:rsidRPr="003725AF">
              <w:rPr>
                <w:b/>
                <w:i/>
              </w:rPr>
              <w:t>Practice point</w:t>
            </w:r>
            <w:r w:rsidRPr="00C57D06">
              <w:t xml:space="preserve"> (NBSP)</w:t>
            </w:r>
          </w:p>
          <w:p w14:paraId="72065B8D" w14:textId="77777777" w:rsidR="00F301C7" w:rsidRPr="00C57D06" w:rsidRDefault="003725AF" w:rsidP="00C57D06">
            <w:pPr>
              <w:pStyle w:val="TableText"/>
            </w:pPr>
            <w:r>
              <w:t xml:space="preserve">All </w:t>
            </w:r>
            <w:r w:rsidR="00F301C7" w:rsidRPr="00C57D06">
              <w:t>participants with a positive FIT result are offered pre-assessment for colonoscopy with an assessment and recording of family history by an experienced endoscopy nurse</w:t>
            </w:r>
            <w:r>
              <w:t>.</w:t>
            </w:r>
          </w:p>
          <w:p w14:paraId="78F32B8D" w14:textId="77777777" w:rsidR="00F301C7" w:rsidRPr="00C57D06" w:rsidRDefault="00F301C7" w:rsidP="003725AF">
            <w:pPr>
              <w:pStyle w:val="TableText"/>
            </w:pPr>
            <w:r w:rsidRPr="00C57D06">
              <w:t>Details of reasons for pre-assessment are detailed in sections R8.01</w:t>
            </w:r>
            <w:r w:rsidR="003725AF">
              <w:t>–</w:t>
            </w:r>
            <w:r w:rsidRPr="00C57D06">
              <w:t>8.06</w:t>
            </w:r>
            <w:r w:rsidR="003725AF">
              <w:t>.</w:t>
            </w:r>
          </w:p>
        </w:tc>
      </w:tr>
      <w:tr w:rsidR="00F301C7" w:rsidRPr="00BD48DA" w14:paraId="33BCD7F0" w14:textId="77777777" w:rsidTr="00CF30A3">
        <w:trPr>
          <w:cantSplit/>
        </w:trPr>
        <w:tc>
          <w:tcPr>
            <w:tcW w:w="2977" w:type="dxa"/>
            <w:shd w:val="clear" w:color="auto" w:fill="F2F2F2" w:themeFill="background1" w:themeFillShade="F2"/>
          </w:tcPr>
          <w:p w14:paraId="19FDE862" w14:textId="77777777" w:rsidR="00F301C7" w:rsidRPr="00BD48DA" w:rsidRDefault="00F301C7" w:rsidP="003725AF">
            <w:pPr>
              <w:pStyle w:val="TableText"/>
              <w:ind w:left="709" w:right="142" w:hanging="709"/>
            </w:pPr>
            <w:r w:rsidRPr="00BD48DA">
              <w:t>R</w:t>
            </w:r>
            <w:r>
              <w:t>6.05</w:t>
            </w:r>
            <w:r w:rsidR="003725AF">
              <w:tab/>
            </w:r>
            <w:r w:rsidRPr="00BD48DA">
              <w:t>Invalid/could not test/spoilt</w:t>
            </w:r>
            <w:r w:rsidR="00271641">
              <w:t xml:space="preserve"> </w:t>
            </w:r>
            <w:r w:rsidRPr="00BD48DA">
              <w:t>FIT</w:t>
            </w:r>
          </w:p>
        </w:tc>
        <w:tc>
          <w:tcPr>
            <w:tcW w:w="6379" w:type="dxa"/>
            <w:shd w:val="clear" w:color="auto" w:fill="F2F2F2" w:themeFill="background1" w:themeFillShade="F2"/>
          </w:tcPr>
          <w:p w14:paraId="3CC8AC34" w14:textId="77777777" w:rsidR="00F301C7" w:rsidRPr="00C57D06" w:rsidRDefault="00F301C7" w:rsidP="00C57D06">
            <w:pPr>
              <w:pStyle w:val="TableText"/>
              <w:rPr>
                <w:iCs/>
              </w:rPr>
            </w:pPr>
            <w:r w:rsidRPr="003725AF">
              <w:rPr>
                <w:b/>
                <w:i/>
              </w:rPr>
              <w:t>Practice point</w:t>
            </w:r>
            <w:r w:rsidRPr="00C57D06">
              <w:t xml:space="preserve"> (NBSP)</w:t>
            </w:r>
          </w:p>
          <w:p w14:paraId="79830DFF" w14:textId="77777777" w:rsidR="00F301C7" w:rsidRPr="00C57D06" w:rsidRDefault="00F301C7" w:rsidP="003725AF">
            <w:pPr>
              <w:pStyle w:val="TableText"/>
            </w:pPr>
            <w:r w:rsidRPr="00C57D06">
              <w:t xml:space="preserve">If the participant does not respond after </w:t>
            </w:r>
            <w:r w:rsidR="003725AF">
              <w:t>three</w:t>
            </w:r>
            <w:r w:rsidRPr="00C57D06">
              <w:t xml:space="preserve"> attempts at recall, the next recall is </w:t>
            </w:r>
            <w:r w:rsidR="003725AF">
              <w:t xml:space="preserve">two </w:t>
            </w:r>
            <w:r w:rsidRPr="00C57D06">
              <w:t>years from the date when the initial invitation was</w:t>
            </w:r>
            <w:r w:rsidR="003725AF">
              <w:t xml:space="preserve"> made.</w:t>
            </w:r>
          </w:p>
        </w:tc>
      </w:tr>
      <w:tr w:rsidR="00F301C7" w:rsidRPr="00BD48DA" w14:paraId="2E0CFF42" w14:textId="77777777" w:rsidTr="00CF30A3">
        <w:trPr>
          <w:cantSplit/>
        </w:trPr>
        <w:tc>
          <w:tcPr>
            <w:tcW w:w="2977" w:type="dxa"/>
            <w:shd w:val="clear" w:color="auto" w:fill="F2F2F2" w:themeFill="background1" w:themeFillShade="F2"/>
          </w:tcPr>
          <w:p w14:paraId="6EB4E608" w14:textId="77777777" w:rsidR="00F301C7" w:rsidRPr="00BD48DA" w:rsidRDefault="00F301C7" w:rsidP="003725AF">
            <w:pPr>
              <w:pStyle w:val="TableText"/>
              <w:ind w:left="709" w:right="142" w:hanging="709"/>
            </w:pPr>
            <w:r>
              <w:t>R6.06</w:t>
            </w:r>
            <w:r w:rsidR="003725AF">
              <w:tab/>
            </w:r>
            <w:r>
              <w:t>Positive FIT but does</w:t>
            </w:r>
            <w:r w:rsidR="00271641">
              <w:t xml:space="preserve"> </w:t>
            </w:r>
            <w:r>
              <w:t>not attend colonoscopy (also</w:t>
            </w:r>
            <w:r w:rsidR="00271641">
              <w:t xml:space="preserve"> </w:t>
            </w:r>
            <w:r>
              <w:t>refer to R7.03 and R8.04)</w:t>
            </w:r>
          </w:p>
        </w:tc>
        <w:tc>
          <w:tcPr>
            <w:tcW w:w="6379" w:type="dxa"/>
            <w:shd w:val="clear" w:color="auto" w:fill="F2F2F2" w:themeFill="background1" w:themeFillShade="F2"/>
          </w:tcPr>
          <w:p w14:paraId="2CE9A490" w14:textId="77777777" w:rsidR="00F301C7" w:rsidRPr="00C57D06" w:rsidRDefault="00F301C7" w:rsidP="00C57D06">
            <w:pPr>
              <w:pStyle w:val="TableText"/>
              <w:rPr>
                <w:iCs/>
              </w:rPr>
            </w:pPr>
            <w:r w:rsidRPr="003725AF">
              <w:rPr>
                <w:b/>
                <w:i/>
              </w:rPr>
              <w:t>Practice point</w:t>
            </w:r>
            <w:r w:rsidRPr="00C57D06">
              <w:t xml:space="preserve"> (NBSP)</w:t>
            </w:r>
          </w:p>
          <w:p w14:paraId="1A5AF245" w14:textId="77777777" w:rsidR="00F301C7" w:rsidRPr="00C57D06" w:rsidRDefault="00F301C7" w:rsidP="003725AF">
            <w:pPr>
              <w:pStyle w:val="TableText"/>
            </w:pPr>
            <w:r w:rsidRPr="00C57D06">
              <w:t xml:space="preserve">If the participant does not respond after </w:t>
            </w:r>
            <w:r w:rsidR="003725AF">
              <w:t>three</w:t>
            </w:r>
            <w:r w:rsidRPr="00C57D06">
              <w:t xml:space="preserve"> attempts at recall by the endoscopy unit, the participant is referred back to the general practitioner. If referral to colonoscopy is still not successful a FIT test is offered by the NCC two years from the date when </w:t>
            </w:r>
            <w:r w:rsidR="003725AF">
              <w:t>the initial invitation was made.</w:t>
            </w:r>
          </w:p>
        </w:tc>
      </w:tr>
      <w:tr w:rsidR="00F301C7" w:rsidRPr="00BD48DA" w14:paraId="02042EF3" w14:textId="77777777" w:rsidTr="00CF30A3">
        <w:trPr>
          <w:cantSplit/>
        </w:trPr>
        <w:tc>
          <w:tcPr>
            <w:tcW w:w="2977" w:type="dxa"/>
            <w:shd w:val="clear" w:color="auto" w:fill="F2F2F2" w:themeFill="background1" w:themeFillShade="F2"/>
          </w:tcPr>
          <w:p w14:paraId="43A957AD" w14:textId="77777777" w:rsidR="00F301C7" w:rsidRDefault="00F301C7" w:rsidP="003725AF">
            <w:pPr>
              <w:pStyle w:val="TableText"/>
              <w:ind w:left="709" w:right="142" w:hanging="709"/>
            </w:pPr>
            <w:r>
              <w:t>R6.07</w:t>
            </w:r>
            <w:r w:rsidR="003725AF">
              <w:tab/>
            </w:r>
            <w:r>
              <w:t>FIT after attending</w:t>
            </w:r>
            <w:r w:rsidR="00271641">
              <w:t xml:space="preserve"> </w:t>
            </w:r>
            <w:r>
              <w:t>colonoscopy</w:t>
            </w:r>
          </w:p>
        </w:tc>
        <w:tc>
          <w:tcPr>
            <w:tcW w:w="6379" w:type="dxa"/>
            <w:shd w:val="clear" w:color="auto" w:fill="F2F2F2" w:themeFill="background1" w:themeFillShade="F2"/>
          </w:tcPr>
          <w:p w14:paraId="52955360" w14:textId="77777777" w:rsidR="00F301C7" w:rsidRPr="00C57D06" w:rsidRDefault="00F301C7" w:rsidP="00C57D06">
            <w:pPr>
              <w:pStyle w:val="TableText"/>
              <w:rPr>
                <w:iCs/>
              </w:rPr>
            </w:pPr>
            <w:r w:rsidRPr="003725AF">
              <w:rPr>
                <w:b/>
                <w:i/>
              </w:rPr>
              <w:t>Practice point</w:t>
            </w:r>
            <w:r w:rsidRPr="00C57D06">
              <w:t xml:space="preserve"> (NBSP)</w:t>
            </w:r>
          </w:p>
          <w:p w14:paraId="45AC6750" w14:textId="77777777" w:rsidR="00F301C7" w:rsidRPr="00C57D06" w:rsidRDefault="00F301C7" w:rsidP="00C57D06">
            <w:pPr>
              <w:pStyle w:val="TableText"/>
            </w:pPr>
            <w:r w:rsidRPr="00C57D06">
              <w:t xml:space="preserve">In the unlikely event of an individual having a FIT test taken (negative or positive result) when under surveillance following colonoscopy, the Clinical Director or Endoscopy Lead consider the result on a case by case basis in relation to the </w:t>
            </w:r>
            <w:proofErr w:type="gramStart"/>
            <w:r w:rsidRPr="00C57D06">
              <w:t>participants</w:t>
            </w:r>
            <w:proofErr w:type="gramEnd"/>
            <w:r w:rsidRPr="00C57D06">
              <w:t xml:space="preserve"> clinical circumstance</w:t>
            </w:r>
            <w:r w:rsidR="003725AF">
              <w:t>.</w:t>
            </w:r>
          </w:p>
        </w:tc>
      </w:tr>
      <w:tr w:rsidR="00F301C7" w:rsidRPr="00BD48DA" w14:paraId="4B328D19" w14:textId="77777777" w:rsidTr="00CF30A3">
        <w:trPr>
          <w:cantSplit/>
        </w:trPr>
        <w:tc>
          <w:tcPr>
            <w:tcW w:w="2977" w:type="dxa"/>
            <w:shd w:val="clear" w:color="auto" w:fill="F2F2F2" w:themeFill="background1" w:themeFillShade="F2"/>
          </w:tcPr>
          <w:p w14:paraId="7589CD4E" w14:textId="77777777" w:rsidR="00F301C7" w:rsidRDefault="00F301C7" w:rsidP="003725AF">
            <w:pPr>
              <w:pStyle w:val="TableText"/>
              <w:ind w:left="709" w:right="142" w:hanging="709"/>
            </w:pPr>
            <w:r>
              <w:t>R6.08</w:t>
            </w:r>
            <w:r w:rsidR="003725AF">
              <w:tab/>
            </w:r>
            <w:r>
              <w:rPr>
                <w:color w:val="000000" w:themeColor="text1"/>
              </w:rPr>
              <w:t>Management of positive FIT</w:t>
            </w:r>
            <w:r w:rsidR="00271641">
              <w:rPr>
                <w:color w:val="000000" w:themeColor="text1"/>
              </w:rPr>
              <w:t xml:space="preserve"> </w:t>
            </w:r>
            <w:r>
              <w:rPr>
                <w:color w:val="000000" w:themeColor="text1"/>
              </w:rPr>
              <w:t>p</w:t>
            </w:r>
            <w:r w:rsidRPr="005B592C">
              <w:rPr>
                <w:color w:val="000000" w:themeColor="text1"/>
              </w:rPr>
              <w:t xml:space="preserve">articipants with </w:t>
            </w:r>
            <w:r>
              <w:rPr>
                <w:color w:val="000000" w:themeColor="text1"/>
              </w:rPr>
              <w:t>e</w:t>
            </w:r>
            <w:r w:rsidRPr="005B592C">
              <w:rPr>
                <w:color w:val="000000" w:themeColor="text1"/>
              </w:rPr>
              <w:t>xclusion</w:t>
            </w:r>
            <w:r w:rsidR="00271641">
              <w:rPr>
                <w:color w:val="000000" w:themeColor="text1"/>
              </w:rPr>
              <w:t xml:space="preserve"> </w:t>
            </w:r>
            <w:r>
              <w:rPr>
                <w:color w:val="000000" w:themeColor="text1"/>
              </w:rPr>
              <w:t>c</w:t>
            </w:r>
            <w:r w:rsidRPr="005B592C">
              <w:rPr>
                <w:color w:val="000000" w:themeColor="text1"/>
              </w:rPr>
              <w:t>riteria</w:t>
            </w:r>
          </w:p>
        </w:tc>
        <w:tc>
          <w:tcPr>
            <w:tcW w:w="6379" w:type="dxa"/>
            <w:shd w:val="clear" w:color="auto" w:fill="F2F2F2" w:themeFill="background1" w:themeFillShade="F2"/>
          </w:tcPr>
          <w:p w14:paraId="42962FE9" w14:textId="77777777" w:rsidR="00F301C7" w:rsidRPr="00C57D06" w:rsidRDefault="00F301C7" w:rsidP="00C57D06">
            <w:pPr>
              <w:pStyle w:val="TableText"/>
            </w:pPr>
            <w:r w:rsidRPr="003725AF">
              <w:rPr>
                <w:b/>
                <w:i/>
              </w:rPr>
              <w:t>Practice point</w:t>
            </w:r>
            <w:r w:rsidRPr="00C57D06">
              <w:t xml:space="preserve"> (NBSP)</w:t>
            </w:r>
          </w:p>
          <w:p w14:paraId="16B8D0E5" w14:textId="77777777" w:rsidR="00F301C7" w:rsidRPr="00C57D06" w:rsidRDefault="00F301C7" w:rsidP="00C57D06">
            <w:pPr>
              <w:pStyle w:val="TableText"/>
            </w:pPr>
            <w:r w:rsidRPr="00C57D06">
              <w:t>If a participant takes the FIT test even though they do not meet the criteria and the result is positive, review the exclusion criteria as part of pre-assessment. The responsibility for determining a participant</w:t>
            </w:r>
            <w:r w:rsidR="003B6490" w:rsidRPr="00C57D06">
              <w:t>’</w:t>
            </w:r>
            <w:r w:rsidRPr="00C57D06">
              <w:t>s ongoing involvement in the BSP sits with the Clinical Director or Endoscopy Lead.</w:t>
            </w:r>
          </w:p>
        </w:tc>
      </w:tr>
    </w:tbl>
    <w:p w14:paraId="6D5BE2DA" w14:textId="77777777" w:rsidR="00F301C7" w:rsidRDefault="00F301C7" w:rsidP="009F787F"/>
    <w:p w14:paraId="791ABF2D" w14:textId="77777777" w:rsidR="00F301C7" w:rsidRDefault="00F301C7" w:rsidP="009F787F">
      <w:pPr>
        <w:pStyle w:val="Heading2"/>
      </w:pPr>
      <w:bookmarkStart w:id="25" w:name="_Toc530661012"/>
      <w:r>
        <w:lastRenderedPageBreak/>
        <w:t>G7</w:t>
      </w:r>
      <w:r w:rsidR="009F787F">
        <w:tab/>
      </w:r>
      <w:r>
        <w:t>Primary care and general practice</w:t>
      </w:r>
      <w:bookmarkEnd w:id="25"/>
    </w:p>
    <w:p w14:paraId="12251677" w14:textId="77777777" w:rsidR="00F301C7" w:rsidRPr="00CB6BAA" w:rsidRDefault="00F301C7" w:rsidP="009F787F">
      <w:pPr>
        <w:pStyle w:val="Heading3"/>
        <w:rPr>
          <w:rFonts w:eastAsiaTheme="majorEastAsia"/>
        </w:rPr>
      </w:pPr>
      <w:r w:rsidRPr="00CB6BAA">
        <w:rPr>
          <w:rFonts w:eastAsiaTheme="majorEastAsia"/>
        </w:rPr>
        <w:t>Recommendations: Provision of the National B</w:t>
      </w:r>
      <w:r>
        <w:rPr>
          <w:rFonts w:eastAsiaTheme="majorEastAsia"/>
        </w:rPr>
        <w:t>owel Screening Programme</w:t>
      </w:r>
      <w:r w:rsidRPr="00CF30A3">
        <w:rPr>
          <w:rStyle w:val="FootnoteReference"/>
          <w:rFonts w:eastAsiaTheme="majorEastAsia"/>
          <w:b w:val="0"/>
        </w:rPr>
        <w:footnoteReference w:id="30"/>
      </w:r>
    </w:p>
    <w:tbl>
      <w:tblPr>
        <w:tblW w:w="0" w:type="auto"/>
        <w:tblInd w:w="57" w:type="dxa"/>
        <w:tblBorders>
          <w:top w:val="single" w:sz="4" w:space="0" w:color="auto"/>
          <w:bottom w:val="single" w:sz="4" w:space="0" w:color="auto"/>
          <w:insideH w:val="single" w:sz="4" w:space="0" w:color="A6A6A6" w:themeColor="background1" w:themeShade="A6"/>
        </w:tblBorders>
        <w:shd w:val="clear" w:color="auto" w:fill="F2F2F2" w:themeFill="background1" w:themeFillShade="F2"/>
        <w:tblLayout w:type="fixed"/>
        <w:tblCellMar>
          <w:left w:w="57" w:type="dxa"/>
          <w:right w:w="57" w:type="dxa"/>
        </w:tblCellMar>
        <w:tblLook w:val="04A0" w:firstRow="1" w:lastRow="0" w:firstColumn="1" w:lastColumn="0" w:noHBand="0" w:noVBand="1"/>
      </w:tblPr>
      <w:tblGrid>
        <w:gridCol w:w="2410"/>
        <w:gridCol w:w="6946"/>
      </w:tblGrid>
      <w:tr w:rsidR="00F301C7" w:rsidRPr="00566569" w14:paraId="6F7784F0" w14:textId="77777777" w:rsidTr="007547B3">
        <w:trPr>
          <w:cantSplit/>
        </w:trPr>
        <w:tc>
          <w:tcPr>
            <w:tcW w:w="2410" w:type="dxa"/>
            <w:shd w:val="clear" w:color="auto" w:fill="F2F2F2" w:themeFill="background1" w:themeFillShade="F2"/>
          </w:tcPr>
          <w:p w14:paraId="33DB831C" w14:textId="77777777" w:rsidR="00F301C7" w:rsidRPr="00566569" w:rsidRDefault="00F301C7" w:rsidP="00CF30A3">
            <w:pPr>
              <w:pStyle w:val="TableText"/>
              <w:ind w:left="709" w:right="142" w:hanging="709"/>
            </w:pPr>
            <w:r>
              <w:t>R7.01</w:t>
            </w:r>
            <w:r w:rsidR="00CF30A3">
              <w:tab/>
            </w:r>
            <w:r w:rsidRPr="00566569">
              <w:t>Eligibility to participate in the NBSP</w:t>
            </w:r>
          </w:p>
        </w:tc>
        <w:tc>
          <w:tcPr>
            <w:tcW w:w="6946" w:type="dxa"/>
            <w:shd w:val="clear" w:color="auto" w:fill="F2F2F2" w:themeFill="background1" w:themeFillShade="F2"/>
          </w:tcPr>
          <w:p w14:paraId="0741A5A3" w14:textId="77777777" w:rsidR="00F301C7" w:rsidRPr="00C57D06" w:rsidRDefault="00F301C7" w:rsidP="00C57D06">
            <w:pPr>
              <w:pStyle w:val="TableText"/>
            </w:pPr>
            <w:r w:rsidRPr="00CF30A3">
              <w:rPr>
                <w:b/>
                <w:i/>
              </w:rPr>
              <w:t>Consensus based evidence</w:t>
            </w:r>
            <w:r w:rsidRPr="00C57D06">
              <w:t xml:space="preserve"> (NBSP; </w:t>
            </w:r>
            <w:proofErr w:type="spellStart"/>
            <w:r w:rsidRPr="00C57D06">
              <w:t>MoH</w:t>
            </w:r>
            <w:proofErr w:type="spellEnd"/>
            <w:r w:rsidRPr="00C57D06">
              <w:t>; NHSBCSP)</w:t>
            </w:r>
          </w:p>
          <w:p w14:paraId="7C7C173B" w14:textId="77777777" w:rsidR="003B6490" w:rsidRPr="00C57D06" w:rsidRDefault="00F301C7" w:rsidP="00C57D06">
            <w:pPr>
              <w:pStyle w:val="TableText"/>
            </w:pPr>
            <w:r w:rsidRPr="00C57D06">
              <w:t>Eligible participants are men and women eligible for New Zealand health services and aged 60–74 years.</w:t>
            </w:r>
          </w:p>
          <w:p w14:paraId="3F943B67" w14:textId="77777777" w:rsidR="003B6490" w:rsidRPr="00C57D06" w:rsidRDefault="00F301C7" w:rsidP="00C57D06">
            <w:pPr>
              <w:pStyle w:val="TableText"/>
            </w:pPr>
            <w:r w:rsidRPr="00C57D06">
              <w:t>FIT screening is not recommended for people outside the eligible age range.</w:t>
            </w:r>
          </w:p>
          <w:p w14:paraId="34B7B9C2" w14:textId="77777777" w:rsidR="003B6490" w:rsidRPr="00C57D06" w:rsidRDefault="00F301C7" w:rsidP="00C57D06">
            <w:pPr>
              <w:pStyle w:val="TableText"/>
            </w:pPr>
            <w:r w:rsidRPr="00C57D06">
              <w:t>FIT screening is not recommended for people with symptoms requiring clinical investigation</w:t>
            </w:r>
            <w:r w:rsidRPr="00CF30A3">
              <w:rPr>
                <w:rStyle w:val="FootnoteReference"/>
              </w:rPr>
              <w:footnoteReference w:id="31"/>
            </w:r>
            <w:r w:rsidRPr="00C57D06">
              <w:t xml:space="preserve"> (</w:t>
            </w:r>
            <w:proofErr w:type="spellStart"/>
            <w:r w:rsidRPr="00C57D06">
              <w:t>MoH</w:t>
            </w:r>
            <w:proofErr w:type="spellEnd"/>
            <w:r w:rsidRPr="00C57D06">
              <w:t>).</w:t>
            </w:r>
          </w:p>
          <w:p w14:paraId="075E0B11" w14:textId="77777777" w:rsidR="00F301C7" w:rsidRPr="00C57D06" w:rsidRDefault="00F301C7" w:rsidP="00C57D06">
            <w:pPr>
              <w:pStyle w:val="TableText"/>
            </w:pPr>
            <w:r w:rsidRPr="00C57D06">
              <w:t>Eligible participants return for screening every 24 months (NHSBCSP).</w:t>
            </w:r>
          </w:p>
          <w:p w14:paraId="3DDB3882" w14:textId="77777777" w:rsidR="00F301C7" w:rsidRPr="00C57D06" w:rsidRDefault="00F301C7" w:rsidP="00C57D06">
            <w:pPr>
              <w:pStyle w:val="TableText"/>
            </w:pPr>
            <w:r w:rsidRPr="00CF30A3">
              <w:rPr>
                <w:b/>
                <w:i/>
              </w:rPr>
              <w:t>Practice points</w:t>
            </w:r>
            <w:r w:rsidRPr="00C57D06">
              <w:t xml:space="preserve"> (NHSBCSP; NBSP; NZGG 2009)</w:t>
            </w:r>
          </w:p>
          <w:p w14:paraId="1E13A8F2" w14:textId="77777777" w:rsidR="00F301C7" w:rsidRPr="00C57D06" w:rsidRDefault="00F301C7" w:rsidP="00C57D06">
            <w:pPr>
              <w:pStyle w:val="TableText"/>
            </w:pPr>
            <w:r w:rsidRPr="00C57D06">
              <w:t>Exclusion to screening include but are not limited to people who:</w:t>
            </w:r>
          </w:p>
          <w:p w14:paraId="73451DF5" w14:textId="77777777" w:rsidR="00F301C7" w:rsidRPr="00C57D06" w:rsidRDefault="00F301C7" w:rsidP="00CF30A3">
            <w:pPr>
              <w:pStyle w:val="TableBullet"/>
            </w:pPr>
            <w:r w:rsidRPr="00C57D06">
              <w:t>have had a colonoscopy within the last five years</w:t>
            </w:r>
          </w:p>
          <w:p w14:paraId="3D9B3C3C" w14:textId="77777777" w:rsidR="00F301C7" w:rsidRPr="00C57D06" w:rsidRDefault="00F301C7" w:rsidP="00CF30A3">
            <w:pPr>
              <w:pStyle w:val="TableBullet"/>
            </w:pPr>
            <w:r w:rsidRPr="00C57D06">
              <w:t>have undergone total removal of the large bowel</w:t>
            </w:r>
          </w:p>
          <w:p w14:paraId="0762A9EF" w14:textId="77777777" w:rsidR="00F301C7" w:rsidRPr="00C57D06" w:rsidRDefault="00F301C7" w:rsidP="00CF30A3">
            <w:pPr>
              <w:pStyle w:val="TableBullet"/>
            </w:pPr>
            <w:r w:rsidRPr="00C57D06">
              <w:t>have had, or are currently receiving, treatment for bowel cancer</w:t>
            </w:r>
          </w:p>
          <w:p w14:paraId="6F1DEB05" w14:textId="77777777" w:rsidR="00F301C7" w:rsidRPr="00C57D06" w:rsidRDefault="00F301C7" w:rsidP="00CF30A3">
            <w:pPr>
              <w:pStyle w:val="TableBullet"/>
            </w:pPr>
            <w:r w:rsidRPr="00C57D06">
              <w:t>are in a bowel polyp or bowel cancer surveillance programme</w:t>
            </w:r>
          </w:p>
          <w:p w14:paraId="69CE1DAB" w14:textId="77777777" w:rsidR="00F301C7" w:rsidRPr="00C57D06" w:rsidRDefault="00F301C7" w:rsidP="00CF30A3">
            <w:pPr>
              <w:pStyle w:val="TableBullet"/>
            </w:pPr>
            <w:r w:rsidRPr="00C57D06">
              <w:t xml:space="preserve">are currently receiving treatment for ulcerative colitis or </w:t>
            </w:r>
            <w:proofErr w:type="spellStart"/>
            <w:r w:rsidRPr="00C57D06">
              <w:t>Crohns</w:t>
            </w:r>
            <w:proofErr w:type="spellEnd"/>
            <w:r w:rsidRPr="00C57D06">
              <w:t xml:space="preserve"> disease, or are under specialist surveillance</w:t>
            </w:r>
          </w:p>
          <w:p w14:paraId="235516E5" w14:textId="77777777" w:rsidR="00F301C7" w:rsidRPr="00C57D06" w:rsidRDefault="00F301C7" w:rsidP="00CF30A3">
            <w:pPr>
              <w:pStyle w:val="TableBullet"/>
            </w:pPr>
            <w:proofErr w:type="gramStart"/>
            <w:r w:rsidRPr="00C57D06">
              <w:t>are</w:t>
            </w:r>
            <w:proofErr w:type="gramEnd"/>
            <w:r w:rsidRPr="00C57D06">
              <w:t xml:space="preserve"> currently seeing a doctor for bowel cancer symptoms</w:t>
            </w:r>
            <w:r w:rsidR="00CF30A3">
              <w:t>.</w:t>
            </w:r>
          </w:p>
          <w:p w14:paraId="125C06A4" w14:textId="76CA542F" w:rsidR="00F301C7" w:rsidRPr="00C57D06" w:rsidRDefault="00F301C7" w:rsidP="00C57D06">
            <w:pPr>
              <w:pStyle w:val="TableText"/>
            </w:pPr>
            <w:r w:rsidRPr="00C57D06">
              <w:t>Eligible participants with exclusion criteria are managed appropriately; when participants are temporality ineligible, providers advise them when they will become re-eligible.</w:t>
            </w:r>
            <w:r w:rsidR="0068063D">
              <w:t xml:space="preserve"> </w:t>
            </w:r>
            <w:r w:rsidR="0068063D" w:rsidRPr="0068063D">
              <w:rPr>
                <w:i/>
              </w:rPr>
              <w:t>The process for this is being developed</w:t>
            </w:r>
          </w:p>
        </w:tc>
      </w:tr>
      <w:tr w:rsidR="00F301C7" w:rsidRPr="00566569" w14:paraId="187798CA" w14:textId="77777777" w:rsidTr="007547B3">
        <w:trPr>
          <w:cantSplit/>
        </w:trPr>
        <w:tc>
          <w:tcPr>
            <w:tcW w:w="2410" w:type="dxa"/>
            <w:shd w:val="clear" w:color="auto" w:fill="F2F2F2" w:themeFill="background1" w:themeFillShade="F2"/>
          </w:tcPr>
          <w:p w14:paraId="5733D057" w14:textId="77777777" w:rsidR="00F301C7" w:rsidRPr="00566569" w:rsidRDefault="00F301C7" w:rsidP="00CF30A3">
            <w:pPr>
              <w:pStyle w:val="TableText"/>
              <w:ind w:left="709" w:right="142" w:hanging="709"/>
              <w:rPr>
                <w:rFonts w:cstheme="minorHAnsi"/>
              </w:rPr>
            </w:pPr>
            <w:r>
              <w:rPr>
                <w:rFonts w:cstheme="minorHAnsi"/>
              </w:rPr>
              <w:t>R7.02</w:t>
            </w:r>
            <w:r w:rsidR="00CF30A3">
              <w:rPr>
                <w:rFonts w:cstheme="minorHAnsi"/>
              </w:rPr>
              <w:tab/>
            </w:r>
            <w:r w:rsidRPr="00566569">
              <w:rPr>
                <w:rFonts w:cstheme="minorHAnsi"/>
              </w:rPr>
              <w:t>Informing the eligible population about the NBSP and screening</w:t>
            </w:r>
          </w:p>
        </w:tc>
        <w:tc>
          <w:tcPr>
            <w:tcW w:w="6946" w:type="dxa"/>
            <w:shd w:val="clear" w:color="auto" w:fill="F2F2F2" w:themeFill="background1" w:themeFillShade="F2"/>
          </w:tcPr>
          <w:p w14:paraId="79CC7BD5" w14:textId="77777777" w:rsidR="00F301C7" w:rsidRPr="00C57D06" w:rsidRDefault="00F301C7" w:rsidP="00C57D06">
            <w:pPr>
              <w:pStyle w:val="TableText"/>
              <w:rPr>
                <w:iCs/>
              </w:rPr>
            </w:pPr>
            <w:r w:rsidRPr="00CF30A3">
              <w:rPr>
                <w:b/>
                <w:i/>
              </w:rPr>
              <w:t>Practice points</w:t>
            </w:r>
            <w:r w:rsidRPr="00C57D06">
              <w:t xml:space="preserve"> (EC; NBSP)</w:t>
            </w:r>
          </w:p>
          <w:p w14:paraId="34B79F9A" w14:textId="77777777" w:rsidR="00F301C7" w:rsidRPr="00C57D06" w:rsidRDefault="00F301C7" w:rsidP="00C57D06">
            <w:pPr>
              <w:pStyle w:val="TableText"/>
            </w:pPr>
            <w:r w:rsidRPr="00C57D06">
              <w:t>General practices, public health organisations and DHBs collaborate in communications and community engagement activities promoting the NBSP.</w:t>
            </w:r>
          </w:p>
          <w:p w14:paraId="0372AF4A" w14:textId="77777777" w:rsidR="00F301C7" w:rsidRPr="00C57D06" w:rsidRDefault="00F301C7" w:rsidP="00C57D06">
            <w:pPr>
              <w:pStyle w:val="TableText"/>
            </w:pPr>
            <w:r w:rsidRPr="00C57D06">
              <w:t>Provides eligible participants with information and resources about the NBSP that are evidence based and consistent, and cover:</w:t>
            </w:r>
          </w:p>
          <w:p w14:paraId="61BB6347" w14:textId="77777777" w:rsidR="00F301C7" w:rsidRPr="00C57D06" w:rsidRDefault="00F301C7" w:rsidP="00CF30A3">
            <w:pPr>
              <w:pStyle w:val="TableBullet"/>
            </w:pPr>
            <w:r w:rsidRPr="00C57D06">
              <w:t>the potential benefits and risks of screening</w:t>
            </w:r>
          </w:p>
          <w:p w14:paraId="6CDC79E0" w14:textId="77777777" w:rsidR="00F301C7" w:rsidRPr="00C57D06" w:rsidRDefault="00F301C7" w:rsidP="00CF30A3">
            <w:pPr>
              <w:pStyle w:val="TableBullet"/>
            </w:pPr>
            <w:r w:rsidRPr="00C57D06">
              <w:t>the significance of positive and negative FIT results</w:t>
            </w:r>
          </w:p>
          <w:p w14:paraId="613C7378" w14:textId="77777777" w:rsidR="00F301C7" w:rsidRPr="00C57D06" w:rsidRDefault="00F301C7" w:rsidP="00CF30A3">
            <w:pPr>
              <w:pStyle w:val="TableBullet"/>
            </w:pPr>
            <w:proofErr w:type="gramStart"/>
            <w:r w:rsidRPr="00C57D06">
              <w:t>the</w:t>
            </w:r>
            <w:proofErr w:type="gramEnd"/>
            <w:r w:rsidRPr="00C57D06">
              <w:t xml:space="preserve"> fact that providers will offer a colonoscopy or other diagnostic test if the screening test result is positive.</w:t>
            </w:r>
          </w:p>
          <w:p w14:paraId="6726AE6A" w14:textId="77777777" w:rsidR="00F301C7" w:rsidRPr="00C57D06" w:rsidRDefault="00F301C7" w:rsidP="00C57D06">
            <w:pPr>
              <w:pStyle w:val="TableText"/>
            </w:pPr>
            <w:r w:rsidRPr="00C57D06">
              <w:t>Communicates the NBSP key messages to eligible participants</w:t>
            </w:r>
            <w:r w:rsidR="00CF30A3">
              <w:t>.</w:t>
            </w:r>
            <w:r w:rsidRPr="00CF30A3">
              <w:rPr>
                <w:rStyle w:val="FootnoteReference"/>
              </w:rPr>
              <w:footnoteReference w:id="32"/>
            </w:r>
          </w:p>
          <w:p w14:paraId="51FE00F5" w14:textId="77777777" w:rsidR="00F301C7" w:rsidRPr="00C57D06" w:rsidRDefault="00F301C7" w:rsidP="00C57D06">
            <w:pPr>
              <w:pStyle w:val="TableText"/>
            </w:pPr>
            <w:r w:rsidRPr="00C57D06">
              <w:t>Written and verbal communications about the NBSP that is clear, consistent and appropriate</w:t>
            </w:r>
            <w:r w:rsidR="00CF30A3">
              <w:t>.</w:t>
            </w:r>
          </w:p>
        </w:tc>
      </w:tr>
      <w:tr w:rsidR="00F301C7" w:rsidRPr="00566569" w14:paraId="3AD1A428" w14:textId="77777777" w:rsidTr="007547B3">
        <w:trPr>
          <w:cantSplit/>
        </w:trPr>
        <w:tc>
          <w:tcPr>
            <w:tcW w:w="2410" w:type="dxa"/>
            <w:shd w:val="clear" w:color="auto" w:fill="F2F2F2" w:themeFill="background1" w:themeFillShade="F2"/>
          </w:tcPr>
          <w:p w14:paraId="3F2D326F" w14:textId="77777777" w:rsidR="00F301C7" w:rsidRDefault="00F301C7" w:rsidP="00CF30A3">
            <w:pPr>
              <w:pStyle w:val="TableText"/>
              <w:ind w:left="709" w:right="142" w:hanging="709"/>
              <w:rPr>
                <w:rFonts w:cstheme="minorHAnsi"/>
              </w:rPr>
            </w:pPr>
            <w:r>
              <w:rPr>
                <w:rFonts w:cstheme="minorHAnsi"/>
              </w:rPr>
              <w:t>R7.03</w:t>
            </w:r>
            <w:r w:rsidR="00CF30A3">
              <w:rPr>
                <w:rFonts w:cstheme="minorHAnsi"/>
              </w:rPr>
              <w:tab/>
            </w:r>
            <w:r>
              <w:rPr>
                <w:rFonts w:cstheme="minorHAnsi"/>
              </w:rPr>
              <w:t>Informing the participant of their FIT result</w:t>
            </w:r>
          </w:p>
        </w:tc>
        <w:tc>
          <w:tcPr>
            <w:tcW w:w="6946" w:type="dxa"/>
            <w:shd w:val="clear" w:color="auto" w:fill="F2F2F2" w:themeFill="background1" w:themeFillShade="F2"/>
          </w:tcPr>
          <w:p w14:paraId="43F496E1" w14:textId="77777777" w:rsidR="003B6490" w:rsidRPr="00C57D06" w:rsidRDefault="00F301C7" w:rsidP="00C57D06">
            <w:pPr>
              <w:pStyle w:val="TableText"/>
            </w:pPr>
            <w:r w:rsidRPr="00CF30A3">
              <w:rPr>
                <w:b/>
                <w:i/>
              </w:rPr>
              <w:t xml:space="preserve">Practice </w:t>
            </w:r>
            <w:r w:rsidR="00CF30A3" w:rsidRPr="00CF30A3">
              <w:rPr>
                <w:b/>
                <w:i/>
              </w:rPr>
              <w:t>p</w:t>
            </w:r>
            <w:r w:rsidRPr="00CF30A3">
              <w:rPr>
                <w:b/>
                <w:i/>
              </w:rPr>
              <w:t>oints</w:t>
            </w:r>
            <w:r w:rsidRPr="00C57D06">
              <w:t xml:space="preserve"> (EC; NBSP)</w:t>
            </w:r>
            <w:r w:rsidR="003B6490" w:rsidRPr="00C57D06">
              <w:t xml:space="preserve"> </w:t>
            </w:r>
            <w:r w:rsidRPr="00C57D06">
              <w:t>Accept</w:t>
            </w:r>
          </w:p>
          <w:p w14:paraId="194D0551" w14:textId="77777777" w:rsidR="00F301C7" w:rsidRPr="00C57D06" w:rsidRDefault="00F301C7" w:rsidP="00CF30A3">
            <w:pPr>
              <w:pStyle w:val="TableText"/>
              <w:rPr>
                <w:iCs/>
              </w:rPr>
            </w:pPr>
            <w:r w:rsidRPr="00C57D06">
              <w:rPr>
                <w:iCs/>
              </w:rPr>
              <w:t>The GP tells the participant their FIT result and</w:t>
            </w:r>
            <w:r w:rsidR="00CF30A3">
              <w:rPr>
                <w:iCs/>
              </w:rPr>
              <w:t xml:space="preserve"> </w:t>
            </w:r>
            <w:r w:rsidRPr="00C57D06">
              <w:rPr>
                <w:rFonts w:eastAsia="Calibri"/>
              </w:rPr>
              <w:t>manages and refers participants with a positive FIT for colonoscopy</w:t>
            </w:r>
            <w:r w:rsidR="00CF30A3">
              <w:rPr>
                <w:rFonts w:eastAsia="Calibri"/>
              </w:rPr>
              <w:t>.</w:t>
            </w:r>
          </w:p>
        </w:tc>
      </w:tr>
      <w:tr w:rsidR="00F301C7" w:rsidRPr="00566569" w14:paraId="20B8423F" w14:textId="77777777" w:rsidTr="007547B3">
        <w:trPr>
          <w:cantSplit/>
        </w:trPr>
        <w:tc>
          <w:tcPr>
            <w:tcW w:w="2410" w:type="dxa"/>
            <w:shd w:val="clear" w:color="auto" w:fill="F2F2F2" w:themeFill="background1" w:themeFillShade="F2"/>
          </w:tcPr>
          <w:p w14:paraId="1793610F" w14:textId="77777777" w:rsidR="00F301C7" w:rsidRPr="00566569" w:rsidRDefault="00F301C7" w:rsidP="00CF30A3">
            <w:pPr>
              <w:pStyle w:val="TableText"/>
              <w:ind w:left="709" w:right="142" w:hanging="709"/>
              <w:rPr>
                <w:rFonts w:cstheme="minorHAnsi"/>
              </w:rPr>
            </w:pPr>
            <w:r>
              <w:rPr>
                <w:rFonts w:cstheme="minorHAnsi"/>
              </w:rPr>
              <w:lastRenderedPageBreak/>
              <w:t>R7.04</w:t>
            </w:r>
            <w:r w:rsidR="00CF30A3">
              <w:rPr>
                <w:rFonts w:cstheme="minorHAnsi"/>
              </w:rPr>
              <w:tab/>
            </w:r>
            <w:r w:rsidRPr="00566569">
              <w:rPr>
                <w:rFonts w:cstheme="minorHAnsi"/>
              </w:rPr>
              <w:t xml:space="preserve">Advising eligible </w:t>
            </w:r>
            <w:r>
              <w:rPr>
                <w:rFonts w:cstheme="minorHAnsi"/>
              </w:rPr>
              <w:t>participant</w:t>
            </w:r>
            <w:r w:rsidRPr="00566569">
              <w:rPr>
                <w:rFonts w:cstheme="minorHAnsi"/>
              </w:rPr>
              <w:t>s about the significance of the screening test, and managing the pathway for a positive screening test</w:t>
            </w:r>
          </w:p>
        </w:tc>
        <w:tc>
          <w:tcPr>
            <w:tcW w:w="6946" w:type="dxa"/>
            <w:shd w:val="clear" w:color="auto" w:fill="F2F2F2" w:themeFill="background1" w:themeFillShade="F2"/>
          </w:tcPr>
          <w:p w14:paraId="0BFF3DB7" w14:textId="77777777" w:rsidR="00F301C7" w:rsidRPr="00C57D06" w:rsidRDefault="00F301C7" w:rsidP="00C57D06">
            <w:pPr>
              <w:pStyle w:val="TableText"/>
            </w:pPr>
            <w:r w:rsidRPr="00CF30A3">
              <w:rPr>
                <w:b/>
                <w:i/>
              </w:rPr>
              <w:t xml:space="preserve">Practice </w:t>
            </w:r>
            <w:r w:rsidR="00CF30A3" w:rsidRPr="00CF30A3">
              <w:rPr>
                <w:b/>
                <w:i/>
              </w:rPr>
              <w:t>p</w:t>
            </w:r>
            <w:r w:rsidRPr="00CF30A3">
              <w:rPr>
                <w:b/>
                <w:i/>
              </w:rPr>
              <w:t>oints</w:t>
            </w:r>
            <w:r w:rsidRPr="00C57D06">
              <w:t xml:space="preserve"> (EC; NBSP)</w:t>
            </w:r>
          </w:p>
          <w:p w14:paraId="59EF50F9" w14:textId="77777777" w:rsidR="00CF30A3" w:rsidRDefault="00F301C7" w:rsidP="00CF30A3">
            <w:pPr>
              <w:pStyle w:val="TableText"/>
              <w:rPr>
                <w:rFonts w:eastAsia="Calibri"/>
              </w:rPr>
            </w:pPr>
            <w:r w:rsidRPr="00C57D06">
              <w:rPr>
                <w:iCs/>
              </w:rPr>
              <w:t xml:space="preserve">Provides advice for </w:t>
            </w:r>
            <w:r w:rsidRPr="00CF30A3">
              <w:rPr>
                <w:rFonts w:eastAsia="Calibri"/>
              </w:rPr>
              <w:t>participants seeking information about their eligibility</w:t>
            </w:r>
            <w:r w:rsidRPr="00CF30A3">
              <w:rPr>
                <w:rStyle w:val="FootnoteReference"/>
                <w:rFonts w:eastAsia="Calibri"/>
              </w:rPr>
              <w:footnoteReference w:id="33"/>
            </w:r>
            <w:r w:rsidRPr="00CF30A3">
              <w:rPr>
                <w:rFonts w:eastAsia="Calibri"/>
              </w:rPr>
              <w:t xml:space="preserve"> because of their</w:t>
            </w:r>
            <w:r w:rsidR="00CF30A3">
              <w:rPr>
                <w:rFonts w:eastAsia="Calibri"/>
              </w:rPr>
              <w:t>:</w:t>
            </w:r>
          </w:p>
          <w:p w14:paraId="4D0242D6" w14:textId="77777777" w:rsidR="00F301C7" w:rsidRPr="00C57D06" w:rsidRDefault="00F301C7" w:rsidP="00CF30A3">
            <w:pPr>
              <w:pStyle w:val="TableBullet"/>
              <w:rPr>
                <w:iCs/>
              </w:rPr>
            </w:pPr>
            <w:r w:rsidRPr="00C57D06">
              <w:rPr>
                <w:rFonts w:eastAsia="Calibri"/>
              </w:rPr>
              <w:t>symptoms or past medical history, including extensive inflammatory bowel disease, such as ulcerative colitis, for more than 10 years</w:t>
            </w:r>
          </w:p>
          <w:p w14:paraId="6ACAF889" w14:textId="77777777" w:rsidR="00F301C7" w:rsidRPr="00C57D06" w:rsidRDefault="00F301C7" w:rsidP="00CF30A3">
            <w:pPr>
              <w:pStyle w:val="TableBullet"/>
              <w:rPr>
                <w:iCs/>
              </w:rPr>
            </w:pPr>
            <w:r w:rsidRPr="00C57D06">
              <w:rPr>
                <w:rFonts w:eastAsia="Calibri"/>
              </w:rPr>
              <w:t>family history of bowel cancer identifies them as</w:t>
            </w:r>
            <w:r w:rsidR="00CF30A3">
              <w:rPr>
                <w:rFonts w:eastAsia="Calibri"/>
              </w:rPr>
              <w:t>:</w:t>
            </w:r>
          </w:p>
          <w:p w14:paraId="07AD9616" w14:textId="77777777" w:rsidR="003B6490" w:rsidRPr="00C57D06" w:rsidRDefault="00F301C7" w:rsidP="00CF30A3">
            <w:pPr>
              <w:pStyle w:val="TableDash"/>
              <w:rPr>
                <w:rFonts w:eastAsia="Calibri"/>
              </w:rPr>
            </w:pPr>
            <w:r w:rsidRPr="00C57D06">
              <w:rPr>
                <w:rFonts w:eastAsia="Calibri"/>
              </w:rPr>
              <w:t>moderate risk ( therefore requiring referral for surveillance colonoscopy) or</w:t>
            </w:r>
          </w:p>
          <w:p w14:paraId="29637647" w14:textId="77777777" w:rsidR="00F301C7" w:rsidRPr="00C57D06" w:rsidRDefault="00F301C7" w:rsidP="00CF30A3">
            <w:pPr>
              <w:pStyle w:val="TableDash"/>
              <w:rPr>
                <w:iCs/>
              </w:rPr>
            </w:pPr>
            <w:r w:rsidRPr="00C57D06">
              <w:rPr>
                <w:rFonts w:eastAsia="Calibri"/>
              </w:rPr>
              <w:t>potentially high risk ( therefore requiring referral to the NZFGICS)</w:t>
            </w:r>
            <w:r w:rsidRPr="00CF30A3">
              <w:rPr>
                <w:rStyle w:val="FootnoteReference"/>
              </w:rPr>
              <w:footnoteReference w:id="34"/>
            </w:r>
            <w:r w:rsidR="00CF30A3" w:rsidRPr="00CF30A3">
              <w:rPr>
                <w:rFonts w:eastAsia="Calibri"/>
                <w:vertAlign w:val="superscript"/>
              </w:rPr>
              <w:t>,</w:t>
            </w:r>
            <w:r w:rsidRPr="00CF30A3">
              <w:rPr>
                <w:rStyle w:val="FootnoteReference"/>
              </w:rPr>
              <w:footnoteReference w:id="35"/>
            </w:r>
          </w:p>
          <w:p w14:paraId="67BD42AE" w14:textId="77777777" w:rsidR="00F301C7" w:rsidRPr="00C57D06" w:rsidRDefault="00F301C7" w:rsidP="00CF30A3">
            <w:pPr>
              <w:pStyle w:val="TableText"/>
            </w:pPr>
            <w:r w:rsidRPr="00C57D06">
              <w:t>Advises and manages participants who are unsuitable for or decline diagnostic services</w:t>
            </w:r>
            <w:r w:rsidR="00CF30A3">
              <w:t>.</w:t>
            </w:r>
          </w:p>
          <w:p w14:paraId="62B3F296" w14:textId="77777777" w:rsidR="00F301C7" w:rsidRPr="00C57D06" w:rsidRDefault="00F301C7" w:rsidP="00CF30A3">
            <w:pPr>
              <w:pStyle w:val="TableText"/>
            </w:pPr>
            <w:r w:rsidRPr="00C57D06">
              <w:t>Manages participants that return a positive FIT test and are subsequently found to be ineligible for the NBSP in accordance with NBSP interim quality standards.</w:t>
            </w:r>
          </w:p>
          <w:p w14:paraId="2C6E5B7B" w14:textId="77777777" w:rsidR="00F301C7" w:rsidRPr="00C57D06" w:rsidRDefault="00F301C7" w:rsidP="00CF30A3">
            <w:pPr>
              <w:pStyle w:val="TableText"/>
            </w:pPr>
            <w:r w:rsidRPr="00C57D06">
              <w:t xml:space="preserve">General </w:t>
            </w:r>
            <w:r w:rsidR="00CF30A3">
              <w:t>p</w:t>
            </w:r>
            <w:r w:rsidRPr="00C57D06">
              <w:t>ractices work with the NBSP DHB endoscopy unit to follow-up their participants that cannot be notified of their positive result, cannot be contacted for a pre-assessment or who do not attend their scheduled diagnostic procedure (colonoscopy or CTC)</w:t>
            </w:r>
            <w:r w:rsidR="00CF30A3">
              <w:t>.</w:t>
            </w:r>
          </w:p>
        </w:tc>
      </w:tr>
      <w:tr w:rsidR="00F301C7" w:rsidRPr="00566569" w14:paraId="6B5BC04D" w14:textId="77777777" w:rsidTr="007547B3">
        <w:trPr>
          <w:cantSplit/>
        </w:trPr>
        <w:tc>
          <w:tcPr>
            <w:tcW w:w="2410" w:type="dxa"/>
            <w:shd w:val="clear" w:color="auto" w:fill="F2F2F2" w:themeFill="background1" w:themeFillShade="F2"/>
          </w:tcPr>
          <w:p w14:paraId="57D22614" w14:textId="77777777" w:rsidR="00F301C7" w:rsidRPr="00D52065" w:rsidRDefault="00F301C7" w:rsidP="00CF30A3">
            <w:pPr>
              <w:pStyle w:val="TableText"/>
              <w:ind w:left="709" w:right="142" w:hanging="709"/>
              <w:rPr>
                <w:rFonts w:cstheme="minorHAnsi"/>
              </w:rPr>
            </w:pPr>
            <w:r w:rsidRPr="00D52065">
              <w:rPr>
                <w:rFonts w:cstheme="minorHAnsi"/>
              </w:rPr>
              <w:t>R7.0</w:t>
            </w:r>
            <w:r>
              <w:rPr>
                <w:rFonts w:cstheme="minorHAnsi"/>
              </w:rPr>
              <w:t>5</w:t>
            </w:r>
            <w:r w:rsidR="00CF30A3">
              <w:rPr>
                <w:rFonts w:cstheme="minorHAnsi"/>
              </w:rPr>
              <w:tab/>
            </w:r>
            <w:r w:rsidRPr="00D52065">
              <w:rPr>
                <w:bCs/>
                <w:lang w:eastAsia="en-NZ"/>
              </w:rPr>
              <w:t>Responding to a pa</w:t>
            </w:r>
            <w:r>
              <w:rPr>
                <w:bCs/>
                <w:lang w:eastAsia="en-NZ"/>
              </w:rPr>
              <w:t xml:space="preserve">rticipant </w:t>
            </w:r>
            <w:r w:rsidRPr="00D52065">
              <w:rPr>
                <w:bCs/>
                <w:lang w:eastAsia="en-NZ"/>
              </w:rPr>
              <w:t xml:space="preserve">request for a </w:t>
            </w:r>
            <w:r>
              <w:rPr>
                <w:bCs/>
                <w:lang w:eastAsia="en-NZ"/>
              </w:rPr>
              <w:t xml:space="preserve">numerical </w:t>
            </w:r>
            <w:r w:rsidRPr="00D52065">
              <w:rPr>
                <w:bCs/>
                <w:lang w:eastAsia="en-NZ"/>
              </w:rPr>
              <w:t>FIT result</w:t>
            </w:r>
          </w:p>
        </w:tc>
        <w:tc>
          <w:tcPr>
            <w:tcW w:w="6946" w:type="dxa"/>
            <w:shd w:val="clear" w:color="auto" w:fill="F2F2F2" w:themeFill="background1" w:themeFillShade="F2"/>
          </w:tcPr>
          <w:p w14:paraId="340BBA23" w14:textId="77777777" w:rsidR="00F301C7" w:rsidRPr="00B30F1A" w:rsidRDefault="00F301C7" w:rsidP="00C57D06">
            <w:pPr>
              <w:pStyle w:val="TableText"/>
              <w:rPr>
                <w:szCs w:val="18"/>
              </w:rPr>
            </w:pPr>
            <w:r w:rsidRPr="00B30F1A">
              <w:rPr>
                <w:b/>
                <w:i/>
                <w:szCs w:val="18"/>
              </w:rPr>
              <w:t xml:space="preserve">Practice </w:t>
            </w:r>
            <w:r w:rsidR="00CF30A3" w:rsidRPr="00B30F1A">
              <w:rPr>
                <w:b/>
                <w:i/>
                <w:szCs w:val="18"/>
              </w:rPr>
              <w:t>p</w:t>
            </w:r>
            <w:r w:rsidRPr="00B30F1A">
              <w:rPr>
                <w:b/>
                <w:i/>
                <w:szCs w:val="18"/>
              </w:rPr>
              <w:t>oints</w:t>
            </w:r>
            <w:r w:rsidRPr="00B30F1A">
              <w:rPr>
                <w:szCs w:val="18"/>
              </w:rPr>
              <w:t xml:space="preserve"> (NBSP)</w:t>
            </w:r>
          </w:p>
          <w:p w14:paraId="40F0A7A2" w14:textId="4CA7CAF5" w:rsidR="00F301C7" w:rsidRPr="0068063D" w:rsidRDefault="00AA1A7A" w:rsidP="00C57D06">
            <w:pPr>
              <w:pStyle w:val="TableText"/>
              <w:rPr>
                <w:i/>
              </w:rPr>
            </w:pPr>
            <w:r w:rsidRPr="00B30F1A">
              <w:rPr>
                <w:rFonts w:cs="Arial"/>
                <w:color w:val="000000"/>
                <w:szCs w:val="18"/>
              </w:rPr>
              <w:t>The participant, or primary care provider on their behalf, requests the numerical result from the NBSP.</w:t>
            </w:r>
          </w:p>
        </w:tc>
      </w:tr>
      <w:tr w:rsidR="009E62F6" w:rsidRPr="00566569" w14:paraId="104AAD03" w14:textId="77777777" w:rsidTr="007547B3">
        <w:trPr>
          <w:cantSplit/>
        </w:trPr>
        <w:tc>
          <w:tcPr>
            <w:tcW w:w="2410" w:type="dxa"/>
            <w:shd w:val="clear" w:color="auto" w:fill="F2F2F2" w:themeFill="background1" w:themeFillShade="F2"/>
          </w:tcPr>
          <w:p w14:paraId="7B21F360" w14:textId="188F58A2" w:rsidR="009E62F6" w:rsidRPr="00D52065" w:rsidRDefault="009E62F6" w:rsidP="00CF30A3">
            <w:pPr>
              <w:pStyle w:val="TableText"/>
              <w:ind w:left="709" w:right="142" w:hanging="709"/>
              <w:rPr>
                <w:rFonts w:cstheme="minorHAnsi"/>
              </w:rPr>
            </w:pPr>
            <w:r>
              <w:rPr>
                <w:rFonts w:cstheme="minorHAnsi"/>
              </w:rPr>
              <w:t>R7.06</w:t>
            </w:r>
            <w:r w:rsidR="009B5A35">
              <w:rPr>
                <w:rFonts w:cstheme="minorHAnsi"/>
              </w:rPr>
              <w:t xml:space="preserve">    </w:t>
            </w:r>
            <w:r w:rsidR="005B551E">
              <w:rPr>
                <w:rFonts w:cstheme="minorHAnsi"/>
              </w:rPr>
              <w:t>H</w:t>
            </w:r>
            <w:r w:rsidR="009B5A35">
              <w:rPr>
                <w:rFonts w:cstheme="minorHAnsi"/>
              </w:rPr>
              <w:t>istopathology and post colonoscopy results</w:t>
            </w:r>
          </w:p>
        </w:tc>
        <w:tc>
          <w:tcPr>
            <w:tcW w:w="6946" w:type="dxa"/>
            <w:shd w:val="clear" w:color="auto" w:fill="F2F2F2" w:themeFill="background1" w:themeFillShade="F2"/>
          </w:tcPr>
          <w:p w14:paraId="54AFE4AD" w14:textId="77777777" w:rsidR="009B5A35" w:rsidRPr="00C57D06" w:rsidRDefault="009B5A35" w:rsidP="009B5A35">
            <w:pPr>
              <w:pStyle w:val="TableText"/>
            </w:pPr>
            <w:r w:rsidRPr="00CF30A3">
              <w:rPr>
                <w:b/>
                <w:i/>
              </w:rPr>
              <w:t>Practice points</w:t>
            </w:r>
            <w:r w:rsidRPr="00C57D06">
              <w:t xml:space="preserve"> (NBSP)</w:t>
            </w:r>
          </w:p>
          <w:p w14:paraId="4E61CCDF" w14:textId="20EB72D0" w:rsidR="009B5A35" w:rsidRPr="009B5A35" w:rsidRDefault="009B5A35" w:rsidP="009B5A35">
            <w:pPr>
              <w:autoSpaceDE w:val="0"/>
              <w:autoSpaceDN w:val="0"/>
              <w:adjustRightInd w:val="0"/>
              <w:spacing w:line="240" w:lineRule="auto"/>
              <w:rPr>
                <w:rFonts w:ascii="Arial" w:hAnsi="Arial" w:cs="Arial"/>
                <w:color w:val="000000"/>
                <w:sz w:val="18"/>
                <w:szCs w:val="18"/>
                <w:lang w:eastAsia="en-NZ"/>
              </w:rPr>
            </w:pPr>
            <w:r w:rsidRPr="009B5A35">
              <w:rPr>
                <w:rFonts w:ascii="Arial" w:hAnsi="Arial" w:cs="Arial"/>
                <w:color w:val="000000"/>
                <w:sz w:val="18"/>
                <w:szCs w:val="18"/>
                <w:lang w:eastAsia="en-NZ"/>
              </w:rPr>
              <w:t>The GP does not directly receive a copy of the histopathology result and is not responsible for determining appropriate follow up, as this is managed by the screening programme. However, when correspondence from the NBSP is received advising of proposed ac</w:t>
            </w:r>
            <w:r w:rsidR="004B3572">
              <w:rPr>
                <w:rFonts w:ascii="Arial" w:hAnsi="Arial" w:cs="Arial"/>
                <w:color w:val="000000"/>
                <w:sz w:val="18"/>
                <w:szCs w:val="18"/>
                <w:lang w:eastAsia="en-NZ"/>
              </w:rPr>
              <w:t>tions</w:t>
            </w:r>
            <w:r w:rsidRPr="009B5A35">
              <w:rPr>
                <w:rFonts w:ascii="Arial" w:hAnsi="Arial" w:cs="Arial"/>
                <w:color w:val="000000"/>
                <w:sz w:val="18"/>
                <w:szCs w:val="18"/>
                <w:lang w:eastAsia="en-NZ"/>
              </w:rPr>
              <w:t xml:space="preserve"> on the basis of the histopathology result, this should be managed in the general practice usual manner e.g. added to their reminder system.       </w:t>
            </w:r>
          </w:p>
          <w:p w14:paraId="6082AD99" w14:textId="32A3EB86" w:rsidR="009B5A35" w:rsidRPr="009B5A35" w:rsidRDefault="00FC7A87" w:rsidP="00827D88">
            <w:pPr>
              <w:pStyle w:val="TableText"/>
              <w:rPr>
                <w:rFonts w:cs="Arial"/>
                <w:color w:val="000000"/>
                <w:szCs w:val="18"/>
                <w:lang w:eastAsia="en-NZ"/>
              </w:rPr>
            </w:pPr>
            <w:r>
              <w:rPr>
                <w:rFonts w:cs="Arial"/>
                <w:color w:val="000000"/>
                <w:szCs w:val="18"/>
                <w:lang w:eastAsia="en-NZ"/>
              </w:rPr>
              <w:t xml:space="preserve">Note: </w:t>
            </w:r>
            <w:r w:rsidR="009B5A35" w:rsidRPr="009B5A35">
              <w:rPr>
                <w:rFonts w:cs="Arial"/>
                <w:color w:val="000000"/>
                <w:szCs w:val="18"/>
                <w:lang w:eastAsia="en-NZ"/>
              </w:rPr>
              <w:t xml:space="preserve">The DHB clinical lead/lead </w:t>
            </w:r>
            <w:proofErr w:type="spellStart"/>
            <w:r w:rsidR="009B5A35" w:rsidRPr="009B5A35">
              <w:rPr>
                <w:rFonts w:cs="Arial"/>
                <w:color w:val="000000"/>
                <w:szCs w:val="18"/>
                <w:lang w:eastAsia="en-NZ"/>
              </w:rPr>
              <w:t>endoscopist</w:t>
            </w:r>
            <w:proofErr w:type="spellEnd"/>
            <w:r w:rsidR="009B5A35" w:rsidRPr="009B5A35">
              <w:rPr>
                <w:rFonts w:cs="Arial"/>
                <w:color w:val="000000"/>
                <w:szCs w:val="18"/>
                <w:lang w:eastAsia="en-NZ"/>
              </w:rPr>
              <w:t xml:space="preserve"> takes responsibility to assess and arrange appropriate management e.g. treatment, surveillance and communicate the outcome and follow up action</w:t>
            </w:r>
            <w:r w:rsidR="00BA38B5">
              <w:rPr>
                <w:rFonts w:cs="Arial"/>
                <w:color w:val="000000"/>
                <w:szCs w:val="18"/>
                <w:lang w:eastAsia="en-NZ"/>
              </w:rPr>
              <w:t xml:space="preserve"> to the participant and GP</w:t>
            </w:r>
            <w:r w:rsidR="009B5A35" w:rsidRPr="009B5A35">
              <w:rPr>
                <w:rFonts w:cs="Arial"/>
                <w:color w:val="000000"/>
                <w:szCs w:val="18"/>
                <w:lang w:eastAsia="en-NZ"/>
              </w:rPr>
              <w:t>.</w:t>
            </w:r>
          </w:p>
        </w:tc>
      </w:tr>
    </w:tbl>
    <w:p w14:paraId="39ED2AA2" w14:textId="167148A3" w:rsidR="00F301C7" w:rsidRDefault="00F301C7" w:rsidP="009F787F">
      <w:pPr>
        <w:rPr>
          <w:rFonts w:eastAsiaTheme="majorEastAsia"/>
        </w:rPr>
      </w:pPr>
    </w:p>
    <w:p w14:paraId="5A89489D" w14:textId="77777777" w:rsidR="00F301C7" w:rsidRPr="00CB6BAA" w:rsidRDefault="00F301C7" w:rsidP="009F787F">
      <w:pPr>
        <w:pStyle w:val="Heading3"/>
        <w:rPr>
          <w:rFonts w:eastAsiaTheme="majorEastAsia"/>
        </w:rPr>
      </w:pPr>
      <w:r w:rsidRPr="00CB6BAA">
        <w:rPr>
          <w:rFonts w:eastAsiaTheme="majorEastAsia"/>
        </w:rPr>
        <w:t xml:space="preserve">Recommendations: Maximising </w:t>
      </w:r>
      <w:r w:rsidR="00CF30A3">
        <w:rPr>
          <w:rFonts w:eastAsiaTheme="majorEastAsia"/>
        </w:rPr>
        <w:t>e</w:t>
      </w:r>
      <w:r w:rsidRPr="00CB6BAA">
        <w:rPr>
          <w:rFonts w:eastAsiaTheme="majorEastAsia"/>
        </w:rPr>
        <w:t xml:space="preserve">quitable </w:t>
      </w:r>
      <w:r w:rsidR="00CF30A3">
        <w:rPr>
          <w:rFonts w:eastAsiaTheme="majorEastAsia"/>
        </w:rPr>
        <w:t>p</w:t>
      </w:r>
      <w:r w:rsidRPr="00CB6BAA">
        <w:rPr>
          <w:rFonts w:eastAsiaTheme="majorEastAsia"/>
        </w:rPr>
        <w:t>articipation in the National Bowel Screening Programme</w:t>
      </w:r>
    </w:p>
    <w:tbl>
      <w:tblPr>
        <w:tblW w:w="0" w:type="auto"/>
        <w:tblInd w:w="57" w:type="dxa"/>
        <w:tblBorders>
          <w:top w:val="single" w:sz="4" w:space="0" w:color="auto"/>
          <w:bottom w:val="single" w:sz="4" w:space="0" w:color="auto"/>
          <w:insideH w:val="single" w:sz="4" w:space="0" w:color="A6A6A6" w:themeColor="background1" w:themeShade="A6"/>
        </w:tblBorders>
        <w:shd w:val="clear" w:color="auto" w:fill="F2F2F2" w:themeFill="background1" w:themeFillShade="F2"/>
        <w:tblLayout w:type="fixed"/>
        <w:tblCellMar>
          <w:left w:w="57" w:type="dxa"/>
          <w:right w:w="57" w:type="dxa"/>
        </w:tblCellMar>
        <w:tblLook w:val="04A0" w:firstRow="1" w:lastRow="0" w:firstColumn="1" w:lastColumn="0" w:noHBand="0" w:noVBand="1"/>
      </w:tblPr>
      <w:tblGrid>
        <w:gridCol w:w="2410"/>
        <w:gridCol w:w="6946"/>
      </w:tblGrid>
      <w:tr w:rsidR="00F301C7" w:rsidRPr="00566569" w14:paraId="252D45C8" w14:textId="77777777" w:rsidTr="007547B3">
        <w:trPr>
          <w:cantSplit/>
        </w:trPr>
        <w:tc>
          <w:tcPr>
            <w:tcW w:w="2410" w:type="dxa"/>
            <w:shd w:val="clear" w:color="auto" w:fill="F2F2F2" w:themeFill="background1" w:themeFillShade="F2"/>
          </w:tcPr>
          <w:p w14:paraId="5FB39EFA" w14:textId="7ABCEEAB" w:rsidR="00F301C7" w:rsidRPr="00566569" w:rsidRDefault="00E07927" w:rsidP="00CF30A3">
            <w:pPr>
              <w:pStyle w:val="TableText"/>
              <w:ind w:left="709" w:right="142" w:hanging="709"/>
            </w:pPr>
            <w:r>
              <w:t>R7.07</w:t>
            </w:r>
            <w:r w:rsidR="00CF30A3">
              <w:tab/>
            </w:r>
            <w:r w:rsidR="00F301C7" w:rsidRPr="00566569">
              <w:t>Offering all eligible participants the opportunity to participate in the NBSP</w:t>
            </w:r>
          </w:p>
        </w:tc>
        <w:tc>
          <w:tcPr>
            <w:tcW w:w="6946" w:type="dxa"/>
            <w:shd w:val="clear" w:color="auto" w:fill="F2F2F2" w:themeFill="background1" w:themeFillShade="F2"/>
          </w:tcPr>
          <w:p w14:paraId="08E6C4E6" w14:textId="77777777" w:rsidR="00F301C7" w:rsidRPr="00C57D06" w:rsidRDefault="00F301C7" w:rsidP="00C57D06">
            <w:pPr>
              <w:pStyle w:val="TableText"/>
              <w:rPr>
                <w:iCs/>
              </w:rPr>
            </w:pPr>
            <w:r w:rsidRPr="00CF30A3">
              <w:rPr>
                <w:b/>
                <w:i/>
              </w:rPr>
              <w:t>Practice points</w:t>
            </w:r>
            <w:r w:rsidRPr="00C57D06">
              <w:t xml:space="preserve"> (NBSP)</w:t>
            </w:r>
          </w:p>
          <w:p w14:paraId="181C6A7F" w14:textId="77777777" w:rsidR="00F301C7" w:rsidRPr="00C57D06" w:rsidRDefault="00F301C7" w:rsidP="00C57D06">
            <w:pPr>
              <w:pStyle w:val="TableText"/>
            </w:pPr>
            <w:r w:rsidRPr="00C57D06">
              <w:t>Initiates discussions with eligible participants who have not participated in the NBSP.</w:t>
            </w:r>
          </w:p>
          <w:p w14:paraId="152E53CB" w14:textId="77777777" w:rsidR="00F301C7" w:rsidRPr="00C57D06" w:rsidRDefault="00F301C7" w:rsidP="00C57D06">
            <w:pPr>
              <w:pStyle w:val="TableText"/>
            </w:pPr>
            <w:r w:rsidRPr="00C57D06">
              <w:t>Informs eligible participants that have not received an invitation that they are able to self-enrol (or the practice can enrol on their behalf); priority participants (see section</w:t>
            </w:r>
            <w:r w:rsidR="00CF30A3">
              <w:t> </w:t>
            </w:r>
            <w:r w:rsidRPr="00C57D06">
              <w:t>R5.05) will be sent an invitation immediately.</w:t>
            </w:r>
          </w:p>
          <w:p w14:paraId="2D515B6E" w14:textId="77777777" w:rsidR="00F301C7" w:rsidRPr="00C57D06" w:rsidRDefault="00F301C7" w:rsidP="00C57D06">
            <w:pPr>
              <w:pStyle w:val="TableText"/>
            </w:pPr>
            <w:r w:rsidRPr="00C57D06">
              <w:t>Informs participants that they may withdraw or be temporarily suspended from the NBSP at their request.</w:t>
            </w:r>
          </w:p>
        </w:tc>
      </w:tr>
      <w:tr w:rsidR="00F301C7" w:rsidRPr="00566569" w14:paraId="11776BC4" w14:textId="77777777" w:rsidTr="007547B3">
        <w:trPr>
          <w:cantSplit/>
        </w:trPr>
        <w:tc>
          <w:tcPr>
            <w:tcW w:w="2410" w:type="dxa"/>
            <w:shd w:val="clear" w:color="auto" w:fill="F2F2F2" w:themeFill="background1" w:themeFillShade="F2"/>
          </w:tcPr>
          <w:p w14:paraId="54DAD3AF" w14:textId="211652A8" w:rsidR="00F301C7" w:rsidRPr="00566569" w:rsidRDefault="00E07927" w:rsidP="00CF30A3">
            <w:pPr>
              <w:pStyle w:val="TableText"/>
              <w:ind w:left="709" w:right="142" w:hanging="709"/>
            </w:pPr>
            <w:r>
              <w:lastRenderedPageBreak/>
              <w:t>R7.08</w:t>
            </w:r>
            <w:r w:rsidR="00CF30A3">
              <w:tab/>
            </w:r>
            <w:r w:rsidR="00F301C7" w:rsidRPr="00566569">
              <w:t>Achieving equitable participation for all population groups</w:t>
            </w:r>
          </w:p>
        </w:tc>
        <w:tc>
          <w:tcPr>
            <w:tcW w:w="6946" w:type="dxa"/>
            <w:shd w:val="clear" w:color="auto" w:fill="F2F2F2" w:themeFill="background1" w:themeFillShade="F2"/>
          </w:tcPr>
          <w:p w14:paraId="69F7CC18" w14:textId="77777777" w:rsidR="00F301C7" w:rsidRPr="00C57D06" w:rsidRDefault="00F301C7" w:rsidP="00C57D06">
            <w:pPr>
              <w:pStyle w:val="TableText"/>
            </w:pPr>
            <w:r w:rsidRPr="00CF30A3">
              <w:rPr>
                <w:b/>
                <w:i/>
              </w:rPr>
              <w:t xml:space="preserve">Practice </w:t>
            </w:r>
            <w:r w:rsidR="00CF30A3" w:rsidRPr="00CF30A3">
              <w:rPr>
                <w:b/>
                <w:i/>
              </w:rPr>
              <w:t>p</w:t>
            </w:r>
            <w:r w:rsidRPr="00CF30A3">
              <w:rPr>
                <w:b/>
                <w:i/>
              </w:rPr>
              <w:t>oints</w:t>
            </w:r>
            <w:r w:rsidRPr="00C57D06">
              <w:t xml:space="preserve"> (NBSP)</w:t>
            </w:r>
          </w:p>
          <w:p w14:paraId="625DA7A8" w14:textId="77777777" w:rsidR="00F301C7" w:rsidRPr="00C57D06" w:rsidRDefault="00F301C7" w:rsidP="00C57D06">
            <w:pPr>
              <w:pStyle w:val="TableText"/>
            </w:pPr>
            <w:r w:rsidRPr="00C57D06">
              <w:t>Promotes a high level of equitable participation for all population groups with a focus on the NBSP priority groups:</w:t>
            </w:r>
          </w:p>
          <w:p w14:paraId="3DF5CA4C" w14:textId="77777777" w:rsidR="00F301C7" w:rsidRPr="00C57D06" w:rsidRDefault="00F301C7" w:rsidP="00CF30A3">
            <w:pPr>
              <w:pStyle w:val="TableBullet"/>
            </w:pPr>
            <w:r w:rsidRPr="00C57D06">
              <w:t>Māori</w:t>
            </w:r>
          </w:p>
          <w:p w14:paraId="195E9F87" w14:textId="77777777" w:rsidR="00F301C7" w:rsidRPr="00C57D06" w:rsidRDefault="00F301C7" w:rsidP="00CF30A3">
            <w:pPr>
              <w:pStyle w:val="TableBullet"/>
            </w:pPr>
            <w:r w:rsidRPr="00C57D06">
              <w:t>Pacific people</w:t>
            </w:r>
          </w:p>
          <w:p w14:paraId="5E1AB051" w14:textId="77777777" w:rsidR="00F301C7" w:rsidRPr="00C57D06" w:rsidRDefault="00F301C7" w:rsidP="00CF30A3">
            <w:pPr>
              <w:pStyle w:val="TableBullet"/>
            </w:pPr>
            <w:proofErr w:type="gramStart"/>
            <w:r w:rsidRPr="00C57D06">
              <w:t>those</w:t>
            </w:r>
            <w:proofErr w:type="gramEnd"/>
            <w:r w:rsidRPr="00C57D06">
              <w:t xml:space="preserve"> living in deprived areas (NZ Deprivation Index deciles 9 and 10).</w:t>
            </w:r>
          </w:p>
          <w:p w14:paraId="40EB0F0F" w14:textId="77777777" w:rsidR="00F301C7" w:rsidRPr="00C57D06" w:rsidRDefault="00F301C7" w:rsidP="00C57D06">
            <w:pPr>
              <w:pStyle w:val="TableText"/>
            </w:pPr>
            <w:r w:rsidRPr="00C57D06">
              <w:t>Uses quality improvement processes to focus on equity for maximising participation and considered equity impacts for any changes to processes.</w:t>
            </w:r>
          </w:p>
          <w:p w14:paraId="14AD810D" w14:textId="77777777" w:rsidR="003B6490" w:rsidRPr="00C57D06" w:rsidRDefault="00F301C7" w:rsidP="00C57D06">
            <w:pPr>
              <w:pStyle w:val="TableText"/>
            </w:pPr>
            <w:r w:rsidRPr="00C57D06">
              <w:t>Works collaboratively with the NBSP NCC to actively follow-up of priority participants who:</w:t>
            </w:r>
          </w:p>
          <w:p w14:paraId="5F3C97F4" w14:textId="77777777" w:rsidR="00F301C7" w:rsidRPr="00C57D06" w:rsidRDefault="00F301C7" w:rsidP="00CF30A3">
            <w:pPr>
              <w:pStyle w:val="TableBullet"/>
            </w:pPr>
            <w:r w:rsidRPr="00C57D06">
              <w:t>have not returned their FIT test kit in four weeks</w:t>
            </w:r>
          </w:p>
          <w:p w14:paraId="329E4961" w14:textId="77777777" w:rsidR="003B6490" w:rsidRPr="00C57D06" w:rsidRDefault="00F301C7" w:rsidP="00CF30A3">
            <w:pPr>
              <w:pStyle w:val="TableBullet"/>
            </w:pPr>
            <w:r w:rsidRPr="00C57D06">
              <w:t>have returned a spoilt kit or</w:t>
            </w:r>
          </w:p>
          <w:p w14:paraId="7D71CAA1" w14:textId="77777777" w:rsidR="00F301C7" w:rsidRPr="00C57D06" w:rsidRDefault="00F301C7" w:rsidP="00CF30A3">
            <w:pPr>
              <w:pStyle w:val="TableBullet"/>
            </w:pPr>
            <w:proofErr w:type="gramStart"/>
            <w:r w:rsidRPr="00C57D06">
              <w:t>have</w:t>
            </w:r>
            <w:proofErr w:type="gramEnd"/>
            <w:r w:rsidRPr="00C57D06">
              <w:t xml:space="preserve"> returned three consecutive spoilt tests.</w:t>
            </w:r>
          </w:p>
        </w:tc>
      </w:tr>
    </w:tbl>
    <w:p w14:paraId="2D6DF99F" w14:textId="77777777" w:rsidR="00F301C7" w:rsidRDefault="00F301C7" w:rsidP="009F787F"/>
    <w:p w14:paraId="6F0E242C" w14:textId="77777777" w:rsidR="00F301C7" w:rsidRPr="003D4AED" w:rsidRDefault="00F301C7" w:rsidP="009F787F">
      <w:pPr>
        <w:pStyle w:val="Heading2"/>
        <w:rPr>
          <w:color w:val="000000"/>
        </w:rPr>
      </w:pPr>
      <w:bookmarkStart w:id="26" w:name="_Toc530661013"/>
      <w:r>
        <w:t>G8</w:t>
      </w:r>
      <w:r w:rsidR="009F787F">
        <w:tab/>
      </w:r>
      <w:r>
        <w:t>Bowel screening colonoscopy</w:t>
      </w:r>
      <w:bookmarkEnd w:id="26"/>
    </w:p>
    <w:p w14:paraId="0C8E9CE8" w14:textId="77777777" w:rsidR="00F301C7" w:rsidRDefault="00F301C7" w:rsidP="009F787F">
      <w:pPr>
        <w:pStyle w:val="Heading3"/>
      </w:pPr>
      <w:r w:rsidRPr="004C68A1">
        <w:t>Recommendations: Information to participants</w:t>
      </w:r>
      <w:r>
        <w:t xml:space="preserve"> – assessment, risks and consent prior to colonoscopy following a positive FIT</w:t>
      </w:r>
    </w:p>
    <w:tbl>
      <w:tblPr>
        <w:tblW w:w="0" w:type="auto"/>
        <w:tblInd w:w="57" w:type="dxa"/>
        <w:tblBorders>
          <w:top w:val="single" w:sz="4" w:space="0" w:color="auto"/>
          <w:bottom w:val="single" w:sz="4" w:space="0" w:color="auto"/>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2410"/>
        <w:gridCol w:w="6946"/>
      </w:tblGrid>
      <w:tr w:rsidR="00F301C7" w:rsidRPr="00BD48DA" w14:paraId="1D0BBE7F" w14:textId="77777777" w:rsidTr="00564D98">
        <w:trPr>
          <w:cantSplit/>
        </w:trPr>
        <w:tc>
          <w:tcPr>
            <w:tcW w:w="2410" w:type="dxa"/>
            <w:shd w:val="clear" w:color="auto" w:fill="F2F2F2" w:themeFill="background1" w:themeFillShade="F2"/>
          </w:tcPr>
          <w:p w14:paraId="56261991" w14:textId="77777777" w:rsidR="00F301C7" w:rsidRPr="00BD48DA" w:rsidRDefault="00F301C7" w:rsidP="00AB7600">
            <w:pPr>
              <w:pStyle w:val="TableText"/>
              <w:ind w:left="709" w:right="142" w:hanging="709"/>
            </w:pPr>
            <w:r>
              <w:t>R8.01</w:t>
            </w:r>
            <w:r w:rsidR="00AB7600">
              <w:tab/>
            </w:r>
            <w:r w:rsidRPr="00BD48DA">
              <w:t>Information on</w:t>
            </w:r>
            <w:r w:rsidR="00271641">
              <w:t xml:space="preserve"> </w:t>
            </w:r>
            <w:r w:rsidRPr="00BD48DA">
              <w:t>colonoscopy</w:t>
            </w:r>
          </w:p>
        </w:tc>
        <w:tc>
          <w:tcPr>
            <w:tcW w:w="6946" w:type="dxa"/>
            <w:shd w:val="clear" w:color="auto" w:fill="F2F2F2" w:themeFill="background1" w:themeFillShade="F2"/>
          </w:tcPr>
          <w:p w14:paraId="0EAFACBD" w14:textId="77777777" w:rsidR="00F301C7" w:rsidRPr="00AB7600" w:rsidRDefault="00F301C7" w:rsidP="00C57D06">
            <w:pPr>
              <w:pStyle w:val="TableText"/>
            </w:pPr>
            <w:r w:rsidRPr="00C57D06">
              <w:rPr>
                <w:b/>
                <w:i/>
              </w:rPr>
              <w:t xml:space="preserve">Practice point </w:t>
            </w:r>
            <w:r w:rsidRPr="00C57D06">
              <w:t xml:space="preserve">(NZGG 2011; NICE 2011 rev 2017; </w:t>
            </w:r>
            <w:proofErr w:type="spellStart"/>
            <w:r w:rsidRPr="00C57D06">
              <w:t>EGGNZa</w:t>
            </w:r>
            <w:proofErr w:type="spellEnd"/>
            <w:r w:rsidRPr="00C57D06">
              <w:t>, NBSP CTC)</w:t>
            </w:r>
          </w:p>
          <w:p w14:paraId="04829911" w14:textId="77777777" w:rsidR="00F301C7" w:rsidRPr="00C57D06" w:rsidRDefault="00F301C7" w:rsidP="00C57D06">
            <w:pPr>
              <w:pStyle w:val="TableText"/>
              <w:rPr>
                <w:u w:val="single"/>
              </w:rPr>
            </w:pPr>
            <w:r w:rsidRPr="00C57D06">
              <w:t>NBSP and DHB resources are available to assist in providing information and explaining all aspects of the colonoscopy procedure</w:t>
            </w:r>
            <w:r w:rsidR="003B6490" w:rsidRPr="00C57D06">
              <w:t xml:space="preserve"> </w:t>
            </w:r>
            <w:r w:rsidRPr="00C57D06">
              <w:t>including:</w:t>
            </w:r>
          </w:p>
          <w:p w14:paraId="2136E2D1" w14:textId="77777777" w:rsidR="003B6490" w:rsidRPr="00C57D06" w:rsidRDefault="00AB7600" w:rsidP="00AB7600">
            <w:pPr>
              <w:pStyle w:val="TableBullet"/>
            </w:pPr>
            <w:r>
              <w:t>t</w:t>
            </w:r>
            <w:r w:rsidR="00F301C7" w:rsidRPr="00C57D06">
              <w:t>he likelihood of being identified to have bowel cancer or bowel polyps following a positive FIT test</w:t>
            </w:r>
            <w:r w:rsidR="003B6490" w:rsidRPr="00C57D06">
              <w:t xml:space="preserve"> </w:t>
            </w:r>
            <w:r w:rsidR="00F301C7" w:rsidRPr="00C57D06">
              <w:t xml:space="preserve">(information is available in the </w:t>
            </w:r>
            <w:r w:rsidR="00F301C7" w:rsidRPr="00C57D06">
              <w:rPr>
                <w:i/>
              </w:rPr>
              <w:t>All About Bowel Screening</w:t>
            </w:r>
            <w:r w:rsidR="00F301C7" w:rsidRPr="00C57D06">
              <w:t xml:space="preserve"> booklet)</w:t>
            </w:r>
            <w:r w:rsidR="00F301C7" w:rsidRPr="00AB7600">
              <w:rPr>
                <w:rStyle w:val="FootnoteReference"/>
              </w:rPr>
              <w:footnoteReference w:id="36"/>
            </w:r>
          </w:p>
          <w:p w14:paraId="51A823E5" w14:textId="77777777" w:rsidR="003B6490" w:rsidRPr="00C57D06" w:rsidRDefault="00AB7600" w:rsidP="00AB7600">
            <w:pPr>
              <w:pStyle w:val="TableBullet"/>
            </w:pPr>
            <w:r>
              <w:t>t</w:t>
            </w:r>
            <w:r w:rsidR="00F301C7" w:rsidRPr="00C57D06">
              <w:t xml:space="preserve">hat approximately a third of participants proceeding to colonoscopy following a positive FIT, based on the </w:t>
            </w:r>
            <w:r>
              <w:t>p</w:t>
            </w:r>
            <w:r w:rsidR="00F301C7" w:rsidRPr="00C57D06">
              <w:t>ilot data, will be identified to have advanced adenomas and be recommended to undergo regular colonoscopy surveillance</w:t>
            </w:r>
          </w:p>
          <w:p w14:paraId="3A75FC55" w14:textId="77777777" w:rsidR="003B6490" w:rsidRPr="00C57D06" w:rsidRDefault="00AB7600" w:rsidP="00AB7600">
            <w:pPr>
              <w:pStyle w:val="TableBullet"/>
              <w:rPr>
                <w:rFonts w:cs="Arial"/>
              </w:rPr>
            </w:pPr>
            <w:r>
              <w:rPr>
                <w:rFonts w:cs="Arial"/>
              </w:rPr>
              <w:t>t</w:t>
            </w:r>
            <w:r w:rsidR="00F301C7" w:rsidRPr="00C57D06">
              <w:rPr>
                <w:rFonts w:cs="Arial"/>
              </w:rPr>
              <w:t>he potential benefits, limitations and risks of such surveillance should be explained (NICE) as should the fact that surveillance is regarded as treatment and as such the participant exits the screening programme</w:t>
            </w:r>
          </w:p>
          <w:p w14:paraId="5B5E112F" w14:textId="77777777" w:rsidR="00F301C7" w:rsidRPr="00C57D06" w:rsidRDefault="00F301C7" w:rsidP="00AB7600">
            <w:pPr>
              <w:pStyle w:val="TableBullet"/>
            </w:pPr>
            <w:r w:rsidRPr="00C57D06">
              <w:t>what bowel preparation involves and the possible side effects</w:t>
            </w:r>
            <w:r w:rsidRPr="00AB7600">
              <w:rPr>
                <w:rStyle w:val="TableTextChar"/>
              </w:rPr>
              <w:t xml:space="preserve"> </w:t>
            </w:r>
            <w:r w:rsidRPr="00C57D06">
              <w:t>(NZGG 2011)</w:t>
            </w:r>
          </w:p>
          <w:p w14:paraId="42C61CC7" w14:textId="77777777" w:rsidR="00F301C7" w:rsidRPr="00C57D06" w:rsidRDefault="00AB7600" w:rsidP="00AB7600">
            <w:pPr>
              <w:pStyle w:val="TableBullet"/>
            </w:pPr>
            <w:proofErr w:type="gramStart"/>
            <w:r>
              <w:t>t</w:t>
            </w:r>
            <w:r w:rsidR="00F301C7" w:rsidRPr="00C57D06">
              <w:t>he</w:t>
            </w:r>
            <w:proofErr w:type="gramEnd"/>
            <w:r w:rsidR="00F301C7" w:rsidRPr="00C57D06">
              <w:t xml:space="preserve"> need for bowel preparation to be chosen with attention to participant age and comorbidities including renal impairment. Bowel preparation regimes associated with severe fluid or electrolyte shifts should be avoided in high-risk groups</w:t>
            </w:r>
          </w:p>
          <w:p w14:paraId="454ADCED" w14:textId="77777777" w:rsidR="00F301C7" w:rsidRPr="00C57D06" w:rsidRDefault="00AB7600" w:rsidP="00AB7600">
            <w:pPr>
              <w:pStyle w:val="TableBullet"/>
            </w:pPr>
            <w:r>
              <w:t>t</w:t>
            </w:r>
            <w:r w:rsidR="00F301C7" w:rsidRPr="00C57D06">
              <w:t>he recognised risks associated with colonoscopy which, although generally safe and the gold standard bowel investigation, is an invasive procedure</w:t>
            </w:r>
            <w:r w:rsidR="00F301C7" w:rsidRPr="00AB7600">
              <w:rPr>
                <w:rStyle w:val="FootnoteReference"/>
              </w:rPr>
              <w:footnoteReference w:id="37"/>
            </w:r>
            <w:r w:rsidR="00F301C7" w:rsidRPr="00C57D06">
              <w:t xml:space="preserve"> (NZGG, EGGNZ 2017)</w:t>
            </w:r>
          </w:p>
          <w:p w14:paraId="640A59BF" w14:textId="77777777" w:rsidR="003B6490" w:rsidRPr="00C57D06" w:rsidRDefault="00AB7600" w:rsidP="00AB7600">
            <w:pPr>
              <w:pStyle w:val="TableBullet"/>
            </w:pPr>
            <w:r>
              <w:t>p</w:t>
            </w:r>
            <w:r w:rsidR="00F301C7" w:rsidRPr="00C57D06">
              <w:t>olypectomy and interventions are associated with an increased risk of adverse events</w:t>
            </w:r>
          </w:p>
          <w:p w14:paraId="7C21D291" w14:textId="5FB485D0" w:rsidR="00F301C7" w:rsidRPr="00C57D06" w:rsidRDefault="00AB7600" w:rsidP="00AB7600">
            <w:pPr>
              <w:pStyle w:val="TableBullet"/>
            </w:pPr>
            <w:r>
              <w:t>p</w:t>
            </w:r>
            <w:r w:rsidR="00F301C7" w:rsidRPr="00C57D06">
              <w:t>articipants with diabetes or on anticoagulants require additional advice regarding preparation for colonoscopy</w:t>
            </w:r>
            <w:r w:rsidR="00672487">
              <w:rPr>
                <w:rStyle w:val="FootnoteReference"/>
              </w:rPr>
              <w:footnoteReference w:id="38"/>
            </w:r>
          </w:p>
          <w:p w14:paraId="3898113E" w14:textId="189643B4" w:rsidR="00F301C7" w:rsidRPr="00C57D06" w:rsidRDefault="00AB7600" w:rsidP="00AB7600">
            <w:pPr>
              <w:pStyle w:val="TableBullet"/>
              <w:rPr>
                <w:rFonts w:cs="Tms Rmn"/>
              </w:rPr>
            </w:pPr>
            <w:proofErr w:type="gramStart"/>
            <w:r>
              <w:rPr>
                <w:rFonts w:cs="Tms Rmn"/>
              </w:rPr>
              <w:t>a</w:t>
            </w:r>
            <w:r w:rsidR="00F301C7" w:rsidRPr="00C57D06">
              <w:rPr>
                <w:rFonts w:cs="Tms Rmn"/>
              </w:rPr>
              <w:t>dvising</w:t>
            </w:r>
            <w:proofErr w:type="gramEnd"/>
            <w:r w:rsidR="00F301C7" w:rsidRPr="00C57D06">
              <w:rPr>
                <w:rFonts w:cs="Tms Rmn"/>
              </w:rPr>
              <w:t xml:space="preserve"> that in relationship to making a decision re anticoagulant therapy, screening colonoscopy following a FIT is regarded as high risk because of the high PPV for polyps</w:t>
            </w:r>
            <w:r>
              <w:rPr>
                <w:rFonts w:cs="Tms Rmn"/>
              </w:rPr>
              <w:t>,</w:t>
            </w:r>
            <w:r w:rsidR="00F301C7" w:rsidRPr="00C57D06">
              <w:rPr>
                <w:rFonts w:cs="Tms Rmn"/>
              </w:rPr>
              <w:t xml:space="preserve"> </w:t>
            </w:r>
            <w:r w:rsidR="003B1019" w:rsidRPr="00C57D06">
              <w:rPr>
                <w:rFonts w:cs="Tms Rmn"/>
              </w:rPr>
              <w:t>etc.</w:t>
            </w:r>
          </w:p>
          <w:p w14:paraId="3CDA4812" w14:textId="77777777" w:rsidR="00F301C7" w:rsidRPr="00C57D06" w:rsidRDefault="00AB7600" w:rsidP="00AB7600">
            <w:pPr>
              <w:pStyle w:val="TableBullet"/>
            </w:pPr>
            <w:proofErr w:type="gramStart"/>
            <w:r>
              <w:t>a</w:t>
            </w:r>
            <w:r w:rsidR="00F301C7" w:rsidRPr="00C57D06">
              <w:t>dvising</w:t>
            </w:r>
            <w:proofErr w:type="gramEnd"/>
            <w:r w:rsidR="00F301C7" w:rsidRPr="00C57D06">
              <w:t xml:space="preserve"> risks in relation to colonic perforation and other complications with CTC</w:t>
            </w:r>
            <w:r>
              <w:t>.</w:t>
            </w:r>
          </w:p>
        </w:tc>
      </w:tr>
    </w:tbl>
    <w:p w14:paraId="6697CD73" w14:textId="77777777" w:rsidR="009F787F" w:rsidRDefault="009F787F" w:rsidP="00AB7600"/>
    <w:p w14:paraId="68B1A145" w14:textId="77777777" w:rsidR="00F301C7" w:rsidRDefault="00F301C7" w:rsidP="009F787F">
      <w:pPr>
        <w:pStyle w:val="Heading3"/>
      </w:pPr>
      <w:r w:rsidRPr="00113B35">
        <w:lastRenderedPageBreak/>
        <w:t>Recommendations</w:t>
      </w:r>
      <w:r>
        <w:t>: referral assessment – colo</w:t>
      </w:r>
      <w:r w:rsidR="00AB7600">
        <w:t xml:space="preserve">noscopy and indications for CT </w:t>
      </w:r>
      <w:proofErr w:type="spellStart"/>
      <w:r w:rsidR="00AB7600">
        <w:t>c</w:t>
      </w:r>
      <w:r>
        <w:t>olonography</w:t>
      </w:r>
      <w:proofErr w:type="spellEnd"/>
      <w:r>
        <w:t xml:space="preserve"> (CTC)</w:t>
      </w:r>
    </w:p>
    <w:tbl>
      <w:tblPr>
        <w:tblW w:w="9413" w:type="dxa"/>
        <w:tblInd w:w="57" w:type="dxa"/>
        <w:tblBorders>
          <w:top w:val="single" w:sz="4" w:space="0" w:color="auto"/>
          <w:bottom w:val="single" w:sz="4" w:space="0" w:color="auto"/>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2410"/>
        <w:gridCol w:w="7003"/>
      </w:tblGrid>
      <w:tr w:rsidR="00F301C7" w:rsidRPr="00BD48DA" w14:paraId="5C227B58" w14:textId="77777777" w:rsidTr="00AB7600">
        <w:trPr>
          <w:cantSplit/>
        </w:trPr>
        <w:tc>
          <w:tcPr>
            <w:tcW w:w="2410" w:type="dxa"/>
            <w:shd w:val="clear" w:color="auto" w:fill="F2F2F2" w:themeFill="background1" w:themeFillShade="F2"/>
          </w:tcPr>
          <w:p w14:paraId="0184D4DF" w14:textId="77777777" w:rsidR="00F301C7" w:rsidRPr="00BD48DA" w:rsidRDefault="00F301C7" w:rsidP="00AB7600">
            <w:pPr>
              <w:pStyle w:val="TableText"/>
              <w:ind w:left="709" w:right="142" w:hanging="709"/>
            </w:pPr>
            <w:r>
              <w:t>R8.02</w:t>
            </w:r>
            <w:r w:rsidR="00AB7600">
              <w:tab/>
            </w:r>
            <w:r>
              <w:t>Pre-assessment for</w:t>
            </w:r>
            <w:r w:rsidR="00271641">
              <w:t xml:space="preserve"> </w:t>
            </w:r>
            <w:r>
              <w:t>colonoscopy referral</w:t>
            </w:r>
          </w:p>
        </w:tc>
        <w:tc>
          <w:tcPr>
            <w:tcW w:w="7003" w:type="dxa"/>
            <w:shd w:val="clear" w:color="auto" w:fill="F2F2F2" w:themeFill="background1" w:themeFillShade="F2"/>
          </w:tcPr>
          <w:p w14:paraId="5FE72BB4" w14:textId="77777777" w:rsidR="00F301C7" w:rsidRPr="00AB7600" w:rsidRDefault="00F301C7" w:rsidP="00E853DD">
            <w:pPr>
              <w:pStyle w:val="TableText"/>
            </w:pPr>
            <w:r w:rsidRPr="00E853DD">
              <w:rPr>
                <w:b/>
                <w:i/>
              </w:rPr>
              <w:t xml:space="preserve">Practice point </w:t>
            </w:r>
            <w:r w:rsidRPr="00E853DD">
              <w:t>(NBSP, NZGG 2011)</w:t>
            </w:r>
          </w:p>
          <w:p w14:paraId="4284772D" w14:textId="77777777" w:rsidR="00F301C7" w:rsidRPr="00E853DD" w:rsidRDefault="00F301C7" w:rsidP="00E853DD">
            <w:pPr>
              <w:pStyle w:val="TableText"/>
              <w:rPr>
                <w:iCs/>
              </w:rPr>
            </w:pPr>
            <w:r w:rsidRPr="00E853DD">
              <w:t>Participants:</w:t>
            </w:r>
          </w:p>
          <w:p w14:paraId="6EDCD608" w14:textId="77777777" w:rsidR="00F301C7" w:rsidRPr="00E853DD" w:rsidRDefault="00F301C7" w:rsidP="00AB7600">
            <w:pPr>
              <w:pStyle w:val="TableBullet"/>
            </w:pPr>
            <w:r w:rsidRPr="00E853DD">
              <w:t>with a positive faecal immunochemical test for haemoglobin (FIT) result be offered pre-assessment for colonoscopy by an experienced endoscopy nurse</w:t>
            </w:r>
          </w:p>
          <w:p w14:paraId="290BE532" w14:textId="77777777" w:rsidR="003B6490" w:rsidRPr="00E853DD" w:rsidRDefault="00F301C7" w:rsidP="00AB7600">
            <w:pPr>
              <w:pStyle w:val="TableBullet"/>
            </w:pPr>
            <w:r w:rsidRPr="00E853DD">
              <w:t>be fully informed</w:t>
            </w:r>
            <w:r w:rsidR="003B6490" w:rsidRPr="00E853DD">
              <w:t xml:space="preserve"> </w:t>
            </w:r>
            <w:r w:rsidRPr="00E853DD">
              <w:t>(refer to consent R8.06)</w:t>
            </w:r>
          </w:p>
          <w:p w14:paraId="48648568" w14:textId="77777777" w:rsidR="003B6490" w:rsidRPr="00E853DD" w:rsidRDefault="00F301C7" w:rsidP="00AB7600">
            <w:pPr>
              <w:pStyle w:val="TableBullet"/>
            </w:pPr>
            <w:r w:rsidRPr="00E853DD">
              <w:t>with a positive screening test be provided with every opportunity to undergo colonoscopy or other diagnostic investigation within 45 days of positive FIT</w:t>
            </w:r>
          </w:p>
          <w:p w14:paraId="535EC33E" w14:textId="77777777" w:rsidR="00F301C7" w:rsidRPr="00E853DD" w:rsidRDefault="00AB7600" w:rsidP="00AB7600">
            <w:pPr>
              <w:pStyle w:val="TableBullet"/>
            </w:pPr>
            <w:proofErr w:type="gramStart"/>
            <w:r>
              <w:t>i</w:t>
            </w:r>
            <w:r w:rsidR="00F301C7" w:rsidRPr="00E853DD">
              <w:t>f</w:t>
            </w:r>
            <w:proofErr w:type="gramEnd"/>
            <w:r w:rsidR="00F301C7" w:rsidRPr="00E853DD">
              <w:t xml:space="preserve"> the participant changes DHB, the clinical lead for the current DHB sends a formal colonoscopy referral to the clinical lead of the participants new DHB with information regarding referral and colonoscopy requirements. The NCC is also notified of the DHB change</w:t>
            </w:r>
          </w:p>
          <w:p w14:paraId="757500E7" w14:textId="158507CF" w:rsidR="00F301C7" w:rsidRPr="00E853DD" w:rsidRDefault="00AB7600" w:rsidP="00AB7600">
            <w:pPr>
              <w:pStyle w:val="TableBullet"/>
            </w:pPr>
            <w:proofErr w:type="gramStart"/>
            <w:r>
              <w:rPr>
                <w:rFonts w:cs="Helv"/>
              </w:rPr>
              <w:t>i</w:t>
            </w:r>
            <w:r w:rsidR="00F301C7" w:rsidRPr="00E853DD">
              <w:rPr>
                <w:rFonts w:cs="Helv"/>
              </w:rPr>
              <w:t>f</w:t>
            </w:r>
            <w:proofErr w:type="gramEnd"/>
            <w:r w:rsidR="00F301C7" w:rsidRPr="00E853DD">
              <w:rPr>
                <w:rFonts w:cs="Helv"/>
              </w:rPr>
              <w:t xml:space="preserve"> the participant changes to a DHB that is not yet active under the NBSP, they are either offered colonoscopy at the screening DHB for the participant at the time of the positive FIT, or the clinical lead of the screening DHB arranges a formal colonoscopy referral to the DHB for the participant</w:t>
            </w:r>
            <w:r w:rsidR="003B6490" w:rsidRPr="00E853DD">
              <w:rPr>
                <w:rFonts w:cs="Helv"/>
              </w:rPr>
              <w:t>’</w:t>
            </w:r>
            <w:r w:rsidR="00F301C7" w:rsidRPr="00E853DD">
              <w:rPr>
                <w:rFonts w:cs="Helv"/>
              </w:rPr>
              <w:t xml:space="preserve">s new residence with the requirements for colonoscopy. The screening DHB will also request a copy of subsequent colonoscopy and histology reports and treatment data </w:t>
            </w:r>
            <w:r w:rsidR="003B1019" w:rsidRPr="00E853DD">
              <w:rPr>
                <w:rFonts w:cs="Helv"/>
              </w:rPr>
              <w:t>etc.</w:t>
            </w:r>
            <w:r w:rsidR="00F301C7" w:rsidRPr="00E853DD">
              <w:rPr>
                <w:rFonts w:cs="Helv"/>
              </w:rPr>
              <w:t xml:space="preserve"> if a cancer was confirmed</w:t>
            </w:r>
            <w:r>
              <w:rPr>
                <w:rFonts w:cs="Helv"/>
              </w:rPr>
              <w:t>.</w:t>
            </w:r>
          </w:p>
          <w:p w14:paraId="24B0A6E4" w14:textId="77777777" w:rsidR="00F301C7" w:rsidRPr="00E853DD" w:rsidRDefault="00F301C7" w:rsidP="00E853DD">
            <w:pPr>
              <w:pStyle w:val="TableText"/>
            </w:pPr>
            <w:r w:rsidRPr="00E853DD">
              <w:t>Pre</w:t>
            </w:r>
            <w:r w:rsidR="00AB7600">
              <w:t>-</w:t>
            </w:r>
            <w:r w:rsidRPr="00E853DD">
              <w:t>assessment includes:</w:t>
            </w:r>
          </w:p>
          <w:p w14:paraId="27FF2DCE" w14:textId="77777777" w:rsidR="00F301C7" w:rsidRPr="00E853DD" w:rsidRDefault="00AB7600" w:rsidP="00AB7600">
            <w:pPr>
              <w:pStyle w:val="TableBullet"/>
            </w:pPr>
            <w:r>
              <w:t>d</w:t>
            </w:r>
            <w:r w:rsidR="00F301C7" w:rsidRPr="00E853DD">
              <w:t>etermining co-morbidities</w:t>
            </w:r>
          </w:p>
          <w:p w14:paraId="038CFB6D" w14:textId="77777777" w:rsidR="003B6490" w:rsidRPr="00E853DD" w:rsidRDefault="00AB7600" w:rsidP="00AB7600">
            <w:pPr>
              <w:pStyle w:val="TableBullet"/>
            </w:pPr>
            <w:r>
              <w:t>d</w:t>
            </w:r>
            <w:r w:rsidR="00F301C7" w:rsidRPr="00E853DD">
              <w:t>etermining medications</w:t>
            </w:r>
          </w:p>
          <w:p w14:paraId="529631EE" w14:textId="77777777" w:rsidR="00F301C7" w:rsidRPr="00E853DD" w:rsidRDefault="00AB7600" w:rsidP="00AB7600">
            <w:pPr>
              <w:pStyle w:val="TableBullet"/>
            </w:pPr>
            <w:r>
              <w:t>d</w:t>
            </w:r>
            <w:r w:rsidR="00F301C7" w:rsidRPr="00E853DD">
              <w:t>etermining appropriate bowel preparation</w:t>
            </w:r>
          </w:p>
          <w:p w14:paraId="67064D2D" w14:textId="4BDF6F81" w:rsidR="003B6490" w:rsidRPr="00E853DD" w:rsidRDefault="00AB7600" w:rsidP="00AB7600">
            <w:pPr>
              <w:pStyle w:val="TableBullet"/>
            </w:pPr>
            <w:r>
              <w:t>t</w:t>
            </w:r>
            <w:r w:rsidR="00F301C7" w:rsidRPr="00E853DD">
              <w:t>here should be specific protocols for participants with diabetes or on anticoagulants</w:t>
            </w:r>
            <w:r w:rsidR="009521D9">
              <w:rPr>
                <w:rStyle w:val="FootnoteReference"/>
              </w:rPr>
              <w:footnoteReference w:id="39"/>
            </w:r>
          </w:p>
          <w:p w14:paraId="77CBAFC1" w14:textId="77777777" w:rsidR="00F301C7" w:rsidRPr="00E853DD" w:rsidRDefault="00AB7600" w:rsidP="00AB7600">
            <w:pPr>
              <w:pStyle w:val="TableBullet"/>
            </w:pPr>
            <w:proofErr w:type="gramStart"/>
            <w:r>
              <w:rPr>
                <w:rFonts w:eastAsia="Arial Unicode MS"/>
              </w:rPr>
              <w:t>d</w:t>
            </w:r>
            <w:r w:rsidR="00F301C7" w:rsidRPr="00E853DD">
              <w:rPr>
                <w:rFonts w:eastAsia="Arial Unicode MS"/>
              </w:rPr>
              <w:t>ocumenting</w:t>
            </w:r>
            <w:proofErr w:type="gramEnd"/>
            <w:r w:rsidR="00F301C7" w:rsidRPr="00E853DD">
              <w:rPr>
                <w:rFonts w:eastAsia="Arial Unicode MS"/>
              </w:rPr>
              <w:t xml:space="preserve"> a participants family history of bowel cancer (including if not known) based on the participants completed family history questionnaire. Note: </w:t>
            </w:r>
            <w:r w:rsidR="00F301C7" w:rsidRPr="00E853DD">
              <w:t xml:space="preserve">The questionnaire is designed to facilitate on-referral (with participant consent) by the </w:t>
            </w:r>
            <w:proofErr w:type="spellStart"/>
            <w:r w:rsidR="00F301C7" w:rsidRPr="00E853DD">
              <w:t>colonoscopist</w:t>
            </w:r>
            <w:proofErr w:type="spellEnd"/>
            <w:r w:rsidR="00F301C7" w:rsidRPr="00E853DD">
              <w:t>, to the New Zealand Familial Gastrointestinal (GI) Cancer Service if considered at potentially high risk or to refer for surveillance colonoscopy if moderate risk criteria are met.</w:t>
            </w:r>
          </w:p>
        </w:tc>
      </w:tr>
      <w:tr w:rsidR="00F301C7" w:rsidRPr="00BD48DA" w14:paraId="793904C7" w14:textId="77777777" w:rsidTr="00AB7600">
        <w:trPr>
          <w:cantSplit/>
        </w:trPr>
        <w:tc>
          <w:tcPr>
            <w:tcW w:w="2410" w:type="dxa"/>
            <w:shd w:val="clear" w:color="auto" w:fill="F2F2F2" w:themeFill="background1" w:themeFillShade="F2"/>
          </w:tcPr>
          <w:p w14:paraId="31E2BF1A" w14:textId="77777777" w:rsidR="00F301C7" w:rsidRPr="00BD48DA" w:rsidRDefault="00F301C7" w:rsidP="00AB7600">
            <w:pPr>
              <w:pStyle w:val="TableText"/>
              <w:ind w:left="709" w:right="142" w:hanging="709"/>
            </w:pPr>
            <w:r>
              <w:t>R8.03</w:t>
            </w:r>
            <w:r w:rsidR="00AB7600">
              <w:tab/>
            </w:r>
            <w:r>
              <w:t>Referral for CTC</w:t>
            </w:r>
          </w:p>
        </w:tc>
        <w:tc>
          <w:tcPr>
            <w:tcW w:w="7003" w:type="dxa"/>
            <w:shd w:val="clear" w:color="auto" w:fill="F2F2F2" w:themeFill="background1" w:themeFillShade="F2"/>
          </w:tcPr>
          <w:p w14:paraId="62CA2402" w14:textId="77777777" w:rsidR="00F301C7" w:rsidRPr="00AB7600" w:rsidRDefault="00F301C7" w:rsidP="00E853DD">
            <w:pPr>
              <w:pStyle w:val="TableText"/>
            </w:pPr>
            <w:r w:rsidRPr="00E853DD">
              <w:rPr>
                <w:b/>
                <w:i/>
              </w:rPr>
              <w:t xml:space="preserve">Practice point </w:t>
            </w:r>
            <w:r w:rsidRPr="00E853DD">
              <w:t>(NBSP, NZGG 2011, RANZCR, NBSP CTC)</w:t>
            </w:r>
          </w:p>
          <w:p w14:paraId="7FD43937" w14:textId="77777777" w:rsidR="00F301C7" w:rsidRPr="00E853DD" w:rsidRDefault="00F301C7" w:rsidP="00E853DD">
            <w:pPr>
              <w:pStyle w:val="TableText"/>
            </w:pPr>
            <w:r w:rsidRPr="00E853DD">
              <w:t>Participants deemed unfit for colonoscopy, be offered the first available appointment for a CTC within 45 days of positive FIT.</w:t>
            </w:r>
          </w:p>
          <w:p w14:paraId="0BA3E0AE" w14:textId="77777777" w:rsidR="00F301C7" w:rsidRPr="00E853DD" w:rsidRDefault="00F301C7" w:rsidP="00E853DD">
            <w:pPr>
              <w:pStyle w:val="TableText"/>
            </w:pPr>
            <w:r w:rsidRPr="00E853DD">
              <w:t>If a participant is temporarily unfit the clinical lead will determine when the participant becomes fit on a case by case basis</w:t>
            </w:r>
            <w:r w:rsidR="00AB7600">
              <w:t>.</w:t>
            </w:r>
          </w:p>
          <w:p w14:paraId="28EF23B1" w14:textId="77777777" w:rsidR="00F301C7" w:rsidRPr="00E853DD" w:rsidRDefault="00F301C7" w:rsidP="00E853DD">
            <w:pPr>
              <w:pStyle w:val="TableText"/>
            </w:pPr>
            <w:r w:rsidRPr="00E853DD">
              <w:rPr>
                <w:rFonts w:cs="Arial"/>
              </w:rPr>
              <w:t xml:space="preserve">Providers of </w:t>
            </w:r>
            <w:smartTag w:uri="urn:schemas-microsoft-com:office:smarttags" w:element="stockticker">
              <w:r w:rsidRPr="00E853DD">
                <w:rPr>
                  <w:rFonts w:cs="Arial"/>
                </w:rPr>
                <w:t>CTC</w:t>
              </w:r>
            </w:smartTag>
            <w:r w:rsidRPr="00E853DD">
              <w:rPr>
                <w:rFonts w:cs="Arial"/>
              </w:rPr>
              <w:t xml:space="preserve"> comply with the </w:t>
            </w:r>
            <w:r w:rsidRPr="00E853DD">
              <w:rPr>
                <w:rFonts w:cs="Arial"/>
                <w:i/>
              </w:rPr>
              <w:t xml:space="preserve">CT </w:t>
            </w:r>
            <w:proofErr w:type="spellStart"/>
            <w:r w:rsidRPr="00E853DD">
              <w:rPr>
                <w:rFonts w:cs="Arial"/>
                <w:i/>
              </w:rPr>
              <w:t>Colonography</w:t>
            </w:r>
            <w:proofErr w:type="spellEnd"/>
            <w:r w:rsidRPr="00E853DD">
              <w:rPr>
                <w:rFonts w:cs="Arial"/>
                <w:i/>
              </w:rPr>
              <w:t xml:space="preserve"> Standards</w:t>
            </w:r>
            <w:r w:rsidRPr="00E853DD">
              <w:rPr>
                <w:rFonts w:cs="Arial"/>
              </w:rPr>
              <w:t xml:space="preserve"> as endorsed by Royal Australasian New Zealand College of Radiologists (RANZCR)</w:t>
            </w:r>
            <w:r w:rsidR="00AB7600">
              <w:rPr>
                <w:rFonts w:cs="Arial"/>
              </w:rPr>
              <w:t>.</w:t>
            </w:r>
            <w:r w:rsidRPr="00AB7600">
              <w:rPr>
                <w:rStyle w:val="FootnoteReference"/>
              </w:rPr>
              <w:footnoteReference w:id="40"/>
            </w:r>
          </w:p>
        </w:tc>
      </w:tr>
      <w:tr w:rsidR="00F301C7" w:rsidRPr="005E3C2C" w14:paraId="73A4D71C" w14:textId="77777777" w:rsidTr="00AB7600">
        <w:trPr>
          <w:cantSplit/>
        </w:trPr>
        <w:tc>
          <w:tcPr>
            <w:tcW w:w="2410" w:type="dxa"/>
            <w:shd w:val="clear" w:color="auto" w:fill="F2F2F2" w:themeFill="background1" w:themeFillShade="F2"/>
          </w:tcPr>
          <w:p w14:paraId="1B795170" w14:textId="77777777" w:rsidR="00F301C7" w:rsidRPr="005E3C2C" w:rsidRDefault="00F301C7" w:rsidP="00856D1B">
            <w:pPr>
              <w:pStyle w:val="TableText"/>
              <w:ind w:left="709" w:right="142" w:hanging="709"/>
            </w:pPr>
            <w:r>
              <w:lastRenderedPageBreak/>
              <w:t>R8.04</w:t>
            </w:r>
            <w:r w:rsidR="00856D1B">
              <w:tab/>
            </w:r>
            <w:r w:rsidRPr="005E3C2C">
              <w:t>Non</w:t>
            </w:r>
            <w:r w:rsidR="00271641">
              <w:t>-</w:t>
            </w:r>
            <w:r w:rsidRPr="005E3C2C">
              <w:t xml:space="preserve">referral </w:t>
            </w:r>
            <w:r>
              <w:t>for</w:t>
            </w:r>
            <w:r w:rsidR="00271641">
              <w:t xml:space="preserve"> </w:t>
            </w:r>
            <w:r>
              <w:t xml:space="preserve">colonoscopy is </w:t>
            </w:r>
            <w:r w:rsidRPr="005E3C2C">
              <w:t>received for</w:t>
            </w:r>
            <w:r w:rsidR="00271641">
              <w:t xml:space="preserve"> </w:t>
            </w:r>
            <w:r w:rsidRPr="005E3C2C">
              <w:t>participant</w:t>
            </w:r>
          </w:p>
        </w:tc>
        <w:tc>
          <w:tcPr>
            <w:tcW w:w="7003" w:type="dxa"/>
            <w:shd w:val="clear" w:color="auto" w:fill="F2F2F2" w:themeFill="background1" w:themeFillShade="F2"/>
          </w:tcPr>
          <w:p w14:paraId="1835F501" w14:textId="77777777" w:rsidR="00F301C7" w:rsidRPr="00C90B2A" w:rsidRDefault="00F301C7" w:rsidP="00E853DD">
            <w:pPr>
              <w:pStyle w:val="TableText"/>
            </w:pPr>
            <w:r w:rsidRPr="00E853DD">
              <w:rPr>
                <w:b/>
                <w:i/>
              </w:rPr>
              <w:t>Practice point</w:t>
            </w:r>
            <w:r w:rsidRPr="00C90B2A">
              <w:t xml:space="preserve"> (NBSP)</w:t>
            </w:r>
          </w:p>
          <w:p w14:paraId="6904ED7E" w14:textId="77777777" w:rsidR="00F301C7" w:rsidRPr="00E853DD" w:rsidRDefault="00F301C7" w:rsidP="00E853DD">
            <w:pPr>
              <w:pStyle w:val="TableText"/>
            </w:pPr>
            <w:r w:rsidRPr="00E853DD">
              <w:t>No</w:t>
            </w:r>
            <w:r w:rsidR="00C90B2A">
              <w:t xml:space="preserve"> </w:t>
            </w:r>
            <w:r w:rsidRPr="00E853DD">
              <w:t>referral for colonoscopy is received</w:t>
            </w:r>
            <w:r w:rsidR="00C90B2A">
              <w:t>.</w:t>
            </w:r>
          </w:p>
          <w:p w14:paraId="7D17FB92" w14:textId="77777777" w:rsidR="003B6490" w:rsidRPr="00E853DD" w:rsidRDefault="00F301C7" w:rsidP="00C90B2A">
            <w:pPr>
              <w:pStyle w:val="TableBullet"/>
            </w:pPr>
            <w:r w:rsidRPr="00E853DD">
              <w:t>The participant is contacted by the endoscopy unit via phone.</w:t>
            </w:r>
          </w:p>
          <w:p w14:paraId="1C1B1976" w14:textId="77777777" w:rsidR="003B6490" w:rsidRPr="00E853DD" w:rsidRDefault="00F301C7" w:rsidP="00C90B2A">
            <w:pPr>
              <w:pStyle w:val="TableDash"/>
            </w:pPr>
            <w:r w:rsidRPr="00E853DD">
              <w:t xml:space="preserve">A </w:t>
            </w:r>
            <w:r w:rsidR="00C90B2A">
              <w:t>p</w:t>
            </w:r>
            <w:r w:rsidRPr="00E853DD">
              <w:t>re-</w:t>
            </w:r>
            <w:r w:rsidR="00C90B2A">
              <w:t>a</w:t>
            </w:r>
            <w:r w:rsidRPr="00E853DD">
              <w:t>ssessment may be performed if required.</w:t>
            </w:r>
          </w:p>
          <w:p w14:paraId="56AC7C70" w14:textId="77777777" w:rsidR="00F301C7" w:rsidRPr="00E853DD" w:rsidRDefault="00F301C7" w:rsidP="00C90B2A">
            <w:pPr>
              <w:pStyle w:val="TableDash"/>
            </w:pPr>
            <w:r w:rsidRPr="00E853DD">
              <w:t xml:space="preserve">If the participant does not want to participate in a particular screening episode at any time, or are unable to continue with the screening program, they should be placed into a </w:t>
            </w:r>
            <w:r w:rsidR="003B6490" w:rsidRPr="00E853DD">
              <w:t>‘</w:t>
            </w:r>
            <w:r w:rsidR="00C90B2A">
              <w:t>two-y</w:t>
            </w:r>
            <w:r w:rsidRPr="00E853DD">
              <w:t xml:space="preserve">ear </w:t>
            </w:r>
            <w:r w:rsidR="00C90B2A">
              <w:t>r</w:t>
            </w:r>
            <w:r w:rsidRPr="00E853DD">
              <w:t>ecall</w:t>
            </w:r>
            <w:r w:rsidR="003B6490" w:rsidRPr="00E853DD">
              <w:t>’</w:t>
            </w:r>
            <w:r w:rsidRPr="00E853DD">
              <w:t xml:space="preserve"> queue</w:t>
            </w:r>
            <w:r w:rsidR="00C90B2A">
              <w:t>.</w:t>
            </w:r>
          </w:p>
          <w:p w14:paraId="322EB3D9" w14:textId="77777777" w:rsidR="00F301C7" w:rsidRPr="00E853DD" w:rsidRDefault="00F301C7" w:rsidP="00C90B2A">
            <w:pPr>
              <w:pStyle w:val="TableDash"/>
            </w:pPr>
            <w:r w:rsidRPr="00E853DD">
              <w:t>If the participant has repeated positive FIT result for each screening round but on each occasion declines colonoscopy, the issue is escalated to the endoscopy clinical lead at the DHB</w:t>
            </w:r>
            <w:r w:rsidR="00C90B2A">
              <w:t>.</w:t>
            </w:r>
          </w:p>
          <w:p w14:paraId="44B65988" w14:textId="77777777" w:rsidR="00F301C7" w:rsidRPr="00E853DD" w:rsidRDefault="00F301C7" w:rsidP="00C90B2A">
            <w:pPr>
              <w:pStyle w:val="TableDash"/>
            </w:pPr>
            <w:r w:rsidRPr="00E853DD">
              <w:t>If the participant clearly indicates they are no longer willing to participate in the programme then they are removed completely from the Programme.</w:t>
            </w:r>
          </w:p>
          <w:p w14:paraId="22959E1C" w14:textId="77777777" w:rsidR="003B6490" w:rsidRPr="00E853DD" w:rsidRDefault="00F301C7" w:rsidP="00C90B2A">
            <w:pPr>
              <w:pStyle w:val="TableBullet"/>
              <w:spacing w:before="60"/>
            </w:pPr>
            <w:r w:rsidRPr="00E853DD">
              <w:t>Identify all participants who are unable to be contacted (for example who do not respond to telephone calls or postal letters).</w:t>
            </w:r>
          </w:p>
          <w:p w14:paraId="60DF5AA2" w14:textId="77777777" w:rsidR="00F301C7" w:rsidRPr="00E853DD" w:rsidRDefault="00F301C7" w:rsidP="00C90B2A">
            <w:pPr>
              <w:pStyle w:val="TableDash"/>
              <w:spacing w:after="60"/>
              <w:ind w:left="568" w:hanging="284"/>
              <w:rPr>
                <w:b/>
                <w:i/>
              </w:rPr>
            </w:pPr>
            <w:r w:rsidRPr="00E853DD">
              <w:t>Participants who have not responded to a minimum of three attempts by the endoscopy unit to reach them by phone (including at least one phone call out of hours) for a pre-assessment should be sent a letter (cc GP) advising them that they have a positive result and should contact either their GP or the endoscopy unit to discuss next steps.</w:t>
            </w:r>
          </w:p>
        </w:tc>
      </w:tr>
      <w:tr w:rsidR="00F301C7" w:rsidRPr="005E3C2C" w14:paraId="16A194DE" w14:textId="77777777" w:rsidTr="00AB7600">
        <w:trPr>
          <w:cantSplit/>
        </w:trPr>
        <w:tc>
          <w:tcPr>
            <w:tcW w:w="2410" w:type="dxa"/>
            <w:shd w:val="clear" w:color="auto" w:fill="F2F2F2" w:themeFill="background1" w:themeFillShade="F2"/>
          </w:tcPr>
          <w:p w14:paraId="15DD3A58" w14:textId="77777777" w:rsidR="00F301C7" w:rsidRPr="005E3C2C" w:rsidRDefault="00F301C7" w:rsidP="00856D1B">
            <w:pPr>
              <w:pStyle w:val="TableText"/>
              <w:ind w:left="709" w:right="142" w:hanging="709"/>
            </w:pPr>
            <w:r>
              <w:t>R8.0</w:t>
            </w:r>
            <w:r w:rsidR="00856D1B">
              <w:t>5</w:t>
            </w:r>
            <w:r w:rsidR="00856D1B">
              <w:tab/>
            </w:r>
            <w:r w:rsidRPr="005E3C2C">
              <w:t>Participant withdrawal</w:t>
            </w:r>
            <w:r w:rsidR="00271641">
              <w:t xml:space="preserve"> </w:t>
            </w:r>
            <w:r w:rsidRPr="005E3C2C">
              <w:t>following a positive FIT</w:t>
            </w:r>
          </w:p>
        </w:tc>
        <w:tc>
          <w:tcPr>
            <w:tcW w:w="7003" w:type="dxa"/>
            <w:shd w:val="clear" w:color="auto" w:fill="F2F2F2" w:themeFill="background1" w:themeFillShade="F2"/>
          </w:tcPr>
          <w:p w14:paraId="63140E78" w14:textId="77777777" w:rsidR="00F301C7" w:rsidRPr="00C90B2A" w:rsidRDefault="00F301C7" w:rsidP="00E853DD">
            <w:pPr>
              <w:pStyle w:val="TableText"/>
            </w:pPr>
            <w:r w:rsidRPr="00E853DD">
              <w:rPr>
                <w:b/>
                <w:i/>
              </w:rPr>
              <w:t xml:space="preserve">Practice point </w:t>
            </w:r>
            <w:r w:rsidRPr="00E853DD">
              <w:t>(NBSP)</w:t>
            </w:r>
          </w:p>
          <w:p w14:paraId="137BFCE5" w14:textId="77777777" w:rsidR="00F301C7" w:rsidRPr="00E853DD" w:rsidRDefault="00F301C7" w:rsidP="00E853DD">
            <w:pPr>
              <w:pStyle w:val="TableText"/>
            </w:pPr>
            <w:r w:rsidRPr="00E853DD">
              <w:t>A protocol is in place for a participant who has a positive FIT but wants to withdraw from the programme.</w:t>
            </w:r>
          </w:p>
        </w:tc>
      </w:tr>
    </w:tbl>
    <w:p w14:paraId="4FD8BA8D" w14:textId="77777777" w:rsidR="00F301C7" w:rsidRDefault="00F301C7" w:rsidP="009F787F"/>
    <w:p w14:paraId="48798C03" w14:textId="77777777" w:rsidR="00F301C7" w:rsidRPr="00312BE8" w:rsidRDefault="00F301C7" w:rsidP="009F787F">
      <w:pPr>
        <w:pStyle w:val="Heading3"/>
      </w:pPr>
      <w:r w:rsidRPr="00312BE8">
        <w:t>Recommendation: Consent</w:t>
      </w:r>
    </w:p>
    <w:tbl>
      <w:tblPr>
        <w:tblW w:w="9413" w:type="dxa"/>
        <w:tblInd w:w="57" w:type="dxa"/>
        <w:tblBorders>
          <w:top w:val="single" w:sz="4" w:space="0" w:color="auto"/>
          <w:bottom w:val="single" w:sz="4" w:space="0" w:color="auto"/>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2410"/>
        <w:gridCol w:w="7003"/>
      </w:tblGrid>
      <w:tr w:rsidR="00F301C7" w:rsidRPr="005E3C2C" w14:paraId="2DEDCBAC" w14:textId="77777777" w:rsidTr="00564D98">
        <w:tc>
          <w:tcPr>
            <w:tcW w:w="2410" w:type="dxa"/>
            <w:shd w:val="clear" w:color="auto" w:fill="F2F2F2" w:themeFill="background1" w:themeFillShade="F2"/>
          </w:tcPr>
          <w:p w14:paraId="79FD324B" w14:textId="77777777" w:rsidR="00F301C7" w:rsidRPr="005E3C2C" w:rsidRDefault="00F301C7" w:rsidP="00856D1B">
            <w:pPr>
              <w:pStyle w:val="TableText"/>
              <w:ind w:left="709" w:right="142" w:hanging="709"/>
            </w:pPr>
            <w:r>
              <w:t>R8.06</w:t>
            </w:r>
            <w:r w:rsidR="00856D1B">
              <w:tab/>
            </w:r>
            <w:r>
              <w:t>Consent</w:t>
            </w:r>
          </w:p>
        </w:tc>
        <w:tc>
          <w:tcPr>
            <w:tcW w:w="7003" w:type="dxa"/>
            <w:shd w:val="clear" w:color="auto" w:fill="F2F2F2" w:themeFill="background1" w:themeFillShade="F2"/>
          </w:tcPr>
          <w:p w14:paraId="017F53F9" w14:textId="1994E8BB" w:rsidR="00F301C7" w:rsidRPr="00C90B2A" w:rsidRDefault="00F301C7" w:rsidP="00E853DD">
            <w:pPr>
              <w:pStyle w:val="TableText"/>
            </w:pPr>
            <w:r w:rsidRPr="00E853DD">
              <w:rPr>
                <w:b/>
                <w:i/>
              </w:rPr>
              <w:t xml:space="preserve">Practice point </w:t>
            </w:r>
            <w:r w:rsidR="00A11486">
              <w:t>(</w:t>
            </w:r>
            <w:proofErr w:type="spellStart"/>
            <w:r w:rsidR="00A11486">
              <w:t>EGGNZ</w:t>
            </w:r>
            <w:r w:rsidRPr="00E853DD">
              <w:t>b</w:t>
            </w:r>
            <w:proofErr w:type="spellEnd"/>
            <w:r w:rsidRPr="00E853DD">
              <w:t xml:space="preserve"> 2017; ANZCA)</w:t>
            </w:r>
          </w:p>
          <w:p w14:paraId="0CC51A27" w14:textId="77777777" w:rsidR="00F301C7" w:rsidRPr="00E853DD" w:rsidRDefault="00F301C7" w:rsidP="00E853DD">
            <w:pPr>
              <w:pStyle w:val="TableText"/>
            </w:pPr>
            <w:r w:rsidRPr="00E853DD">
              <w:t>To enable participants to make an informed choice and provide consent:</w:t>
            </w:r>
          </w:p>
          <w:p w14:paraId="00890178" w14:textId="77777777" w:rsidR="00F301C7" w:rsidRPr="00E853DD" w:rsidRDefault="00C90B2A" w:rsidP="00C90B2A">
            <w:pPr>
              <w:pStyle w:val="TableBullet"/>
            </w:pPr>
            <w:r>
              <w:t>t</w:t>
            </w:r>
            <w:r w:rsidR="00F301C7" w:rsidRPr="00E853DD">
              <w:t>he room used for discussion should be appropriate</w:t>
            </w:r>
            <w:r>
              <w:t>:</w:t>
            </w:r>
          </w:p>
          <w:p w14:paraId="230A1985" w14:textId="77777777" w:rsidR="00F301C7" w:rsidRPr="00E853DD" w:rsidRDefault="00C90B2A" w:rsidP="00C90B2A">
            <w:pPr>
              <w:pStyle w:val="TableDash"/>
            </w:pPr>
            <w:r>
              <w:t>t</w:t>
            </w:r>
            <w:r w:rsidR="00F301C7" w:rsidRPr="00E853DD">
              <w:t>he likelihood of finding an abnormality is discussed and information on incidence is provided</w:t>
            </w:r>
          </w:p>
          <w:p w14:paraId="5581D8FF" w14:textId="77777777" w:rsidR="00F301C7" w:rsidRPr="00E853DD" w:rsidRDefault="00F301C7" w:rsidP="00C90B2A">
            <w:pPr>
              <w:pStyle w:val="TableDash"/>
            </w:pPr>
            <w:r w:rsidRPr="00E853DD">
              <w:t>7 in 10 will have polyps detected</w:t>
            </w:r>
          </w:p>
          <w:p w14:paraId="716E9BE1" w14:textId="77777777" w:rsidR="00F301C7" w:rsidRPr="00E853DD" w:rsidRDefault="00F301C7" w:rsidP="00C90B2A">
            <w:pPr>
              <w:pStyle w:val="TableDash"/>
            </w:pPr>
            <w:r w:rsidRPr="00E853DD">
              <w:t>7 in 100 will have cancer detected</w:t>
            </w:r>
          </w:p>
          <w:p w14:paraId="3B5F007F" w14:textId="77777777" w:rsidR="00F301C7" w:rsidRPr="00E853DD" w:rsidRDefault="00C90B2A" w:rsidP="00C90B2A">
            <w:pPr>
              <w:pStyle w:val="TableBullet"/>
              <w:spacing w:before="60"/>
              <w:rPr>
                <w:rFonts w:eastAsia="Calibri"/>
                <w:u w:color="222222"/>
              </w:rPr>
            </w:pPr>
            <w:r>
              <w:t>p</w:t>
            </w:r>
            <w:r w:rsidR="00F301C7" w:rsidRPr="00E853DD">
              <w:t>rocedural complications and risks</w:t>
            </w:r>
            <w:r w:rsidR="003B6490" w:rsidRPr="00E853DD">
              <w:t xml:space="preserve"> </w:t>
            </w:r>
            <w:r w:rsidR="00F301C7" w:rsidRPr="00E853DD">
              <w:rPr>
                <w:rFonts w:eastAsia="Calibri"/>
                <w:u w:color="222222"/>
              </w:rPr>
              <w:t>(bowel preparation and</w:t>
            </w:r>
            <w:r>
              <w:rPr>
                <w:rFonts w:eastAsia="Calibri"/>
                <w:u w:color="222222"/>
              </w:rPr>
              <w:t xml:space="preserve"> colonoscopy) associated with:</w:t>
            </w:r>
          </w:p>
          <w:p w14:paraId="46A2E86B" w14:textId="77777777" w:rsidR="003B6490" w:rsidRPr="00E853DD" w:rsidRDefault="00F301C7" w:rsidP="00C90B2A">
            <w:pPr>
              <w:pStyle w:val="TableDash"/>
              <w:rPr>
                <w:rFonts w:eastAsia="Calibri"/>
                <w:u w:color="222222"/>
              </w:rPr>
            </w:pPr>
            <w:r w:rsidRPr="00E853DD">
              <w:rPr>
                <w:rFonts w:eastAsia="Calibri"/>
                <w:u w:color="222222"/>
              </w:rPr>
              <w:t>colonoscopy alone and</w:t>
            </w:r>
          </w:p>
          <w:p w14:paraId="72BB3A5E" w14:textId="77777777" w:rsidR="00F301C7" w:rsidRPr="00E853DD" w:rsidRDefault="00F301C7" w:rsidP="00C90B2A">
            <w:pPr>
              <w:pStyle w:val="TableDash"/>
              <w:rPr>
                <w:rFonts w:eastAsia="Calibri"/>
                <w:u w:color="222222"/>
              </w:rPr>
            </w:pPr>
            <w:r w:rsidRPr="00E853DD">
              <w:rPr>
                <w:rFonts w:eastAsia="Calibri"/>
                <w:u w:color="222222"/>
              </w:rPr>
              <w:t>colonoscopy with polypectomy</w:t>
            </w:r>
          </w:p>
          <w:p w14:paraId="13BB1EC3" w14:textId="77777777" w:rsidR="003B6490" w:rsidRPr="00E853DD" w:rsidRDefault="00F301C7" w:rsidP="00C90B2A">
            <w:pPr>
              <w:pStyle w:val="TableDash"/>
              <w:rPr>
                <w:rFonts w:eastAsia="Calibri"/>
                <w:u w:color="222222"/>
              </w:rPr>
            </w:pPr>
            <w:r w:rsidRPr="00E853DD">
              <w:rPr>
                <w:rFonts w:eastAsia="Calibri"/>
                <w:u w:color="222222"/>
              </w:rPr>
              <w:t>CTC</w:t>
            </w:r>
          </w:p>
          <w:p w14:paraId="0C97E700" w14:textId="77777777" w:rsidR="00F301C7" w:rsidRPr="00E853DD" w:rsidRDefault="00F301C7" w:rsidP="00C90B2A">
            <w:pPr>
              <w:pStyle w:val="TableDash"/>
              <w:numPr>
                <w:ilvl w:val="0"/>
                <w:numId w:val="0"/>
              </w:numPr>
              <w:ind w:left="284"/>
              <w:rPr>
                <w:rFonts w:eastAsia="Calibri"/>
                <w:u w:color="222222"/>
              </w:rPr>
            </w:pPr>
            <w:r w:rsidRPr="00E853DD">
              <w:rPr>
                <w:rFonts w:eastAsia="Calibri"/>
                <w:u w:color="222222"/>
              </w:rPr>
              <w:t>are explained</w:t>
            </w:r>
          </w:p>
          <w:p w14:paraId="3A859B68" w14:textId="77777777" w:rsidR="00F301C7" w:rsidRPr="00E853DD" w:rsidRDefault="00C90B2A" w:rsidP="00C90B2A">
            <w:pPr>
              <w:pStyle w:val="TableBullet"/>
              <w:spacing w:before="60"/>
            </w:pPr>
            <w:r>
              <w:t>p</w:t>
            </w:r>
            <w:r w:rsidR="00F301C7" w:rsidRPr="00E853DD">
              <w:t>ost procedure risks explained</w:t>
            </w:r>
          </w:p>
          <w:p w14:paraId="32A7A54C" w14:textId="77777777" w:rsidR="00F301C7" w:rsidRPr="00E853DD" w:rsidRDefault="00C90B2A" w:rsidP="00C90B2A">
            <w:pPr>
              <w:pStyle w:val="TableBullet"/>
            </w:pPr>
            <w:r>
              <w:t>p</w:t>
            </w:r>
            <w:r w:rsidR="00F301C7" w:rsidRPr="00E853DD">
              <w:t>ost procedure activities explained</w:t>
            </w:r>
          </w:p>
          <w:p w14:paraId="647D1725" w14:textId="77777777" w:rsidR="00F301C7" w:rsidRPr="00E853DD" w:rsidRDefault="00C90B2A" w:rsidP="00C90B2A">
            <w:pPr>
              <w:pStyle w:val="TableBullet"/>
            </w:pPr>
            <w:r>
              <w:t>r</w:t>
            </w:r>
            <w:r w:rsidR="00F301C7" w:rsidRPr="00E853DD">
              <w:t>estarting medications including anti-coagulants explained</w:t>
            </w:r>
            <w:r>
              <w:t>.</w:t>
            </w:r>
          </w:p>
        </w:tc>
      </w:tr>
    </w:tbl>
    <w:p w14:paraId="16AB482C" w14:textId="77777777" w:rsidR="00F301C7" w:rsidRDefault="00F301C7" w:rsidP="009F787F"/>
    <w:p w14:paraId="43FC8CC9" w14:textId="77777777" w:rsidR="00F301C7" w:rsidRPr="007B6C3C" w:rsidRDefault="00F301C7" w:rsidP="009F787F">
      <w:pPr>
        <w:pStyle w:val="Heading3"/>
      </w:pPr>
      <w:r w:rsidRPr="00E861D5">
        <w:lastRenderedPageBreak/>
        <w:t xml:space="preserve">Recommendation: </w:t>
      </w:r>
      <w:r w:rsidR="00856D1B">
        <w:t>B</w:t>
      </w:r>
      <w:r w:rsidRPr="00E861D5">
        <w:t>owel preparation</w:t>
      </w:r>
    </w:p>
    <w:tbl>
      <w:tblPr>
        <w:tblW w:w="9497" w:type="dxa"/>
        <w:tblInd w:w="57" w:type="dxa"/>
        <w:tblBorders>
          <w:top w:val="single" w:sz="4" w:space="0" w:color="auto"/>
          <w:bottom w:val="single" w:sz="4" w:space="0" w:color="auto"/>
          <w:insideH w:val="single" w:sz="4" w:space="0" w:color="A6A6A6" w:themeColor="background1" w:themeShade="A6"/>
        </w:tblBorders>
        <w:shd w:val="clear" w:color="auto" w:fill="D9D9D9" w:themeFill="background1" w:themeFillShade="D9"/>
        <w:tblLayout w:type="fixed"/>
        <w:tblCellMar>
          <w:left w:w="57" w:type="dxa"/>
          <w:right w:w="57" w:type="dxa"/>
        </w:tblCellMar>
        <w:tblLook w:val="04A0" w:firstRow="1" w:lastRow="0" w:firstColumn="1" w:lastColumn="0" w:noHBand="0" w:noVBand="1"/>
      </w:tblPr>
      <w:tblGrid>
        <w:gridCol w:w="2410"/>
        <w:gridCol w:w="7087"/>
      </w:tblGrid>
      <w:tr w:rsidR="00F301C7" w:rsidRPr="00B53B39" w14:paraId="1B2589E4" w14:textId="77777777" w:rsidTr="00564D98">
        <w:trPr>
          <w:cantSplit/>
        </w:trPr>
        <w:tc>
          <w:tcPr>
            <w:tcW w:w="2410" w:type="dxa"/>
            <w:shd w:val="clear" w:color="auto" w:fill="BFBFBF" w:themeFill="background1" w:themeFillShade="BF"/>
          </w:tcPr>
          <w:p w14:paraId="4AB1DBD4" w14:textId="77777777" w:rsidR="00F301C7" w:rsidRPr="00A13D8A" w:rsidRDefault="00F301C7" w:rsidP="00856D1B">
            <w:pPr>
              <w:pStyle w:val="TableText"/>
              <w:ind w:left="709" w:right="142" w:hanging="709"/>
            </w:pPr>
            <w:r>
              <w:t>R8.07</w:t>
            </w:r>
            <w:r w:rsidR="00856D1B">
              <w:tab/>
            </w:r>
            <w:r w:rsidRPr="00A13D8A">
              <w:t>Effective bowel preparation for colonoscopy</w:t>
            </w:r>
            <w:r>
              <w:t xml:space="preserve"> </w:t>
            </w:r>
            <w:r w:rsidRPr="001D0C3B">
              <w:t>(</w:t>
            </w:r>
            <w:r w:rsidRPr="009031B8">
              <w:t>also refer to R8.01</w:t>
            </w:r>
            <w:r w:rsidRPr="001D0C3B">
              <w:t>)</w:t>
            </w:r>
          </w:p>
        </w:tc>
        <w:tc>
          <w:tcPr>
            <w:tcW w:w="7087" w:type="dxa"/>
            <w:shd w:val="clear" w:color="auto" w:fill="BFBFBF" w:themeFill="background1" w:themeFillShade="BF"/>
          </w:tcPr>
          <w:p w14:paraId="244B2192" w14:textId="77777777" w:rsidR="00F301C7" w:rsidRPr="00E853DD" w:rsidRDefault="00F301C7" w:rsidP="00E853DD">
            <w:pPr>
              <w:pStyle w:val="TableText"/>
            </w:pPr>
            <w:r w:rsidRPr="00E853DD">
              <w:rPr>
                <w:b/>
                <w:i/>
              </w:rPr>
              <w:t xml:space="preserve">Evidence-based recommendation </w:t>
            </w:r>
            <w:r w:rsidRPr="00E853DD">
              <w:t>(</w:t>
            </w:r>
            <w:proofErr w:type="spellStart"/>
            <w:r w:rsidRPr="00E853DD">
              <w:t>EGGNZb</w:t>
            </w:r>
            <w:proofErr w:type="spellEnd"/>
            <w:r w:rsidRPr="00E853DD">
              <w:t xml:space="preserve"> 2017; AGSE2015; NZGG 2011; NBSP)</w:t>
            </w:r>
          </w:p>
          <w:p w14:paraId="71539170" w14:textId="77777777" w:rsidR="003B6490" w:rsidRPr="00E853DD" w:rsidRDefault="00F301C7" w:rsidP="00E853DD">
            <w:pPr>
              <w:pStyle w:val="TableText"/>
              <w:rPr>
                <w:rFonts w:cs="Arial"/>
              </w:rPr>
            </w:pPr>
            <w:r w:rsidRPr="00E853DD">
              <w:rPr>
                <w:rFonts w:cs="Arial"/>
              </w:rPr>
              <w:t>Effective bowel preparation is key to a detailed examination of the bowel.</w:t>
            </w:r>
            <w:r w:rsidR="003B6490" w:rsidRPr="00E853DD">
              <w:rPr>
                <w:rFonts w:cs="Arial"/>
              </w:rPr>
              <w:t xml:space="preserve"> </w:t>
            </w:r>
            <w:r w:rsidRPr="00E853DD">
              <w:rPr>
                <w:rFonts w:cs="Arial"/>
              </w:rPr>
              <w:t xml:space="preserve">Good bowel preparation supports improved polyp detection and </w:t>
            </w:r>
            <w:proofErr w:type="spellStart"/>
            <w:r w:rsidRPr="00E853DD">
              <w:rPr>
                <w:rFonts w:cs="Arial"/>
              </w:rPr>
              <w:t>caecal</w:t>
            </w:r>
            <w:proofErr w:type="spellEnd"/>
            <w:r w:rsidRPr="00E853DD">
              <w:rPr>
                <w:rFonts w:cs="Arial"/>
              </w:rPr>
              <w:t xml:space="preserve"> intubation</w:t>
            </w:r>
            <w:r w:rsidR="00E15BE7">
              <w:rPr>
                <w:rFonts w:cs="Arial"/>
              </w:rPr>
              <w:t>.</w:t>
            </w:r>
            <w:r w:rsidRPr="00E15BE7">
              <w:rPr>
                <w:rStyle w:val="FootnoteReference"/>
              </w:rPr>
              <w:footnoteReference w:id="41"/>
            </w:r>
          </w:p>
          <w:p w14:paraId="2DFF66C1" w14:textId="77777777" w:rsidR="00F301C7" w:rsidRPr="00E853DD" w:rsidRDefault="00F301C7" w:rsidP="00E853DD">
            <w:pPr>
              <w:pStyle w:val="TableText"/>
            </w:pPr>
            <w:r w:rsidRPr="00E853DD">
              <w:rPr>
                <w:rFonts w:cs="Arial"/>
              </w:rPr>
              <w:t>Poor bowel preparation is associated with failure to reach the caecum and hinders the detection of lesions</w:t>
            </w:r>
            <w:r w:rsidR="00E15BE7">
              <w:rPr>
                <w:rFonts w:cs="Arial"/>
              </w:rPr>
              <w:t>.</w:t>
            </w:r>
            <w:r w:rsidRPr="00E15BE7">
              <w:rPr>
                <w:rStyle w:val="FootnoteReference"/>
              </w:rPr>
              <w:footnoteReference w:id="42"/>
            </w:r>
          </w:p>
          <w:p w14:paraId="3A15D7B3" w14:textId="77777777" w:rsidR="003B6490" w:rsidRPr="00E853DD" w:rsidRDefault="00F301C7" w:rsidP="00E853DD">
            <w:pPr>
              <w:pStyle w:val="TableText"/>
              <w:rPr>
                <w:rFonts w:cs="AdvTT31ea7dbe"/>
              </w:rPr>
            </w:pPr>
            <w:r w:rsidRPr="00E853DD">
              <w:rPr>
                <w:rFonts w:cs="AdvTT31ea7dbe"/>
              </w:rPr>
              <w:t>A split regimen of 4L of polyethylene glycol (PEG) solution (or a same-day regimen in the case of afternoon colonoscopy) for routine bowel preparation.</w:t>
            </w:r>
            <w:r w:rsidR="003B6490" w:rsidRPr="00E853DD">
              <w:rPr>
                <w:rFonts w:cs="AdvTT31ea7dbe"/>
              </w:rPr>
              <w:t xml:space="preserve"> </w:t>
            </w:r>
            <w:r w:rsidRPr="00E853DD">
              <w:rPr>
                <w:rFonts w:cs="AdvTT31ea7dbe"/>
              </w:rPr>
              <w:t xml:space="preserve">A split regimen (or same-day regimen in the case of afternoon colonoscopy) of 2L PEG plus ascorbate or of sodium </w:t>
            </w:r>
            <w:proofErr w:type="spellStart"/>
            <w:r w:rsidRPr="00E853DD">
              <w:rPr>
                <w:rFonts w:cs="AdvTT31ea7dbe"/>
              </w:rPr>
              <w:t>picosulphate</w:t>
            </w:r>
            <w:proofErr w:type="spellEnd"/>
            <w:r w:rsidRPr="00E853DD">
              <w:rPr>
                <w:rFonts w:cs="AdvTT31ea7dbe"/>
              </w:rPr>
              <w:t xml:space="preserve"> plus magnesium citrate may be valid alternatives, in particular for elective outpatients. This is in line with international recommendation for split bowel preparation and is encouraged where feasible</w:t>
            </w:r>
            <w:r w:rsidR="00E15BE7">
              <w:rPr>
                <w:rFonts w:cs="AdvTT31ea7dbe"/>
              </w:rPr>
              <w:t>.</w:t>
            </w:r>
            <w:r w:rsidRPr="00E15BE7">
              <w:rPr>
                <w:rStyle w:val="FootnoteReference"/>
              </w:rPr>
              <w:footnoteReference w:id="43"/>
            </w:r>
          </w:p>
          <w:p w14:paraId="7300C2D8" w14:textId="77777777" w:rsidR="003B6490" w:rsidRPr="00E853DD" w:rsidRDefault="00F301C7" w:rsidP="00E853DD">
            <w:pPr>
              <w:pStyle w:val="TableText"/>
              <w:rPr>
                <w:rFonts w:cs="AdvTT31ea7dbe"/>
              </w:rPr>
            </w:pPr>
            <w:r w:rsidRPr="00E853DD">
              <w:rPr>
                <w:rFonts w:cs="AdvTT31ea7dbe"/>
              </w:rPr>
              <w:t>In patients with renal failure, PEG is the only recommended bowel preparation. The delay between the last dose of bowel preparation and colonoscopy should be minimi</w:t>
            </w:r>
            <w:r w:rsidR="00E15BE7">
              <w:rPr>
                <w:rFonts w:cs="AdvTT31ea7dbe"/>
              </w:rPr>
              <w:t>s</w:t>
            </w:r>
            <w:r w:rsidRPr="00E853DD">
              <w:rPr>
                <w:rFonts w:cs="AdvTT31ea7dbe"/>
              </w:rPr>
              <w:t xml:space="preserve">ed and no longer than </w:t>
            </w:r>
            <w:r w:rsidR="00E15BE7">
              <w:rPr>
                <w:rFonts w:cs="AdvTT31ea7dbe"/>
              </w:rPr>
              <w:t>four</w:t>
            </w:r>
            <w:r w:rsidRPr="00E853DD">
              <w:rPr>
                <w:rFonts w:cs="AdvTT31ea7dbe"/>
              </w:rPr>
              <w:t xml:space="preserve"> hours</w:t>
            </w:r>
            <w:r w:rsidR="00E15BE7">
              <w:rPr>
                <w:rFonts w:cs="AdvTT31ea7dbe"/>
              </w:rPr>
              <w:t>.</w:t>
            </w:r>
          </w:p>
          <w:p w14:paraId="7F3FC9FB" w14:textId="77777777" w:rsidR="00F301C7" w:rsidRPr="00E853DD" w:rsidRDefault="00F301C7" w:rsidP="00E853DD">
            <w:pPr>
              <w:pStyle w:val="TableText"/>
            </w:pPr>
            <w:r w:rsidRPr="00E853DD">
              <w:rPr>
                <w:rFonts w:cs="Arial"/>
              </w:rPr>
              <w:t>Adequate hydration is vital to protect against adverse effects of bowel preparation; however a regimen acceptable to patients and meeting the cleanliness standard is best locally agreed and administered.</w:t>
            </w:r>
            <w:r w:rsidR="003B6490" w:rsidRPr="00E853DD">
              <w:rPr>
                <w:rFonts w:cs="Arial"/>
              </w:rPr>
              <w:t xml:space="preserve"> </w:t>
            </w:r>
            <w:r w:rsidRPr="00E853DD">
              <w:rPr>
                <w:rFonts w:cs="Arial"/>
              </w:rPr>
              <w:t>In practice there are many different regimens (diet and catharsis, gut lavage and phosphate preparations) but no ideal exists.</w:t>
            </w:r>
          </w:p>
          <w:p w14:paraId="4D34A994" w14:textId="77777777" w:rsidR="00F301C7" w:rsidRPr="00E853DD" w:rsidRDefault="00F301C7" w:rsidP="00E853DD">
            <w:pPr>
              <w:pStyle w:val="TableText"/>
            </w:pPr>
            <w:r w:rsidRPr="00E853DD">
              <w:rPr>
                <w:rFonts w:cs="Arial"/>
                <w:iCs/>
              </w:rPr>
              <w:t>Endoscopy units need to monitor effective bowel preparation while ensuring patient acceptability and tolerability.</w:t>
            </w:r>
            <w:r w:rsidR="003B6490" w:rsidRPr="00E853DD">
              <w:rPr>
                <w:rFonts w:cs="Arial"/>
                <w:iCs/>
              </w:rPr>
              <w:t xml:space="preserve"> </w:t>
            </w:r>
            <w:r w:rsidRPr="00E853DD">
              <w:rPr>
                <w:rFonts w:cs="Arial"/>
                <w:iCs/>
              </w:rPr>
              <w:t xml:space="preserve">In cases of multiple sensitivities to conventional bowel preparations, or in complex cases, the </w:t>
            </w:r>
            <w:proofErr w:type="spellStart"/>
            <w:r w:rsidRPr="00E853DD">
              <w:rPr>
                <w:rFonts w:cs="Arial"/>
                <w:iCs/>
              </w:rPr>
              <w:t>colonoscopist</w:t>
            </w:r>
            <w:proofErr w:type="spellEnd"/>
            <w:r w:rsidRPr="00E853DD">
              <w:rPr>
                <w:rFonts w:cs="Arial"/>
                <w:iCs/>
              </w:rPr>
              <w:t xml:space="preserve"> and the endoscopy nurse should work with the patient to find a suitable alternative, consulting specialists in other areas if necessary.</w:t>
            </w:r>
          </w:p>
          <w:p w14:paraId="785A754B" w14:textId="77777777" w:rsidR="00F301C7" w:rsidRPr="00E853DD" w:rsidRDefault="00F301C7" w:rsidP="00E853DD">
            <w:pPr>
              <w:pStyle w:val="TableText"/>
            </w:pPr>
            <w:r w:rsidRPr="00E853DD">
              <w:t>Diabetic medications need to be adjusted for participants with diabetes as part of preparation for colonoscopy.</w:t>
            </w:r>
          </w:p>
          <w:p w14:paraId="4152B8FB" w14:textId="1462C17E" w:rsidR="003B6490" w:rsidRPr="00E853DD" w:rsidRDefault="00F301C7" w:rsidP="00E853DD">
            <w:pPr>
              <w:pStyle w:val="TableText"/>
            </w:pPr>
            <w:r w:rsidRPr="00E853DD">
              <w:t>Anticoagulant medication needs to modified in accordance with the local protocol.</w:t>
            </w:r>
          </w:p>
          <w:p w14:paraId="1D8F3D0B" w14:textId="77777777" w:rsidR="00F301C7" w:rsidRPr="00E853DD" w:rsidRDefault="00E15BE7" w:rsidP="00E15BE7">
            <w:pPr>
              <w:pStyle w:val="TableText"/>
            </w:pPr>
            <w:r>
              <w:rPr>
                <w:rFonts w:cs="AdvTT31ea7dbe"/>
              </w:rPr>
              <w:t>T</w:t>
            </w:r>
            <w:r w:rsidR="00F301C7" w:rsidRPr="00E853DD">
              <w:rPr>
                <w:rFonts w:cs="AdvTT31ea7dbe"/>
              </w:rPr>
              <w:t>he routine use of sodium phosphate for bowel preparation is no longer recommended because of safety concerns</w:t>
            </w:r>
            <w:r w:rsidR="00F301C7" w:rsidRPr="00E853DD">
              <w:t xml:space="preserve"> (AGSE 2015)</w:t>
            </w:r>
            <w:r>
              <w:t>.</w:t>
            </w:r>
          </w:p>
        </w:tc>
      </w:tr>
    </w:tbl>
    <w:p w14:paraId="0A27C0D4" w14:textId="77777777" w:rsidR="00F301C7" w:rsidRDefault="00F301C7" w:rsidP="009F787F"/>
    <w:p w14:paraId="321D460E" w14:textId="77777777" w:rsidR="00F301C7" w:rsidRDefault="00F301C7" w:rsidP="009F787F">
      <w:pPr>
        <w:pStyle w:val="Heading3"/>
      </w:pPr>
      <w:r>
        <w:t>Recommendation:</w:t>
      </w:r>
      <w:r w:rsidR="003B6490">
        <w:t xml:space="preserve"> </w:t>
      </w:r>
      <w:r>
        <w:t>Colonoscopy and CTC staff experience and competencies</w:t>
      </w:r>
    </w:p>
    <w:tbl>
      <w:tblPr>
        <w:tblW w:w="0" w:type="auto"/>
        <w:tblInd w:w="57" w:type="dxa"/>
        <w:tblBorders>
          <w:top w:val="single" w:sz="4" w:space="0" w:color="auto"/>
          <w:bottom w:val="single" w:sz="4" w:space="0" w:color="auto"/>
          <w:insideH w:val="single" w:sz="4" w:space="0" w:color="A6A6A6" w:themeColor="background1" w:themeShade="A6"/>
        </w:tblBorders>
        <w:shd w:val="clear" w:color="auto" w:fill="D9D9D9" w:themeFill="background1" w:themeFillShade="D9"/>
        <w:tblLayout w:type="fixed"/>
        <w:tblCellMar>
          <w:left w:w="57" w:type="dxa"/>
          <w:right w:w="57" w:type="dxa"/>
        </w:tblCellMar>
        <w:tblLook w:val="04A0" w:firstRow="1" w:lastRow="0" w:firstColumn="1" w:lastColumn="0" w:noHBand="0" w:noVBand="1"/>
      </w:tblPr>
      <w:tblGrid>
        <w:gridCol w:w="2410"/>
        <w:gridCol w:w="6946"/>
      </w:tblGrid>
      <w:tr w:rsidR="00F301C7" w:rsidRPr="00A13D8A" w14:paraId="79D9F4D2" w14:textId="77777777" w:rsidTr="00564D98">
        <w:trPr>
          <w:cantSplit/>
        </w:trPr>
        <w:tc>
          <w:tcPr>
            <w:tcW w:w="2410" w:type="dxa"/>
            <w:shd w:val="clear" w:color="auto" w:fill="BFBFBF" w:themeFill="background1" w:themeFillShade="BF"/>
          </w:tcPr>
          <w:p w14:paraId="2815540A" w14:textId="77777777" w:rsidR="00F301C7" w:rsidRPr="00A13D8A" w:rsidRDefault="00F301C7" w:rsidP="00856D1B">
            <w:pPr>
              <w:pStyle w:val="TableText"/>
              <w:ind w:left="709" w:right="142" w:hanging="709"/>
            </w:pPr>
            <w:r>
              <w:t>R8.08</w:t>
            </w:r>
            <w:r w:rsidR="00856D1B">
              <w:tab/>
            </w:r>
            <w:r w:rsidRPr="00A13D8A">
              <w:t>Staff</w:t>
            </w:r>
            <w:r w:rsidR="003B6490">
              <w:t xml:space="preserve"> – </w:t>
            </w:r>
            <w:r w:rsidRPr="00A13D8A">
              <w:t>general</w:t>
            </w:r>
          </w:p>
        </w:tc>
        <w:tc>
          <w:tcPr>
            <w:tcW w:w="6946" w:type="dxa"/>
            <w:shd w:val="clear" w:color="auto" w:fill="BFBFBF" w:themeFill="background1" w:themeFillShade="BF"/>
          </w:tcPr>
          <w:p w14:paraId="5545CC03" w14:textId="77777777" w:rsidR="00F301C7" w:rsidRPr="00E15BE7" w:rsidRDefault="00F301C7" w:rsidP="00E853DD">
            <w:pPr>
              <w:pStyle w:val="TableText"/>
            </w:pPr>
            <w:r w:rsidRPr="00E853DD">
              <w:rPr>
                <w:b/>
                <w:i/>
              </w:rPr>
              <w:t xml:space="preserve">Evidence-based recommendation </w:t>
            </w:r>
            <w:r w:rsidRPr="00E853DD">
              <w:t>(</w:t>
            </w:r>
            <w:proofErr w:type="spellStart"/>
            <w:r w:rsidRPr="00E853DD">
              <w:t>EGGNZa</w:t>
            </w:r>
            <w:proofErr w:type="spellEnd"/>
            <w:r w:rsidRPr="00E853DD">
              <w:t xml:space="preserve"> 2017; NZNO; NICE 2011 rev 2017, NBSP CTC)</w:t>
            </w:r>
          </w:p>
          <w:p w14:paraId="71B07AC2" w14:textId="77777777" w:rsidR="00F301C7" w:rsidRPr="00E853DD" w:rsidRDefault="00F301C7" w:rsidP="00E853DD">
            <w:pPr>
              <w:pStyle w:val="TableText"/>
            </w:pPr>
            <w:proofErr w:type="spellStart"/>
            <w:r w:rsidRPr="00E853DD">
              <w:t>Colonoscopists</w:t>
            </w:r>
            <w:proofErr w:type="spellEnd"/>
            <w:r w:rsidRPr="00E853DD">
              <w:t>, nurses</w:t>
            </w:r>
            <w:r w:rsidRPr="00E15BE7">
              <w:rPr>
                <w:rStyle w:val="FootnoteReference"/>
              </w:rPr>
              <w:footnoteReference w:id="44"/>
            </w:r>
            <w:r w:rsidRPr="00E853DD">
              <w:t xml:space="preserve"> (endoscopy and other) and endoscopy technicians must meet the competency requirements for procedural and non-procedural activities as defined by EGGNZ. This includes competencies for bowel preparation.</w:t>
            </w:r>
          </w:p>
          <w:p w14:paraId="1A62655B" w14:textId="77777777" w:rsidR="00F301C7" w:rsidRPr="00E853DD" w:rsidRDefault="00F301C7" w:rsidP="00E853DD">
            <w:pPr>
              <w:pStyle w:val="TableText"/>
            </w:pPr>
            <w:r w:rsidRPr="00E853DD">
              <w:t>Ancillary staff for CTC (radiographers, nursing support and secretarial support are appropriately trained</w:t>
            </w:r>
            <w:r w:rsidR="00E15BE7">
              <w:t>.</w:t>
            </w:r>
          </w:p>
          <w:p w14:paraId="4BD717B8" w14:textId="77777777" w:rsidR="00F301C7" w:rsidRPr="00E853DD" w:rsidRDefault="00F301C7" w:rsidP="00E853DD">
            <w:pPr>
              <w:pStyle w:val="TableText"/>
            </w:pPr>
            <w:r w:rsidRPr="00E853DD">
              <w:rPr>
                <w:rFonts w:cs="Arial"/>
              </w:rPr>
              <w:t>A review of capabilities may identify shortcomings that can be addressed with further training or investment. This training and investment should occur before screening begins</w:t>
            </w:r>
            <w:r w:rsidR="00E15BE7">
              <w:rPr>
                <w:rFonts w:cs="Arial"/>
              </w:rPr>
              <w:t>.</w:t>
            </w:r>
          </w:p>
          <w:p w14:paraId="15B5C883" w14:textId="77777777" w:rsidR="00F301C7" w:rsidRPr="00E853DD" w:rsidRDefault="00F301C7" w:rsidP="00E3277C">
            <w:pPr>
              <w:pStyle w:val="TableText"/>
            </w:pPr>
            <w:r w:rsidRPr="00E853DD">
              <w:t>DHBs and endoscopy unit participate fully in the National Endoscopy Quality Improvement Programme (NEQIP)</w:t>
            </w:r>
            <w:r w:rsidR="00E15BE7">
              <w:t>.</w:t>
            </w:r>
            <w:r w:rsidRPr="00E15BE7">
              <w:rPr>
                <w:rStyle w:val="FootnoteReference"/>
              </w:rPr>
              <w:footnoteReference w:id="45"/>
            </w:r>
          </w:p>
        </w:tc>
      </w:tr>
      <w:tr w:rsidR="00F301C7" w:rsidRPr="00A13D8A" w14:paraId="0CF44B27" w14:textId="77777777" w:rsidTr="00564D98">
        <w:tblPrEx>
          <w:shd w:val="clear" w:color="auto" w:fill="auto"/>
        </w:tblPrEx>
        <w:trPr>
          <w:cantSplit/>
        </w:trPr>
        <w:tc>
          <w:tcPr>
            <w:tcW w:w="2410" w:type="dxa"/>
            <w:shd w:val="clear" w:color="auto" w:fill="D9D9D9" w:themeFill="background1" w:themeFillShade="D9"/>
          </w:tcPr>
          <w:p w14:paraId="39921513" w14:textId="77777777" w:rsidR="00F301C7" w:rsidRPr="00A13D8A" w:rsidRDefault="00F301C7" w:rsidP="00856D1B">
            <w:pPr>
              <w:pStyle w:val="TableText"/>
              <w:ind w:left="709" w:right="142" w:hanging="709"/>
            </w:pPr>
            <w:r>
              <w:lastRenderedPageBreak/>
              <w:t>R8.09</w:t>
            </w:r>
            <w:r w:rsidR="00856D1B">
              <w:tab/>
            </w:r>
            <w:proofErr w:type="spellStart"/>
            <w:r>
              <w:t>C</w:t>
            </w:r>
            <w:r w:rsidRPr="00A13D8A">
              <w:t>olonoscopists</w:t>
            </w:r>
            <w:proofErr w:type="spellEnd"/>
            <w:r w:rsidRPr="00A13D8A">
              <w:t xml:space="preserve"> performing</w:t>
            </w:r>
            <w:r w:rsidR="009F787F">
              <w:t xml:space="preserve"> </w:t>
            </w:r>
            <w:r w:rsidRPr="00A13D8A">
              <w:t>polypectomy</w:t>
            </w:r>
          </w:p>
        </w:tc>
        <w:tc>
          <w:tcPr>
            <w:tcW w:w="6946" w:type="dxa"/>
            <w:shd w:val="clear" w:color="auto" w:fill="D9D9D9" w:themeFill="background1" w:themeFillShade="D9"/>
          </w:tcPr>
          <w:p w14:paraId="343F4C40" w14:textId="1C71BAD3" w:rsidR="00F301C7" w:rsidRPr="00E15BE7" w:rsidRDefault="00F301C7" w:rsidP="00E853DD">
            <w:pPr>
              <w:pStyle w:val="TableText"/>
            </w:pPr>
            <w:r w:rsidRPr="00E853DD">
              <w:rPr>
                <w:b/>
                <w:i/>
              </w:rPr>
              <w:t xml:space="preserve">Consensus-based recommendation </w:t>
            </w:r>
            <w:r w:rsidRPr="00E853DD">
              <w:t>(</w:t>
            </w:r>
            <w:proofErr w:type="spellStart"/>
            <w:r w:rsidRPr="00E853DD">
              <w:t>EGGNZa</w:t>
            </w:r>
            <w:proofErr w:type="spellEnd"/>
            <w:r w:rsidR="0074189F">
              <w:t xml:space="preserve"> 2017</w:t>
            </w:r>
            <w:r w:rsidRPr="00E853DD">
              <w:t>)</w:t>
            </w:r>
          </w:p>
          <w:p w14:paraId="7B5CFEA0" w14:textId="77777777" w:rsidR="00F301C7" w:rsidRPr="00E853DD" w:rsidRDefault="00F301C7" w:rsidP="00E853DD">
            <w:pPr>
              <w:pStyle w:val="TableText"/>
            </w:pPr>
            <w:proofErr w:type="spellStart"/>
            <w:r w:rsidRPr="00E853DD">
              <w:t>Colonoscopists</w:t>
            </w:r>
            <w:proofErr w:type="spellEnd"/>
            <w:r w:rsidRPr="00E853DD">
              <w:t xml:space="preserve"> performing colonoscopy for a positive FIT for the NBSP require a minimum competency level 3 to </w:t>
            </w:r>
            <w:r w:rsidRPr="00E853DD">
              <w:rPr>
                <w:rFonts w:cs="Arial"/>
              </w:rPr>
              <w:t>remove smaller flat lesions (&lt;20 mm) that are suitable for endoscopic therapy, larger sessile and polypoid lesions, and smaller lesions with more difficult access. Some flat lesions &lt;20 mm with poor access might be unsuitable for this level.</w:t>
            </w:r>
          </w:p>
          <w:p w14:paraId="39A135FD" w14:textId="77777777" w:rsidR="003B6490" w:rsidRPr="00E853DD" w:rsidRDefault="00F301C7" w:rsidP="00E853DD">
            <w:pPr>
              <w:pStyle w:val="TableText"/>
              <w:rPr>
                <w:rFonts w:cs="Arial"/>
              </w:rPr>
            </w:pPr>
            <w:r w:rsidRPr="00E853DD">
              <w:rPr>
                <w:rFonts w:cs="Arial"/>
              </w:rPr>
              <w:t xml:space="preserve">Level 4 competency is required to remove large flat lesions or other challenging polypoid lesions that might also be treated with surgery. This is the type of lesion that would not be removed at the first colonoscopy because of time constraints, if applicable, or because the surgical option needs to be discussed with the patient. If the patient chooses to have endoscopic therapy, then he/she should be referred to a level 4 competent </w:t>
            </w:r>
            <w:proofErr w:type="spellStart"/>
            <w:r w:rsidRPr="00E853DD">
              <w:rPr>
                <w:rFonts w:cs="Arial"/>
              </w:rPr>
              <w:t>endoscopist</w:t>
            </w:r>
            <w:proofErr w:type="spellEnd"/>
            <w:r w:rsidRPr="00E853DD">
              <w:rPr>
                <w:rFonts w:cs="Arial"/>
              </w:rPr>
              <w:t xml:space="preserve">. This level of competency would be expected of only a small number of regionally based </w:t>
            </w:r>
            <w:proofErr w:type="spellStart"/>
            <w:r w:rsidRPr="00E853DD">
              <w:rPr>
                <w:rFonts w:cs="Arial"/>
              </w:rPr>
              <w:t>colonoscopists</w:t>
            </w:r>
            <w:proofErr w:type="spellEnd"/>
            <w:r w:rsidRPr="00E853DD">
              <w:rPr>
                <w:rFonts w:cs="Arial"/>
              </w:rPr>
              <w:t>.</w:t>
            </w:r>
          </w:p>
          <w:p w14:paraId="78A0FA1B" w14:textId="4CB9B06A" w:rsidR="00F301C7" w:rsidRPr="00E853DD" w:rsidRDefault="00F301C7" w:rsidP="00E853DD">
            <w:pPr>
              <w:pStyle w:val="TableText"/>
            </w:pPr>
            <w:proofErr w:type="spellStart"/>
            <w:r w:rsidRPr="00E853DD">
              <w:t>Colonoscopists</w:t>
            </w:r>
            <w:proofErr w:type="spellEnd"/>
            <w:r w:rsidRPr="00E853DD">
              <w:t xml:space="preserve"> are conversant with and follow international guidelines regarding recommendations for colorectal polypectomy and endoscopic mucosal resection (EMR)</w:t>
            </w:r>
            <w:r w:rsidR="00BF7809">
              <w:rPr>
                <w:rStyle w:val="FootnoteReference"/>
              </w:rPr>
              <w:footnoteReference w:id="46"/>
            </w:r>
            <w:r w:rsidR="00E15BE7">
              <w:t>.</w:t>
            </w:r>
          </w:p>
          <w:p w14:paraId="52A7DDC9" w14:textId="77777777" w:rsidR="00F301C7" w:rsidRPr="00E853DD" w:rsidRDefault="00F301C7" w:rsidP="00E15BE7">
            <w:pPr>
              <w:pStyle w:val="TableText"/>
            </w:pPr>
            <w:proofErr w:type="spellStart"/>
            <w:r w:rsidRPr="00E853DD">
              <w:rPr>
                <w:rFonts w:eastAsia="Calibri"/>
                <w:u w:color="222222"/>
              </w:rPr>
              <w:t>Colonoscopists</w:t>
            </w:r>
            <w:proofErr w:type="spellEnd"/>
            <w:r w:rsidRPr="00E853DD">
              <w:rPr>
                <w:rFonts w:eastAsia="Calibri"/>
                <w:u w:color="222222"/>
              </w:rPr>
              <w:t xml:space="preserve"> consider patient co-morbidities to minimi</w:t>
            </w:r>
            <w:r w:rsidR="00E15BE7">
              <w:rPr>
                <w:rFonts w:eastAsia="Calibri"/>
                <w:u w:color="222222"/>
              </w:rPr>
              <w:t>s</w:t>
            </w:r>
            <w:r w:rsidRPr="00E853DD">
              <w:rPr>
                <w:rFonts w:eastAsia="Calibri"/>
                <w:u w:color="222222"/>
              </w:rPr>
              <w:t>e adverse events when removing large sessile proximal colonic polyps or performing multiple polypectomies (NBSP Colonoscopy Quality Assurance Group)</w:t>
            </w:r>
            <w:r w:rsidR="00E15BE7">
              <w:rPr>
                <w:rFonts w:eastAsia="Calibri"/>
                <w:u w:color="222222"/>
              </w:rPr>
              <w:t>.</w:t>
            </w:r>
          </w:p>
        </w:tc>
      </w:tr>
      <w:tr w:rsidR="00F301C7" w:rsidRPr="00A13D8A" w14:paraId="0A894A09" w14:textId="77777777" w:rsidTr="00564D98">
        <w:tblPrEx>
          <w:shd w:val="clear" w:color="auto" w:fill="auto"/>
        </w:tblPrEx>
        <w:trPr>
          <w:cantSplit/>
        </w:trPr>
        <w:tc>
          <w:tcPr>
            <w:tcW w:w="2410" w:type="dxa"/>
            <w:shd w:val="clear" w:color="auto" w:fill="D9D9D9" w:themeFill="background1" w:themeFillShade="D9"/>
          </w:tcPr>
          <w:p w14:paraId="12F3D68F" w14:textId="77777777" w:rsidR="00F301C7" w:rsidRDefault="00F301C7" w:rsidP="00856D1B">
            <w:pPr>
              <w:pStyle w:val="TableText"/>
              <w:ind w:left="709" w:right="142" w:hanging="709"/>
            </w:pPr>
            <w:r>
              <w:t>R8.09a</w:t>
            </w:r>
            <w:r w:rsidR="00856D1B">
              <w:tab/>
            </w:r>
            <w:r>
              <w:t>Radiologists performing</w:t>
            </w:r>
            <w:r w:rsidR="00271641">
              <w:t xml:space="preserve"> </w:t>
            </w:r>
            <w:r>
              <w:t>CTC</w:t>
            </w:r>
          </w:p>
        </w:tc>
        <w:tc>
          <w:tcPr>
            <w:tcW w:w="6946" w:type="dxa"/>
            <w:shd w:val="clear" w:color="auto" w:fill="D9D9D9" w:themeFill="background1" w:themeFillShade="D9"/>
          </w:tcPr>
          <w:p w14:paraId="2F7AF90D" w14:textId="77777777" w:rsidR="00F301C7" w:rsidRPr="00E853DD" w:rsidRDefault="00F301C7" w:rsidP="00E853DD">
            <w:pPr>
              <w:pStyle w:val="TableText"/>
            </w:pPr>
            <w:r w:rsidRPr="00E853DD">
              <w:rPr>
                <w:b/>
                <w:i/>
              </w:rPr>
              <w:t xml:space="preserve">Consensus-based recommendation </w:t>
            </w:r>
            <w:r w:rsidRPr="00E853DD">
              <w:t>(NBSP CTC)</w:t>
            </w:r>
          </w:p>
          <w:p w14:paraId="1BB13E0B" w14:textId="77777777" w:rsidR="00F301C7" w:rsidRPr="00E853DD" w:rsidRDefault="00F301C7" w:rsidP="00E853DD">
            <w:pPr>
              <w:pStyle w:val="TableText"/>
            </w:pPr>
            <w:r w:rsidRPr="00E853DD">
              <w:t>Radiologists will hold Fellowship of RANZCR (or equivalent) and completed at least one accredited CTC training course</w:t>
            </w:r>
            <w:r w:rsidR="00E15BE7">
              <w:t>.</w:t>
            </w:r>
          </w:p>
          <w:p w14:paraId="79A5E90F" w14:textId="77777777" w:rsidR="00F301C7" w:rsidRPr="00E853DD" w:rsidRDefault="00F301C7" w:rsidP="00E853DD">
            <w:pPr>
              <w:pStyle w:val="TableText"/>
            </w:pPr>
            <w:r w:rsidRPr="00E853DD">
              <w:t>Each site requires a lead screening CTC radiologist with at least two accredited consultant radiologists at each site</w:t>
            </w:r>
            <w:r w:rsidR="00E15BE7">
              <w:t>.</w:t>
            </w:r>
          </w:p>
          <w:p w14:paraId="6CEAE613" w14:textId="77777777" w:rsidR="00F301C7" w:rsidRPr="00E853DD" w:rsidRDefault="00F301C7" w:rsidP="00E853DD">
            <w:pPr>
              <w:pStyle w:val="TableText"/>
            </w:pPr>
            <w:r w:rsidRPr="00E853DD">
              <w:t>Double reading may be indicated particularly when there is uncertainty about interpretation or image quality</w:t>
            </w:r>
            <w:r w:rsidR="00E15BE7">
              <w:t>.</w:t>
            </w:r>
          </w:p>
        </w:tc>
      </w:tr>
      <w:tr w:rsidR="00F301C7" w:rsidRPr="00A13D8A" w14:paraId="618EF35F" w14:textId="77777777" w:rsidTr="00564D98">
        <w:tblPrEx>
          <w:shd w:val="clear" w:color="auto" w:fill="auto"/>
        </w:tblPrEx>
        <w:trPr>
          <w:cantSplit/>
        </w:trPr>
        <w:tc>
          <w:tcPr>
            <w:tcW w:w="2410" w:type="dxa"/>
            <w:shd w:val="clear" w:color="auto" w:fill="F2F2F2" w:themeFill="background1" w:themeFillShade="F2"/>
          </w:tcPr>
          <w:p w14:paraId="4FE9FABC" w14:textId="77777777" w:rsidR="00F301C7" w:rsidRDefault="00F301C7" w:rsidP="00856D1B">
            <w:pPr>
              <w:pStyle w:val="TableText"/>
              <w:ind w:left="709" w:right="142" w:hanging="709"/>
            </w:pPr>
            <w:r>
              <w:t>R8.09b</w:t>
            </w:r>
            <w:r w:rsidR="00856D1B">
              <w:tab/>
            </w:r>
            <w:r>
              <w:t>General principles of CTC</w:t>
            </w:r>
          </w:p>
        </w:tc>
        <w:tc>
          <w:tcPr>
            <w:tcW w:w="6946" w:type="dxa"/>
            <w:shd w:val="clear" w:color="auto" w:fill="F2F2F2" w:themeFill="background1" w:themeFillShade="F2"/>
          </w:tcPr>
          <w:p w14:paraId="5E44D25D" w14:textId="77777777" w:rsidR="00F301C7" w:rsidRPr="00E853DD" w:rsidRDefault="00F301C7" w:rsidP="00E853DD">
            <w:pPr>
              <w:pStyle w:val="TableText"/>
            </w:pPr>
            <w:r w:rsidRPr="00E853DD">
              <w:rPr>
                <w:b/>
                <w:i/>
              </w:rPr>
              <w:t xml:space="preserve">Practice point </w:t>
            </w:r>
            <w:r w:rsidRPr="00E853DD">
              <w:t>(NBSP CTC)</w:t>
            </w:r>
          </w:p>
          <w:p w14:paraId="11473259" w14:textId="77777777" w:rsidR="00F301C7" w:rsidRPr="00E853DD" w:rsidRDefault="00F301C7" w:rsidP="00E853DD">
            <w:pPr>
              <w:pStyle w:val="TableText"/>
            </w:pPr>
            <w:r w:rsidRPr="00E853DD">
              <w:t>CTC is the alternative imaging investigation of choice if OC incomplete or unsuitable for the patient. Barium enema should not be performed. Best practice must be adhered to at screening CTC centres.</w:t>
            </w:r>
          </w:p>
          <w:p w14:paraId="73633DC5" w14:textId="77777777" w:rsidR="00F301C7" w:rsidRPr="00E853DD" w:rsidRDefault="00F301C7" w:rsidP="00E853DD">
            <w:pPr>
              <w:pStyle w:val="TableText"/>
            </w:pPr>
            <w:r w:rsidRPr="00E853DD">
              <w:t>Patients should be provided with appropriate verbal and written information. The consent process should be started by the specialist screening practitioner, who therefore need to be fully informed about CTC.</w:t>
            </w:r>
          </w:p>
          <w:p w14:paraId="4145ACAC" w14:textId="77777777" w:rsidR="00F301C7" w:rsidRPr="00E853DD" w:rsidRDefault="00F301C7" w:rsidP="00E853DD">
            <w:pPr>
              <w:pStyle w:val="TableText"/>
            </w:pPr>
            <w:r w:rsidRPr="00E853DD">
              <w:t>Technical quality of screening CTC should meet the standards required for the NZ</w:t>
            </w:r>
            <w:r w:rsidR="00E15BE7">
              <w:t> </w:t>
            </w:r>
            <w:r w:rsidRPr="00E853DD">
              <w:t>NBSCP.</w:t>
            </w:r>
          </w:p>
          <w:p w14:paraId="28FE10F0" w14:textId="01508A58" w:rsidR="00F301C7" w:rsidRPr="00E853DD" w:rsidRDefault="00F301C7" w:rsidP="00E853DD">
            <w:pPr>
              <w:pStyle w:val="TableText"/>
            </w:pPr>
            <w:r w:rsidRPr="00E853DD">
              <w:t xml:space="preserve">Screening CTC should be performed by MRTs and </w:t>
            </w:r>
            <w:r w:rsidR="00E3277C">
              <w:t>n</w:t>
            </w:r>
            <w:r w:rsidRPr="00E853DD">
              <w:t xml:space="preserve">urse </w:t>
            </w:r>
            <w:r w:rsidR="00E3277C">
              <w:t>r</w:t>
            </w:r>
            <w:r w:rsidRPr="00E853DD">
              <w:t>adiologists who satisfy the profession</w:t>
            </w:r>
            <w:r w:rsidR="00EE0884">
              <w:t>al standards required by the NB</w:t>
            </w:r>
            <w:r w:rsidRPr="00E853DD">
              <w:t>SP.</w:t>
            </w:r>
          </w:p>
          <w:p w14:paraId="35DC817C" w14:textId="77777777" w:rsidR="003B6490" w:rsidRPr="00E853DD" w:rsidRDefault="00F301C7" w:rsidP="00E853DD">
            <w:pPr>
              <w:pStyle w:val="TableText"/>
            </w:pPr>
            <w:r w:rsidRPr="00E853DD">
              <w:t>Departments offering a CTC service to the NBCSP must measure and monitor their activity in relation to patient safety, outcomes and experience. Screening referrals should be via a formally agreed mechanism.</w:t>
            </w:r>
          </w:p>
          <w:p w14:paraId="676031A9" w14:textId="77777777" w:rsidR="00F301C7" w:rsidRPr="00E853DD" w:rsidRDefault="00F301C7" w:rsidP="00E853DD">
            <w:pPr>
              <w:pStyle w:val="TableText"/>
            </w:pPr>
            <w:r w:rsidRPr="00E853DD">
              <w:t>If the CTC can be performed to a high standard at the screening centre but interpretive experience is lacking then CTC data can be transferred to a suitably experience radiologist for reporting or double reporting.</w:t>
            </w:r>
          </w:p>
          <w:p w14:paraId="705E0266" w14:textId="77777777" w:rsidR="00F301C7" w:rsidRPr="00E853DD" w:rsidRDefault="00F301C7" w:rsidP="00E853DD">
            <w:pPr>
              <w:pStyle w:val="TableText"/>
              <w:rPr>
                <w:sz w:val="16"/>
                <w:szCs w:val="28"/>
              </w:rPr>
            </w:pPr>
            <w:r w:rsidRPr="00E853DD">
              <w:t>A team approach is critical to the success of CTC. The skills and competencies of team members should be clearly defined in the screening centres protocols.</w:t>
            </w:r>
          </w:p>
        </w:tc>
      </w:tr>
    </w:tbl>
    <w:p w14:paraId="441B6824" w14:textId="77777777" w:rsidR="00F301C7" w:rsidRDefault="00F301C7" w:rsidP="009F787F"/>
    <w:p w14:paraId="6A7704BE" w14:textId="77777777" w:rsidR="00F301C7" w:rsidRPr="00A251B8" w:rsidRDefault="00F301C7" w:rsidP="009F787F">
      <w:pPr>
        <w:pStyle w:val="Heading3"/>
      </w:pPr>
      <w:r w:rsidRPr="00A251B8">
        <w:lastRenderedPageBreak/>
        <w:t>Recommendation: Colonoscopy report information</w:t>
      </w:r>
    </w:p>
    <w:tbl>
      <w:tblPr>
        <w:tblW w:w="0" w:type="auto"/>
        <w:tblInd w:w="57" w:type="dxa"/>
        <w:tblBorders>
          <w:top w:val="single" w:sz="4" w:space="0" w:color="auto"/>
          <w:bottom w:val="single" w:sz="4" w:space="0" w:color="auto"/>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2410"/>
        <w:gridCol w:w="6946"/>
      </w:tblGrid>
      <w:tr w:rsidR="00F301C7" w:rsidRPr="00662588" w14:paraId="28944C5E" w14:textId="77777777" w:rsidTr="00564D98">
        <w:trPr>
          <w:cantSplit/>
        </w:trPr>
        <w:tc>
          <w:tcPr>
            <w:tcW w:w="2410" w:type="dxa"/>
            <w:shd w:val="clear" w:color="auto" w:fill="F2F2F2" w:themeFill="background1" w:themeFillShade="F2"/>
          </w:tcPr>
          <w:p w14:paraId="72FDDACA" w14:textId="77777777" w:rsidR="00F301C7" w:rsidRPr="00662588" w:rsidRDefault="00F301C7" w:rsidP="00856D1B">
            <w:pPr>
              <w:pStyle w:val="TableText"/>
              <w:ind w:left="709" w:right="142" w:hanging="709"/>
            </w:pPr>
            <w:r>
              <w:t>R8.10</w:t>
            </w:r>
            <w:r w:rsidR="00856D1B">
              <w:tab/>
            </w:r>
            <w:r>
              <w:t>Information in colonoscopy</w:t>
            </w:r>
            <w:r w:rsidR="00271641">
              <w:t xml:space="preserve"> </w:t>
            </w:r>
            <w:r>
              <w:t>report</w:t>
            </w:r>
          </w:p>
        </w:tc>
        <w:tc>
          <w:tcPr>
            <w:tcW w:w="6946" w:type="dxa"/>
            <w:shd w:val="clear" w:color="auto" w:fill="F2F2F2" w:themeFill="background1" w:themeFillShade="F2"/>
          </w:tcPr>
          <w:p w14:paraId="0FBF7B8F" w14:textId="77777777" w:rsidR="00F301C7" w:rsidRPr="00E15BE7" w:rsidRDefault="00F301C7" w:rsidP="00E853DD">
            <w:pPr>
              <w:pStyle w:val="TableText"/>
            </w:pPr>
            <w:r w:rsidRPr="00E853DD">
              <w:rPr>
                <w:b/>
                <w:i/>
              </w:rPr>
              <w:t xml:space="preserve">Practice point </w:t>
            </w:r>
            <w:r w:rsidRPr="00E853DD">
              <w:t xml:space="preserve">(NBSP; </w:t>
            </w:r>
            <w:proofErr w:type="spellStart"/>
            <w:r w:rsidRPr="00E853DD">
              <w:t>EGGNZa</w:t>
            </w:r>
            <w:proofErr w:type="spellEnd"/>
            <w:r w:rsidRPr="00E853DD">
              <w:t>, b)</w:t>
            </w:r>
          </w:p>
          <w:p w14:paraId="3FF3E04F" w14:textId="77777777" w:rsidR="00F301C7" w:rsidRPr="00E853DD" w:rsidRDefault="00F301C7" w:rsidP="00E15BE7">
            <w:pPr>
              <w:pStyle w:val="TableText"/>
              <w:rPr>
                <w:rFonts w:eastAsia="Calibri"/>
              </w:rPr>
            </w:pPr>
            <w:r w:rsidRPr="00E853DD">
              <w:rPr>
                <w:rFonts w:eastAsia="Calibri"/>
              </w:rPr>
              <w:t>Information included in colonoscopy report</w:t>
            </w:r>
            <w:r w:rsidR="00E15BE7">
              <w:rPr>
                <w:rFonts w:eastAsia="Calibri"/>
              </w:rPr>
              <w:t>:</w:t>
            </w:r>
          </w:p>
          <w:p w14:paraId="09F11BDB" w14:textId="77777777" w:rsidR="00F301C7" w:rsidRPr="00E853DD" w:rsidRDefault="00E15BE7" w:rsidP="00E15BE7">
            <w:pPr>
              <w:pStyle w:val="TableBullet"/>
              <w:rPr>
                <w:rFonts w:eastAsia="Calibri"/>
              </w:rPr>
            </w:pPr>
            <w:r>
              <w:rPr>
                <w:rFonts w:eastAsia="Calibri"/>
              </w:rPr>
              <w:t>i</w:t>
            </w:r>
            <w:r w:rsidR="00F301C7" w:rsidRPr="00E853DD">
              <w:rPr>
                <w:rFonts w:eastAsia="Calibri"/>
              </w:rPr>
              <w:t>ndication is an NBSP procedure following a positive FIT</w:t>
            </w:r>
          </w:p>
          <w:p w14:paraId="01C65C48" w14:textId="77777777" w:rsidR="003B6490" w:rsidRPr="00E853DD" w:rsidRDefault="00E15BE7" w:rsidP="00E15BE7">
            <w:pPr>
              <w:pStyle w:val="TableBullet"/>
              <w:rPr>
                <w:rFonts w:eastAsia="Calibri"/>
              </w:rPr>
            </w:pPr>
            <w:r>
              <w:rPr>
                <w:rFonts w:eastAsia="Calibri"/>
              </w:rPr>
              <w:t>c</w:t>
            </w:r>
            <w:r w:rsidR="00F301C7" w:rsidRPr="00E853DD">
              <w:rPr>
                <w:rFonts w:eastAsia="Calibri"/>
              </w:rPr>
              <w:t>omorbidities are documented</w:t>
            </w:r>
          </w:p>
          <w:p w14:paraId="31CEE0B7" w14:textId="77777777" w:rsidR="00F301C7" w:rsidRPr="00E853DD" w:rsidRDefault="00E15BE7" w:rsidP="00E15BE7">
            <w:pPr>
              <w:pStyle w:val="TableBullet"/>
              <w:rPr>
                <w:rFonts w:eastAsia="Calibri"/>
              </w:rPr>
            </w:pPr>
            <w:r>
              <w:rPr>
                <w:rFonts w:eastAsia="Calibri"/>
              </w:rPr>
              <w:t>a</w:t>
            </w:r>
            <w:r w:rsidR="00F301C7" w:rsidRPr="00E853DD">
              <w:rPr>
                <w:rFonts w:eastAsia="Calibri"/>
              </w:rPr>
              <w:t>dverse events before or during colonoscopy are documented</w:t>
            </w:r>
          </w:p>
          <w:p w14:paraId="688FACEA" w14:textId="77777777" w:rsidR="00F301C7" w:rsidRPr="00E853DD" w:rsidRDefault="00E15BE7" w:rsidP="00E15BE7">
            <w:pPr>
              <w:pStyle w:val="TableBullet"/>
              <w:rPr>
                <w:rFonts w:eastAsia="Calibri"/>
              </w:rPr>
            </w:pPr>
            <w:r>
              <w:rPr>
                <w:rFonts w:eastAsia="Calibri"/>
              </w:rPr>
              <w:t>f</w:t>
            </w:r>
            <w:r w:rsidR="00F301C7" w:rsidRPr="00E853DD">
              <w:rPr>
                <w:rFonts w:eastAsia="Calibri"/>
              </w:rPr>
              <w:t>amily history field is completed and outcome of family history assessment (see R</w:t>
            </w:r>
            <w:r>
              <w:rPr>
                <w:rFonts w:eastAsia="Calibri"/>
              </w:rPr>
              <w:t> </w:t>
            </w:r>
            <w:r w:rsidR="00F301C7" w:rsidRPr="00E853DD">
              <w:rPr>
                <w:rFonts w:eastAsia="Calibri"/>
              </w:rPr>
              <w:t>6.15)</w:t>
            </w:r>
          </w:p>
          <w:p w14:paraId="6AE97515" w14:textId="77777777" w:rsidR="00F301C7" w:rsidRPr="00E853DD" w:rsidRDefault="00E15BE7" w:rsidP="00E15BE7">
            <w:pPr>
              <w:pStyle w:val="TableBullet"/>
              <w:rPr>
                <w:rFonts w:eastAsia="Calibri"/>
              </w:rPr>
            </w:pPr>
            <w:r>
              <w:rPr>
                <w:rFonts w:eastAsia="Calibri"/>
              </w:rPr>
              <w:t>n</w:t>
            </w:r>
            <w:r w:rsidR="00F301C7" w:rsidRPr="00E853DD">
              <w:rPr>
                <w:rFonts w:eastAsia="Calibri"/>
              </w:rPr>
              <w:t>umber, size and location of polyps or colorectal pathology clearly recorded</w:t>
            </w:r>
          </w:p>
          <w:p w14:paraId="193D8BEF" w14:textId="77777777" w:rsidR="00F301C7" w:rsidRPr="00E853DD" w:rsidRDefault="00E15BE7" w:rsidP="00E15BE7">
            <w:pPr>
              <w:pStyle w:val="TableBullet"/>
              <w:rPr>
                <w:rFonts w:eastAsia="Calibri"/>
              </w:rPr>
            </w:pPr>
            <w:r>
              <w:rPr>
                <w:rFonts w:eastAsia="Calibri"/>
              </w:rPr>
              <w:t>p</w:t>
            </w:r>
            <w:r w:rsidR="00F301C7" w:rsidRPr="00E853DD">
              <w:rPr>
                <w:rFonts w:eastAsia="Calibri"/>
              </w:rPr>
              <w:t>olypectomy method</w:t>
            </w:r>
          </w:p>
          <w:p w14:paraId="692E197A" w14:textId="77777777" w:rsidR="00F301C7" w:rsidRPr="00E853DD" w:rsidRDefault="00E15BE7" w:rsidP="00E15BE7">
            <w:pPr>
              <w:pStyle w:val="TableBullet"/>
            </w:pPr>
            <w:r>
              <w:rPr>
                <w:rFonts w:eastAsia="Calibri"/>
              </w:rPr>
              <w:t>any other interventions.</w:t>
            </w:r>
          </w:p>
        </w:tc>
      </w:tr>
      <w:tr w:rsidR="00F301C7" w:rsidRPr="00B83DCA" w14:paraId="50C2C083" w14:textId="77777777" w:rsidTr="00564D98">
        <w:trPr>
          <w:cantSplit/>
        </w:trPr>
        <w:tc>
          <w:tcPr>
            <w:tcW w:w="2410" w:type="dxa"/>
            <w:shd w:val="clear" w:color="auto" w:fill="F2F2F2" w:themeFill="background1" w:themeFillShade="F2"/>
          </w:tcPr>
          <w:p w14:paraId="5C426CF7" w14:textId="77777777" w:rsidR="00F301C7" w:rsidRPr="00B83DCA" w:rsidRDefault="00F301C7" w:rsidP="00856D1B">
            <w:pPr>
              <w:pStyle w:val="TableText"/>
              <w:ind w:left="709" w:right="142" w:hanging="709"/>
            </w:pPr>
            <w:r w:rsidRPr="00B83DCA">
              <w:t>R8.10a</w:t>
            </w:r>
            <w:r w:rsidR="00856D1B">
              <w:tab/>
            </w:r>
            <w:r w:rsidRPr="00B83DCA">
              <w:t>Information for a</w:t>
            </w:r>
            <w:r w:rsidR="00271641">
              <w:t xml:space="preserve"> </w:t>
            </w:r>
            <w:r w:rsidRPr="00B83DCA">
              <w:t>histopathology request</w:t>
            </w:r>
          </w:p>
        </w:tc>
        <w:tc>
          <w:tcPr>
            <w:tcW w:w="6946" w:type="dxa"/>
            <w:shd w:val="clear" w:color="auto" w:fill="F2F2F2" w:themeFill="background1" w:themeFillShade="F2"/>
          </w:tcPr>
          <w:p w14:paraId="7C853E19" w14:textId="1357EA70" w:rsidR="00F301C7" w:rsidRPr="00E15BE7" w:rsidRDefault="00F301C7" w:rsidP="00E853DD">
            <w:pPr>
              <w:pStyle w:val="TableText"/>
            </w:pPr>
            <w:r w:rsidRPr="00E853DD">
              <w:rPr>
                <w:b/>
                <w:i/>
              </w:rPr>
              <w:t xml:space="preserve">Practice point </w:t>
            </w:r>
            <w:r w:rsidR="003858DB">
              <w:t>(NBSP</w:t>
            </w:r>
            <w:r w:rsidRPr="00E853DD">
              <w:t>)</w:t>
            </w:r>
          </w:p>
          <w:p w14:paraId="1031BD3F" w14:textId="77777777" w:rsidR="003858DB" w:rsidRDefault="00680889" w:rsidP="003858DB">
            <w:pPr>
              <w:pStyle w:val="TableBullet"/>
              <w:numPr>
                <w:ilvl w:val="0"/>
                <w:numId w:val="0"/>
              </w:numPr>
              <w:rPr>
                <w:rFonts w:eastAsia="Arial Unicode MS"/>
              </w:rPr>
            </w:pPr>
            <w:r>
              <w:rPr>
                <w:rFonts w:eastAsia="Arial Unicode MS"/>
              </w:rPr>
              <w:t>I</w:t>
            </w:r>
            <w:r w:rsidR="00F301C7" w:rsidRPr="00E853DD">
              <w:rPr>
                <w:rFonts w:eastAsia="Arial Unicode MS"/>
              </w:rPr>
              <w:t>nformation on the histology request form includes</w:t>
            </w:r>
            <w:r w:rsidR="003858DB">
              <w:rPr>
                <w:rFonts w:eastAsia="Arial Unicode MS"/>
              </w:rPr>
              <w:t>:</w:t>
            </w:r>
          </w:p>
          <w:p w14:paraId="018D2D15" w14:textId="77777777" w:rsidR="00F301C7" w:rsidRDefault="00F301C7" w:rsidP="003858DB">
            <w:pPr>
              <w:pStyle w:val="TableBullet"/>
              <w:numPr>
                <w:ilvl w:val="0"/>
                <w:numId w:val="87"/>
              </w:numPr>
              <w:rPr>
                <w:rFonts w:eastAsia="Arial Unicode MS"/>
              </w:rPr>
            </w:pPr>
            <w:r w:rsidRPr="00E853DD">
              <w:rPr>
                <w:rFonts w:eastAsia="Arial Unicode MS"/>
              </w:rPr>
              <w:t>for each polyp in a separate pot, the pathology pot number and the location, size and shape of the polyp</w:t>
            </w:r>
            <w:r w:rsidR="00E15BE7">
              <w:rPr>
                <w:rFonts w:eastAsia="Arial Unicode MS"/>
              </w:rPr>
              <w:t>.</w:t>
            </w:r>
          </w:p>
          <w:p w14:paraId="1EAC3D92" w14:textId="6D8931C5" w:rsidR="003858DB" w:rsidRPr="00E853DD" w:rsidRDefault="003858DB" w:rsidP="003858DB">
            <w:pPr>
              <w:pStyle w:val="TableBullet"/>
              <w:numPr>
                <w:ilvl w:val="0"/>
                <w:numId w:val="87"/>
              </w:numPr>
              <w:rPr>
                <w:rFonts w:eastAsia="Arial Unicode MS"/>
              </w:rPr>
            </w:pPr>
            <w:r>
              <w:rPr>
                <w:rFonts w:eastAsia="Arial Unicode MS"/>
              </w:rPr>
              <w:t>Relevant clinical information</w:t>
            </w:r>
          </w:p>
        </w:tc>
      </w:tr>
    </w:tbl>
    <w:p w14:paraId="5A603D73" w14:textId="5F35E616" w:rsidR="00F301C7" w:rsidRDefault="00F301C7" w:rsidP="009F787F"/>
    <w:p w14:paraId="39225924" w14:textId="77777777" w:rsidR="00F301C7" w:rsidRDefault="00F301C7" w:rsidP="009F787F">
      <w:pPr>
        <w:pStyle w:val="Heading3"/>
      </w:pPr>
      <w:r w:rsidRPr="00641633">
        <w:t>Recommendation: Incomplete colonoscopy – referral for CTC</w:t>
      </w:r>
    </w:p>
    <w:tbl>
      <w:tblPr>
        <w:tblW w:w="0" w:type="auto"/>
        <w:tblInd w:w="57" w:type="dxa"/>
        <w:tblBorders>
          <w:top w:val="single" w:sz="4" w:space="0" w:color="auto"/>
          <w:bottom w:val="single" w:sz="4" w:space="0" w:color="auto"/>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2410"/>
        <w:gridCol w:w="6946"/>
      </w:tblGrid>
      <w:tr w:rsidR="00F301C7" w:rsidRPr="00662588" w14:paraId="0A600885" w14:textId="77777777" w:rsidTr="00564D98">
        <w:trPr>
          <w:cantSplit/>
        </w:trPr>
        <w:tc>
          <w:tcPr>
            <w:tcW w:w="2410" w:type="dxa"/>
            <w:shd w:val="clear" w:color="auto" w:fill="F2F2F2" w:themeFill="background1" w:themeFillShade="F2"/>
          </w:tcPr>
          <w:p w14:paraId="75C29749" w14:textId="77777777" w:rsidR="00F301C7" w:rsidRPr="00662588" w:rsidRDefault="00F301C7" w:rsidP="00856D1B">
            <w:pPr>
              <w:pStyle w:val="TableText"/>
              <w:ind w:left="709" w:right="142" w:hanging="709"/>
            </w:pPr>
            <w:r>
              <w:t>R8.11</w:t>
            </w:r>
            <w:r w:rsidR="00856D1B">
              <w:tab/>
            </w:r>
            <w:r>
              <w:t>Referral for CTC</w:t>
            </w:r>
          </w:p>
        </w:tc>
        <w:tc>
          <w:tcPr>
            <w:tcW w:w="6946" w:type="dxa"/>
            <w:shd w:val="clear" w:color="auto" w:fill="F2F2F2" w:themeFill="background1" w:themeFillShade="F2"/>
          </w:tcPr>
          <w:p w14:paraId="4532CA39" w14:textId="77777777" w:rsidR="00F301C7" w:rsidRPr="00E853DD" w:rsidRDefault="00F301C7" w:rsidP="00E853DD">
            <w:pPr>
              <w:pStyle w:val="TableText"/>
              <w:rPr>
                <w:iCs/>
              </w:rPr>
            </w:pPr>
            <w:r w:rsidRPr="00E15BE7">
              <w:rPr>
                <w:b/>
                <w:i/>
              </w:rPr>
              <w:t>Practice point</w:t>
            </w:r>
            <w:r w:rsidRPr="00E853DD">
              <w:t xml:space="preserve"> (NBSP, NBSP CT)</w:t>
            </w:r>
          </w:p>
          <w:p w14:paraId="4884CC8A" w14:textId="77777777" w:rsidR="00F301C7" w:rsidRPr="00E853DD" w:rsidRDefault="00F301C7" w:rsidP="00E853DD">
            <w:pPr>
              <w:pStyle w:val="TableText"/>
              <w:rPr>
                <w:rFonts w:eastAsia="Arial Unicode MS" w:cs="Arial Unicode MS"/>
              </w:rPr>
            </w:pPr>
            <w:r w:rsidRPr="00E853DD">
              <w:t>Participants with an incomplete colonoscopy and requiring a CTC have the procedure within ten working days from when they have an incomplete colonoscopy</w:t>
            </w:r>
            <w:r w:rsidR="00E15BE7">
              <w:t>.</w:t>
            </w:r>
            <w:r w:rsidRPr="00E15BE7">
              <w:rPr>
                <w:rStyle w:val="FootnoteReference"/>
              </w:rPr>
              <w:footnoteReference w:id="47"/>
            </w:r>
            <w:r w:rsidRPr="00E853DD">
              <w:rPr>
                <w:rFonts w:eastAsia="Arial Unicode MS" w:cs="Arial Unicode MS"/>
              </w:rPr>
              <w:t xml:space="preserve"> The exception being if they have had a polypectomy as part of the failed colonoscopy and would therefore need to delay the CTC for &gt;30 days</w:t>
            </w:r>
            <w:r w:rsidR="00E15BE7">
              <w:rPr>
                <w:rFonts w:eastAsia="Arial Unicode MS" w:cs="Arial Unicode MS"/>
              </w:rPr>
              <w:t>.</w:t>
            </w:r>
          </w:p>
          <w:p w14:paraId="29A7B030" w14:textId="38223706" w:rsidR="00F301C7" w:rsidRPr="00E853DD" w:rsidRDefault="00F301C7" w:rsidP="00E15BE7">
            <w:pPr>
              <w:pStyle w:val="TableBullet"/>
            </w:pPr>
            <w:r w:rsidRPr="00E853DD">
              <w:t xml:space="preserve">Participants with an incomplete colonoscopy a may be rebooked at the discretion of the </w:t>
            </w:r>
            <w:proofErr w:type="spellStart"/>
            <w:r w:rsidRPr="00E853DD">
              <w:t>colonoscopist</w:t>
            </w:r>
            <w:proofErr w:type="spellEnd"/>
            <w:r w:rsidRPr="00E853DD">
              <w:t xml:space="preserve"> for a repeat procedure with a different </w:t>
            </w:r>
            <w:proofErr w:type="spellStart"/>
            <w:r w:rsidRPr="00E853DD">
              <w:t>colonoscope</w:t>
            </w:r>
            <w:proofErr w:type="spellEnd"/>
            <w:r w:rsidR="0016219F">
              <w:t>,</w:t>
            </w:r>
            <w:r w:rsidRPr="00E853DD">
              <w:t xml:space="preserve"> </w:t>
            </w:r>
            <w:r w:rsidR="003B1019" w:rsidRPr="00E853DD">
              <w:t>e.g.</w:t>
            </w:r>
            <w:r w:rsidR="0016219F">
              <w:t>,</w:t>
            </w:r>
            <w:r w:rsidRPr="00E853DD">
              <w:t xml:space="preserve"> smaller diameter (if not already attempted).</w:t>
            </w:r>
          </w:p>
          <w:p w14:paraId="211EE40D" w14:textId="77777777" w:rsidR="00F301C7" w:rsidRPr="00E853DD" w:rsidRDefault="00F301C7" w:rsidP="00E15BE7">
            <w:pPr>
              <w:pStyle w:val="TableBullet"/>
            </w:pPr>
            <w:r w:rsidRPr="00E853DD">
              <w:t xml:space="preserve">A CTC may be preferred if the </w:t>
            </w:r>
            <w:proofErr w:type="spellStart"/>
            <w:r w:rsidRPr="00E853DD">
              <w:t>colonoscopist</w:t>
            </w:r>
            <w:proofErr w:type="spellEnd"/>
            <w:r w:rsidRPr="00E853DD">
              <w:t xml:space="preserve"> has managed to examine most of the bowel and has not found any polyps.</w:t>
            </w:r>
          </w:p>
          <w:p w14:paraId="391F8C8E" w14:textId="77777777" w:rsidR="00F301C7" w:rsidRPr="00E853DD" w:rsidRDefault="00F301C7" w:rsidP="0016219F">
            <w:pPr>
              <w:pStyle w:val="TableBullet"/>
            </w:pPr>
            <w:r w:rsidRPr="00E853DD">
              <w:t>A GA colonoscopy may be preferred if polyps have been detected because of the likelihood of further polyps being present.</w:t>
            </w:r>
          </w:p>
        </w:tc>
      </w:tr>
    </w:tbl>
    <w:p w14:paraId="21337D22" w14:textId="77777777" w:rsidR="00F301C7" w:rsidRDefault="00F301C7" w:rsidP="009F787F"/>
    <w:p w14:paraId="4F543846" w14:textId="77777777" w:rsidR="00F301C7" w:rsidRPr="00A251B8" w:rsidRDefault="00F301C7" w:rsidP="009F787F">
      <w:pPr>
        <w:pStyle w:val="Heading3"/>
      </w:pPr>
      <w:r>
        <w:t>Recommendation: Did not attend colonoscopy</w:t>
      </w:r>
    </w:p>
    <w:tbl>
      <w:tblPr>
        <w:tblW w:w="0" w:type="auto"/>
        <w:tblInd w:w="57" w:type="dxa"/>
        <w:tblBorders>
          <w:top w:val="single" w:sz="4" w:space="0" w:color="auto"/>
          <w:bottom w:val="single" w:sz="4" w:space="0" w:color="auto"/>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2410"/>
        <w:gridCol w:w="6804"/>
      </w:tblGrid>
      <w:tr w:rsidR="00F301C7" w:rsidRPr="00653D62" w14:paraId="5ABE4E9E" w14:textId="77777777" w:rsidTr="00564D98">
        <w:trPr>
          <w:cantSplit/>
        </w:trPr>
        <w:tc>
          <w:tcPr>
            <w:tcW w:w="2410" w:type="dxa"/>
            <w:shd w:val="clear" w:color="auto" w:fill="F2F2F2" w:themeFill="background1" w:themeFillShade="F2"/>
          </w:tcPr>
          <w:p w14:paraId="6CFFB4BC" w14:textId="77777777" w:rsidR="00F301C7" w:rsidRDefault="00F301C7" w:rsidP="00856D1B">
            <w:pPr>
              <w:pStyle w:val="TableText"/>
              <w:ind w:left="709" w:right="142" w:hanging="709"/>
            </w:pPr>
            <w:r>
              <w:t>R8.12</w:t>
            </w:r>
            <w:r w:rsidR="00856D1B">
              <w:tab/>
            </w:r>
            <w:r>
              <w:t>Did not attend (DNA)</w:t>
            </w:r>
            <w:r w:rsidR="00271641">
              <w:t xml:space="preserve"> </w:t>
            </w:r>
            <w:r w:rsidR="00856D1B">
              <w:t>c</w:t>
            </w:r>
            <w:r>
              <w:t>olonoscopy</w:t>
            </w:r>
          </w:p>
        </w:tc>
        <w:tc>
          <w:tcPr>
            <w:tcW w:w="6804" w:type="dxa"/>
            <w:shd w:val="clear" w:color="auto" w:fill="F2F2F2" w:themeFill="background1" w:themeFillShade="F2"/>
          </w:tcPr>
          <w:p w14:paraId="28C5924D" w14:textId="77777777" w:rsidR="00F301C7" w:rsidRPr="00E853DD" w:rsidRDefault="00F301C7" w:rsidP="00E853DD">
            <w:pPr>
              <w:pStyle w:val="TableText"/>
              <w:rPr>
                <w:iCs/>
              </w:rPr>
            </w:pPr>
            <w:r w:rsidRPr="0016219F">
              <w:rPr>
                <w:b/>
                <w:i/>
              </w:rPr>
              <w:t>Practice point</w:t>
            </w:r>
            <w:r w:rsidRPr="00E853DD">
              <w:t xml:space="preserve"> (NBSP)</w:t>
            </w:r>
          </w:p>
          <w:p w14:paraId="3E8A4D25" w14:textId="77777777" w:rsidR="00F301C7" w:rsidRPr="00E853DD" w:rsidRDefault="00F301C7" w:rsidP="0016219F">
            <w:pPr>
              <w:pStyle w:val="TableText"/>
            </w:pPr>
            <w:r w:rsidRPr="00E853DD">
              <w:t>Participants who DNA for their colonoscopy appointment are</w:t>
            </w:r>
            <w:r w:rsidR="0016219F">
              <w:t xml:space="preserve"> </w:t>
            </w:r>
            <w:r w:rsidRPr="00E853DD">
              <w:t>actively followed up by the colonoscopy unit for a rescheduled</w:t>
            </w:r>
            <w:r w:rsidR="0016219F">
              <w:t xml:space="preserve"> </w:t>
            </w:r>
            <w:r w:rsidRPr="00E853DD">
              <w:t>appointment in accordance with DNA protocol</w:t>
            </w:r>
            <w:r w:rsidR="0016219F">
              <w:t>.</w:t>
            </w:r>
          </w:p>
        </w:tc>
      </w:tr>
    </w:tbl>
    <w:p w14:paraId="51DAFCDB" w14:textId="77777777" w:rsidR="009F787F" w:rsidRDefault="009F787F" w:rsidP="009F787F"/>
    <w:p w14:paraId="59234841" w14:textId="77777777" w:rsidR="00F301C7" w:rsidRPr="0035570B" w:rsidRDefault="00F301C7" w:rsidP="009F787F">
      <w:pPr>
        <w:pStyle w:val="Heading3"/>
      </w:pPr>
      <w:r>
        <w:rPr>
          <w:color w:val="000000"/>
        </w:rPr>
        <w:lastRenderedPageBreak/>
        <w:t xml:space="preserve">Recommendations: </w:t>
      </w:r>
      <w:r w:rsidRPr="00E503B4">
        <w:t>Assessment of family</w:t>
      </w:r>
      <w:r w:rsidR="00E853DD">
        <w:t xml:space="preserve"> history at time of colonoscopy</w:t>
      </w:r>
    </w:p>
    <w:tbl>
      <w:tblPr>
        <w:tblW w:w="9413" w:type="dxa"/>
        <w:tblInd w:w="57" w:type="dxa"/>
        <w:tblBorders>
          <w:top w:val="single" w:sz="4" w:space="0" w:color="auto"/>
          <w:bottom w:val="single" w:sz="4" w:space="0" w:color="auto"/>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2410"/>
        <w:gridCol w:w="7003"/>
      </w:tblGrid>
      <w:tr w:rsidR="00F301C7" w:rsidRPr="00BD48DA" w14:paraId="63EB1B88" w14:textId="77777777" w:rsidTr="00564D98">
        <w:trPr>
          <w:cantSplit/>
        </w:trPr>
        <w:tc>
          <w:tcPr>
            <w:tcW w:w="2410" w:type="dxa"/>
            <w:shd w:val="clear" w:color="auto" w:fill="F2F2F2" w:themeFill="background1" w:themeFillShade="F2"/>
          </w:tcPr>
          <w:p w14:paraId="3997D8A1" w14:textId="77777777" w:rsidR="00F301C7" w:rsidRPr="00BD48DA" w:rsidRDefault="00F301C7" w:rsidP="00856D1B">
            <w:pPr>
              <w:pStyle w:val="TableText"/>
              <w:ind w:left="709" w:right="142" w:hanging="709"/>
            </w:pPr>
            <w:r>
              <w:t>R8.13</w:t>
            </w:r>
            <w:r w:rsidR="00856D1B">
              <w:tab/>
            </w:r>
            <w:r>
              <w:t>Family history – assessing</w:t>
            </w:r>
            <w:r w:rsidR="00271641">
              <w:t xml:space="preserve"> </w:t>
            </w:r>
            <w:r>
              <w:t>risk</w:t>
            </w:r>
          </w:p>
        </w:tc>
        <w:tc>
          <w:tcPr>
            <w:tcW w:w="7003" w:type="dxa"/>
            <w:shd w:val="clear" w:color="auto" w:fill="F2F2F2" w:themeFill="background1" w:themeFillShade="F2"/>
          </w:tcPr>
          <w:p w14:paraId="115E6B5D" w14:textId="77777777" w:rsidR="00F301C7" w:rsidRPr="00E853DD" w:rsidRDefault="00F301C7" w:rsidP="00E853DD">
            <w:pPr>
              <w:pStyle w:val="TableText"/>
              <w:rPr>
                <w:iCs/>
              </w:rPr>
            </w:pPr>
            <w:r w:rsidRPr="0016219F">
              <w:rPr>
                <w:b/>
                <w:i/>
              </w:rPr>
              <w:t>Practice point</w:t>
            </w:r>
            <w:r w:rsidRPr="00E853DD">
              <w:t xml:space="preserve"> (NZGG 2011)</w:t>
            </w:r>
          </w:p>
          <w:p w14:paraId="6E497E36" w14:textId="77777777" w:rsidR="003B6490" w:rsidRPr="00E853DD" w:rsidRDefault="00833DA5" w:rsidP="00E853DD">
            <w:pPr>
              <w:pStyle w:val="TableText"/>
            </w:pPr>
            <w:r>
              <w:t>The Family History</w:t>
            </w:r>
            <w:r w:rsidR="00F301C7" w:rsidRPr="00E853DD">
              <w:t xml:space="preserve"> questionnaire completed at pre-assessment should be presented to the </w:t>
            </w:r>
            <w:proofErr w:type="spellStart"/>
            <w:r w:rsidR="00F301C7" w:rsidRPr="00E853DD">
              <w:t>colonoscopist</w:t>
            </w:r>
            <w:proofErr w:type="spellEnd"/>
            <w:r w:rsidR="00F301C7" w:rsidRPr="00E853DD">
              <w:t xml:space="preserve"> at the time of colonoscopy.</w:t>
            </w:r>
          </w:p>
          <w:p w14:paraId="147BDD00" w14:textId="77777777" w:rsidR="00F301C7" w:rsidRPr="00E853DD" w:rsidRDefault="00F301C7" w:rsidP="00E853DD">
            <w:pPr>
              <w:pStyle w:val="TableText"/>
            </w:pPr>
            <w:r w:rsidRPr="00E853DD">
              <w:t>The questionnaire is designed to identify participants who on the basis of their family history are:</w:t>
            </w:r>
          </w:p>
          <w:p w14:paraId="6ED9F462" w14:textId="77777777" w:rsidR="00F301C7" w:rsidRPr="00E853DD" w:rsidRDefault="00F301C7" w:rsidP="0016219F">
            <w:pPr>
              <w:pStyle w:val="TableBullet"/>
            </w:pPr>
            <w:r w:rsidRPr="00E853DD">
              <w:t>at moderately increased risk and should therefore be offered ongoing surveillance and removed from the NBSP or</w:t>
            </w:r>
          </w:p>
          <w:p w14:paraId="3A8133F6" w14:textId="77777777" w:rsidR="003B6490" w:rsidRPr="00E853DD" w:rsidRDefault="00F301C7" w:rsidP="0016219F">
            <w:pPr>
              <w:pStyle w:val="TableBullet"/>
              <w:rPr>
                <w:rFonts w:eastAsia="Calibri" w:cs="Calibri"/>
              </w:rPr>
            </w:pPr>
            <w:r w:rsidRPr="00E853DD">
              <w:t>are at potentially high risk of developing bowel cancer and should be referred</w:t>
            </w:r>
            <w:r w:rsidRPr="00E853DD" w:rsidDel="0071076D">
              <w:t xml:space="preserve"> </w:t>
            </w:r>
            <w:r w:rsidRPr="00E853DD">
              <w:t xml:space="preserve">(with participant consent) by the </w:t>
            </w:r>
            <w:proofErr w:type="spellStart"/>
            <w:r w:rsidRPr="00E853DD">
              <w:t>colonoscopist</w:t>
            </w:r>
            <w:proofErr w:type="spellEnd"/>
            <w:r w:rsidRPr="00E853DD">
              <w:t>, to the New Zealand Familial Gastrointestinal Service</w:t>
            </w:r>
            <w:r w:rsidR="0016219F">
              <w:t>.</w:t>
            </w:r>
            <w:r w:rsidRPr="0016219F">
              <w:rPr>
                <w:rStyle w:val="FootnoteReference"/>
              </w:rPr>
              <w:footnoteReference w:id="48"/>
            </w:r>
          </w:p>
          <w:p w14:paraId="09B32EA0" w14:textId="77777777" w:rsidR="003B6490" w:rsidRPr="00E853DD" w:rsidRDefault="00F301C7" w:rsidP="00E853DD">
            <w:pPr>
              <w:pStyle w:val="TableText"/>
            </w:pPr>
            <w:r w:rsidRPr="00E853DD">
              <w:t>Outcome of the family history assessment should be documented in the colonoscopy report</w:t>
            </w:r>
            <w:r w:rsidR="0016219F">
              <w:t>.</w:t>
            </w:r>
          </w:p>
          <w:p w14:paraId="3A1063D4" w14:textId="3688EA91" w:rsidR="00F301C7" w:rsidRPr="00E853DD" w:rsidRDefault="00F301C7" w:rsidP="00E853DD">
            <w:pPr>
              <w:pStyle w:val="TableText"/>
            </w:pPr>
            <w:r w:rsidRPr="00E853DD">
              <w:rPr>
                <w:rFonts w:eastAsia="Calibri" w:cs="Calibri"/>
              </w:rPr>
              <w:t>If moderate risk criteria are met</w:t>
            </w:r>
            <w:r w:rsidR="0016219F">
              <w:rPr>
                <w:rFonts w:eastAsia="Calibri" w:cs="Calibri"/>
              </w:rPr>
              <w:t>,</w:t>
            </w:r>
            <w:r w:rsidRPr="00E853DD">
              <w:rPr>
                <w:rFonts w:eastAsia="Calibri" w:cs="Calibri"/>
              </w:rPr>
              <w:t xml:space="preserve"> </w:t>
            </w:r>
            <w:r w:rsidR="003B1019" w:rsidRPr="00E853DD">
              <w:rPr>
                <w:rFonts w:eastAsia="Calibri" w:cs="Calibri"/>
              </w:rPr>
              <w:t>i.e.</w:t>
            </w:r>
            <w:r w:rsidR="0016219F">
              <w:rPr>
                <w:rFonts w:eastAsia="Calibri" w:cs="Calibri"/>
              </w:rPr>
              <w:t>,</w:t>
            </w:r>
            <w:r w:rsidRPr="00E853DD">
              <w:rPr>
                <w:rFonts w:eastAsia="Calibri" w:cs="Calibri"/>
              </w:rPr>
              <w:t xml:space="preserve"> one FDR aged 55 years or less or two FDRs with bowel cancer at any age, five</w:t>
            </w:r>
            <w:r w:rsidR="0016219F">
              <w:rPr>
                <w:rFonts w:eastAsia="Calibri" w:cs="Calibri"/>
              </w:rPr>
              <w:t>-</w:t>
            </w:r>
            <w:r w:rsidRPr="00E853DD">
              <w:rPr>
                <w:rFonts w:eastAsia="Calibri" w:cs="Calibri"/>
              </w:rPr>
              <w:t>yearly colonoscopy surveillance (unless polyp number, size or subsequent histology indicate an earlier surveillance procedure) is advised.</w:t>
            </w:r>
          </w:p>
          <w:p w14:paraId="21D27C3B" w14:textId="77777777" w:rsidR="00F301C7" w:rsidRPr="00E853DD" w:rsidRDefault="00F301C7" w:rsidP="00E853DD">
            <w:pPr>
              <w:pStyle w:val="TableText"/>
            </w:pPr>
            <w:r w:rsidRPr="00E853DD">
              <w:rPr>
                <w:rFonts w:eastAsia="Calibri" w:cs="Calibri"/>
              </w:rPr>
              <w:t>Family history needs further review</w:t>
            </w:r>
            <w:r w:rsidR="0016219F">
              <w:rPr>
                <w:rFonts w:eastAsia="Calibri" w:cs="Calibri"/>
              </w:rPr>
              <w:t>.</w:t>
            </w:r>
          </w:p>
          <w:p w14:paraId="22F4B076" w14:textId="1B9AAE71" w:rsidR="00F301C7" w:rsidRPr="00E853DD" w:rsidRDefault="00137199" w:rsidP="00E853DD">
            <w:pPr>
              <w:pStyle w:val="TableText"/>
            </w:pPr>
            <w:r>
              <w:rPr>
                <w:rFonts w:eastAsia="Calibri" w:cs="Calibri"/>
              </w:rPr>
              <w:t>P</w:t>
            </w:r>
            <w:r w:rsidR="00F301C7" w:rsidRPr="00E853DD">
              <w:rPr>
                <w:rFonts w:eastAsia="Calibri" w:cs="Calibri"/>
              </w:rPr>
              <w:t>articipant is advised to discuss with GP at their next visit.</w:t>
            </w:r>
          </w:p>
          <w:p w14:paraId="20226E38" w14:textId="77777777" w:rsidR="00F301C7" w:rsidRPr="00E853DD" w:rsidRDefault="00F301C7" w:rsidP="00E853DD">
            <w:pPr>
              <w:pStyle w:val="TableText"/>
            </w:pPr>
            <w:r w:rsidRPr="00E853DD">
              <w:rPr>
                <w:rFonts w:eastAsia="Calibri" w:cs="Calibri"/>
              </w:rPr>
              <w:t>Family history requires no action</w:t>
            </w:r>
            <w:r w:rsidR="0016219F">
              <w:rPr>
                <w:rFonts w:eastAsia="Calibri" w:cs="Calibri"/>
              </w:rPr>
              <w:t>.</w:t>
            </w:r>
          </w:p>
        </w:tc>
      </w:tr>
      <w:tr w:rsidR="00F301C7" w:rsidRPr="00BD48DA" w14:paraId="227F8F93" w14:textId="77777777" w:rsidTr="00564D98">
        <w:trPr>
          <w:cantSplit/>
        </w:trPr>
        <w:tc>
          <w:tcPr>
            <w:tcW w:w="2410" w:type="dxa"/>
            <w:shd w:val="clear" w:color="auto" w:fill="F2F2F2" w:themeFill="background1" w:themeFillShade="F2"/>
          </w:tcPr>
          <w:p w14:paraId="4D8C0B4B" w14:textId="77777777" w:rsidR="00F301C7" w:rsidRDefault="00F301C7" w:rsidP="00856D1B">
            <w:pPr>
              <w:pStyle w:val="TableText"/>
              <w:ind w:left="709" w:right="142" w:hanging="709"/>
            </w:pPr>
            <w:r>
              <w:t>R8.14</w:t>
            </w:r>
            <w:r w:rsidR="00856D1B">
              <w:tab/>
            </w:r>
            <w:r>
              <w:t>Actions based on high risk</w:t>
            </w:r>
            <w:r w:rsidR="00271641">
              <w:t xml:space="preserve"> </w:t>
            </w:r>
            <w:r>
              <w:t>outcome</w:t>
            </w:r>
          </w:p>
        </w:tc>
        <w:tc>
          <w:tcPr>
            <w:tcW w:w="7003" w:type="dxa"/>
            <w:shd w:val="clear" w:color="auto" w:fill="F2F2F2" w:themeFill="background1" w:themeFillShade="F2"/>
          </w:tcPr>
          <w:p w14:paraId="109A22C0" w14:textId="77777777" w:rsidR="00F301C7" w:rsidRPr="00E853DD" w:rsidRDefault="00F301C7" w:rsidP="00E853DD">
            <w:pPr>
              <w:pStyle w:val="TableText"/>
              <w:rPr>
                <w:iCs/>
              </w:rPr>
            </w:pPr>
            <w:r w:rsidRPr="0016219F">
              <w:rPr>
                <w:b/>
                <w:i/>
              </w:rPr>
              <w:t>Practice point</w:t>
            </w:r>
            <w:r w:rsidRPr="00E853DD">
              <w:t xml:space="preserve"> (NZGG 2011; NZFGICS; NBSP)</w:t>
            </w:r>
          </w:p>
          <w:p w14:paraId="0433E5D0" w14:textId="7D25F8EA" w:rsidR="00F301C7" w:rsidRPr="00E853DD" w:rsidRDefault="00F301C7" w:rsidP="00E853DD">
            <w:pPr>
              <w:pStyle w:val="TableText"/>
              <w:rPr>
                <w:rFonts w:eastAsia="Calibri" w:cs="Calibri"/>
              </w:rPr>
            </w:pPr>
            <w:r w:rsidRPr="00E853DD">
              <w:t>Based on risk outcomes</w:t>
            </w:r>
            <w:r w:rsidR="00833DA5">
              <w:t>,</w:t>
            </w:r>
            <w:r w:rsidRPr="00E853DD">
              <w:t xml:space="preserve"> </w:t>
            </w:r>
            <w:r w:rsidRPr="00E853DD">
              <w:rPr>
                <w:rFonts w:eastAsia="Calibri" w:cs="Calibri"/>
              </w:rPr>
              <w:t>high risk on the family history of bowel cancer</w:t>
            </w:r>
            <w:r w:rsidR="0016219F">
              <w:rPr>
                <w:rFonts w:eastAsia="Calibri" w:cs="Calibri"/>
              </w:rPr>
              <w:t>,</w:t>
            </w:r>
            <w:r w:rsidRPr="00E853DD">
              <w:rPr>
                <w:rFonts w:eastAsia="Calibri" w:cs="Calibri"/>
              </w:rPr>
              <w:t xml:space="preserve"> </w:t>
            </w:r>
            <w:r w:rsidR="003B1019" w:rsidRPr="00E853DD">
              <w:rPr>
                <w:rFonts w:eastAsia="Calibri" w:cs="Calibri"/>
              </w:rPr>
              <w:t>e.g.</w:t>
            </w:r>
            <w:r w:rsidR="0016219F">
              <w:rPr>
                <w:rFonts w:eastAsia="Calibri" w:cs="Calibri"/>
              </w:rPr>
              <w:t>,</w:t>
            </w:r>
            <w:r w:rsidRPr="00E853DD">
              <w:rPr>
                <w:rFonts w:eastAsia="Calibri" w:cs="Calibri"/>
              </w:rPr>
              <w:t xml:space="preserve"> three ticks on the questionnaire (regardless of age at diagnosis) AND involving a first degree relative (FDR) or if ANY first degree relative (FDR) reported to have bowel cancer at age 50 years or younger, then with the participants consent, a referral should be made to the NZ Familial Gastrointestinal Cancer Service (NZFGICS) by sending a copy of the colonoscopy report to the relevant branch.</w:t>
            </w:r>
          </w:p>
          <w:p w14:paraId="560409AB" w14:textId="77777777" w:rsidR="00F301C7" w:rsidRPr="00E853DD" w:rsidRDefault="00F301C7" w:rsidP="00E853DD">
            <w:pPr>
              <w:pStyle w:val="TableText"/>
            </w:pPr>
            <w:r w:rsidRPr="00E853DD">
              <w:t>Participants with a potentially high risk of colorectal cancer have one or more of the following:</w:t>
            </w:r>
          </w:p>
          <w:p w14:paraId="73F3CC4B" w14:textId="77777777" w:rsidR="00F301C7" w:rsidRPr="00E853DD" w:rsidRDefault="00F301C7" w:rsidP="0016219F">
            <w:pPr>
              <w:pStyle w:val="TableBullet"/>
            </w:pPr>
            <w:r w:rsidRPr="00E853DD">
              <w:t>a family history of familial adenomatous polyposis (FAP), hereditary non-polyposis colorectal cancer or other familial colorectal cancer syndromes</w:t>
            </w:r>
          </w:p>
          <w:p w14:paraId="6AF15E04" w14:textId="77777777" w:rsidR="00F301C7" w:rsidRPr="00E853DD" w:rsidRDefault="00F301C7" w:rsidP="0016219F">
            <w:pPr>
              <w:pStyle w:val="TableBullet"/>
            </w:pPr>
            <w:r w:rsidRPr="00E853DD">
              <w:t>one first-degree relative plus two or more first- or second-degree relatives all on the same side of the family with a diagnosis of colorectal cancer at any age</w:t>
            </w:r>
          </w:p>
          <w:p w14:paraId="48B0BA8F" w14:textId="77777777" w:rsidR="00F301C7" w:rsidRPr="00E853DD" w:rsidRDefault="00F301C7" w:rsidP="0016219F">
            <w:pPr>
              <w:pStyle w:val="TableBullet"/>
            </w:pPr>
            <w:r w:rsidRPr="00E853DD">
              <w:t>two first-degree relatives, or one first-degree relative plus one or more second degree-relatives, all on the same side of the family with a diagnosis of colorectal cancer and one such relative:</w:t>
            </w:r>
          </w:p>
          <w:p w14:paraId="3EF1EA93" w14:textId="77777777" w:rsidR="00F301C7" w:rsidRPr="00E853DD" w:rsidRDefault="00F301C7" w:rsidP="0016219F">
            <w:pPr>
              <w:pStyle w:val="TableDash"/>
            </w:pPr>
            <w:r w:rsidRPr="00E853DD">
              <w:t>was diagnosed with colorectal cancer under the age of 55 years</w:t>
            </w:r>
            <w:r w:rsidR="0016219F">
              <w:t>,</w:t>
            </w:r>
            <w:r w:rsidRPr="00E853DD">
              <w:t xml:space="preserve"> or</w:t>
            </w:r>
          </w:p>
          <w:p w14:paraId="61C0CF15" w14:textId="77777777" w:rsidR="00F301C7" w:rsidRPr="00E853DD" w:rsidRDefault="00F301C7" w:rsidP="0016219F">
            <w:pPr>
              <w:pStyle w:val="TableDash"/>
            </w:pPr>
            <w:r w:rsidRPr="00E853DD">
              <w:t>developed multiple bowel cancers, or</w:t>
            </w:r>
          </w:p>
          <w:p w14:paraId="3CD555FC" w14:textId="020170ED" w:rsidR="00F301C7" w:rsidRPr="00E853DD" w:rsidRDefault="00F301C7" w:rsidP="0016219F">
            <w:pPr>
              <w:pStyle w:val="TableDash"/>
            </w:pPr>
            <w:r w:rsidRPr="00E853DD">
              <w:t>developed an extra-colonic tumour suggestive of hereditary non-polyposis colorectal cancer (</w:t>
            </w:r>
            <w:r w:rsidR="003B1019" w:rsidRPr="00E853DD">
              <w:t>i.e.</w:t>
            </w:r>
            <w:r w:rsidRPr="00E853DD">
              <w:t>, endometrial, ovarian, stomach, small bowel, renal pelvis, pancreas or brain)</w:t>
            </w:r>
          </w:p>
          <w:p w14:paraId="5F5079F7" w14:textId="77777777" w:rsidR="00F301C7" w:rsidRPr="00E853DD" w:rsidRDefault="00F301C7" w:rsidP="0016219F">
            <w:pPr>
              <w:pStyle w:val="TableBullet"/>
              <w:spacing w:before="60"/>
            </w:pPr>
            <w:r w:rsidRPr="00E853DD">
              <w:t>at least one first- or second-degree family member diagnosed with colorectal cancer in association with multiple bowel polyps</w:t>
            </w:r>
          </w:p>
          <w:p w14:paraId="2D63D545" w14:textId="77777777" w:rsidR="00F301C7" w:rsidRPr="00E853DD" w:rsidRDefault="00F301C7" w:rsidP="0016219F">
            <w:pPr>
              <w:pStyle w:val="TableBullet"/>
            </w:pPr>
            <w:r w:rsidRPr="00E853DD">
              <w:t>a personal history or one first-degree relative with colorectal cancer diagnosed under the age of 50, particularly where colorectal tumour immunohistochemistry has revealed loss of protein expression for one of the mismatch repair genes (MLH1, MSH2, MSH6 and PMS2)</w:t>
            </w:r>
          </w:p>
          <w:p w14:paraId="69F9780E" w14:textId="77777777" w:rsidR="00F301C7" w:rsidRPr="00E853DD" w:rsidRDefault="00F301C7" w:rsidP="0016219F">
            <w:pPr>
              <w:pStyle w:val="TableBullet"/>
            </w:pPr>
            <w:r w:rsidRPr="00E853DD">
              <w:t>a personal history or one first-degree relative with multiple colonic polyps.</w:t>
            </w:r>
          </w:p>
        </w:tc>
      </w:tr>
      <w:tr w:rsidR="00F301C7" w:rsidRPr="00BD48DA" w14:paraId="7D6C43B8" w14:textId="77777777" w:rsidTr="00564D98">
        <w:trPr>
          <w:cantSplit/>
        </w:trPr>
        <w:tc>
          <w:tcPr>
            <w:tcW w:w="2410" w:type="dxa"/>
            <w:shd w:val="clear" w:color="auto" w:fill="F2F2F2" w:themeFill="background1" w:themeFillShade="F2"/>
          </w:tcPr>
          <w:p w14:paraId="12B3AFC1" w14:textId="77777777" w:rsidR="00F301C7" w:rsidRDefault="00F301C7" w:rsidP="00E259E5">
            <w:pPr>
              <w:pStyle w:val="TableText"/>
              <w:ind w:left="709" w:right="142" w:hanging="709"/>
            </w:pPr>
            <w:r>
              <w:lastRenderedPageBreak/>
              <w:t>R8.15</w:t>
            </w:r>
            <w:r w:rsidR="00E259E5">
              <w:tab/>
            </w:r>
            <w:r>
              <w:t>Actions based on moderate</w:t>
            </w:r>
            <w:r w:rsidR="00271641">
              <w:t xml:space="preserve"> </w:t>
            </w:r>
            <w:r>
              <w:t>to low risk outcomes</w:t>
            </w:r>
          </w:p>
        </w:tc>
        <w:tc>
          <w:tcPr>
            <w:tcW w:w="7003" w:type="dxa"/>
            <w:shd w:val="clear" w:color="auto" w:fill="F2F2F2" w:themeFill="background1" w:themeFillShade="F2"/>
          </w:tcPr>
          <w:p w14:paraId="126A3F2E" w14:textId="77777777" w:rsidR="00F301C7" w:rsidRPr="00E853DD" w:rsidRDefault="00F301C7" w:rsidP="00E853DD">
            <w:pPr>
              <w:pStyle w:val="TableText"/>
              <w:rPr>
                <w:iCs/>
              </w:rPr>
            </w:pPr>
            <w:r w:rsidRPr="0016219F">
              <w:rPr>
                <w:b/>
                <w:i/>
              </w:rPr>
              <w:t>Practice point</w:t>
            </w:r>
            <w:r w:rsidRPr="00E853DD">
              <w:t xml:space="preserve"> (NZGG 2011; NZFGICS; NBSP)</w:t>
            </w:r>
          </w:p>
          <w:p w14:paraId="110686CE" w14:textId="77777777" w:rsidR="00F301C7" w:rsidRPr="00E853DD" w:rsidRDefault="00F301C7" w:rsidP="00E853DD">
            <w:pPr>
              <w:pStyle w:val="TableText"/>
            </w:pPr>
            <w:r w:rsidRPr="00E853DD">
              <w:t>Based on risk outcomes the following actions are:</w:t>
            </w:r>
          </w:p>
          <w:p w14:paraId="426E3E10" w14:textId="4DA24C5B" w:rsidR="003B6490" w:rsidRPr="00E853DD" w:rsidRDefault="00F301C7" w:rsidP="0016219F">
            <w:pPr>
              <w:pStyle w:val="TableBullet"/>
            </w:pPr>
            <w:r w:rsidRPr="00E853DD">
              <w:t>If moderate risk criteria are met</w:t>
            </w:r>
            <w:r w:rsidR="0016219F">
              <w:t>,</w:t>
            </w:r>
            <w:r w:rsidRPr="00E853DD">
              <w:t xml:space="preserve"> </w:t>
            </w:r>
            <w:r w:rsidR="003B1019" w:rsidRPr="00E853DD">
              <w:t>i.e.</w:t>
            </w:r>
            <w:r w:rsidR="0016219F">
              <w:t>:</w:t>
            </w:r>
          </w:p>
          <w:p w14:paraId="1A4FD29E" w14:textId="77777777" w:rsidR="003B6490" w:rsidRPr="00E853DD" w:rsidRDefault="00F301C7" w:rsidP="0016219F">
            <w:pPr>
              <w:pStyle w:val="TableDash"/>
            </w:pPr>
            <w:r w:rsidRPr="00E853DD">
              <w:t>one first degree relative (FDR) aged 55 years or less or two FDRs with bowel cancer at any age, then</w:t>
            </w:r>
            <w:r w:rsidR="0016219F">
              <w:t xml:space="preserve"> </w:t>
            </w:r>
            <w:r w:rsidRPr="00E853DD">
              <w:t>five</w:t>
            </w:r>
            <w:r w:rsidR="0016219F">
              <w:t>-</w:t>
            </w:r>
            <w:r w:rsidRPr="00E853DD">
              <w:t>yearly colonoscopy surveillance (unless polyp number, size or subsequent histology indicate an earlier surveillance procedure) is advised.</w:t>
            </w:r>
          </w:p>
          <w:p w14:paraId="034FB2F8" w14:textId="77777777" w:rsidR="00F301C7" w:rsidRPr="00E853DD" w:rsidRDefault="0016219F" w:rsidP="00E853DD">
            <w:pPr>
              <w:pStyle w:val="TableDash"/>
            </w:pPr>
            <w:r>
              <w:t>f</w:t>
            </w:r>
            <w:r w:rsidR="00F301C7" w:rsidRPr="00E853DD">
              <w:t>amily history needs further review:</w:t>
            </w:r>
            <w:r>
              <w:t xml:space="preserve"> </w:t>
            </w:r>
            <w:r w:rsidR="00F301C7" w:rsidRPr="00E853DD">
              <w:t>participant is advised to discuss with GP at their next visit.</w:t>
            </w:r>
          </w:p>
          <w:p w14:paraId="23919715" w14:textId="0DB11F48" w:rsidR="003B6490" w:rsidRPr="00E853DD" w:rsidRDefault="00F301C7" w:rsidP="0016219F">
            <w:pPr>
              <w:pStyle w:val="TableBullet"/>
              <w:spacing w:before="60"/>
            </w:pPr>
            <w:r w:rsidRPr="00E853DD">
              <w:t>If low risk criteria are met</w:t>
            </w:r>
            <w:r w:rsidR="0016219F">
              <w:t>,</w:t>
            </w:r>
            <w:r w:rsidRPr="00E853DD">
              <w:t xml:space="preserve"> </w:t>
            </w:r>
            <w:r w:rsidR="003B1019" w:rsidRPr="00E853DD">
              <w:t>i.e.</w:t>
            </w:r>
            <w:r w:rsidR="0016219F">
              <w:t>:</w:t>
            </w:r>
          </w:p>
          <w:p w14:paraId="235DC2F2" w14:textId="77777777" w:rsidR="00F301C7" w:rsidRPr="00E853DD" w:rsidRDefault="0016219F" w:rsidP="0016219F">
            <w:pPr>
              <w:pStyle w:val="TableDash"/>
            </w:pPr>
            <w:r>
              <w:t>f</w:t>
            </w:r>
            <w:r w:rsidR="00F301C7" w:rsidRPr="00E853DD">
              <w:t>amily history requires no action</w:t>
            </w:r>
          </w:p>
          <w:p w14:paraId="5F0C7EE0" w14:textId="77777777" w:rsidR="00F301C7" w:rsidRPr="00E853DD" w:rsidRDefault="0016219F" w:rsidP="0016219F">
            <w:pPr>
              <w:pStyle w:val="TableDash"/>
              <w:spacing w:after="60"/>
              <w:ind w:left="568" w:hanging="284"/>
            </w:pPr>
            <w:r>
              <w:rPr>
                <w:rFonts w:eastAsia="Calibri"/>
              </w:rPr>
              <w:t>o</w:t>
            </w:r>
            <w:r w:rsidR="00F301C7" w:rsidRPr="00E853DD">
              <w:rPr>
                <w:rFonts w:eastAsia="Calibri"/>
              </w:rPr>
              <w:t>ne first-degree relative with colorectal cancer diagnosed over the age of 55</w:t>
            </w:r>
            <w:r>
              <w:rPr>
                <w:rFonts w:eastAsia="Calibri"/>
              </w:rPr>
              <w:t> </w:t>
            </w:r>
            <w:r w:rsidR="00F301C7" w:rsidRPr="00E853DD">
              <w:rPr>
                <w:rFonts w:eastAsia="Calibri"/>
              </w:rPr>
              <w:t>years:</w:t>
            </w:r>
            <w:r>
              <w:rPr>
                <w:rFonts w:eastAsia="Calibri"/>
              </w:rPr>
              <w:t xml:space="preserve"> r</w:t>
            </w:r>
            <w:r w:rsidR="00F301C7" w:rsidRPr="00E853DD">
              <w:rPr>
                <w:rFonts w:eastAsia="Calibri"/>
              </w:rPr>
              <w:t>eturn to FIT screening or surveillance based on findings at colonoscopy</w:t>
            </w:r>
            <w:r>
              <w:rPr>
                <w:rFonts w:eastAsia="Calibri"/>
              </w:rPr>
              <w:t>.</w:t>
            </w:r>
          </w:p>
        </w:tc>
      </w:tr>
    </w:tbl>
    <w:p w14:paraId="3D6EDCB6" w14:textId="77777777" w:rsidR="00F301C7" w:rsidRDefault="00F301C7" w:rsidP="009F787F"/>
    <w:p w14:paraId="6115F720" w14:textId="77777777" w:rsidR="00F301C7" w:rsidRDefault="00F301C7" w:rsidP="009F787F">
      <w:pPr>
        <w:pStyle w:val="Heading3"/>
      </w:pPr>
      <w:r w:rsidRPr="00E503B4">
        <w:t xml:space="preserve">Recommendations: Management and </w:t>
      </w:r>
      <w:r w:rsidR="0016219F">
        <w:t>s</w:t>
      </w:r>
      <w:r w:rsidRPr="00E503B4">
        <w:t>urveillance recommendations at the time of colonoscopy based on high</w:t>
      </w:r>
      <w:r w:rsidR="0016219F">
        <w:t>-</w:t>
      </w:r>
      <w:r w:rsidRPr="00E503B4">
        <w:t>risk family history</w:t>
      </w:r>
    </w:p>
    <w:tbl>
      <w:tblPr>
        <w:tblW w:w="0" w:type="auto"/>
        <w:tblInd w:w="57" w:type="dxa"/>
        <w:tblBorders>
          <w:top w:val="single" w:sz="4" w:space="0" w:color="auto"/>
          <w:bottom w:val="single" w:sz="4" w:space="0" w:color="auto"/>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2410"/>
        <w:gridCol w:w="6946"/>
      </w:tblGrid>
      <w:tr w:rsidR="00F301C7" w:rsidRPr="00BD48DA" w14:paraId="26064AD5" w14:textId="77777777" w:rsidTr="00564D98">
        <w:trPr>
          <w:cantSplit/>
        </w:trPr>
        <w:tc>
          <w:tcPr>
            <w:tcW w:w="2410" w:type="dxa"/>
            <w:shd w:val="clear" w:color="auto" w:fill="F2F2F2" w:themeFill="background1" w:themeFillShade="F2"/>
          </w:tcPr>
          <w:p w14:paraId="22B66BA1" w14:textId="77777777" w:rsidR="00F301C7" w:rsidRPr="00BD48DA" w:rsidRDefault="00F301C7" w:rsidP="00E259E5">
            <w:pPr>
              <w:pStyle w:val="TableText"/>
              <w:ind w:left="709" w:right="142" w:hanging="709"/>
            </w:pPr>
            <w:r>
              <w:t>R8.16</w:t>
            </w:r>
            <w:r w:rsidR="00E259E5">
              <w:tab/>
            </w:r>
            <w:r>
              <w:t>C</w:t>
            </w:r>
            <w:r w:rsidRPr="00BD48DA">
              <w:t>onsideration of specific</w:t>
            </w:r>
            <w:r w:rsidR="00271641">
              <w:t xml:space="preserve"> </w:t>
            </w:r>
            <w:r w:rsidRPr="00BD48DA">
              <w:t>risks</w:t>
            </w:r>
          </w:p>
        </w:tc>
        <w:tc>
          <w:tcPr>
            <w:tcW w:w="6946" w:type="dxa"/>
            <w:shd w:val="clear" w:color="auto" w:fill="F2F2F2" w:themeFill="background1" w:themeFillShade="F2"/>
          </w:tcPr>
          <w:p w14:paraId="4B4BD3A2" w14:textId="77777777" w:rsidR="00F301C7" w:rsidRPr="0016219F" w:rsidRDefault="00F301C7" w:rsidP="00E853DD">
            <w:pPr>
              <w:pStyle w:val="TableText"/>
            </w:pPr>
            <w:r w:rsidRPr="00E853DD">
              <w:rPr>
                <w:b/>
                <w:i/>
              </w:rPr>
              <w:t xml:space="preserve">Practice point </w:t>
            </w:r>
            <w:r w:rsidRPr="00E853DD">
              <w:t>(NZGG 2011; ESGE)</w:t>
            </w:r>
          </w:p>
          <w:p w14:paraId="3702C704" w14:textId="77777777" w:rsidR="003B6490" w:rsidRPr="00E853DD" w:rsidRDefault="00F301C7" w:rsidP="00E853DD">
            <w:pPr>
              <w:pStyle w:val="TableText"/>
            </w:pPr>
            <w:r w:rsidRPr="00E853DD">
              <w:t>Before offering surveillance colonoscopy for participants who will be aged 75 years or older at the time of the recommended surveillance, carefully consider the possibility that the potential risks may</w:t>
            </w:r>
            <w:r w:rsidR="003B6490" w:rsidRPr="00E853DD">
              <w:t xml:space="preserve"> </w:t>
            </w:r>
            <w:r w:rsidRPr="00E853DD">
              <w:t>outweigh the benefits</w:t>
            </w:r>
            <w:r w:rsidR="0016219F">
              <w:t>.</w:t>
            </w:r>
          </w:p>
          <w:p w14:paraId="0099C424" w14:textId="77777777" w:rsidR="00F301C7" w:rsidRPr="00E853DD" w:rsidRDefault="00F301C7" w:rsidP="00E853DD">
            <w:pPr>
              <w:pStyle w:val="TableText"/>
              <w:rPr>
                <w:b/>
                <w:i/>
              </w:rPr>
            </w:pPr>
            <w:r w:rsidRPr="00E853DD">
              <w:t>Significant participant comorbidities are carefully considered before offering surveillance</w:t>
            </w:r>
            <w:r w:rsidR="0016219F">
              <w:t>.</w:t>
            </w:r>
          </w:p>
        </w:tc>
      </w:tr>
    </w:tbl>
    <w:p w14:paraId="5A71983B" w14:textId="77777777" w:rsidR="00F301C7" w:rsidRDefault="00F301C7" w:rsidP="009F787F"/>
    <w:p w14:paraId="52EA0662" w14:textId="0625A51F" w:rsidR="00F301C7" w:rsidRDefault="00EF5B27" w:rsidP="009F787F">
      <w:pPr>
        <w:pStyle w:val="Heading3"/>
      </w:pPr>
      <w:r>
        <w:t xml:space="preserve"> </w:t>
      </w:r>
      <w:r w:rsidR="00F301C7">
        <w:t>Determination of surveillance recommendations at the time of colonoscopy based on the number and size of polyps</w:t>
      </w:r>
    </w:p>
    <w:tbl>
      <w:tblPr>
        <w:tblW w:w="0" w:type="auto"/>
        <w:tblInd w:w="57" w:type="dxa"/>
        <w:tblBorders>
          <w:top w:val="single" w:sz="4" w:space="0" w:color="auto"/>
          <w:bottom w:val="single" w:sz="4" w:space="0" w:color="auto"/>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2410"/>
        <w:gridCol w:w="6946"/>
      </w:tblGrid>
      <w:tr w:rsidR="00F301C7" w:rsidRPr="00AD413F" w14:paraId="04F2DA2C" w14:textId="77777777" w:rsidTr="00564D98">
        <w:trPr>
          <w:cantSplit/>
        </w:trPr>
        <w:tc>
          <w:tcPr>
            <w:tcW w:w="2410" w:type="dxa"/>
            <w:shd w:val="clear" w:color="auto" w:fill="F2F2F2" w:themeFill="background1" w:themeFillShade="F2"/>
          </w:tcPr>
          <w:p w14:paraId="7703B1D1" w14:textId="77777777" w:rsidR="00F301C7" w:rsidRPr="001543D4" w:rsidRDefault="00F301C7" w:rsidP="00E259E5">
            <w:pPr>
              <w:pStyle w:val="TableText"/>
              <w:ind w:left="709" w:right="142" w:hanging="709"/>
            </w:pPr>
            <w:r>
              <w:t>R8.17</w:t>
            </w:r>
            <w:r w:rsidR="00E259E5">
              <w:tab/>
            </w:r>
            <w:r>
              <w:t>C</w:t>
            </w:r>
            <w:r w:rsidRPr="00BD48DA">
              <w:t>onsideration of specific</w:t>
            </w:r>
            <w:r w:rsidR="00271641">
              <w:t xml:space="preserve"> r</w:t>
            </w:r>
            <w:r w:rsidRPr="00BD48DA">
              <w:t>isks</w:t>
            </w:r>
            <w:r>
              <w:t xml:space="preserve"> (restated)</w:t>
            </w:r>
          </w:p>
        </w:tc>
        <w:tc>
          <w:tcPr>
            <w:tcW w:w="6946" w:type="dxa"/>
            <w:shd w:val="clear" w:color="auto" w:fill="F2F2F2" w:themeFill="background1" w:themeFillShade="F2"/>
          </w:tcPr>
          <w:p w14:paraId="63C9A56C" w14:textId="77777777" w:rsidR="00F301C7" w:rsidRPr="0016219F" w:rsidRDefault="00F301C7" w:rsidP="00E853DD">
            <w:pPr>
              <w:pStyle w:val="TableText"/>
            </w:pPr>
            <w:r w:rsidRPr="00E853DD">
              <w:rPr>
                <w:b/>
                <w:i/>
              </w:rPr>
              <w:t xml:space="preserve">Practice point </w:t>
            </w:r>
            <w:r w:rsidRPr="00E853DD">
              <w:t>(NZGG 2011; ESGE)</w:t>
            </w:r>
          </w:p>
          <w:p w14:paraId="49DBFBDF" w14:textId="77777777" w:rsidR="003B6490" w:rsidRPr="00E853DD" w:rsidRDefault="00F301C7" w:rsidP="00E853DD">
            <w:pPr>
              <w:pStyle w:val="TableText"/>
            </w:pPr>
            <w:r w:rsidRPr="00E853DD">
              <w:t>Before offering surveillance colonoscopy for participants who will be aged 75 years or older at the time of the recommended surveillance, carefully consider the possibility that the potential risks may</w:t>
            </w:r>
            <w:r w:rsidR="003B6490" w:rsidRPr="00E853DD">
              <w:t xml:space="preserve"> </w:t>
            </w:r>
            <w:r w:rsidRPr="00E853DD">
              <w:t>outweigh the benefits</w:t>
            </w:r>
            <w:r w:rsidR="0016219F">
              <w:t>.</w:t>
            </w:r>
          </w:p>
          <w:p w14:paraId="175A7979" w14:textId="77777777" w:rsidR="00F301C7" w:rsidRPr="00E853DD" w:rsidRDefault="00F301C7" w:rsidP="00E853DD">
            <w:pPr>
              <w:pStyle w:val="TableText"/>
            </w:pPr>
            <w:r w:rsidRPr="00E853DD">
              <w:t>Significant participant comorbidities are carefully considered before offering surveillance</w:t>
            </w:r>
            <w:r w:rsidR="0016219F">
              <w:t>.</w:t>
            </w:r>
          </w:p>
        </w:tc>
      </w:tr>
      <w:tr w:rsidR="00F301C7" w:rsidRPr="00AD413F" w14:paraId="13024B54" w14:textId="77777777" w:rsidTr="00564D98">
        <w:trPr>
          <w:cantSplit/>
        </w:trPr>
        <w:tc>
          <w:tcPr>
            <w:tcW w:w="2410" w:type="dxa"/>
            <w:shd w:val="clear" w:color="auto" w:fill="D9D9D9" w:themeFill="background1" w:themeFillShade="D9"/>
          </w:tcPr>
          <w:p w14:paraId="73A87AD6" w14:textId="77777777" w:rsidR="00F301C7" w:rsidRPr="00AD413F" w:rsidRDefault="00F301C7" w:rsidP="00E259E5">
            <w:pPr>
              <w:pStyle w:val="TableText"/>
              <w:ind w:left="709" w:right="142" w:hanging="709"/>
            </w:pPr>
            <w:r>
              <w:t>R8.18</w:t>
            </w:r>
            <w:r w:rsidR="00E259E5">
              <w:tab/>
            </w:r>
            <w:r>
              <w:t>D</w:t>
            </w:r>
            <w:r w:rsidRPr="001543D4">
              <w:t>etermination of risk rating</w:t>
            </w:r>
            <w:r w:rsidR="00271641">
              <w:t xml:space="preserve"> </w:t>
            </w:r>
            <w:r>
              <w:t>f</w:t>
            </w:r>
            <w:r w:rsidRPr="00AD413F">
              <w:t>or adenoma</w:t>
            </w:r>
            <w:r>
              <w:t xml:space="preserve"> (also see section</w:t>
            </w:r>
            <w:r w:rsidR="00271641">
              <w:t xml:space="preserve"> </w:t>
            </w:r>
            <w:r>
              <w:t>8.5)</w:t>
            </w:r>
          </w:p>
        </w:tc>
        <w:tc>
          <w:tcPr>
            <w:tcW w:w="6946" w:type="dxa"/>
            <w:shd w:val="clear" w:color="auto" w:fill="D9D9D9" w:themeFill="background1" w:themeFillShade="D9"/>
          </w:tcPr>
          <w:p w14:paraId="217D4E11" w14:textId="2E094C3D" w:rsidR="00F301C7" w:rsidRPr="00E853DD" w:rsidRDefault="00F301C7" w:rsidP="00E853DD">
            <w:pPr>
              <w:pStyle w:val="TableText"/>
              <w:rPr>
                <w:bCs/>
              </w:rPr>
            </w:pPr>
            <w:r w:rsidRPr="00E853DD">
              <w:rPr>
                <w:b/>
                <w:bCs/>
                <w:i/>
              </w:rPr>
              <w:t xml:space="preserve">Consensus-based recommendation </w:t>
            </w:r>
            <w:r w:rsidRPr="00E853DD">
              <w:rPr>
                <w:bCs/>
              </w:rPr>
              <w:t>(EC, *NZGG 2011</w:t>
            </w:r>
            <w:r w:rsidR="0048067B">
              <w:rPr>
                <w:bCs/>
              </w:rPr>
              <w:t>, NZFGICS</w:t>
            </w:r>
            <w:r w:rsidRPr="00E853DD">
              <w:rPr>
                <w:bCs/>
              </w:rPr>
              <w:t>)</w:t>
            </w:r>
          </w:p>
          <w:p w14:paraId="5F28B26C" w14:textId="77777777" w:rsidR="00F301C7" w:rsidRPr="00E853DD" w:rsidRDefault="00F301C7" w:rsidP="00E853DD">
            <w:pPr>
              <w:pStyle w:val="TableText"/>
            </w:pPr>
            <w:r w:rsidRPr="00E853DD">
              <w:t>The risk rating recommendations apply following complete resection of the initial polyp(s)</w:t>
            </w:r>
            <w:r w:rsidR="0016219F">
              <w:t>:</w:t>
            </w:r>
          </w:p>
          <w:p w14:paraId="3751C7AE" w14:textId="77777777" w:rsidR="00F301C7" w:rsidRPr="00E853DD" w:rsidRDefault="0016219F" w:rsidP="0016219F">
            <w:pPr>
              <w:pStyle w:val="TableBullet"/>
            </w:pPr>
            <w:r>
              <w:t>l</w:t>
            </w:r>
            <w:r w:rsidR="00F301C7" w:rsidRPr="00E853DD">
              <w:t>ow risk</w:t>
            </w:r>
          </w:p>
          <w:p w14:paraId="57662E02" w14:textId="77777777" w:rsidR="00F301C7" w:rsidRPr="00E853DD" w:rsidRDefault="00F301C7" w:rsidP="0016219F">
            <w:pPr>
              <w:pStyle w:val="TableDash"/>
            </w:pPr>
            <w:r w:rsidRPr="00E853DD">
              <w:t>one or two adenomas smaller than 10 mm</w:t>
            </w:r>
          </w:p>
          <w:p w14:paraId="05FFEDBA" w14:textId="77777777" w:rsidR="00F301C7" w:rsidRPr="00E853DD" w:rsidRDefault="00F301C7" w:rsidP="0016219F">
            <w:pPr>
              <w:pStyle w:val="TableBullet"/>
              <w:spacing w:before="60"/>
            </w:pPr>
            <w:r w:rsidRPr="00E853DD">
              <w:t>intermediate risk</w:t>
            </w:r>
          </w:p>
          <w:p w14:paraId="464FBABB" w14:textId="77777777" w:rsidR="00F301C7" w:rsidRPr="00E853DD" w:rsidRDefault="00F301C7" w:rsidP="0016219F">
            <w:pPr>
              <w:pStyle w:val="TableDash"/>
            </w:pPr>
            <w:r w:rsidRPr="00E853DD">
              <w:t>three or four adenomas smaller than 10 mm or</w:t>
            </w:r>
          </w:p>
          <w:p w14:paraId="7BBB80AE" w14:textId="77777777" w:rsidR="00F301C7" w:rsidRPr="00E853DD" w:rsidRDefault="00F301C7" w:rsidP="0016219F">
            <w:pPr>
              <w:pStyle w:val="TableDash"/>
            </w:pPr>
            <w:r w:rsidRPr="00E853DD">
              <w:t>one or two adenomas if one is 10 mm or larger</w:t>
            </w:r>
          </w:p>
          <w:p w14:paraId="634490DD" w14:textId="77777777" w:rsidR="00F301C7" w:rsidRPr="00E853DD" w:rsidRDefault="00F301C7" w:rsidP="0016219F">
            <w:pPr>
              <w:pStyle w:val="TableDash"/>
            </w:pPr>
            <w:r w:rsidRPr="00E853DD">
              <w:t>histological polyps with villous features*</w:t>
            </w:r>
          </w:p>
          <w:p w14:paraId="58765FA7" w14:textId="77777777" w:rsidR="00F301C7" w:rsidRPr="00E853DD" w:rsidRDefault="00F301C7" w:rsidP="0016219F">
            <w:pPr>
              <w:pStyle w:val="TableDash"/>
            </w:pPr>
            <w:r w:rsidRPr="00E853DD">
              <w:t>polyps with high grade dysplasia*</w:t>
            </w:r>
          </w:p>
          <w:p w14:paraId="50405CB0" w14:textId="77777777" w:rsidR="00F301C7" w:rsidRPr="00E853DD" w:rsidRDefault="00F301C7" w:rsidP="0016219F">
            <w:pPr>
              <w:pStyle w:val="TableBullet"/>
              <w:spacing w:before="60"/>
            </w:pPr>
            <w:r w:rsidRPr="00E853DD">
              <w:t>high risk</w:t>
            </w:r>
          </w:p>
          <w:p w14:paraId="5030AFAB" w14:textId="77777777" w:rsidR="00F301C7" w:rsidRPr="00E853DD" w:rsidRDefault="00F301C7" w:rsidP="0016219F">
            <w:pPr>
              <w:pStyle w:val="TableDash"/>
            </w:pPr>
            <w:r w:rsidRPr="00E853DD">
              <w:t>five or more adenomas smaller than 10 mm or</w:t>
            </w:r>
          </w:p>
          <w:p w14:paraId="76D003E4" w14:textId="77777777" w:rsidR="00F301C7" w:rsidRPr="00E853DD" w:rsidRDefault="00F301C7" w:rsidP="0016219F">
            <w:pPr>
              <w:pStyle w:val="TableDash"/>
            </w:pPr>
            <w:r w:rsidRPr="00E853DD">
              <w:t>three or more adenomas if one is 10 mm or larger</w:t>
            </w:r>
          </w:p>
          <w:p w14:paraId="54AFF295" w14:textId="77777777" w:rsidR="00F301C7" w:rsidRDefault="0016219F" w:rsidP="0016219F">
            <w:pPr>
              <w:pStyle w:val="TableBullet"/>
              <w:spacing w:before="60"/>
            </w:pPr>
            <w:r>
              <w:t>t</w:t>
            </w:r>
            <w:r w:rsidR="00F301C7" w:rsidRPr="00E853DD">
              <w:t>he risk rating recommendations may be modified with subsequent histology findings</w:t>
            </w:r>
            <w:r>
              <w:t>.</w:t>
            </w:r>
          </w:p>
          <w:p w14:paraId="25323AB0" w14:textId="7F725CC2" w:rsidR="008939AB" w:rsidRPr="008939AB" w:rsidRDefault="008939AB" w:rsidP="0048067B">
            <w:pPr>
              <w:rPr>
                <w:rFonts w:ascii="Arial" w:hAnsi="Arial" w:cs="Arial"/>
                <w:sz w:val="18"/>
                <w:szCs w:val="18"/>
                <w:lang w:eastAsia="en-US"/>
              </w:rPr>
            </w:pPr>
            <w:r w:rsidRPr="008939AB">
              <w:rPr>
                <w:rFonts w:ascii="Arial" w:hAnsi="Arial" w:cs="Arial"/>
                <w:bCs/>
                <w:sz w:val="18"/>
                <w:szCs w:val="18"/>
              </w:rPr>
              <w:t>Note: For participants identified to have greater than or equal to 10 adenomas at one colonoscopy procedure referral to the NZFGICS should be considered. For participants aged greater than 70 years an advanced adenoma should be present.</w:t>
            </w:r>
          </w:p>
        </w:tc>
      </w:tr>
      <w:tr w:rsidR="00F301C7" w:rsidRPr="001543D4" w14:paraId="74849DC0" w14:textId="77777777" w:rsidTr="00564D98">
        <w:trPr>
          <w:cantSplit/>
        </w:trPr>
        <w:tc>
          <w:tcPr>
            <w:tcW w:w="2410" w:type="dxa"/>
            <w:shd w:val="clear" w:color="auto" w:fill="D9D9D9" w:themeFill="background1" w:themeFillShade="D9"/>
          </w:tcPr>
          <w:p w14:paraId="5A10A3BD" w14:textId="1E2D74DF" w:rsidR="00F301C7" w:rsidRPr="001543D4" w:rsidRDefault="00F301C7" w:rsidP="00E259E5">
            <w:pPr>
              <w:pStyle w:val="TableText"/>
              <w:ind w:left="709" w:right="142" w:hanging="709"/>
            </w:pPr>
            <w:r>
              <w:lastRenderedPageBreak/>
              <w:t>.19</w:t>
            </w:r>
            <w:r w:rsidR="00E259E5">
              <w:tab/>
            </w:r>
            <w:r w:rsidRPr="001543D4">
              <w:t xml:space="preserve">Sessile Serrated </w:t>
            </w:r>
            <w:r w:rsidR="00271641">
              <w:t>L</w:t>
            </w:r>
            <w:r w:rsidRPr="001543D4">
              <w:t>esions</w:t>
            </w:r>
            <w:r w:rsidR="00271641">
              <w:t xml:space="preserve"> </w:t>
            </w:r>
            <w:r w:rsidRPr="001543D4">
              <w:t>(SSLs)</w:t>
            </w:r>
          </w:p>
        </w:tc>
        <w:tc>
          <w:tcPr>
            <w:tcW w:w="6946" w:type="dxa"/>
            <w:shd w:val="clear" w:color="auto" w:fill="D9D9D9" w:themeFill="background1" w:themeFillShade="D9"/>
          </w:tcPr>
          <w:p w14:paraId="4B667BC7" w14:textId="77777777" w:rsidR="00F301C7" w:rsidRPr="00E853DD" w:rsidRDefault="00F301C7" w:rsidP="00E853DD">
            <w:pPr>
              <w:pStyle w:val="TableText"/>
              <w:rPr>
                <w:bCs/>
              </w:rPr>
            </w:pPr>
            <w:r w:rsidRPr="00E853DD">
              <w:rPr>
                <w:b/>
                <w:bCs/>
                <w:i/>
              </w:rPr>
              <w:t xml:space="preserve">Consensus-based recommendation </w:t>
            </w:r>
            <w:r w:rsidRPr="00E853DD">
              <w:rPr>
                <w:bCs/>
              </w:rPr>
              <w:t>(BSG 2017 statement 8; NZGG 2011)</w:t>
            </w:r>
          </w:p>
          <w:p w14:paraId="35A74D45" w14:textId="77777777" w:rsidR="00F301C7" w:rsidRPr="0016219F" w:rsidRDefault="00F301C7" w:rsidP="00E853DD">
            <w:pPr>
              <w:pStyle w:val="TableText"/>
            </w:pPr>
            <w:r w:rsidRPr="00E853DD">
              <w:t>In the absence of NZ guidelines on surveillance of serrated lesions and in line with the BSG 2017 statement on Serrated polyps in the colon and rectum it is recommended that:</w:t>
            </w:r>
          </w:p>
          <w:p w14:paraId="6E4C30F2" w14:textId="77777777" w:rsidR="003B6490" w:rsidRPr="00E853DD" w:rsidRDefault="0016219F" w:rsidP="0016219F">
            <w:pPr>
              <w:pStyle w:val="TableBullet"/>
            </w:pPr>
            <w:r>
              <w:t>p</w:t>
            </w:r>
            <w:r w:rsidR="00F301C7" w:rsidRPr="00E853DD">
              <w:t>articipants with</w:t>
            </w:r>
            <w:r w:rsidR="003B6490" w:rsidRPr="00E853DD">
              <w:t xml:space="preserve"> </w:t>
            </w:r>
            <w:r w:rsidR="00F301C7" w:rsidRPr="00E853DD">
              <w:t>SSLs that appear associated with higher risk of future neoplasia or CRC (SSLs ≥10 mm or SL</w:t>
            </w:r>
            <w:r w:rsidR="003B6490" w:rsidRPr="00E853DD">
              <w:t>’</w:t>
            </w:r>
            <w:r w:rsidR="00F301C7" w:rsidRPr="00E853DD">
              <w:t xml:space="preserve">s with dysplasia including traditional serrated adenomas should be offered a one off colonoscopy surveillance at </w:t>
            </w:r>
            <w:r>
              <w:t>three</w:t>
            </w:r>
            <w:r w:rsidR="00F301C7" w:rsidRPr="00E853DD">
              <w:t xml:space="preserve"> years</w:t>
            </w:r>
          </w:p>
          <w:p w14:paraId="7BFEAECB" w14:textId="77777777" w:rsidR="00F301C7" w:rsidRPr="00E853DD" w:rsidRDefault="00F301C7" w:rsidP="0016219F">
            <w:pPr>
              <w:pStyle w:val="TableBullet"/>
              <w:rPr>
                <w:b/>
                <w:bCs/>
              </w:rPr>
            </w:pPr>
            <w:r w:rsidRPr="00E853DD">
              <w:t xml:space="preserve">In line with BSG statement 9 there is currently no clear indication for </w:t>
            </w:r>
            <w:proofErr w:type="spellStart"/>
            <w:r w:rsidRPr="00E853DD">
              <w:t>colonoscopic</w:t>
            </w:r>
            <w:proofErr w:type="spellEnd"/>
            <w:r w:rsidRPr="00E853DD">
              <w:t xml:space="preserve"> surveillance for hyperplastic polyps or SSLs &lt;10 mm unless sufficient in size, location</w:t>
            </w:r>
            <w:r w:rsidR="003B6490" w:rsidRPr="00E853DD">
              <w:t xml:space="preserve"> </w:t>
            </w:r>
            <w:r w:rsidRPr="00E853DD">
              <w:t>or number to suggest or meet the criteria f</w:t>
            </w:r>
            <w:r w:rsidR="0016219F">
              <w:t>or Serrated Polyposis Syndrome.</w:t>
            </w:r>
          </w:p>
        </w:tc>
      </w:tr>
      <w:tr w:rsidR="00F301C7" w:rsidRPr="001543D4" w14:paraId="52B21097" w14:textId="77777777" w:rsidTr="00564D98">
        <w:trPr>
          <w:cantSplit/>
        </w:trPr>
        <w:tc>
          <w:tcPr>
            <w:tcW w:w="2410" w:type="dxa"/>
            <w:shd w:val="clear" w:color="auto" w:fill="F2F2F2" w:themeFill="background1" w:themeFillShade="F2"/>
          </w:tcPr>
          <w:p w14:paraId="1EA4C045" w14:textId="77777777" w:rsidR="00F301C7" w:rsidRPr="00AD413F" w:rsidRDefault="00F301C7" w:rsidP="00E259E5">
            <w:pPr>
              <w:pStyle w:val="TableText"/>
              <w:ind w:left="709" w:right="142" w:hanging="709"/>
            </w:pPr>
            <w:r>
              <w:t>R8.20</w:t>
            </w:r>
            <w:r w:rsidR="00E259E5">
              <w:tab/>
            </w:r>
            <w:r w:rsidRPr="00AD413F">
              <w:t xml:space="preserve">Sessile serrated </w:t>
            </w:r>
            <w:r w:rsidRPr="006E0BCA">
              <w:t>pol</w:t>
            </w:r>
            <w:r w:rsidRPr="00AD413F">
              <w:t>yposis</w:t>
            </w:r>
            <w:r w:rsidR="00271641">
              <w:t xml:space="preserve"> </w:t>
            </w:r>
            <w:r>
              <w:t>surveillance</w:t>
            </w:r>
          </w:p>
        </w:tc>
        <w:tc>
          <w:tcPr>
            <w:tcW w:w="6946" w:type="dxa"/>
            <w:shd w:val="clear" w:color="auto" w:fill="F2F2F2" w:themeFill="background1" w:themeFillShade="F2"/>
          </w:tcPr>
          <w:p w14:paraId="3170D1BD" w14:textId="77777777" w:rsidR="00F301C7" w:rsidRPr="0016219F" w:rsidRDefault="00F301C7" w:rsidP="00E853DD">
            <w:pPr>
              <w:pStyle w:val="TableText"/>
            </w:pPr>
            <w:r w:rsidRPr="00E853DD">
              <w:rPr>
                <w:b/>
                <w:i/>
              </w:rPr>
              <w:t xml:space="preserve">Practice point </w:t>
            </w:r>
            <w:r w:rsidRPr="00E853DD">
              <w:t>(NZFGICS; as referenced)</w:t>
            </w:r>
          </w:p>
          <w:p w14:paraId="502AFBC1" w14:textId="77777777" w:rsidR="003B6490" w:rsidRPr="00E853DD" w:rsidRDefault="00F301C7" w:rsidP="00E853DD">
            <w:pPr>
              <w:pStyle w:val="TableText"/>
            </w:pPr>
            <w:r w:rsidRPr="00E853DD">
              <w:t>Surveillance as recommended by the NZFGICS</w:t>
            </w:r>
            <w:r w:rsidR="0016219F">
              <w:t>.</w:t>
            </w:r>
          </w:p>
          <w:p w14:paraId="1C08E884" w14:textId="77777777" w:rsidR="00F301C7" w:rsidRPr="00E853DD" w:rsidRDefault="00F301C7" w:rsidP="00E853DD">
            <w:pPr>
              <w:pStyle w:val="TableText"/>
            </w:pPr>
            <w:r w:rsidRPr="00E853DD">
              <w:rPr>
                <w:rFonts w:eastAsia="Cambria" w:cs="Cambria"/>
              </w:rPr>
              <w:t xml:space="preserve">Following </w:t>
            </w:r>
            <w:proofErr w:type="spellStart"/>
            <w:r w:rsidRPr="00E853DD">
              <w:rPr>
                <w:rFonts w:eastAsia="Cambria" w:cs="Cambria"/>
              </w:rPr>
              <w:t>colonoscopic</w:t>
            </w:r>
            <w:proofErr w:type="spellEnd"/>
            <w:r w:rsidRPr="00E853DD">
              <w:rPr>
                <w:rFonts w:eastAsia="Cambria" w:cs="Cambria"/>
              </w:rPr>
              <w:t xml:space="preserve"> control of initial polyp burden</w:t>
            </w:r>
            <w:r w:rsidR="003B6490" w:rsidRPr="00E853DD">
              <w:rPr>
                <w:rFonts w:eastAsia="Cambria" w:cs="Cambria"/>
              </w:rPr>
              <w:t xml:space="preserve"> </w:t>
            </w:r>
            <w:r w:rsidRPr="00E853DD">
              <w:rPr>
                <w:rFonts w:eastAsia="Cambria" w:cs="Cambria"/>
              </w:rPr>
              <w:t>annual surveillance colonoscopy is recommended with removal of all lesions &gt;5mm and smaller as time allows (in some the polyp burden can be very high, and therefore initially colonoscopy may be required every 3</w:t>
            </w:r>
            <w:r w:rsidR="0016219F">
              <w:rPr>
                <w:rFonts w:eastAsia="Cambria" w:cs="Cambria"/>
              </w:rPr>
              <w:t>–</w:t>
            </w:r>
            <w:r w:rsidRPr="00E853DD">
              <w:rPr>
                <w:rFonts w:eastAsia="Cambria" w:cs="Cambria"/>
              </w:rPr>
              <w:t>6 months to clear all polyps)</w:t>
            </w:r>
            <w:r w:rsidR="0016219F">
              <w:rPr>
                <w:rFonts w:eastAsia="Cambria" w:cs="Cambria"/>
              </w:rPr>
              <w:t>.</w:t>
            </w:r>
          </w:p>
          <w:p w14:paraId="1CCCDBC8" w14:textId="77777777" w:rsidR="00F301C7" w:rsidRPr="00E853DD" w:rsidRDefault="00F301C7" w:rsidP="00E853DD">
            <w:pPr>
              <w:pStyle w:val="TableText"/>
              <w:rPr>
                <w:rFonts w:eastAsia="Calibri Light" w:cs="Calibri Light"/>
              </w:rPr>
            </w:pPr>
            <w:r w:rsidRPr="00E853DD">
              <w:rPr>
                <w:rFonts w:eastAsia="Cambria" w:cs="Cambria"/>
              </w:rPr>
              <w:t>Extension of the surveillance interval to two yearly can be considered in patients with SPS who have had two consecutive annual colonoscopies that meet the following criteria</w:t>
            </w:r>
            <w:r w:rsidR="0016219F">
              <w:rPr>
                <w:rFonts w:eastAsia="Cambria" w:cs="Cambria"/>
              </w:rPr>
              <w:t>:</w:t>
            </w:r>
            <w:r w:rsidRPr="0016219F">
              <w:rPr>
                <w:rStyle w:val="FootnoteReference"/>
                <w:rFonts w:eastAsia="Cambria"/>
              </w:rPr>
              <w:footnoteReference w:id="49"/>
            </w:r>
            <w:r w:rsidRPr="00E853DD">
              <w:rPr>
                <w:rFonts w:eastAsia="Cambria" w:cs="Cambria"/>
                <w:vertAlign w:val="superscript"/>
              </w:rPr>
              <w:t>,</w:t>
            </w:r>
            <w:r w:rsidRPr="0016219F">
              <w:rPr>
                <w:rStyle w:val="FootnoteReference"/>
                <w:rFonts w:eastAsia="Cambria"/>
              </w:rPr>
              <w:footnoteReference w:id="50"/>
            </w:r>
          </w:p>
          <w:p w14:paraId="7A185A99" w14:textId="77777777" w:rsidR="003B6490" w:rsidRPr="00E853DD" w:rsidRDefault="0016219F" w:rsidP="0016219F">
            <w:pPr>
              <w:pStyle w:val="TableBullet"/>
              <w:rPr>
                <w:rFonts w:eastAsia="Cambria"/>
              </w:rPr>
            </w:pPr>
            <w:r>
              <w:rPr>
                <w:rFonts w:eastAsia="Cambria"/>
              </w:rPr>
              <w:t>l</w:t>
            </w:r>
            <w:r w:rsidR="00F301C7" w:rsidRPr="00E853DD">
              <w:rPr>
                <w:rFonts w:eastAsia="Cambria"/>
              </w:rPr>
              <w:t>ess than 10 polyps where the majority of polyps are less than 5 mm in size</w:t>
            </w:r>
          </w:p>
          <w:p w14:paraId="1358A2B6" w14:textId="77777777" w:rsidR="00F301C7" w:rsidRPr="00E853DD" w:rsidRDefault="0016219F" w:rsidP="0016219F">
            <w:pPr>
              <w:pStyle w:val="TableBullet"/>
            </w:pPr>
            <w:r>
              <w:rPr>
                <w:rFonts w:eastAsia="Cambria"/>
              </w:rPr>
              <w:t>a</w:t>
            </w:r>
            <w:r w:rsidR="00F301C7" w:rsidRPr="00E853DD">
              <w:rPr>
                <w:rFonts w:eastAsia="Cambria"/>
              </w:rPr>
              <w:t>ll right sided polyps have been removed</w:t>
            </w:r>
          </w:p>
          <w:p w14:paraId="4A66CECC" w14:textId="77777777" w:rsidR="00F301C7" w:rsidRPr="00E853DD" w:rsidRDefault="0016219F" w:rsidP="0016219F">
            <w:pPr>
              <w:pStyle w:val="TableBullet"/>
            </w:pPr>
            <w:r>
              <w:rPr>
                <w:rFonts w:eastAsia="Cambria"/>
              </w:rPr>
              <w:t>n</w:t>
            </w:r>
            <w:r w:rsidR="00F301C7" w:rsidRPr="00E853DD">
              <w:rPr>
                <w:rFonts w:eastAsia="Cambria"/>
              </w:rPr>
              <w:t>o histology of concern such as SSPs with dysplasia</w:t>
            </w:r>
          </w:p>
          <w:p w14:paraId="6518482A" w14:textId="77777777" w:rsidR="003B6490" w:rsidRPr="00E853DD" w:rsidRDefault="0016219F" w:rsidP="0016219F">
            <w:pPr>
              <w:pStyle w:val="TableBullet"/>
              <w:rPr>
                <w:rFonts w:eastAsia="Cambria"/>
              </w:rPr>
            </w:pPr>
            <w:r>
              <w:rPr>
                <w:rFonts w:eastAsia="Cambria"/>
              </w:rPr>
              <w:t>g</w:t>
            </w:r>
            <w:r w:rsidR="00F301C7" w:rsidRPr="00E853DD">
              <w:rPr>
                <w:rFonts w:eastAsia="Cambria"/>
              </w:rPr>
              <w:t>ood bowel preparation (particularly in the right colon)</w:t>
            </w:r>
          </w:p>
          <w:p w14:paraId="6F956E36" w14:textId="77777777" w:rsidR="00F301C7" w:rsidRPr="00E853DD" w:rsidRDefault="0016219F" w:rsidP="0016219F">
            <w:pPr>
              <w:pStyle w:val="TableBullet"/>
            </w:pPr>
            <w:r>
              <w:rPr>
                <w:rFonts w:eastAsia="Cambria"/>
              </w:rPr>
              <w:t>a</w:t>
            </w:r>
            <w:r w:rsidR="00F301C7" w:rsidRPr="00E853DD">
              <w:rPr>
                <w:rFonts w:eastAsia="Cambria"/>
              </w:rPr>
              <w:t xml:space="preserve"> return to annual surveillance should be considered, if the polyp burden exceeds these criteria at any procedure.</w:t>
            </w:r>
          </w:p>
        </w:tc>
      </w:tr>
      <w:tr w:rsidR="00F301C7" w:rsidRPr="001543D4" w14:paraId="47E52945" w14:textId="77777777" w:rsidTr="00564D98">
        <w:trPr>
          <w:cantSplit/>
        </w:trPr>
        <w:tc>
          <w:tcPr>
            <w:tcW w:w="2410" w:type="dxa"/>
            <w:shd w:val="clear" w:color="auto" w:fill="F2F2F2" w:themeFill="background1" w:themeFillShade="F2"/>
          </w:tcPr>
          <w:p w14:paraId="14335E2E" w14:textId="77777777" w:rsidR="00F301C7" w:rsidRPr="00AD413F" w:rsidRDefault="00F301C7" w:rsidP="00E259E5">
            <w:pPr>
              <w:pStyle w:val="TableText"/>
              <w:ind w:left="709" w:right="142" w:hanging="709"/>
            </w:pPr>
            <w:r>
              <w:t>R8.21</w:t>
            </w:r>
            <w:r w:rsidR="00E259E5">
              <w:tab/>
            </w:r>
            <w:r w:rsidRPr="00AD413F">
              <w:t xml:space="preserve">Sessile serrated </w:t>
            </w:r>
            <w:r w:rsidRPr="006E0BCA">
              <w:t>pol</w:t>
            </w:r>
            <w:r w:rsidRPr="00AD413F">
              <w:t>yposis</w:t>
            </w:r>
            <w:r w:rsidR="00271641">
              <w:t xml:space="preserve"> </w:t>
            </w:r>
            <w:r>
              <w:t>risks</w:t>
            </w:r>
          </w:p>
        </w:tc>
        <w:tc>
          <w:tcPr>
            <w:tcW w:w="6946" w:type="dxa"/>
            <w:shd w:val="clear" w:color="auto" w:fill="F2F2F2" w:themeFill="background1" w:themeFillShade="F2"/>
          </w:tcPr>
          <w:p w14:paraId="11B0BEB7" w14:textId="77777777" w:rsidR="00F301C7" w:rsidRPr="00E853DD" w:rsidRDefault="00F301C7" w:rsidP="00E853DD">
            <w:pPr>
              <w:pStyle w:val="TableText"/>
            </w:pPr>
            <w:r w:rsidRPr="00E853DD">
              <w:rPr>
                <w:b/>
                <w:i/>
              </w:rPr>
              <w:t xml:space="preserve">Practice point </w:t>
            </w:r>
            <w:r w:rsidRPr="00E853DD">
              <w:t>(as referenced; BSG statement 11)</w:t>
            </w:r>
          </w:p>
          <w:p w14:paraId="44912834" w14:textId="77777777" w:rsidR="00F301C7" w:rsidRPr="00E853DD" w:rsidRDefault="00F301C7" w:rsidP="00E853DD">
            <w:pPr>
              <w:pStyle w:val="TableText"/>
              <w:rPr>
                <w:rFonts w:eastAsia="Cambria" w:cs="Cambria"/>
              </w:rPr>
            </w:pPr>
            <w:r w:rsidRPr="00E853DD">
              <w:rPr>
                <w:rFonts w:eastAsia="Cambria" w:cs="Cambria"/>
              </w:rPr>
              <w:t>Risk factors for colorectal cancer in SPS have been identified</w:t>
            </w:r>
            <w:r w:rsidRPr="0016219F">
              <w:rPr>
                <w:rStyle w:val="FootnoteReference"/>
                <w:rFonts w:eastAsia="Cambria"/>
              </w:rPr>
              <w:footnoteReference w:id="51"/>
            </w:r>
            <w:r w:rsidR="0016219F" w:rsidRPr="0016219F">
              <w:rPr>
                <w:rFonts w:eastAsia="Cambria" w:cs="Cambria"/>
                <w:vertAlign w:val="superscript"/>
              </w:rPr>
              <w:t>,</w:t>
            </w:r>
            <w:r w:rsidRPr="0016219F">
              <w:rPr>
                <w:rStyle w:val="FootnoteReference"/>
                <w:rFonts w:eastAsia="Cambria"/>
              </w:rPr>
              <w:footnoteReference w:id="52"/>
            </w:r>
            <w:r w:rsidRPr="00E853DD">
              <w:rPr>
                <w:rFonts w:eastAsia="Cambria" w:cs="Cambria"/>
              </w:rPr>
              <w:t xml:space="preserve"> (as summarised below) and should be taken in to consideration when determining surveillance intervals in SPS:</w:t>
            </w:r>
          </w:p>
          <w:p w14:paraId="0FC035CD" w14:textId="77777777" w:rsidR="003B6490" w:rsidRPr="00E853DD" w:rsidRDefault="0016219F" w:rsidP="0016219F">
            <w:pPr>
              <w:pStyle w:val="TableBullet"/>
              <w:rPr>
                <w:rFonts w:eastAsia="Cambria"/>
              </w:rPr>
            </w:pPr>
            <w:r>
              <w:rPr>
                <w:rFonts w:eastAsia="Cambria"/>
              </w:rPr>
              <w:t>a</w:t>
            </w:r>
            <w:r w:rsidR="00F301C7" w:rsidRPr="00E853DD">
              <w:rPr>
                <w:rFonts w:eastAsia="Cambria"/>
              </w:rPr>
              <w:t>ny proximal polyp SSA/P with high grade dysplasia</w:t>
            </w:r>
          </w:p>
          <w:p w14:paraId="5BDCA3F5" w14:textId="77777777" w:rsidR="003B6490" w:rsidRPr="00E853DD" w:rsidRDefault="00F301C7" w:rsidP="0016219F">
            <w:pPr>
              <w:pStyle w:val="TableBullet"/>
              <w:rPr>
                <w:rFonts w:eastAsia="Cambria"/>
              </w:rPr>
            </w:pPr>
            <w:r w:rsidRPr="00E853DD">
              <w:rPr>
                <w:rFonts w:eastAsia="Cambria"/>
              </w:rPr>
              <w:t>≥1 serrated polyp (SP) with dysplasia</w:t>
            </w:r>
          </w:p>
          <w:p w14:paraId="3A8AC778" w14:textId="77777777" w:rsidR="00F301C7" w:rsidRPr="00E853DD" w:rsidRDefault="0016219F" w:rsidP="0016219F">
            <w:pPr>
              <w:pStyle w:val="TableBullet"/>
              <w:rPr>
                <w:rFonts w:eastAsia="Cambria"/>
              </w:rPr>
            </w:pPr>
            <w:r>
              <w:rPr>
                <w:rFonts w:eastAsia="Cambria"/>
              </w:rPr>
              <w:t>t</w:t>
            </w:r>
            <w:r w:rsidR="00F301C7" w:rsidRPr="00E853DD">
              <w:rPr>
                <w:rFonts w:eastAsia="Cambria"/>
              </w:rPr>
              <w:t>wo proximal SSA/Ps</w:t>
            </w:r>
          </w:p>
          <w:p w14:paraId="79131BC9" w14:textId="77777777" w:rsidR="003B6490" w:rsidRPr="00E853DD" w:rsidRDefault="00F301C7" w:rsidP="0016219F">
            <w:pPr>
              <w:pStyle w:val="TableBullet"/>
              <w:rPr>
                <w:rFonts w:eastAsia="Cambria"/>
              </w:rPr>
            </w:pPr>
            <w:r w:rsidRPr="00E853DD">
              <w:rPr>
                <w:rFonts w:eastAsia="Cambria"/>
              </w:rPr>
              <w:t>advanced adenoma</w:t>
            </w:r>
            <w:r w:rsidR="0016219F">
              <w:rPr>
                <w:rFonts w:eastAsia="Cambria"/>
              </w:rPr>
              <w:t>.</w:t>
            </w:r>
          </w:p>
          <w:p w14:paraId="6D1DDC03" w14:textId="77777777" w:rsidR="00F301C7" w:rsidRPr="00E853DD" w:rsidRDefault="0016219F" w:rsidP="00E853DD">
            <w:pPr>
              <w:pStyle w:val="TableText"/>
              <w:rPr>
                <w:rFonts w:eastAsia="Cambria" w:cs="Cambria"/>
              </w:rPr>
            </w:pPr>
            <w:r>
              <w:rPr>
                <w:rFonts w:eastAsia="Cambria" w:cs="Cambria"/>
              </w:rPr>
              <w:t>F</w:t>
            </w:r>
            <w:r w:rsidR="00F301C7" w:rsidRPr="00E853DD">
              <w:rPr>
                <w:rFonts w:eastAsia="Cambria" w:cs="Cambria"/>
              </w:rPr>
              <w:t>ulfilment of both WHO criteria 1 and 3</w:t>
            </w:r>
            <w:r>
              <w:rPr>
                <w:rFonts w:eastAsia="Cambria" w:cs="Cambria"/>
              </w:rPr>
              <w:t>.</w:t>
            </w:r>
          </w:p>
          <w:p w14:paraId="2D8E51CE" w14:textId="60E52B17" w:rsidR="00F301C7" w:rsidRPr="00E853DD" w:rsidRDefault="00F301C7" w:rsidP="0016219F">
            <w:pPr>
              <w:pStyle w:val="TableText"/>
            </w:pPr>
            <w:r w:rsidRPr="00E853DD">
              <w:t>BSG statement 11</w:t>
            </w:r>
            <w:r w:rsidR="003F0BBC">
              <w:t>:</w:t>
            </w:r>
            <w:r w:rsidRPr="00E853DD">
              <w:t xml:space="preserve"> </w:t>
            </w:r>
            <w:r w:rsidR="003F0BBC">
              <w:t>P</w:t>
            </w:r>
            <w:r w:rsidRPr="00E853DD">
              <w:t>articipants</w:t>
            </w:r>
            <w:r w:rsidR="003B6490" w:rsidRPr="00E853DD">
              <w:t xml:space="preserve"> </w:t>
            </w:r>
            <w:r w:rsidRPr="00E853DD">
              <w:t>with SPS should be referred to clinical genetics services or a polyposis registry – in New Zealand</w:t>
            </w:r>
            <w:r w:rsidR="003B6490" w:rsidRPr="00E853DD">
              <w:t xml:space="preserve"> </w:t>
            </w:r>
            <w:r w:rsidRPr="00E853DD">
              <w:t>referral sh</w:t>
            </w:r>
            <w:r w:rsidR="0016219F">
              <w:t>ould be to the NZFGICS.</w:t>
            </w:r>
          </w:p>
        </w:tc>
      </w:tr>
    </w:tbl>
    <w:p w14:paraId="3D6D2950" w14:textId="77777777" w:rsidR="00F301C7" w:rsidRDefault="00F301C7" w:rsidP="009F787F"/>
    <w:p w14:paraId="1FD6B576" w14:textId="6E63AB60" w:rsidR="00F301C7" w:rsidRDefault="00F301C7" w:rsidP="009F787F">
      <w:pPr>
        <w:pStyle w:val="Heading3"/>
      </w:pPr>
      <w:r>
        <w:lastRenderedPageBreak/>
        <w:t>Recommendation: Post procedure information to the participant</w:t>
      </w:r>
      <w:r w:rsidR="004C7FED">
        <w:t xml:space="preserve"> and General Practice</w:t>
      </w:r>
    </w:p>
    <w:tbl>
      <w:tblPr>
        <w:tblW w:w="0" w:type="auto"/>
        <w:tblInd w:w="57" w:type="dxa"/>
        <w:tblBorders>
          <w:top w:val="single" w:sz="4" w:space="0" w:color="auto"/>
          <w:bottom w:val="single" w:sz="4" w:space="0" w:color="auto"/>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2410"/>
        <w:gridCol w:w="6946"/>
      </w:tblGrid>
      <w:tr w:rsidR="00F301C7" w:rsidRPr="005E3C2C" w14:paraId="563898EF" w14:textId="77777777" w:rsidTr="00564D98">
        <w:trPr>
          <w:cantSplit/>
        </w:trPr>
        <w:tc>
          <w:tcPr>
            <w:tcW w:w="2410" w:type="dxa"/>
            <w:shd w:val="clear" w:color="auto" w:fill="F2F2F2" w:themeFill="background1" w:themeFillShade="F2"/>
          </w:tcPr>
          <w:p w14:paraId="0AFC29B7" w14:textId="77777777" w:rsidR="00F301C7" w:rsidRPr="005E3C2C" w:rsidRDefault="00F301C7" w:rsidP="00E259E5">
            <w:pPr>
              <w:pStyle w:val="TableText"/>
              <w:ind w:left="709" w:right="142" w:hanging="709"/>
            </w:pPr>
            <w:r>
              <w:t>R8.22</w:t>
            </w:r>
            <w:r w:rsidR="00E259E5">
              <w:tab/>
            </w:r>
            <w:r>
              <w:t>Post procedure information</w:t>
            </w:r>
            <w:r w:rsidR="00271641">
              <w:t xml:space="preserve"> </w:t>
            </w:r>
            <w:r>
              <w:t>to the participant</w:t>
            </w:r>
          </w:p>
        </w:tc>
        <w:tc>
          <w:tcPr>
            <w:tcW w:w="6946" w:type="dxa"/>
            <w:shd w:val="clear" w:color="auto" w:fill="F2F2F2" w:themeFill="background1" w:themeFillShade="F2"/>
          </w:tcPr>
          <w:p w14:paraId="06D90DA7" w14:textId="2473F1CB" w:rsidR="00F301C7" w:rsidRPr="00372E45" w:rsidRDefault="00F301C7" w:rsidP="00E853DD">
            <w:pPr>
              <w:pStyle w:val="TableText"/>
            </w:pPr>
            <w:r w:rsidRPr="00E853DD">
              <w:rPr>
                <w:b/>
                <w:i/>
              </w:rPr>
              <w:t xml:space="preserve">Practice point </w:t>
            </w:r>
            <w:r w:rsidR="0041007B">
              <w:t>(NBSP; ANZCA;</w:t>
            </w:r>
            <w:r w:rsidRPr="00E853DD">
              <w:t xml:space="preserve"> NBSP CTC)</w:t>
            </w:r>
          </w:p>
          <w:p w14:paraId="4FED6DAC" w14:textId="77777777" w:rsidR="003B6490" w:rsidRPr="00E853DD" w:rsidRDefault="00F301C7" w:rsidP="00E853DD">
            <w:pPr>
              <w:pStyle w:val="TableText"/>
              <w:rPr>
                <w:b/>
              </w:rPr>
            </w:pPr>
            <w:r w:rsidRPr="00E853DD">
              <w:rPr>
                <w:b/>
              </w:rPr>
              <w:t>Post procedure information</w:t>
            </w:r>
          </w:p>
          <w:p w14:paraId="62954D8D" w14:textId="77777777" w:rsidR="003B6490" w:rsidRPr="00E853DD" w:rsidRDefault="00F301C7" w:rsidP="00E853DD">
            <w:pPr>
              <w:pStyle w:val="TableText"/>
              <w:rPr>
                <w:rFonts w:cs="Arial"/>
              </w:rPr>
            </w:pPr>
            <w:r w:rsidRPr="00E853DD">
              <w:rPr>
                <w:rFonts w:cs="Arial"/>
              </w:rPr>
              <w:t xml:space="preserve">Before leaving the endoscopy unit, patients should be given a verbal explanation of the results of their procedure. It is preferred that this is usually to be undertaken by the </w:t>
            </w:r>
            <w:proofErr w:type="spellStart"/>
            <w:r w:rsidRPr="00E853DD">
              <w:rPr>
                <w:rFonts w:cs="Arial"/>
              </w:rPr>
              <w:t>proceduralist</w:t>
            </w:r>
            <w:proofErr w:type="spellEnd"/>
            <w:r w:rsidRPr="00E853DD">
              <w:rPr>
                <w:rFonts w:cs="Arial"/>
              </w:rPr>
              <w:t>, or at least a senior nurse involved in the BCS program.</w:t>
            </w:r>
          </w:p>
          <w:p w14:paraId="14CD13E9" w14:textId="77777777" w:rsidR="003B6490" w:rsidRPr="00E853DD" w:rsidRDefault="00F301C7" w:rsidP="00E853DD">
            <w:pPr>
              <w:pStyle w:val="TableText"/>
              <w:rPr>
                <w:rFonts w:cs="Arial"/>
              </w:rPr>
            </w:pPr>
            <w:r w:rsidRPr="00E853DD">
              <w:rPr>
                <w:rFonts w:cs="Arial"/>
              </w:rPr>
              <w:t>Patients should also be given written information to support the verbal explanation.</w:t>
            </w:r>
          </w:p>
          <w:p w14:paraId="1A818486" w14:textId="77777777" w:rsidR="003B6490" w:rsidRPr="00E853DD" w:rsidRDefault="00F301C7" w:rsidP="00E853DD">
            <w:pPr>
              <w:pStyle w:val="TableText"/>
              <w:rPr>
                <w:rFonts w:cs="Arial"/>
              </w:rPr>
            </w:pPr>
            <w:r w:rsidRPr="00E853DD">
              <w:rPr>
                <w:rFonts w:cs="Arial"/>
              </w:rPr>
              <w:t>Written information should include:</w:t>
            </w:r>
          </w:p>
          <w:p w14:paraId="75C5C8F7" w14:textId="77777777" w:rsidR="00F301C7" w:rsidRPr="00E853DD" w:rsidRDefault="00372E45" w:rsidP="00372E45">
            <w:pPr>
              <w:pStyle w:val="TableBullet"/>
            </w:pPr>
            <w:r>
              <w:t>f</w:t>
            </w:r>
            <w:r w:rsidR="00F301C7" w:rsidRPr="00E853DD">
              <w:t>indings</w:t>
            </w:r>
          </w:p>
          <w:p w14:paraId="3FBBA617" w14:textId="77777777" w:rsidR="003B6490" w:rsidRPr="00E853DD" w:rsidRDefault="00372E45" w:rsidP="00372E45">
            <w:pPr>
              <w:pStyle w:val="TableBullet"/>
            </w:pPr>
            <w:r>
              <w:t>w</w:t>
            </w:r>
            <w:r w:rsidR="00F301C7" w:rsidRPr="00E853DD">
              <w:t>hen to resume or take relevant medications including anticoagulants</w:t>
            </w:r>
          </w:p>
          <w:p w14:paraId="1CDF8BA9" w14:textId="1C07ADDA" w:rsidR="00F301C7" w:rsidRPr="00E853DD" w:rsidRDefault="00372E45" w:rsidP="00372E45">
            <w:pPr>
              <w:pStyle w:val="TableBullet"/>
            </w:pPr>
            <w:r>
              <w:t>s</w:t>
            </w:r>
            <w:r w:rsidR="00F301C7" w:rsidRPr="00E853DD">
              <w:t>ymptoms to watch out for</w:t>
            </w:r>
            <w:r>
              <w:t>,</w:t>
            </w:r>
            <w:r w:rsidR="00F301C7" w:rsidRPr="00E853DD">
              <w:t xml:space="preserve"> </w:t>
            </w:r>
            <w:r w:rsidR="003B1019" w:rsidRPr="00E853DD">
              <w:t>e.g.</w:t>
            </w:r>
            <w:r>
              <w:t>,</w:t>
            </w:r>
            <w:r w:rsidR="00F301C7" w:rsidRPr="00E853DD">
              <w:t xml:space="preserve"> bleeding and who to contact if they experience post procedural symptoms</w:t>
            </w:r>
          </w:p>
          <w:p w14:paraId="46FD9AED" w14:textId="77777777" w:rsidR="00F301C7" w:rsidRPr="00E853DD" w:rsidRDefault="00372E45" w:rsidP="00372E45">
            <w:pPr>
              <w:pStyle w:val="TableBullet"/>
            </w:pPr>
            <w:r>
              <w:t>c</w:t>
            </w:r>
            <w:r w:rsidR="00F301C7" w:rsidRPr="00E853DD">
              <w:t>ontact numbers</w:t>
            </w:r>
          </w:p>
          <w:p w14:paraId="0A2D4959" w14:textId="77777777" w:rsidR="00F301C7" w:rsidRPr="00E853DD" w:rsidRDefault="00372E45" w:rsidP="00372E45">
            <w:pPr>
              <w:pStyle w:val="TableBullet"/>
            </w:pPr>
            <w:r>
              <w:t>w</w:t>
            </w:r>
            <w:r w:rsidR="00F301C7" w:rsidRPr="00E853DD">
              <w:t>hat can be eaten and drunk</w:t>
            </w:r>
          </w:p>
          <w:p w14:paraId="0663873E" w14:textId="77777777" w:rsidR="00F301C7" w:rsidRPr="00E853DD" w:rsidRDefault="00372E45" w:rsidP="00372E45">
            <w:pPr>
              <w:pStyle w:val="TableBullet"/>
            </w:pPr>
            <w:r>
              <w:t>w</w:t>
            </w:r>
            <w:r w:rsidR="00F301C7" w:rsidRPr="00E853DD">
              <w:t>hen it is safe to drive</w:t>
            </w:r>
            <w:r>
              <w:t>.</w:t>
            </w:r>
          </w:p>
          <w:p w14:paraId="334819EF" w14:textId="77777777" w:rsidR="00F301C7" w:rsidRPr="00E853DD" w:rsidRDefault="00F301C7" w:rsidP="00E853DD">
            <w:pPr>
              <w:pStyle w:val="TableText"/>
            </w:pPr>
            <w:r w:rsidRPr="00E853DD">
              <w:t>Post procedure risks explained</w:t>
            </w:r>
            <w:r w:rsidR="00372E45">
              <w:t>.</w:t>
            </w:r>
          </w:p>
          <w:p w14:paraId="7017B971" w14:textId="77777777" w:rsidR="00F301C7" w:rsidRPr="00E853DD" w:rsidRDefault="00F301C7" w:rsidP="00E853DD">
            <w:pPr>
              <w:pStyle w:val="TableText"/>
            </w:pPr>
            <w:r w:rsidRPr="00E853DD">
              <w:t>Post procedure activities explained</w:t>
            </w:r>
            <w:r w:rsidR="00372E45">
              <w:t>.</w:t>
            </w:r>
          </w:p>
          <w:p w14:paraId="5932192A" w14:textId="77777777" w:rsidR="00F301C7" w:rsidRPr="00E853DD" w:rsidRDefault="00F301C7" w:rsidP="00E853DD">
            <w:pPr>
              <w:pStyle w:val="TableText"/>
            </w:pPr>
            <w:r w:rsidRPr="00E853DD">
              <w:t>Restarting medications including anti-coagulants</w:t>
            </w:r>
            <w:r w:rsidR="00372E45">
              <w:t>:</w:t>
            </w:r>
          </w:p>
          <w:p w14:paraId="71FC367F" w14:textId="77777777" w:rsidR="00F301C7" w:rsidRPr="00E853DD" w:rsidRDefault="00F301C7" w:rsidP="00372E45">
            <w:pPr>
              <w:pStyle w:val="TableBullet"/>
            </w:pPr>
            <w:r w:rsidRPr="00E853DD">
              <w:t xml:space="preserve">before providing the participant with post procedure information the </w:t>
            </w:r>
            <w:proofErr w:type="spellStart"/>
            <w:r w:rsidRPr="00E853DD">
              <w:t>colonoscopist</w:t>
            </w:r>
            <w:proofErr w:type="spellEnd"/>
            <w:r w:rsidRPr="00E853DD">
              <w:t xml:space="preserve"> will review the clinical findings and family history to determine surveillance recommendations including:</w:t>
            </w:r>
          </w:p>
          <w:p w14:paraId="73C3A8F5" w14:textId="77777777" w:rsidR="00F301C7" w:rsidRPr="00E853DD" w:rsidRDefault="00F301C7" w:rsidP="00372E45">
            <w:pPr>
              <w:pStyle w:val="TableDash"/>
            </w:pPr>
            <w:r w:rsidRPr="00E853DD">
              <w:t>return to screening</w:t>
            </w:r>
          </w:p>
          <w:p w14:paraId="3435C4E7" w14:textId="77777777" w:rsidR="00F301C7" w:rsidRPr="00E853DD" w:rsidRDefault="00F301C7" w:rsidP="00372E45">
            <w:pPr>
              <w:pStyle w:val="TableDash"/>
            </w:pPr>
            <w:r w:rsidRPr="00E853DD">
              <w:t>surveillance protocol</w:t>
            </w:r>
          </w:p>
          <w:p w14:paraId="0DCF9C2D" w14:textId="77777777" w:rsidR="00F301C7" w:rsidRPr="00E853DD" w:rsidRDefault="00F301C7" w:rsidP="00372E45">
            <w:pPr>
              <w:pStyle w:val="TableDash"/>
            </w:pPr>
            <w:r w:rsidRPr="00E853DD">
              <w:t>referral to NZFGICS etc</w:t>
            </w:r>
            <w:r w:rsidR="00372E45">
              <w:t>.</w:t>
            </w:r>
          </w:p>
          <w:p w14:paraId="050815AB" w14:textId="77777777" w:rsidR="00F301C7" w:rsidRDefault="00F301C7" w:rsidP="00372E45">
            <w:pPr>
              <w:pStyle w:val="TableText"/>
              <w:rPr>
                <w:iCs/>
              </w:rPr>
            </w:pPr>
            <w:r w:rsidRPr="00E853DD">
              <w:rPr>
                <w:iCs/>
              </w:rPr>
              <w:t>Similar information to above but specific for CTC</w:t>
            </w:r>
            <w:r w:rsidR="00372E45">
              <w:rPr>
                <w:iCs/>
              </w:rPr>
              <w:t>.</w:t>
            </w:r>
          </w:p>
          <w:p w14:paraId="70A71E0C" w14:textId="2E2008F4" w:rsidR="00C17159" w:rsidRPr="00E853DD" w:rsidRDefault="00C17159" w:rsidP="00372E45">
            <w:pPr>
              <w:pStyle w:val="TableText"/>
              <w:rPr>
                <w:iCs/>
              </w:rPr>
            </w:pPr>
            <w:r>
              <w:rPr>
                <w:rFonts w:cs="Arial"/>
                <w:color w:val="000000"/>
                <w:szCs w:val="18"/>
                <w:lang w:eastAsia="en-NZ"/>
              </w:rPr>
              <w:t xml:space="preserve">It is the </w:t>
            </w:r>
            <w:r w:rsidRPr="00C17159">
              <w:rPr>
                <w:rFonts w:cs="Arial"/>
                <w:color w:val="000000"/>
                <w:szCs w:val="18"/>
                <w:lang w:eastAsia="en-NZ"/>
              </w:rPr>
              <w:t xml:space="preserve">responsibility of the DHB clinical lead/lead </w:t>
            </w:r>
            <w:proofErr w:type="spellStart"/>
            <w:r w:rsidRPr="00C17159">
              <w:rPr>
                <w:rFonts w:cs="Arial"/>
                <w:color w:val="000000"/>
                <w:szCs w:val="18"/>
                <w:lang w:eastAsia="en-NZ"/>
              </w:rPr>
              <w:t>endoscopist</w:t>
            </w:r>
            <w:proofErr w:type="spellEnd"/>
            <w:r w:rsidRPr="00C17159">
              <w:rPr>
                <w:rFonts w:cs="Arial"/>
                <w:color w:val="000000"/>
                <w:szCs w:val="18"/>
                <w:lang w:eastAsia="en-NZ"/>
              </w:rPr>
              <w:t xml:space="preserve"> to assess and arrange appropriate management e</w:t>
            </w:r>
            <w:r>
              <w:rPr>
                <w:rFonts w:cs="Arial"/>
                <w:color w:val="000000"/>
                <w:szCs w:val="18"/>
                <w:lang w:eastAsia="en-NZ"/>
              </w:rPr>
              <w:t>.</w:t>
            </w:r>
            <w:r w:rsidRPr="00C17159">
              <w:rPr>
                <w:rFonts w:cs="Arial"/>
                <w:color w:val="000000"/>
                <w:szCs w:val="18"/>
                <w:lang w:eastAsia="en-NZ"/>
              </w:rPr>
              <w:t>g</w:t>
            </w:r>
            <w:r>
              <w:rPr>
                <w:rFonts w:cs="Arial"/>
                <w:color w:val="000000"/>
                <w:szCs w:val="18"/>
                <w:lang w:eastAsia="en-NZ"/>
              </w:rPr>
              <w:t>.</w:t>
            </w:r>
            <w:r w:rsidRPr="00C17159">
              <w:rPr>
                <w:rFonts w:cs="Arial"/>
                <w:color w:val="000000"/>
                <w:szCs w:val="18"/>
                <w:lang w:eastAsia="en-NZ"/>
              </w:rPr>
              <w:t xml:space="preserve"> treatment, surveillance and communicate the outcome and follow</w:t>
            </w:r>
            <w:r>
              <w:rPr>
                <w:rFonts w:cs="Arial"/>
                <w:color w:val="000000"/>
                <w:szCs w:val="18"/>
                <w:lang w:eastAsia="en-NZ"/>
              </w:rPr>
              <w:t xml:space="preserve"> </w:t>
            </w:r>
            <w:r w:rsidRPr="00C17159">
              <w:rPr>
                <w:rFonts w:cs="Arial"/>
                <w:color w:val="000000"/>
                <w:szCs w:val="18"/>
                <w:lang w:eastAsia="en-NZ"/>
              </w:rPr>
              <w:t>up action by let</w:t>
            </w:r>
            <w:r>
              <w:rPr>
                <w:rFonts w:cs="Arial"/>
                <w:color w:val="000000"/>
                <w:szCs w:val="18"/>
                <w:lang w:eastAsia="en-NZ"/>
              </w:rPr>
              <w:t xml:space="preserve">ter </w:t>
            </w:r>
            <w:r w:rsidRPr="00C17159">
              <w:rPr>
                <w:rFonts w:cs="Arial"/>
                <w:color w:val="000000"/>
                <w:szCs w:val="18"/>
                <w:lang w:eastAsia="en-NZ"/>
              </w:rPr>
              <w:t xml:space="preserve">to the </w:t>
            </w:r>
            <w:r>
              <w:rPr>
                <w:rFonts w:cs="Arial"/>
                <w:color w:val="000000"/>
                <w:szCs w:val="18"/>
                <w:lang w:eastAsia="en-NZ"/>
              </w:rPr>
              <w:t>patient</w:t>
            </w:r>
            <w:r w:rsidR="00986011">
              <w:rPr>
                <w:rFonts w:cs="Arial"/>
                <w:color w:val="000000"/>
                <w:szCs w:val="18"/>
                <w:lang w:eastAsia="en-NZ"/>
              </w:rPr>
              <w:t>.</w:t>
            </w:r>
          </w:p>
        </w:tc>
      </w:tr>
      <w:tr w:rsidR="004C7FED" w:rsidRPr="005E3C2C" w14:paraId="062484A1" w14:textId="77777777" w:rsidTr="00564D98">
        <w:trPr>
          <w:cantSplit/>
        </w:trPr>
        <w:tc>
          <w:tcPr>
            <w:tcW w:w="2410" w:type="dxa"/>
            <w:shd w:val="clear" w:color="auto" w:fill="F2F2F2" w:themeFill="background1" w:themeFillShade="F2"/>
          </w:tcPr>
          <w:p w14:paraId="4ECCE135" w14:textId="527576DD" w:rsidR="004C7FED" w:rsidRDefault="004C7FED" w:rsidP="00CA7955">
            <w:pPr>
              <w:pStyle w:val="TableText"/>
              <w:ind w:left="709" w:right="142" w:hanging="709"/>
            </w:pPr>
            <w:r>
              <w:t xml:space="preserve">R8.22a </w:t>
            </w:r>
            <w:r w:rsidR="00CA7955">
              <w:t xml:space="preserve">Post procedure </w:t>
            </w:r>
            <w:r>
              <w:t>information to general practice</w:t>
            </w:r>
          </w:p>
        </w:tc>
        <w:tc>
          <w:tcPr>
            <w:tcW w:w="6946" w:type="dxa"/>
            <w:shd w:val="clear" w:color="auto" w:fill="F2F2F2" w:themeFill="background1" w:themeFillShade="F2"/>
          </w:tcPr>
          <w:p w14:paraId="2DCCC065" w14:textId="77777777" w:rsidR="004C7FED" w:rsidRDefault="0041007B" w:rsidP="00E853DD">
            <w:pPr>
              <w:pStyle w:val="TableText"/>
            </w:pPr>
            <w:r w:rsidRPr="00E853DD">
              <w:rPr>
                <w:b/>
                <w:i/>
              </w:rPr>
              <w:t xml:space="preserve">Practice point </w:t>
            </w:r>
            <w:r w:rsidRPr="00E853DD">
              <w:t>(NBSP</w:t>
            </w:r>
            <w:r>
              <w:t>)</w:t>
            </w:r>
          </w:p>
          <w:p w14:paraId="24E87D88" w14:textId="474A2748" w:rsidR="00C17159" w:rsidRPr="00C17159" w:rsidRDefault="00C17159" w:rsidP="00C17159">
            <w:pPr>
              <w:pStyle w:val="TableText"/>
              <w:rPr>
                <w:rFonts w:cs="Arial"/>
                <w:b/>
                <w:i/>
                <w:szCs w:val="18"/>
              </w:rPr>
            </w:pPr>
            <w:r>
              <w:rPr>
                <w:rFonts w:cs="Arial"/>
                <w:color w:val="000000"/>
                <w:szCs w:val="18"/>
                <w:lang w:eastAsia="en-NZ"/>
              </w:rPr>
              <w:t xml:space="preserve">It is the </w:t>
            </w:r>
            <w:r w:rsidRPr="00C17159">
              <w:rPr>
                <w:rFonts w:cs="Arial"/>
                <w:color w:val="000000"/>
                <w:szCs w:val="18"/>
                <w:lang w:eastAsia="en-NZ"/>
              </w:rPr>
              <w:t xml:space="preserve">responsibility of the DHB clinical lead/lead </w:t>
            </w:r>
            <w:proofErr w:type="spellStart"/>
            <w:r w:rsidRPr="00C17159">
              <w:rPr>
                <w:rFonts w:cs="Arial"/>
                <w:color w:val="000000"/>
                <w:szCs w:val="18"/>
                <w:lang w:eastAsia="en-NZ"/>
              </w:rPr>
              <w:t>endoscopist</w:t>
            </w:r>
            <w:proofErr w:type="spellEnd"/>
            <w:r w:rsidRPr="00C17159">
              <w:rPr>
                <w:rFonts w:cs="Arial"/>
                <w:color w:val="000000"/>
                <w:szCs w:val="18"/>
                <w:lang w:eastAsia="en-NZ"/>
              </w:rPr>
              <w:t xml:space="preserve"> to assess and arrange appropriate management e</w:t>
            </w:r>
            <w:r>
              <w:rPr>
                <w:rFonts w:cs="Arial"/>
                <w:color w:val="000000"/>
                <w:szCs w:val="18"/>
                <w:lang w:eastAsia="en-NZ"/>
              </w:rPr>
              <w:t>.</w:t>
            </w:r>
            <w:r w:rsidRPr="00C17159">
              <w:rPr>
                <w:rFonts w:cs="Arial"/>
                <w:color w:val="000000"/>
                <w:szCs w:val="18"/>
                <w:lang w:eastAsia="en-NZ"/>
              </w:rPr>
              <w:t>g</w:t>
            </w:r>
            <w:r>
              <w:rPr>
                <w:rFonts w:cs="Arial"/>
                <w:color w:val="000000"/>
                <w:szCs w:val="18"/>
                <w:lang w:eastAsia="en-NZ"/>
              </w:rPr>
              <w:t>.</w:t>
            </w:r>
            <w:r w:rsidRPr="00C17159">
              <w:rPr>
                <w:rFonts w:cs="Arial"/>
                <w:color w:val="000000"/>
                <w:szCs w:val="18"/>
                <w:lang w:eastAsia="en-NZ"/>
              </w:rPr>
              <w:t xml:space="preserve"> treatment, surveillance and communicate the outcome and follow</w:t>
            </w:r>
            <w:r>
              <w:rPr>
                <w:rFonts w:cs="Arial"/>
                <w:color w:val="000000"/>
                <w:szCs w:val="18"/>
                <w:lang w:eastAsia="en-NZ"/>
              </w:rPr>
              <w:t xml:space="preserve"> </w:t>
            </w:r>
            <w:r w:rsidRPr="00C17159">
              <w:rPr>
                <w:rFonts w:cs="Arial"/>
                <w:color w:val="000000"/>
                <w:szCs w:val="18"/>
                <w:lang w:eastAsia="en-NZ"/>
              </w:rPr>
              <w:t>up action by let</w:t>
            </w:r>
            <w:r>
              <w:rPr>
                <w:rFonts w:cs="Arial"/>
                <w:color w:val="000000"/>
                <w:szCs w:val="18"/>
                <w:lang w:eastAsia="en-NZ"/>
              </w:rPr>
              <w:t xml:space="preserve">ter </w:t>
            </w:r>
            <w:r w:rsidRPr="00C17159">
              <w:rPr>
                <w:rFonts w:cs="Arial"/>
                <w:color w:val="000000"/>
                <w:szCs w:val="18"/>
                <w:lang w:eastAsia="en-NZ"/>
              </w:rPr>
              <w:t>to the GP</w:t>
            </w:r>
            <w:r w:rsidR="00986011">
              <w:rPr>
                <w:rFonts w:cs="Arial"/>
                <w:color w:val="000000"/>
                <w:szCs w:val="18"/>
                <w:lang w:eastAsia="en-NZ"/>
              </w:rPr>
              <w:t>.</w:t>
            </w:r>
            <w:r w:rsidR="001F6880">
              <w:rPr>
                <w:rFonts w:cs="Arial"/>
                <w:color w:val="000000"/>
                <w:szCs w:val="18"/>
                <w:lang w:eastAsia="en-NZ"/>
              </w:rPr>
              <w:t xml:space="preserve"> Note: The GP does not receive a copy of the histopathology result and is not responsible for determining the appropriate follow up</w:t>
            </w:r>
            <w:r w:rsidR="00D318E9">
              <w:rPr>
                <w:rFonts w:cs="Arial"/>
                <w:color w:val="000000"/>
                <w:szCs w:val="18"/>
                <w:lang w:eastAsia="en-NZ"/>
              </w:rPr>
              <w:t>.</w:t>
            </w:r>
          </w:p>
        </w:tc>
      </w:tr>
    </w:tbl>
    <w:p w14:paraId="544FFC4A" w14:textId="77777777" w:rsidR="009F787F" w:rsidRDefault="009F787F" w:rsidP="009F787F"/>
    <w:p w14:paraId="1B8E7934" w14:textId="77777777" w:rsidR="00F301C7" w:rsidRDefault="00F301C7" w:rsidP="009F787F">
      <w:pPr>
        <w:pStyle w:val="Heading3"/>
      </w:pPr>
      <w:r>
        <w:t>Recommendation: Post procedure review of surveillance recommendations in consideration of histopathology results and MDM</w:t>
      </w:r>
    </w:p>
    <w:tbl>
      <w:tblPr>
        <w:tblW w:w="0" w:type="auto"/>
        <w:tblInd w:w="57" w:type="dxa"/>
        <w:tblBorders>
          <w:top w:val="single" w:sz="4" w:space="0" w:color="auto"/>
          <w:bottom w:val="single" w:sz="4" w:space="0" w:color="auto"/>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2410"/>
        <w:gridCol w:w="6946"/>
      </w:tblGrid>
      <w:tr w:rsidR="00F301C7" w:rsidRPr="005E3C2C" w14:paraId="41613F0E" w14:textId="77777777" w:rsidTr="00564D98">
        <w:trPr>
          <w:cantSplit/>
        </w:trPr>
        <w:tc>
          <w:tcPr>
            <w:tcW w:w="2410" w:type="dxa"/>
            <w:shd w:val="clear" w:color="auto" w:fill="F2F2F2" w:themeFill="background1" w:themeFillShade="F2"/>
          </w:tcPr>
          <w:p w14:paraId="43CC7CF5" w14:textId="77777777" w:rsidR="00F301C7" w:rsidRPr="005E3C2C" w:rsidRDefault="00F301C7" w:rsidP="00E259E5">
            <w:pPr>
              <w:pStyle w:val="TableText"/>
              <w:ind w:left="709" w:right="142" w:hanging="709"/>
            </w:pPr>
            <w:r>
              <w:t>R8.23</w:t>
            </w:r>
            <w:r w:rsidR="00E259E5">
              <w:tab/>
            </w:r>
            <w:r>
              <w:t>Review of surveillance</w:t>
            </w:r>
            <w:r w:rsidR="00271641">
              <w:t xml:space="preserve"> </w:t>
            </w:r>
            <w:r>
              <w:t>recommendations following</w:t>
            </w:r>
            <w:r w:rsidR="00271641">
              <w:t xml:space="preserve"> </w:t>
            </w:r>
            <w:r>
              <w:t>histopathology and MDM</w:t>
            </w:r>
          </w:p>
        </w:tc>
        <w:tc>
          <w:tcPr>
            <w:tcW w:w="6946" w:type="dxa"/>
            <w:shd w:val="clear" w:color="auto" w:fill="F2F2F2" w:themeFill="background1" w:themeFillShade="F2"/>
          </w:tcPr>
          <w:p w14:paraId="16E29E45" w14:textId="77777777" w:rsidR="00F301C7" w:rsidRPr="00E853DD" w:rsidRDefault="00F301C7" w:rsidP="00E853DD">
            <w:pPr>
              <w:pStyle w:val="TableText"/>
            </w:pPr>
            <w:r w:rsidRPr="00372E45">
              <w:rPr>
                <w:b/>
                <w:i/>
              </w:rPr>
              <w:t>Practice point</w:t>
            </w:r>
            <w:r w:rsidRPr="00E853DD">
              <w:t xml:space="preserve"> (NBSP)</w:t>
            </w:r>
          </w:p>
          <w:p w14:paraId="0EDE79B0" w14:textId="77777777" w:rsidR="00F301C7" w:rsidRPr="00E853DD" w:rsidRDefault="00F301C7" w:rsidP="00E853DD">
            <w:pPr>
              <w:pStyle w:val="TableText"/>
              <w:rPr>
                <w:iCs/>
              </w:rPr>
            </w:pPr>
            <w:r w:rsidRPr="00E853DD">
              <w:rPr>
                <w:iCs/>
              </w:rPr>
              <w:t>When the histology report is received by the clinical/endoscopy lead the surveillance plan will be reviewed and recommendations updated based on a combination of the clinical findings and pathology</w:t>
            </w:r>
            <w:r w:rsidR="00372E45">
              <w:rPr>
                <w:iCs/>
              </w:rPr>
              <w:t>.</w:t>
            </w:r>
          </w:p>
          <w:p w14:paraId="07EF0665" w14:textId="77777777" w:rsidR="00F301C7" w:rsidRPr="00E853DD" w:rsidRDefault="00F301C7" w:rsidP="00E853DD">
            <w:pPr>
              <w:pStyle w:val="TableText"/>
              <w:rPr>
                <w:iCs/>
              </w:rPr>
            </w:pPr>
            <w:r w:rsidRPr="00E853DD">
              <w:rPr>
                <w:iCs/>
              </w:rPr>
              <w:t>This may include MDM review depending on findings (see section R8.24)</w:t>
            </w:r>
            <w:r w:rsidR="00372E45">
              <w:rPr>
                <w:iCs/>
              </w:rPr>
              <w:t>.</w:t>
            </w:r>
          </w:p>
          <w:p w14:paraId="77D4FFAB" w14:textId="77777777" w:rsidR="00F301C7" w:rsidRPr="00E853DD" w:rsidRDefault="00F301C7" w:rsidP="00E853DD">
            <w:pPr>
              <w:pStyle w:val="TableText"/>
              <w:rPr>
                <w:iCs/>
              </w:rPr>
            </w:pPr>
            <w:r w:rsidRPr="00E853DD">
              <w:rPr>
                <w:iCs/>
              </w:rPr>
              <w:t>Participants will be notified of any change to surveillance, management or the need for referral to a specialist for treatment (see section R8.32 cancer treatment)</w:t>
            </w:r>
            <w:r w:rsidR="00372E45">
              <w:rPr>
                <w:iCs/>
              </w:rPr>
              <w:t>.</w:t>
            </w:r>
          </w:p>
        </w:tc>
      </w:tr>
    </w:tbl>
    <w:p w14:paraId="4ABCC058" w14:textId="77777777" w:rsidR="00F301C7" w:rsidRDefault="00F301C7" w:rsidP="009F787F"/>
    <w:p w14:paraId="462BDC04" w14:textId="77777777" w:rsidR="00F301C7" w:rsidRPr="000E01AC" w:rsidRDefault="00F301C7" w:rsidP="009F787F">
      <w:pPr>
        <w:pStyle w:val="Heading3"/>
      </w:pPr>
      <w:r>
        <w:lastRenderedPageBreak/>
        <w:t xml:space="preserve">Recommendations: </w:t>
      </w:r>
      <w:r w:rsidRPr="001B41A3">
        <w:t>Multi-disciplinary meetings (MDM)</w:t>
      </w:r>
    </w:p>
    <w:tbl>
      <w:tblPr>
        <w:tblW w:w="0" w:type="auto"/>
        <w:tblInd w:w="57" w:type="dxa"/>
        <w:tblBorders>
          <w:top w:val="single" w:sz="4" w:space="0" w:color="auto"/>
          <w:bottom w:val="single" w:sz="4" w:space="0" w:color="auto"/>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2410"/>
        <w:gridCol w:w="6946"/>
      </w:tblGrid>
      <w:tr w:rsidR="00F301C7" w:rsidRPr="002A02DA" w14:paraId="6EDD4FE7" w14:textId="77777777" w:rsidTr="00564D98">
        <w:trPr>
          <w:cantSplit/>
        </w:trPr>
        <w:tc>
          <w:tcPr>
            <w:tcW w:w="2410" w:type="dxa"/>
            <w:shd w:val="clear" w:color="auto" w:fill="D9D9D9" w:themeFill="background1" w:themeFillShade="D9"/>
          </w:tcPr>
          <w:p w14:paraId="1BA45C73" w14:textId="77777777" w:rsidR="00F301C7" w:rsidRPr="002A02DA" w:rsidRDefault="00F301C7" w:rsidP="00E259E5">
            <w:pPr>
              <w:pStyle w:val="TableText"/>
              <w:ind w:left="709" w:right="142" w:hanging="709"/>
            </w:pPr>
            <w:r>
              <w:t>R8.24</w:t>
            </w:r>
            <w:r w:rsidR="00E259E5">
              <w:tab/>
            </w:r>
            <w:r w:rsidRPr="002A02DA">
              <w:t>Multidisciplinary meetings</w:t>
            </w:r>
            <w:r w:rsidR="00271641">
              <w:t xml:space="preserve"> </w:t>
            </w:r>
            <w:r w:rsidRPr="002A02DA">
              <w:t>(MDMs) and concordance</w:t>
            </w:r>
            <w:r w:rsidR="00271641">
              <w:t xml:space="preserve"> </w:t>
            </w:r>
            <w:r w:rsidRPr="002A02DA">
              <w:t>consultation</w:t>
            </w:r>
          </w:p>
        </w:tc>
        <w:tc>
          <w:tcPr>
            <w:tcW w:w="6946" w:type="dxa"/>
            <w:shd w:val="clear" w:color="auto" w:fill="D9D9D9" w:themeFill="background1" w:themeFillShade="D9"/>
          </w:tcPr>
          <w:p w14:paraId="0B7B56D6" w14:textId="77777777" w:rsidR="00F301C7" w:rsidRPr="00E853DD" w:rsidRDefault="00F301C7" w:rsidP="00E853DD">
            <w:pPr>
              <w:pStyle w:val="TableText"/>
            </w:pPr>
            <w:r w:rsidRPr="00372E45">
              <w:rPr>
                <w:b/>
                <w:i/>
              </w:rPr>
              <w:t>Consensus-based recommendation</w:t>
            </w:r>
            <w:r w:rsidRPr="00E853DD">
              <w:t xml:space="preserve"> (</w:t>
            </w:r>
            <w:r w:rsidRPr="00E853DD">
              <w:rPr>
                <w:iCs/>
              </w:rPr>
              <w:t xml:space="preserve">NZGG 2011; </w:t>
            </w:r>
            <w:proofErr w:type="spellStart"/>
            <w:r w:rsidRPr="00E853DD">
              <w:rPr>
                <w:iCs/>
              </w:rPr>
              <w:t>MoH</w:t>
            </w:r>
            <w:proofErr w:type="spellEnd"/>
            <w:r w:rsidRPr="00E853DD">
              <w:rPr>
                <w:iCs/>
              </w:rPr>
              <w:t xml:space="preserve"> MDM)</w:t>
            </w:r>
          </w:p>
          <w:p w14:paraId="15BF05EB" w14:textId="77777777" w:rsidR="00F301C7" w:rsidRPr="00E853DD" w:rsidRDefault="00F301C7" w:rsidP="00E853DD">
            <w:pPr>
              <w:pStyle w:val="TableText"/>
            </w:pPr>
            <w:r w:rsidRPr="00E853DD">
              <w:t>A small body of evidence indicates that the formation of an MDM and adherence to treatment standards may increase survival for patients with colon cancer. It also appears that that MDM discussion may produce more favourable outcomes in terms of reducing positive circumferential margin rate and harvesting lymph nodes, than if no MDM discussion takes place</w:t>
            </w:r>
            <w:r w:rsidR="00372E45">
              <w:t>.</w:t>
            </w:r>
          </w:p>
          <w:p w14:paraId="5C52C85C" w14:textId="77777777" w:rsidR="00F301C7" w:rsidRPr="00E853DD" w:rsidRDefault="00F301C7" w:rsidP="00E853DD">
            <w:pPr>
              <w:pStyle w:val="TableText"/>
            </w:pPr>
            <w:r w:rsidRPr="00E853DD">
              <w:t xml:space="preserve">Local protocols must consider the membership of the MDM which is outlined in the Ministry of Health </w:t>
            </w:r>
            <w:r w:rsidR="003B6490" w:rsidRPr="00372E45">
              <w:rPr>
                <w:i/>
              </w:rPr>
              <w:t>“</w:t>
            </w:r>
            <w:r w:rsidRPr="00372E45">
              <w:rPr>
                <w:i/>
              </w:rPr>
              <w:t>Guidance for Implementing High-Quality Multidisciplinary Meetings: Achieving best practice cancer care (2012)</w:t>
            </w:r>
            <w:r w:rsidR="003B6490" w:rsidRPr="00372E45">
              <w:rPr>
                <w:i/>
              </w:rPr>
              <w:t>”</w:t>
            </w:r>
            <w:r w:rsidR="00372E45">
              <w:t>.</w:t>
            </w:r>
          </w:p>
        </w:tc>
      </w:tr>
      <w:tr w:rsidR="00F301C7" w:rsidRPr="002A02DA" w14:paraId="19C3F7C4" w14:textId="77777777" w:rsidTr="00564D98">
        <w:trPr>
          <w:cantSplit/>
        </w:trPr>
        <w:tc>
          <w:tcPr>
            <w:tcW w:w="2410" w:type="dxa"/>
            <w:shd w:val="clear" w:color="auto" w:fill="F2F2F2" w:themeFill="background1" w:themeFillShade="F2"/>
          </w:tcPr>
          <w:p w14:paraId="3B4F52FE" w14:textId="77777777" w:rsidR="00F301C7" w:rsidRPr="002A02DA" w:rsidRDefault="00F301C7" w:rsidP="00564D98">
            <w:pPr>
              <w:pStyle w:val="TableText"/>
              <w:ind w:left="709" w:right="142" w:hanging="709"/>
            </w:pPr>
          </w:p>
        </w:tc>
        <w:tc>
          <w:tcPr>
            <w:tcW w:w="6946" w:type="dxa"/>
            <w:shd w:val="clear" w:color="auto" w:fill="F2F2F2" w:themeFill="background1" w:themeFillShade="F2"/>
          </w:tcPr>
          <w:p w14:paraId="6D2FC0B3" w14:textId="77777777" w:rsidR="00F301C7" w:rsidRPr="00E853DD" w:rsidRDefault="00F301C7" w:rsidP="00E853DD">
            <w:pPr>
              <w:pStyle w:val="TableText"/>
              <w:rPr>
                <w:iCs/>
              </w:rPr>
            </w:pPr>
            <w:r w:rsidRPr="00372E45">
              <w:rPr>
                <w:b/>
                <w:i/>
              </w:rPr>
              <w:t>Practice point</w:t>
            </w:r>
            <w:r w:rsidRPr="00E853DD">
              <w:t xml:space="preserve"> (NBSP)</w:t>
            </w:r>
          </w:p>
          <w:p w14:paraId="5C00787B" w14:textId="77777777" w:rsidR="00F301C7" w:rsidRPr="00E853DD" w:rsidRDefault="00F301C7" w:rsidP="00E853DD">
            <w:pPr>
              <w:pStyle w:val="TableText"/>
            </w:pPr>
            <w:r w:rsidRPr="00E853DD">
              <w:t>All cancer cases and cases where there is a difference in opinion regarding management are discussed at MDM to determine best management plan for individual patients.</w:t>
            </w:r>
          </w:p>
          <w:p w14:paraId="191ADE6D" w14:textId="1D0505CA" w:rsidR="00F301C7" w:rsidRPr="00E853DD" w:rsidRDefault="00F301C7" w:rsidP="00E853DD">
            <w:pPr>
              <w:pStyle w:val="TableText"/>
            </w:pPr>
            <w:r w:rsidRPr="00E853DD">
              <w:t>All participating specialists can bring cases to MDM (</w:t>
            </w:r>
            <w:proofErr w:type="spellStart"/>
            <w:r w:rsidRPr="00E853DD">
              <w:t>endoscopists</w:t>
            </w:r>
            <w:proofErr w:type="spellEnd"/>
            <w:r w:rsidRPr="00E853DD">
              <w:t>, surgeons, pathologists</w:t>
            </w:r>
            <w:r w:rsidR="00372E45">
              <w:t>,</w:t>
            </w:r>
            <w:r w:rsidRPr="00E853DD">
              <w:t xml:space="preserve"> </w:t>
            </w:r>
            <w:r w:rsidR="003B1019" w:rsidRPr="00E853DD">
              <w:t>etc.</w:t>
            </w:r>
            <w:r w:rsidRPr="00E853DD">
              <w:t>).</w:t>
            </w:r>
          </w:p>
          <w:p w14:paraId="36D3C9F9" w14:textId="77777777" w:rsidR="00F301C7" w:rsidRPr="00E853DD" w:rsidRDefault="00F301C7" w:rsidP="00E853DD">
            <w:pPr>
              <w:pStyle w:val="TableText"/>
            </w:pPr>
            <w:r w:rsidRPr="00E853DD">
              <w:t>MDM meetings provide determination of best practice and best management plan for individual patients and should be held regularly for all cancer cases and cases where there is a difference of opinion regarding management.</w:t>
            </w:r>
          </w:p>
          <w:p w14:paraId="75F82F25" w14:textId="77777777" w:rsidR="00F301C7" w:rsidRPr="00E853DD" w:rsidRDefault="00F301C7" w:rsidP="00E853DD">
            <w:pPr>
              <w:pStyle w:val="TableText"/>
            </w:pPr>
            <w:r w:rsidRPr="00E853DD">
              <w:t>When there is any concern about the management of a particular patient it is good practice to seek a second opinion from a colleague</w:t>
            </w:r>
            <w:r w:rsidR="00372E45">
              <w:t>.</w:t>
            </w:r>
          </w:p>
          <w:p w14:paraId="4D35888A" w14:textId="77777777" w:rsidR="00F301C7" w:rsidRPr="00E853DD" w:rsidRDefault="00F301C7" w:rsidP="00E853DD">
            <w:pPr>
              <w:pStyle w:val="TableText"/>
            </w:pPr>
            <w:r w:rsidRPr="00E853DD">
              <w:t xml:space="preserve">Cases where there is a difference of opinion regarding patient management should be managed through review of individual cases by a multidisciplinary team that includes </w:t>
            </w:r>
            <w:proofErr w:type="spellStart"/>
            <w:r w:rsidRPr="00E853DD">
              <w:t>endoscopists</w:t>
            </w:r>
            <w:proofErr w:type="spellEnd"/>
            <w:r w:rsidRPr="00E853DD">
              <w:t xml:space="preserve"> and </w:t>
            </w:r>
            <w:proofErr w:type="spellStart"/>
            <w:r w:rsidRPr="00E853DD">
              <w:t>histopathologists</w:t>
            </w:r>
            <w:proofErr w:type="spellEnd"/>
            <w:r w:rsidR="00372E45">
              <w:t>.</w:t>
            </w:r>
          </w:p>
        </w:tc>
      </w:tr>
      <w:tr w:rsidR="00F301C7" w:rsidRPr="002A02DA" w14:paraId="6F0D22FE" w14:textId="77777777" w:rsidTr="00564D98">
        <w:trPr>
          <w:cantSplit/>
        </w:trPr>
        <w:tc>
          <w:tcPr>
            <w:tcW w:w="2410" w:type="dxa"/>
            <w:shd w:val="clear" w:color="auto" w:fill="F2F2F2" w:themeFill="background1" w:themeFillShade="F2"/>
          </w:tcPr>
          <w:p w14:paraId="0E04E7AF" w14:textId="77777777" w:rsidR="00F301C7" w:rsidRPr="002A02DA" w:rsidRDefault="00F301C7" w:rsidP="00E259E5">
            <w:pPr>
              <w:pStyle w:val="TableText"/>
              <w:ind w:left="709" w:right="142" w:hanging="709"/>
            </w:pPr>
            <w:r>
              <w:t>R8.25</w:t>
            </w:r>
            <w:r w:rsidR="00E259E5">
              <w:tab/>
            </w:r>
            <w:r>
              <w:t>Cases referred for MDM</w:t>
            </w:r>
          </w:p>
        </w:tc>
        <w:tc>
          <w:tcPr>
            <w:tcW w:w="6946" w:type="dxa"/>
            <w:shd w:val="clear" w:color="auto" w:fill="F2F2F2" w:themeFill="background1" w:themeFillShade="F2"/>
          </w:tcPr>
          <w:p w14:paraId="6D38D101" w14:textId="77777777" w:rsidR="00F301C7" w:rsidRPr="00E853DD" w:rsidRDefault="00F301C7" w:rsidP="00E853DD">
            <w:pPr>
              <w:pStyle w:val="TableText"/>
              <w:rPr>
                <w:iCs/>
              </w:rPr>
            </w:pPr>
            <w:r w:rsidRPr="00372E45">
              <w:rPr>
                <w:b/>
                <w:i/>
              </w:rPr>
              <w:t>Practice point</w:t>
            </w:r>
            <w:r w:rsidRPr="00E853DD">
              <w:t xml:space="preserve"> (NBSP)</w:t>
            </w:r>
          </w:p>
          <w:p w14:paraId="37B7088D" w14:textId="77777777" w:rsidR="00F301C7" w:rsidRPr="00E853DD" w:rsidRDefault="00F301C7" w:rsidP="00E853DD">
            <w:pPr>
              <w:pStyle w:val="TableText"/>
            </w:pPr>
            <w:r w:rsidRPr="00E853DD">
              <w:t>If a cancer is suspected at colonoscopy, management should be coordinated according to local protocol.</w:t>
            </w:r>
          </w:p>
          <w:p w14:paraId="03CFE65D" w14:textId="77777777" w:rsidR="00F301C7" w:rsidRPr="00E853DD" w:rsidRDefault="00F301C7" w:rsidP="00E853DD">
            <w:pPr>
              <w:pStyle w:val="TableText"/>
            </w:pPr>
            <w:r w:rsidRPr="00E853DD">
              <w:t>If a cancer is diagnosed by histopathology without prior indication, the result should be referred to the DHB</w:t>
            </w:r>
            <w:r w:rsidR="00372E45">
              <w:t xml:space="preserve"> </w:t>
            </w:r>
            <w:r w:rsidRPr="00E853DD">
              <w:t>bowel screening</w:t>
            </w:r>
            <w:r w:rsidR="00372E45">
              <w:t xml:space="preserve"> </w:t>
            </w:r>
            <w:r w:rsidRPr="00E853DD">
              <w:t>Clinical Lead and to the MDM</w:t>
            </w:r>
            <w:r w:rsidR="00372E45">
              <w:t>.</w:t>
            </w:r>
          </w:p>
          <w:p w14:paraId="59C528CB" w14:textId="77777777" w:rsidR="00F301C7" w:rsidRPr="00E853DD" w:rsidRDefault="00F301C7" w:rsidP="00E853DD">
            <w:pPr>
              <w:pStyle w:val="TableText"/>
            </w:pPr>
            <w:r w:rsidRPr="00E853DD">
              <w:t>All cancers (including malignant polyps) and complex cases are</w:t>
            </w:r>
            <w:r w:rsidR="003B6490" w:rsidRPr="00E853DD">
              <w:t xml:space="preserve"> </w:t>
            </w:r>
            <w:r w:rsidRPr="00E853DD">
              <w:t>discussed at MDM</w:t>
            </w:r>
            <w:r w:rsidR="00372E45">
              <w:t>.</w:t>
            </w:r>
          </w:p>
          <w:p w14:paraId="7BBAD79F" w14:textId="77777777" w:rsidR="003B6490" w:rsidRPr="00E853DD" w:rsidRDefault="00F301C7" w:rsidP="00E853DD">
            <w:pPr>
              <w:pStyle w:val="TableText"/>
            </w:pPr>
            <w:r w:rsidRPr="00E853DD">
              <w:t xml:space="preserve">Reasons for discordance between </w:t>
            </w:r>
            <w:proofErr w:type="spellStart"/>
            <w:r w:rsidRPr="00E853DD">
              <w:t>histopathologist</w:t>
            </w:r>
            <w:proofErr w:type="spellEnd"/>
            <w:r w:rsidRPr="00E853DD">
              <w:t xml:space="preserve"> and </w:t>
            </w:r>
            <w:proofErr w:type="spellStart"/>
            <w:r w:rsidRPr="00E853DD">
              <w:t>endoscopist</w:t>
            </w:r>
            <w:proofErr w:type="spellEnd"/>
            <w:r w:rsidRPr="00E853DD">
              <w:t xml:space="preserve"> should be reviewed prior to taking to MDM to exclude reasons such as clerical or sampling error.</w:t>
            </w:r>
          </w:p>
          <w:p w14:paraId="49EEF3D6" w14:textId="77777777" w:rsidR="00F301C7" w:rsidRPr="00E853DD" w:rsidRDefault="00F301C7" w:rsidP="00E853DD">
            <w:pPr>
              <w:pStyle w:val="TableText"/>
            </w:pPr>
            <w:r w:rsidRPr="00E853DD">
              <w:t xml:space="preserve">Discordant histopathology results should be discussed with another </w:t>
            </w:r>
            <w:proofErr w:type="spellStart"/>
            <w:r w:rsidRPr="00E853DD">
              <w:t>histopathologist</w:t>
            </w:r>
            <w:proofErr w:type="spellEnd"/>
            <w:r w:rsidRPr="00E853DD">
              <w:t xml:space="preserve"> and may be resolved before considering MDM</w:t>
            </w:r>
            <w:r w:rsidR="00372E45">
              <w:t>.</w:t>
            </w:r>
          </w:p>
        </w:tc>
      </w:tr>
    </w:tbl>
    <w:p w14:paraId="66046AB3" w14:textId="77777777" w:rsidR="00F301C7" w:rsidRDefault="00F301C7" w:rsidP="009F787F"/>
    <w:p w14:paraId="527E3BC1" w14:textId="77777777" w:rsidR="00F301C7" w:rsidRDefault="00F301C7" w:rsidP="009F787F">
      <w:pPr>
        <w:pStyle w:val="Heading3"/>
      </w:pPr>
      <w:r>
        <w:t>Recommendation: Management/surveillance of adenoma by risk rating</w:t>
      </w:r>
    </w:p>
    <w:tbl>
      <w:tblPr>
        <w:tblW w:w="0" w:type="auto"/>
        <w:tblInd w:w="57" w:type="dxa"/>
        <w:tblBorders>
          <w:top w:val="single" w:sz="4" w:space="0" w:color="auto"/>
          <w:bottom w:val="single" w:sz="4" w:space="0" w:color="auto"/>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2410"/>
        <w:gridCol w:w="6946"/>
      </w:tblGrid>
      <w:tr w:rsidR="00F301C7" w:rsidRPr="00653D62" w14:paraId="3381167E" w14:textId="77777777" w:rsidTr="00564D98">
        <w:trPr>
          <w:cantSplit/>
        </w:trPr>
        <w:tc>
          <w:tcPr>
            <w:tcW w:w="2410" w:type="dxa"/>
            <w:shd w:val="clear" w:color="auto" w:fill="D9D9D9" w:themeFill="background1" w:themeFillShade="D9"/>
          </w:tcPr>
          <w:p w14:paraId="4FC73613" w14:textId="244B72C5" w:rsidR="00F301C7" w:rsidRPr="00653D62" w:rsidRDefault="00F301C7" w:rsidP="00153721">
            <w:pPr>
              <w:pStyle w:val="TableText"/>
              <w:ind w:left="709" w:right="142" w:hanging="709"/>
            </w:pPr>
            <w:r>
              <w:t>R8.26</w:t>
            </w:r>
            <w:r w:rsidR="00E259E5">
              <w:tab/>
            </w:r>
            <w:r>
              <w:t>Surveillance intervals after</w:t>
            </w:r>
            <w:r w:rsidR="00271641">
              <w:t xml:space="preserve"> </w:t>
            </w:r>
            <w:r>
              <w:t>polyp clearance</w:t>
            </w:r>
          </w:p>
        </w:tc>
        <w:tc>
          <w:tcPr>
            <w:tcW w:w="6946" w:type="dxa"/>
            <w:shd w:val="clear" w:color="auto" w:fill="D9D9D9" w:themeFill="background1" w:themeFillShade="D9"/>
          </w:tcPr>
          <w:p w14:paraId="28726460" w14:textId="77777777" w:rsidR="00F301C7" w:rsidRPr="00E853DD" w:rsidRDefault="00F301C7" w:rsidP="00E853DD">
            <w:pPr>
              <w:pStyle w:val="TableText"/>
            </w:pPr>
            <w:r w:rsidRPr="00372E45">
              <w:rPr>
                <w:b/>
                <w:i/>
              </w:rPr>
              <w:t>Consensus-based recommendation</w:t>
            </w:r>
            <w:r w:rsidRPr="00E853DD">
              <w:t xml:space="preserve"> (EC, NZGG 2011)</w:t>
            </w:r>
          </w:p>
          <w:p w14:paraId="478178D0" w14:textId="4D270548" w:rsidR="00F301C7" w:rsidRPr="00E853DD" w:rsidRDefault="00F301C7" w:rsidP="00E853DD">
            <w:pPr>
              <w:pStyle w:val="TableText"/>
            </w:pPr>
            <w:r w:rsidRPr="00E853DD">
              <w:t>The recommendations for surveillance intervals apply after polyp clearance</w:t>
            </w:r>
            <w:r w:rsidR="00153721">
              <w:rPr>
                <w:rStyle w:val="FootnoteReference"/>
              </w:rPr>
              <w:footnoteReference w:id="53"/>
            </w:r>
            <w:r w:rsidR="00153721">
              <w:t xml:space="preserve">’ </w:t>
            </w:r>
            <w:r w:rsidR="00153721">
              <w:rPr>
                <w:rStyle w:val="FootnoteReference"/>
              </w:rPr>
              <w:footnoteReference w:id="54"/>
            </w:r>
            <w:r w:rsidR="00372E45">
              <w:t>.</w:t>
            </w:r>
          </w:p>
          <w:p w14:paraId="4D049768" w14:textId="77777777" w:rsidR="003B6490" w:rsidRPr="00E853DD" w:rsidRDefault="00F301C7" w:rsidP="00E853DD">
            <w:pPr>
              <w:pStyle w:val="TableText"/>
            </w:pPr>
            <w:r w:rsidRPr="00E853DD">
              <w:t>Participants who have had low risk adenomas removed</w:t>
            </w:r>
            <w:r w:rsidR="003B6490" w:rsidRPr="00E853DD">
              <w:t xml:space="preserve"> </w:t>
            </w:r>
            <w:r w:rsidRPr="00E853DD">
              <w:t xml:space="preserve">and in the absence of other risk factors for developing colorectal cancer, should be referred back for FIT screening after </w:t>
            </w:r>
            <w:r w:rsidR="00372E45">
              <w:t>five</w:t>
            </w:r>
            <w:r w:rsidRPr="00E853DD">
              <w:t xml:space="preserve"> years</w:t>
            </w:r>
            <w:r w:rsidR="00372E45">
              <w:t>.</w:t>
            </w:r>
          </w:p>
          <w:p w14:paraId="44315470" w14:textId="77777777" w:rsidR="00F301C7" w:rsidRPr="00E853DD" w:rsidRDefault="00F301C7" w:rsidP="00E853DD">
            <w:pPr>
              <w:pStyle w:val="TableText"/>
            </w:pPr>
            <w:proofErr w:type="spellStart"/>
            <w:r w:rsidRPr="00E853DD">
              <w:t>Colonoscopic</w:t>
            </w:r>
            <w:proofErr w:type="spellEnd"/>
            <w:r w:rsidRPr="00E853DD">
              <w:t xml:space="preserve"> surveillance should be offered to people who have had adenomas removed and are at intermediate or high risk of developing colorectal cancer</w:t>
            </w:r>
            <w:r w:rsidR="00372E45">
              <w:t>.</w:t>
            </w:r>
          </w:p>
        </w:tc>
      </w:tr>
      <w:tr w:rsidR="00F301C7" w:rsidRPr="00653D62" w14:paraId="5533EAD1" w14:textId="77777777" w:rsidTr="00564D98">
        <w:trPr>
          <w:cantSplit/>
        </w:trPr>
        <w:tc>
          <w:tcPr>
            <w:tcW w:w="2410" w:type="dxa"/>
            <w:shd w:val="clear" w:color="auto" w:fill="F2F2F2" w:themeFill="background1" w:themeFillShade="F2"/>
          </w:tcPr>
          <w:p w14:paraId="7A48B663" w14:textId="77777777" w:rsidR="00F301C7" w:rsidRPr="00653D62" w:rsidRDefault="00F301C7" w:rsidP="00E259E5">
            <w:pPr>
              <w:pStyle w:val="TableText"/>
              <w:ind w:left="709" w:right="142" w:hanging="709"/>
            </w:pPr>
            <w:r>
              <w:lastRenderedPageBreak/>
              <w:t>R8.27</w:t>
            </w:r>
            <w:r w:rsidR="00E259E5">
              <w:tab/>
            </w:r>
            <w:r>
              <w:t>Re-entering the screening</w:t>
            </w:r>
            <w:r w:rsidR="00271641">
              <w:t xml:space="preserve"> </w:t>
            </w:r>
            <w:r>
              <w:t>programme with low risk</w:t>
            </w:r>
            <w:r w:rsidR="00271641">
              <w:t xml:space="preserve"> </w:t>
            </w:r>
            <w:r>
              <w:t>outcomes (see R8.26 above)</w:t>
            </w:r>
          </w:p>
        </w:tc>
        <w:tc>
          <w:tcPr>
            <w:tcW w:w="6946" w:type="dxa"/>
            <w:shd w:val="clear" w:color="auto" w:fill="F2F2F2" w:themeFill="background1" w:themeFillShade="F2"/>
          </w:tcPr>
          <w:p w14:paraId="5289F344" w14:textId="77777777" w:rsidR="00F301C7" w:rsidRPr="00E853DD" w:rsidRDefault="00F301C7" w:rsidP="00E853DD">
            <w:pPr>
              <w:pStyle w:val="TableText"/>
              <w:rPr>
                <w:iCs/>
              </w:rPr>
            </w:pPr>
            <w:r w:rsidRPr="00372E45">
              <w:rPr>
                <w:b/>
                <w:i/>
              </w:rPr>
              <w:t>Practice point</w:t>
            </w:r>
            <w:r w:rsidRPr="00E853DD">
              <w:t xml:space="preserve"> (NBSP)</w:t>
            </w:r>
          </w:p>
          <w:p w14:paraId="114668EC" w14:textId="77777777" w:rsidR="00F301C7" w:rsidRPr="00E853DD" w:rsidRDefault="00F301C7" w:rsidP="00372E45">
            <w:pPr>
              <w:pStyle w:val="TableText"/>
            </w:pPr>
            <w:r w:rsidRPr="00E853DD">
              <w:t xml:space="preserve">participants identified to have low risk outcomes will be able to re-enter the screening programme after </w:t>
            </w:r>
            <w:r w:rsidR="00372E45">
              <w:t>five</w:t>
            </w:r>
            <w:r w:rsidRPr="00E853DD">
              <w:t xml:space="preserve"> years (if still in the eligible age range)</w:t>
            </w:r>
            <w:r w:rsidR="00372E45">
              <w:t>.</w:t>
            </w:r>
          </w:p>
        </w:tc>
      </w:tr>
    </w:tbl>
    <w:p w14:paraId="02B3FB75" w14:textId="77777777" w:rsidR="00153721" w:rsidRDefault="00153721" w:rsidP="009F787F"/>
    <w:p w14:paraId="5AD42A94" w14:textId="77777777" w:rsidR="00F301C7" w:rsidRDefault="00F301C7" w:rsidP="009F787F">
      <w:pPr>
        <w:pStyle w:val="Heading3"/>
      </w:pPr>
      <w:r>
        <w:t>Recommendation: Subsequent surveillance visits and recommendations</w:t>
      </w:r>
    </w:p>
    <w:tbl>
      <w:tblPr>
        <w:tblW w:w="0" w:type="auto"/>
        <w:tblInd w:w="57" w:type="dxa"/>
        <w:tblBorders>
          <w:top w:val="single" w:sz="4" w:space="0" w:color="auto"/>
          <w:bottom w:val="single" w:sz="4" w:space="0" w:color="auto"/>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2410"/>
        <w:gridCol w:w="6946"/>
      </w:tblGrid>
      <w:tr w:rsidR="00F301C7" w:rsidRPr="005E3C2C" w14:paraId="3BEF2B30" w14:textId="77777777" w:rsidTr="00564D98">
        <w:trPr>
          <w:cantSplit/>
        </w:trPr>
        <w:tc>
          <w:tcPr>
            <w:tcW w:w="2410" w:type="dxa"/>
            <w:shd w:val="clear" w:color="auto" w:fill="F2F2F2" w:themeFill="background1" w:themeFillShade="F2"/>
          </w:tcPr>
          <w:p w14:paraId="1872494F" w14:textId="77777777" w:rsidR="00F301C7" w:rsidRPr="005E3C2C" w:rsidRDefault="00F301C7" w:rsidP="00E259E5">
            <w:pPr>
              <w:pStyle w:val="TableText"/>
              <w:ind w:left="709" w:right="142" w:hanging="709"/>
            </w:pPr>
            <w:r>
              <w:t>R8.28</w:t>
            </w:r>
            <w:r w:rsidR="00E259E5">
              <w:tab/>
            </w:r>
            <w:r>
              <w:t>Subsequent surveillance,</w:t>
            </w:r>
            <w:r w:rsidR="00271641">
              <w:t xml:space="preserve"> </w:t>
            </w:r>
            <w:r>
              <w:t>risk rating and management</w:t>
            </w:r>
          </w:p>
        </w:tc>
        <w:tc>
          <w:tcPr>
            <w:tcW w:w="6946" w:type="dxa"/>
            <w:shd w:val="clear" w:color="auto" w:fill="F2F2F2" w:themeFill="background1" w:themeFillShade="F2"/>
          </w:tcPr>
          <w:p w14:paraId="7373117F" w14:textId="77777777" w:rsidR="00F301C7" w:rsidRPr="00E853DD" w:rsidRDefault="00F301C7" w:rsidP="00E853DD">
            <w:pPr>
              <w:pStyle w:val="TableText"/>
            </w:pPr>
            <w:r w:rsidRPr="00507AE5">
              <w:rPr>
                <w:b/>
                <w:i/>
              </w:rPr>
              <w:t>Practice point</w:t>
            </w:r>
            <w:r w:rsidRPr="00E853DD">
              <w:t xml:space="preserve"> (NBSP)</w:t>
            </w:r>
          </w:p>
          <w:p w14:paraId="20731F03" w14:textId="77777777" w:rsidR="00F301C7" w:rsidRPr="00E853DD" w:rsidRDefault="00F301C7" w:rsidP="00E853DD">
            <w:pPr>
              <w:pStyle w:val="TableText"/>
              <w:rPr>
                <w:iCs/>
              </w:rPr>
            </w:pPr>
            <w:r w:rsidRPr="00E853DD">
              <w:rPr>
                <w:iCs/>
              </w:rPr>
              <w:t>The same protocols used for initial surveillance, risk rating and management are applied for repeated scheduled surveillance assessments. This includes:</w:t>
            </w:r>
          </w:p>
          <w:p w14:paraId="7B7982E3" w14:textId="77777777" w:rsidR="00F301C7" w:rsidRPr="00E853DD" w:rsidRDefault="00507AE5" w:rsidP="00507AE5">
            <w:pPr>
              <w:pStyle w:val="TableBullet"/>
            </w:pPr>
            <w:r>
              <w:t>p</w:t>
            </w:r>
            <w:r w:rsidR="00F301C7" w:rsidRPr="00E853DD">
              <w:t>re-assessment (see section R8.02)</w:t>
            </w:r>
          </w:p>
          <w:p w14:paraId="7F9F45A2" w14:textId="77777777" w:rsidR="00F301C7" w:rsidRPr="00E853DD" w:rsidRDefault="00507AE5" w:rsidP="00507AE5">
            <w:pPr>
              <w:pStyle w:val="TableBullet"/>
            </w:pPr>
            <w:r>
              <w:t>p</w:t>
            </w:r>
            <w:r w:rsidR="00F301C7" w:rsidRPr="00E853DD">
              <w:t>roviding information (see section R8.01)</w:t>
            </w:r>
          </w:p>
          <w:p w14:paraId="1C3F4BC5" w14:textId="77777777" w:rsidR="00F301C7" w:rsidRPr="00E853DD" w:rsidRDefault="00507AE5" w:rsidP="00507AE5">
            <w:pPr>
              <w:pStyle w:val="TableBullet"/>
            </w:pPr>
            <w:r>
              <w:t>c</w:t>
            </w:r>
            <w:r w:rsidR="00F301C7" w:rsidRPr="00E853DD">
              <w:t>onsent (see section R8.01, R8.06)</w:t>
            </w:r>
          </w:p>
          <w:p w14:paraId="434A780B" w14:textId="77777777" w:rsidR="00F301C7" w:rsidRPr="00E853DD" w:rsidRDefault="00507AE5" w:rsidP="00507AE5">
            <w:pPr>
              <w:pStyle w:val="TableBullet"/>
            </w:pPr>
            <w:r>
              <w:t>p</w:t>
            </w:r>
            <w:r w:rsidR="00F301C7" w:rsidRPr="00E853DD">
              <w:t>otential risks (see section R8.01, R8.13</w:t>
            </w:r>
            <w:r>
              <w:t>–</w:t>
            </w:r>
            <w:r w:rsidR="00F301C7" w:rsidRPr="00E853DD">
              <w:t>8.18, R8.21)</w:t>
            </w:r>
          </w:p>
          <w:p w14:paraId="1AEC0FAC" w14:textId="77777777" w:rsidR="00F301C7" w:rsidRPr="00E853DD" w:rsidRDefault="00507AE5" w:rsidP="00507AE5">
            <w:pPr>
              <w:pStyle w:val="TableBullet"/>
            </w:pPr>
            <w:r>
              <w:t>b</w:t>
            </w:r>
            <w:r w:rsidR="00F301C7" w:rsidRPr="00E853DD">
              <w:t>owel preparation (see section R8.07)</w:t>
            </w:r>
          </w:p>
          <w:p w14:paraId="6D21EC82" w14:textId="77777777" w:rsidR="00F301C7" w:rsidRPr="00E853DD" w:rsidRDefault="00507AE5" w:rsidP="00507AE5">
            <w:pPr>
              <w:pStyle w:val="TableBullet"/>
            </w:pPr>
            <w:r>
              <w:t>c</w:t>
            </w:r>
            <w:r w:rsidR="00F301C7" w:rsidRPr="00E853DD">
              <w:t>olonoscopy (or CTC/GA colonoscopy) (see section R8.03)</w:t>
            </w:r>
          </w:p>
          <w:p w14:paraId="497B2BD1" w14:textId="77777777" w:rsidR="00F301C7" w:rsidRPr="00E853DD" w:rsidRDefault="00507AE5" w:rsidP="00507AE5">
            <w:pPr>
              <w:pStyle w:val="TableBullet"/>
            </w:pPr>
            <w:r>
              <w:t>p</w:t>
            </w:r>
            <w:r w:rsidR="00F301C7" w:rsidRPr="00E853DD">
              <w:t>ost procedure activity (see section R8.29</w:t>
            </w:r>
            <w:r>
              <w:t>–</w:t>
            </w:r>
            <w:r w:rsidR="00F301C7" w:rsidRPr="00E853DD">
              <w:t>8.31)</w:t>
            </w:r>
          </w:p>
          <w:p w14:paraId="154CBCAE" w14:textId="77777777" w:rsidR="00F301C7" w:rsidRPr="00E853DD" w:rsidRDefault="00507AE5" w:rsidP="00507AE5">
            <w:pPr>
              <w:pStyle w:val="TableBullet"/>
            </w:pPr>
            <w:r>
              <w:t>f</w:t>
            </w:r>
            <w:r w:rsidR="00F301C7" w:rsidRPr="00E853DD">
              <w:t>urther recommendations for surveillance, management, treatment or return to screening (see section R8.29</w:t>
            </w:r>
            <w:r>
              <w:t>–</w:t>
            </w:r>
            <w:r w:rsidR="00F301C7" w:rsidRPr="00E853DD">
              <w:t>8.31)</w:t>
            </w:r>
            <w:r>
              <w:t>.</w:t>
            </w:r>
          </w:p>
        </w:tc>
      </w:tr>
      <w:tr w:rsidR="00CE0DB7" w:rsidRPr="005E3C2C" w14:paraId="2BD8054F" w14:textId="77777777" w:rsidTr="00564D98">
        <w:trPr>
          <w:cantSplit/>
        </w:trPr>
        <w:tc>
          <w:tcPr>
            <w:tcW w:w="2410" w:type="dxa"/>
            <w:shd w:val="clear" w:color="auto" w:fill="F2F2F2" w:themeFill="background1" w:themeFillShade="F2"/>
          </w:tcPr>
          <w:p w14:paraId="1D534510" w14:textId="52BD52BD" w:rsidR="00CE0DB7" w:rsidRDefault="00CE0DB7" w:rsidP="00E259E5">
            <w:pPr>
              <w:pStyle w:val="TableText"/>
              <w:ind w:left="709" w:right="142" w:hanging="709"/>
            </w:pPr>
            <w:r>
              <w:t xml:space="preserve">R8.28a </w:t>
            </w:r>
            <w:r w:rsidR="00D030C9">
              <w:t>Evidence of previous colonoscopy within the last 5 years</w:t>
            </w:r>
          </w:p>
        </w:tc>
        <w:tc>
          <w:tcPr>
            <w:tcW w:w="6946" w:type="dxa"/>
            <w:shd w:val="clear" w:color="auto" w:fill="F2F2F2" w:themeFill="background1" w:themeFillShade="F2"/>
          </w:tcPr>
          <w:p w14:paraId="34C57499" w14:textId="77777777" w:rsidR="00D030C9" w:rsidRPr="00D030C9" w:rsidRDefault="00D030C9" w:rsidP="00D030C9">
            <w:pPr>
              <w:pStyle w:val="TableText"/>
              <w:rPr>
                <w:rFonts w:cs="Arial"/>
                <w:szCs w:val="18"/>
              </w:rPr>
            </w:pPr>
            <w:r w:rsidRPr="00D030C9">
              <w:rPr>
                <w:rFonts w:cs="Arial"/>
                <w:b/>
                <w:i/>
                <w:szCs w:val="18"/>
              </w:rPr>
              <w:t>Practice point</w:t>
            </w:r>
            <w:r w:rsidRPr="00D030C9">
              <w:rPr>
                <w:rFonts w:cs="Arial"/>
                <w:szCs w:val="18"/>
              </w:rPr>
              <w:t xml:space="preserve"> (NBSP)</w:t>
            </w:r>
          </w:p>
          <w:p w14:paraId="7B5537F3" w14:textId="261AA693" w:rsidR="00D030C9" w:rsidRPr="00D030C9" w:rsidRDefault="00D030C9" w:rsidP="00D030C9">
            <w:pPr>
              <w:autoSpaceDE w:val="0"/>
              <w:autoSpaceDN w:val="0"/>
              <w:adjustRightInd w:val="0"/>
              <w:spacing w:line="240" w:lineRule="auto"/>
              <w:rPr>
                <w:rFonts w:ascii="Arial" w:hAnsi="Arial" w:cs="Arial"/>
                <w:color w:val="000000"/>
                <w:sz w:val="18"/>
                <w:szCs w:val="18"/>
                <w:lang w:eastAsia="en-NZ"/>
              </w:rPr>
            </w:pPr>
            <w:r w:rsidRPr="00D030C9">
              <w:rPr>
                <w:rFonts w:ascii="Arial" w:hAnsi="Arial" w:cs="Arial"/>
                <w:color w:val="000000"/>
                <w:sz w:val="18"/>
                <w:szCs w:val="18"/>
                <w:lang w:eastAsia="en-NZ"/>
              </w:rPr>
              <w:t xml:space="preserve">If a colonoscopy has been performed greater than 2 years </w:t>
            </w:r>
            <w:r w:rsidR="008F40AA">
              <w:rPr>
                <w:rFonts w:ascii="Arial" w:hAnsi="Arial" w:cs="Arial"/>
                <w:color w:val="000000"/>
                <w:sz w:val="18"/>
                <w:szCs w:val="18"/>
                <w:lang w:eastAsia="en-NZ"/>
              </w:rPr>
              <w:t xml:space="preserve">and less than 5 years </w:t>
            </w:r>
            <w:r w:rsidRPr="00D030C9">
              <w:rPr>
                <w:rFonts w:ascii="Arial" w:hAnsi="Arial" w:cs="Arial"/>
                <w:color w:val="000000"/>
                <w:sz w:val="18"/>
                <w:szCs w:val="18"/>
                <w:lang w:eastAsia="en-NZ"/>
              </w:rPr>
              <w:t xml:space="preserve">ago </w:t>
            </w:r>
            <w:r w:rsidR="008F40AA">
              <w:rPr>
                <w:rFonts w:ascii="Arial" w:hAnsi="Arial" w:cs="Arial"/>
                <w:color w:val="000000"/>
                <w:sz w:val="18"/>
                <w:szCs w:val="18"/>
                <w:lang w:eastAsia="en-NZ"/>
              </w:rPr>
              <w:t xml:space="preserve">(in New Zealand or overseas) </w:t>
            </w:r>
            <w:r w:rsidRPr="00D030C9">
              <w:rPr>
                <w:rFonts w:ascii="Arial" w:hAnsi="Arial" w:cs="Arial"/>
                <w:color w:val="000000"/>
                <w:sz w:val="18"/>
                <w:szCs w:val="18"/>
                <w:lang w:eastAsia="en-NZ"/>
              </w:rPr>
              <w:t>a colonoscopy is offered unless there are other clinical reasons why this may not be appropriate.</w:t>
            </w:r>
          </w:p>
          <w:p w14:paraId="0F506BC7" w14:textId="77777777" w:rsidR="00D030C9" w:rsidRPr="00D030C9" w:rsidRDefault="00D030C9" w:rsidP="00D030C9">
            <w:pPr>
              <w:autoSpaceDE w:val="0"/>
              <w:autoSpaceDN w:val="0"/>
              <w:adjustRightInd w:val="0"/>
              <w:spacing w:line="240" w:lineRule="auto"/>
              <w:rPr>
                <w:rFonts w:ascii="Arial" w:hAnsi="Arial" w:cs="Arial"/>
                <w:color w:val="000000"/>
                <w:sz w:val="18"/>
                <w:szCs w:val="18"/>
                <w:lang w:eastAsia="en-NZ"/>
              </w:rPr>
            </w:pPr>
          </w:p>
          <w:p w14:paraId="67752C9E" w14:textId="77777777" w:rsidR="00CE0DB7" w:rsidRDefault="00D030C9" w:rsidP="00D030C9">
            <w:pPr>
              <w:autoSpaceDE w:val="0"/>
              <w:autoSpaceDN w:val="0"/>
              <w:adjustRightInd w:val="0"/>
              <w:spacing w:line="240" w:lineRule="auto"/>
              <w:rPr>
                <w:rFonts w:ascii="Arial" w:hAnsi="Arial" w:cs="Arial"/>
                <w:color w:val="000000"/>
                <w:sz w:val="18"/>
                <w:szCs w:val="18"/>
                <w:lang w:eastAsia="en-NZ"/>
              </w:rPr>
            </w:pPr>
            <w:r w:rsidRPr="00D030C9">
              <w:rPr>
                <w:rFonts w:ascii="Arial" w:hAnsi="Arial" w:cs="Arial"/>
                <w:color w:val="000000"/>
                <w:sz w:val="18"/>
                <w:szCs w:val="18"/>
                <w:lang w:eastAsia="en-NZ"/>
              </w:rPr>
              <w:t>For participants who have had a colonoscopy under 2 years ago the decision to offer a repeat colonoscopy rests with the clinical lead</w:t>
            </w:r>
            <w:r>
              <w:rPr>
                <w:rFonts w:ascii="Arial" w:hAnsi="Arial" w:cs="Arial"/>
                <w:color w:val="000000"/>
                <w:sz w:val="18"/>
                <w:szCs w:val="18"/>
                <w:lang w:eastAsia="en-NZ"/>
              </w:rPr>
              <w:t xml:space="preserve"> </w:t>
            </w:r>
            <w:proofErr w:type="spellStart"/>
            <w:r>
              <w:rPr>
                <w:rFonts w:ascii="Arial" w:hAnsi="Arial" w:cs="Arial"/>
                <w:color w:val="000000"/>
                <w:sz w:val="18"/>
                <w:szCs w:val="18"/>
                <w:lang w:eastAsia="en-NZ"/>
              </w:rPr>
              <w:t>endoscopist</w:t>
            </w:r>
            <w:proofErr w:type="spellEnd"/>
            <w:r>
              <w:rPr>
                <w:rFonts w:ascii="Arial" w:hAnsi="Arial" w:cs="Arial"/>
                <w:color w:val="000000"/>
                <w:sz w:val="18"/>
                <w:szCs w:val="18"/>
                <w:lang w:eastAsia="en-NZ"/>
              </w:rPr>
              <w:t xml:space="preserve">. </w:t>
            </w:r>
          </w:p>
          <w:p w14:paraId="23A36A2E" w14:textId="77777777" w:rsidR="008F40AA" w:rsidRDefault="008F40AA" w:rsidP="008F40AA">
            <w:pPr>
              <w:pStyle w:val="ListParagraph"/>
              <w:numPr>
                <w:ilvl w:val="0"/>
                <w:numId w:val="89"/>
              </w:numPr>
              <w:autoSpaceDE w:val="0"/>
              <w:autoSpaceDN w:val="0"/>
              <w:adjustRightInd w:val="0"/>
              <w:spacing w:line="240" w:lineRule="auto"/>
              <w:ind w:left="453"/>
              <w:rPr>
                <w:rFonts w:ascii="Arial" w:hAnsi="Arial" w:cs="Arial"/>
                <w:color w:val="000000"/>
                <w:sz w:val="18"/>
                <w:szCs w:val="18"/>
                <w:lang w:eastAsia="en-NZ"/>
              </w:rPr>
            </w:pPr>
            <w:r>
              <w:rPr>
                <w:rFonts w:ascii="Arial" w:hAnsi="Arial" w:cs="Arial"/>
                <w:color w:val="000000"/>
                <w:sz w:val="18"/>
                <w:szCs w:val="18"/>
                <w:lang w:eastAsia="en-NZ"/>
              </w:rPr>
              <w:t>If the report of the previous colonoscopy is available, adequate and complete, the participant will be recall within 5 years of the previous colonoscopy</w:t>
            </w:r>
          </w:p>
          <w:p w14:paraId="1E8D3FDF" w14:textId="34FF8FB1" w:rsidR="008F40AA" w:rsidRPr="008F40AA" w:rsidRDefault="008F40AA" w:rsidP="008F40AA">
            <w:pPr>
              <w:pStyle w:val="ListParagraph"/>
              <w:numPr>
                <w:ilvl w:val="0"/>
                <w:numId w:val="89"/>
              </w:numPr>
              <w:autoSpaceDE w:val="0"/>
              <w:autoSpaceDN w:val="0"/>
              <w:adjustRightInd w:val="0"/>
              <w:spacing w:line="240" w:lineRule="auto"/>
              <w:ind w:left="453"/>
              <w:rPr>
                <w:rFonts w:ascii="Arial" w:hAnsi="Arial" w:cs="Arial"/>
                <w:color w:val="000000"/>
                <w:sz w:val="18"/>
                <w:szCs w:val="18"/>
                <w:lang w:eastAsia="en-NZ"/>
              </w:rPr>
            </w:pPr>
            <w:r>
              <w:rPr>
                <w:rFonts w:ascii="Arial" w:hAnsi="Arial" w:cs="Arial"/>
                <w:color w:val="000000"/>
                <w:sz w:val="18"/>
                <w:szCs w:val="18"/>
                <w:lang w:eastAsia="en-NZ"/>
              </w:rPr>
              <w:t xml:space="preserve">If there is no report or the previous colonoscopy was incomplete the lead </w:t>
            </w:r>
            <w:proofErr w:type="spellStart"/>
            <w:r>
              <w:rPr>
                <w:rFonts w:ascii="Arial" w:hAnsi="Arial" w:cs="Arial"/>
                <w:color w:val="000000"/>
                <w:sz w:val="18"/>
                <w:szCs w:val="18"/>
                <w:lang w:eastAsia="en-NZ"/>
              </w:rPr>
              <w:t>endoscopist</w:t>
            </w:r>
            <w:proofErr w:type="spellEnd"/>
            <w:r>
              <w:rPr>
                <w:rFonts w:ascii="Arial" w:hAnsi="Arial" w:cs="Arial"/>
                <w:color w:val="000000"/>
                <w:sz w:val="18"/>
                <w:szCs w:val="18"/>
                <w:lang w:eastAsia="en-NZ"/>
              </w:rPr>
              <w:t xml:space="preserve"> should consider proceeding with a colonoscopy</w:t>
            </w:r>
          </w:p>
        </w:tc>
      </w:tr>
    </w:tbl>
    <w:p w14:paraId="6158B151" w14:textId="4F2D3203" w:rsidR="00F301C7" w:rsidRDefault="00F301C7" w:rsidP="009F787F"/>
    <w:p w14:paraId="22976B4F" w14:textId="77777777" w:rsidR="00F301C7" w:rsidRDefault="00F301C7" w:rsidP="009F787F">
      <w:pPr>
        <w:pStyle w:val="Heading3"/>
      </w:pPr>
      <w:r>
        <w:t xml:space="preserve">Recommendations: </w:t>
      </w:r>
      <w:r w:rsidRPr="003B6490">
        <w:t>Surveillance strategy following CT</w:t>
      </w:r>
      <w:r w:rsidR="00507AE5">
        <w:t> </w:t>
      </w:r>
      <w:proofErr w:type="spellStart"/>
      <w:r w:rsidR="00507AE5">
        <w:t>c</w:t>
      </w:r>
      <w:r w:rsidRPr="003B6490">
        <w:t>olonography</w:t>
      </w:r>
      <w:proofErr w:type="spellEnd"/>
      <w:r w:rsidRPr="003B6490">
        <w:t xml:space="preserve"> (CTC)</w:t>
      </w:r>
    </w:p>
    <w:tbl>
      <w:tblPr>
        <w:tblW w:w="0" w:type="auto"/>
        <w:tblInd w:w="57" w:type="dxa"/>
        <w:tblBorders>
          <w:top w:val="single" w:sz="4" w:space="0" w:color="auto"/>
          <w:bottom w:val="single" w:sz="4" w:space="0" w:color="auto"/>
          <w:insideH w:val="single" w:sz="4" w:space="0" w:color="A6A6A6" w:themeColor="background1" w:themeShade="A6"/>
        </w:tblBorders>
        <w:shd w:val="clear" w:color="auto" w:fill="D9D9D9" w:themeFill="background1" w:themeFillShade="D9"/>
        <w:tblLayout w:type="fixed"/>
        <w:tblCellMar>
          <w:left w:w="57" w:type="dxa"/>
          <w:right w:w="57" w:type="dxa"/>
        </w:tblCellMar>
        <w:tblLook w:val="04A0" w:firstRow="1" w:lastRow="0" w:firstColumn="1" w:lastColumn="0" w:noHBand="0" w:noVBand="1"/>
      </w:tblPr>
      <w:tblGrid>
        <w:gridCol w:w="2410"/>
        <w:gridCol w:w="6946"/>
      </w:tblGrid>
      <w:tr w:rsidR="00F301C7" w:rsidRPr="00FA5A33" w14:paraId="724C4DF0" w14:textId="77777777" w:rsidTr="00507AE5">
        <w:trPr>
          <w:cantSplit/>
        </w:trPr>
        <w:tc>
          <w:tcPr>
            <w:tcW w:w="2410" w:type="dxa"/>
            <w:shd w:val="clear" w:color="auto" w:fill="BFBFBF" w:themeFill="background1" w:themeFillShade="BF"/>
          </w:tcPr>
          <w:p w14:paraId="25FC8B58" w14:textId="77777777" w:rsidR="00F301C7" w:rsidRPr="00A35B84" w:rsidRDefault="00F301C7" w:rsidP="00E259E5">
            <w:pPr>
              <w:pStyle w:val="TableText"/>
              <w:ind w:left="709" w:right="142" w:hanging="709"/>
            </w:pPr>
            <w:r>
              <w:t>R8.29</w:t>
            </w:r>
            <w:r w:rsidR="00E259E5">
              <w:tab/>
            </w:r>
            <w:r>
              <w:t>Recall following positive FIT with negative CTC</w:t>
            </w:r>
          </w:p>
        </w:tc>
        <w:tc>
          <w:tcPr>
            <w:tcW w:w="6946" w:type="dxa"/>
            <w:shd w:val="clear" w:color="auto" w:fill="BFBFBF" w:themeFill="background1" w:themeFillShade="BF"/>
          </w:tcPr>
          <w:p w14:paraId="647A7A0C" w14:textId="77777777" w:rsidR="00F301C7" w:rsidRPr="00E853DD" w:rsidRDefault="00F301C7" w:rsidP="00E853DD">
            <w:pPr>
              <w:pStyle w:val="TableText"/>
            </w:pPr>
            <w:r w:rsidRPr="00507AE5">
              <w:rPr>
                <w:b/>
                <w:i/>
              </w:rPr>
              <w:t>Evidence-based recommendation</w:t>
            </w:r>
            <w:r w:rsidRPr="00E853DD">
              <w:t xml:space="preserve"> (AGA 2008)</w:t>
            </w:r>
          </w:p>
          <w:p w14:paraId="49A8F859" w14:textId="77777777" w:rsidR="00F301C7" w:rsidRPr="00E853DD" w:rsidRDefault="00F301C7" w:rsidP="00507AE5">
            <w:pPr>
              <w:pStyle w:val="TableText"/>
            </w:pPr>
            <w:r w:rsidRPr="00E853DD">
              <w:t xml:space="preserve">Repeat FIT in </w:t>
            </w:r>
            <w:r w:rsidR="00507AE5">
              <w:t>five</w:t>
            </w:r>
            <w:r w:rsidRPr="00E853DD">
              <w:t xml:space="preserve"> years</w:t>
            </w:r>
            <w:r w:rsidR="00507AE5">
              <w:t>.</w:t>
            </w:r>
          </w:p>
        </w:tc>
      </w:tr>
      <w:tr w:rsidR="00F301C7" w:rsidRPr="00FA5A33" w14:paraId="6DF0C801" w14:textId="77777777" w:rsidTr="00564D98">
        <w:tblPrEx>
          <w:shd w:val="clear" w:color="auto" w:fill="auto"/>
        </w:tblPrEx>
        <w:trPr>
          <w:cantSplit/>
        </w:trPr>
        <w:tc>
          <w:tcPr>
            <w:tcW w:w="2410" w:type="dxa"/>
            <w:shd w:val="clear" w:color="auto" w:fill="D9D9D9" w:themeFill="background1" w:themeFillShade="D9"/>
          </w:tcPr>
          <w:p w14:paraId="7456E7B2" w14:textId="77777777" w:rsidR="00F301C7" w:rsidRPr="0052171C" w:rsidRDefault="00F301C7" w:rsidP="00E259E5">
            <w:pPr>
              <w:pStyle w:val="TableText"/>
              <w:ind w:left="709" w:right="142" w:hanging="709"/>
            </w:pPr>
            <w:r>
              <w:t>R8.30</w:t>
            </w:r>
            <w:r w:rsidR="00E259E5">
              <w:tab/>
            </w:r>
            <w:r>
              <w:t>Procedures following a</w:t>
            </w:r>
            <w:r w:rsidR="00271641">
              <w:t xml:space="preserve"> </w:t>
            </w:r>
            <w:r>
              <w:t>significant abnormality detected</w:t>
            </w:r>
            <w:r w:rsidR="00271641">
              <w:t xml:space="preserve"> </w:t>
            </w:r>
            <w:r>
              <w:t>by CTC</w:t>
            </w:r>
          </w:p>
        </w:tc>
        <w:tc>
          <w:tcPr>
            <w:tcW w:w="6946" w:type="dxa"/>
            <w:shd w:val="clear" w:color="auto" w:fill="D9D9D9" w:themeFill="background1" w:themeFillShade="D9"/>
          </w:tcPr>
          <w:p w14:paraId="45038D14" w14:textId="77777777" w:rsidR="00F301C7" w:rsidRPr="00E853DD" w:rsidRDefault="00F301C7" w:rsidP="00564D98">
            <w:pPr>
              <w:pStyle w:val="TableText"/>
              <w:ind w:left="709" w:right="142" w:hanging="709"/>
            </w:pPr>
            <w:r w:rsidRPr="00507AE5">
              <w:rPr>
                <w:b/>
                <w:i/>
              </w:rPr>
              <w:t>Consensus-based recommendation</w:t>
            </w:r>
            <w:r w:rsidRPr="00E853DD">
              <w:t xml:space="preserve"> (NBSP, NCSPI)</w:t>
            </w:r>
          </w:p>
          <w:p w14:paraId="34480405" w14:textId="77777777" w:rsidR="00F301C7" w:rsidRPr="00E853DD" w:rsidRDefault="00F301C7" w:rsidP="00507AE5">
            <w:pPr>
              <w:pStyle w:val="TableText"/>
            </w:pPr>
            <w:r w:rsidRPr="00E853DD">
              <w:t xml:space="preserve">If an abnormal area of significance is detected by CTC (polyps </w:t>
            </w:r>
            <w:r w:rsidRPr="00E853DD">
              <w:rPr>
                <w:rFonts w:ascii="Calibri" w:hAnsi="Calibri"/>
              </w:rPr>
              <w:t>&gt;</w:t>
            </w:r>
            <w:r w:rsidRPr="00E853DD">
              <w:t>5mm), follow-up endoscopy will be required for visualising the abnormality and biopsy (NCSPI)</w:t>
            </w:r>
            <w:r w:rsidR="00507AE5">
              <w:t>.</w:t>
            </w:r>
          </w:p>
          <w:p w14:paraId="49CEFFCB" w14:textId="77777777" w:rsidR="00F301C7" w:rsidRPr="00E853DD" w:rsidRDefault="00F301C7" w:rsidP="00507AE5">
            <w:pPr>
              <w:pStyle w:val="TableText"/>
            </w:pPr>
            <w:r w:rsidRPr="00E853DD">
              <w:t>Depending on the nature of the abnormal area simultaneous surgical referral may be indicated</w:t>
            </w:r>
            <w:r w:rsidR="00507AE5">
              <w:t>.</w:t>
            </w:r>
          </w:p>
          <w:p w14:paraId="2537EFA1" w14:textId="77777777" w:rsidR="00F301C7" w:rsidRPr="00E853DD" w:rsidRDefault="00F301C7" w:rsidP="00507AE5">
            <w:pPr>
              <w:pStyle w:val="TableText"/>
            </w:pPr>
            <w:r w:rsidRPr="00E853DD">
              <w:t>If colonoscopy (under LA or GA) is not suitable or previously incomplete surgical referral and intervention may be required.</w:t>
            </w:r>
          </w:p>
        </w:tc>
      </w:tr>
      <w:tr w:rsidR="00F301C7" w:rsidRPr="00FA5A33" w14:paraId="4E1B7D9D" w14:textId="77777777" w:rsidTr="00564D98">
        <w:tblPrEx>
          <w:shd w:val="clear" w:color="auto" w:fill="auto"/>
        </w:tblPrEx>
        <w:trPr>
          <w:cantSplit/>
        </w:trPr>
        <w:tc>
          <w:tcPr>
            <w:tcW w:w="2410" w:type="dxa"/>
            <w:shd w:val="clear" w:color="auto" w:fill="F2F2F2" w:themeFill="background1" w:themeFillShade="F2"/>
          </w:tcPr>
          <w:p w14:paraId="4935CA5F" w14:textId="77777777" w:rsidR="00F301C7" w:rsidRPr="0052171C" w:rsidRDefault="00F301C7" w:rsidP="00E259E5">
            <w:pPr>
              <w:pStyle w:val="TableText"/>
              <w:ind w:left="709" w:right="142" w:hanging="709"/>
            </w:pPr>
            <w:r>
              <w:t>R8.31</w:t>
            </w:r>
            <w:r w:rsidR="00E259E5">
              <w:tab/>
            </w:r>
            <w:r>
              <w:t>Follow up of diminutive</w:t>
            </w:r>
            <w:r w:rsidR="00271641">
              <w:t xml:space="preserve"> </w:t>
            </w:r>
            <w:r>
              <w:t>polyps and extra colonic lesions</w:t>
            </w:r>
            <w:r w:rsidR="00271641">
              <w:t xml:space="preserve"> </w:t>
            </w:r>
            <w:r>
              <w:t>detected by CTC</w:t>
            </w:r>
          </w:p>
        </w:tc>
        <w:tc>
          <w:tcPr>
            <w:tcW w:w="6946" w:type="dxa"/>
            <w:shd w:val="clear" w:color="auto" w:fill="F2F2F2" w:themeFill="background1" w:themeFillShade="F2"/>
          </w:tcPr>
          <w:p w14:paraId="2FA169AB" w14:textId="77777777" w:rsidR="00F301C7" w:rsidRPr="00E853DD" w:rsidRDefault="00F301C7" w:rsidP="00564D98">
            <w:pPr>
              <w:pStyle w:val="TableText"/>
              <w:ind w:left="709" w:right="142" w:hanging="709"/>
              <w:rPr>
                <w:iCs/>
              </w:rPr>
            </w:pPr>
            <w:r w:rsidRPr="00507AE5">
              <w:rPr>
                <w:b/>
                <w:i/>
              </w:rPr>
              <w:t>Practice point</w:t>
            </w:r>
            <w:r w:rsidRPr="00E853DD">
              <w:t xml:space="preserve"> (NBSP CTC)</w:t>
            </w:r>
          </w:p>
          <w:p w14:paraId="5E5F7FB7" w14:textId="77777777" w:rsidR="00F301C7" w:rsidRPr="00507AE5" w:rsidRDefault="00F301C7" w:rsidP="00507AE5">
            <w:pPr>
              <w:pStyle w:val="TableText"/>
              <w:rPr>
                <w:rStyle w:val="TableTextChar"/>
              </w:rPr>
            </w:pPr>
            <w:r w:rsidRPr="00E853DD">
              <w:t>Given the low risk of advanced neoplasia and the low specificity of CTC for small polyps &lt;5mm, consensus is required on threshold polyp size for reporting and follow</w:t>
            </w:r>
            <w:r w:rsidR="00507AE5">
              <w:noBreakHyphen/>
            </w:r>
            <w:r w:rsidRPr="00E853DD">
              <w:t>up</w:t>
            </w:r>
            <w:r w:rsidR="00507AE5">
              <w:t>.</w:t>
            </w:r>
          </w:p>
          <w:p w14:paraId="10B36AF9" w14:textId="77777777" w:rsidR="00F301C7" w:rsidRPr="00E853DD" w:rsidRDefault="00F301C7" w:rsidP="00507AE5">
            <w:pPr>
              <w:pStyle w:val="TableText"/>
              <w:rPr>
                <w:rFonts w:ascii="Helvetica" w:hAnsi="Helvetica"/>
                <w:sz w:val="28"/>
                <w:szCs w:val="28"/>
              </w:rPr>
            </w:pPr>
            <w:r w:rsidRPr="00E853DD">
              <w:t>Con</w:t>
            </w:r>
            <w:r w:rsidR="00507AE5">
              <w:t>s</w:t>
            </w:r>
            <w:r w:rsidRPr="00E853DD">
              <w:t xml:space="preserve">ensus and protocols for reporting and work-up of </w:t>
            </w:r>
            <w:proofErr w:type="spellStart"/>
            <w:r w:rsidRPr="00E853DD">
              <w:t>extracolonic</w:t>
            </w:r>
            <w:proofErr w:type="spellEnd"/>
            <w:r w:rsidRPr="00E853DD">
              <w:t xml:space="preserve"> findings are also required</w:t>
            </w:r>
            <w:r w:rsidR="00507AE5">
              <w:t>.</w:t>
            </w:r>
          </w:p>
        </w:tc>
      </w:tr>
    </w:tbl>
    <w:p w14:paraId="0FAEE1DB" w14:textId="77777777" w:rsidR="00F301C7" w:rsidRDefault="00F301C7" w:rsidP="009F787F">
      <w:pPr>
        <w:rPr>
          <w:rFonts w:eastAsiaTheme="minorHAnsi"/>
          <w:lang w:eastAsia="en-US"/>
        </w:rPr>
      </w:pPr>
    </w:p>
    <w:p w14:paraId="431B3EAA" w14:textId="77777777" w:rsidR="00F301C7" w:rsidRDefault="00F301C7" w:rsidP="009F787F">
      <w:pPr>
        <w:pStyle w:val="Heading3"/>
      </w:pPr>
      <w:r>
        <w:lastRenderedPageBreak/>
        <w:t>Recommendations: Confirmed cancer detection</w:t>
      </w:r>
    </w:p>
    <w:tbl>
      <w:tblPr>
        <w:tblW w:w="0" w:type="auto"/>
        <w:tblInd w:w="57" w:type="dxa"/>
        <w:tblBorders>
          <w:top w:val="single" w:sz="4" w:space="0" w:color="auto"/>
          <w:bottom w:val="single" w:sz="4" w:space="0" w:color="auto"/>
          <w:insideH w:val="single" w:sz="4" w:space="0" w:color="A6A6A6" w:themeColor="background1" w:themeShade="A6"/>
        </w:tblBorders>
        <w:shd w:val="clear" w:color="auto" w:fill="D9D9D9" w:themeFill="background1" w:themeFillShade="D9"/>
        <w:tblLayout w:type="fixed"/>
        <w:tblCellMar>
          <w:left w:w="57" w:type="dxa"/>
          <w:right w:w="57" w:type="dxa"/>
        </w:tblCellMar>
        <w:tblLook w:val="04A0" w:firstRow="1" w:lastRow="0" w:firstColumn="1" w:lastColumn="0" w:noHBand="0" w:noVBand="1"/>
      </w:tblPr>
      <w:tblGrid>
        <w:gridCol w:w="2410"/>
        <w:gridCol w:w="6946"/>
      </w:tblGrid>
      <w:tr w:rsidR="00F301C7" w:rsidRPr="00A65D81" w14:paraId="5480FB71" w14:textId="77777777" w:rsidTr="00564D98">
        <w:trPr>
          <w:cantSplit/>
        </w:trPr>
        <w:tc>
          <w:tcPr>
            <w:tcW w:w="2410" w:type="dxa"/>
            <w:shd w:val="clear" w:color="auto" w:fill="BFBFBF" w:themeFill="background1" w:themeFillShade="BF"/>
          </w:tcPr>
          <w:p w14:paraId="073FCAC4" w14:textId="77777777" w:rsidR="00F301C7" w:rsidRPr="00A65D81" w:rsidRDefault="00F301C7" w:rsidP="00E259E5">
            <w:pPr>
              <w:pStyle w:val="TableText"/>
              <w:ind w:left="709" w:right="142" w:hanging="709"/>
            </w:pPr>
            <w:r>
              <w:t>R8.32</w:t>
            </w:r>
            <w:r w:rsidR="00E259E5">
              <w:tab/>
            </w:r>
            <w:r>
              <w:t>Cancer detected</w:t>
            </w:r>
          </w:p>
        </w:tc>
        <w:tc>
          <w:tcPr>
            <w:tcW w:w="6946" w:type="dxa"/>
            <w:shd w:val="clear" w:color="auto" w:fill="BFBFBF" w:themeFill="background1" w:themeFillShade="BF"/>
          </w:tcPr>
          <w:p w14:paraId="35526DDD" w14:textId="77777777" w:rsidR="00F301C7" w:rsidRPr="00E853DD" w:rsidRDefault="00F301C7" w:rsidP="00E853DD">
            <w:pPr>
              <w:pStyle w:val="TableText"/>
            </w:pPr>
            <w:r w:rsidRPr="00507AE5">
              <w:rPr>
                <w:b/>
                <w:i/>
              </w:rPr>
              <w:t>Evidence-based recommendation</w:t>
            </w:r>
            <w:r w:rsidRPr="00E853DD">
              <w:t xml:space="preserve"> (</w:t>
            </w:r>
            <w:proofErr w:type="spellStart"/>
            <w:r w:rsidRPr="00E853DD">
              <w:t>MoH</w:t>
            </w:r>
            <w:proofErr w:type="spellEnd"/>
            <w:r w:rsidRPr="00E853DD">
              <w:t>)</w:t>
            </w:r>
            <w:r w:rsidR="00507AE5" w:rsidRPr="00507AE5">
              <w:rPr>
                <w:rStyle w:val="FootnoteReference"/>
              </w:rPr>
              <w:footnoteReference w:id="55"/>
            </w:r>
          </w:p>
          <w:p w14:paraId="364D74A7" w14:textId="77777777" w:rsidR="00F301C7" w:rsidRPr="00E853DD" w:rsidRDefault="00F301C7" w:rsidP="00E853DD">
            <w:pPr>
              <w:pStyle w:val="TableText"/>
            </w:pPr>
            <w:r w:rsidRPr="00E853DD">
              <w:t>Refer the participant for specialist assessment and treatment in line with faster cancer treatment</w:t>
            </w:r>
            <w:r w:rsidR="00507AE5">
              <w:t>.</w:t>
            </w:r>
          </w:p>
        </w:tc>
      </w:tr>
    </w:tbl>
    <w:p w14:paraId="733AF08B" w14:textId="77777777" w:rsidR="00F301C7" w:rsidRDefault="00F301C7" w:rsidP="009F787F"/>
    <w:p w14:paraId="372B042D" w14:textId="77777777" w:rsidR="00F301C7" w:rsidRDefault="00F301C7" w:rsidP="009F787F">
      <w:pPr>
        <w:pStyle w:val="Heading3"/>
      </w:pPr>
      <w:r>
        <w:t>Recommendation: Treatment for colorectal cancer/high risk lesions</w:t>
      </w:r>
    </w:p>
    <w:tbl>
      <w:tblPr>
        <w:tblW w:w="0" w:type="auto"/>
        <w:tblInd w:w="57" w:type="dxa"/>
        <w:tblBorders>
          <w:top w:val="single" w:sz="4" w:space="0" w:color="auto"/>
          <w:bottom w:val="single" w:sz="4" w:space="0" w:color="auto"/>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2410"/>
        <w:gridCol w:w="6946"/>
      </w:tblGrid>
      <w:tr w:rsidR="00F301C7" w:rsidRPr="005E3C2C" w14:paraId="1432F0B7" w14:textId="77777777" w:rsidTr="00564D98">
        <w:trPr>
          <w:cantSplit/>
        </w:trPr>
        <w:tc>
          <w:tcPr>
            <w:tcW w:w="2410" w:type="dxa"/>
            <w:shd w:val="clear" w:color="auto" w:fill="F2F2F2" w:themeFill="background1" w:themeFillShade="F2"/>
          </w:tcPr>
          <w:p w14:paraId="084BF99C" w14:textId="77777777" w:rsidR="00F301C7" w:rsidRPr="005E3C2C" w:rsidRDefault="00F301C7" w:rsidP="00E259E5">
            <w:pPr>
              <w:pStyle w:val="TableText"/>
              <w:ind w:left="709" w:right="142" w:hanging="709"/>
            </w:pPr>
            <w:r>
              <w:t>R8.33</w:t>
            </w:r>
            <w:r w:rsidR="00E259E5">
              <w:tab/>
            </w:r>
            <w:r>
              <w:t>Cancer treatment and</w:t>
            </w:r>
            <w:r w:rsidR="00271641">
              <w:t xml:space="preserve"> </w:t>
            </w:r>
            <w:r>
              <w:t>follow up</w:t>
            </w:r>
          </w:p>
        </w:tc>
        <w:tc>
          <w:tcPr>
            <w:tcW w:w="6946" w:type="dxa"/>
            <w:shd w:val="clear" w:color="auto" w:fill="F2F2F2" w:themeFill="background1" w:themeFillShade="F2"/>
          </w:tcPr>
          <w:p w14:paraId="65B37F2E" w14:textId="675C8F5B" w:rsidR="00F301C7" w:rsidRPr="00E853DD" w:rsidRDefault="00F301C7" w:rsidP="00E853DD">
            <w:pPr>
              <w:pStyle w:val="TableText"/>
              <w:rPr>
                <w:iCs/>
              </w:rPr>
            </w:pPr>
            <w:r w:rsidRPr="0023455E">
              <w:rPr>
                <w:b/>
                <w:i/>
              </w:rPr>
              <w:t>Practice point</w:t>
            </w:r>
            <w:r w:rsidRPr="00E853DD">
              <w:t xml:space="preserve"> </w:t>
            </w:r>
            <w:r w:rsidRPr="00E853DD">
              <w:rPr>
                <w:bCs/>
              </w:rPr>
              <w:t>(NZGG 2011</w:t>
            </w:r>
            <w:r w:rsidR="005F4DF8">
              <w:rPr>
                <w:bCs/>
              </w:rPr>
              <w:t>, NBCWG</w:t>
            </w:r>
            <w:r w:rsidRPr="00E853DD">
              <w:rPr>
                <w:bCs/>
              </w:rPr>
              <w:t>)</w:t>
            </w:r>
          </w:p>
          <w:p w14:paraId="3222F9AE" w14:textId="77777777" w:rsidR="00F301C7" w:rsidRDefault="00F301C7" w:rsidP="00E853DD">
            <w:pPr>
              <w:pStyle w:val="TableText"/>
            </w:pPr>
            <w:r w:rsidRPr="00E853DD">
              <w:t>All participants who have been referred for treatment for cancer/high risk lesions are assessed by the specialist and treated based on the pathology and individuals clinical situation in accordance with best practice as defined in the guidelines and standards below</w:t>
            </w:r>
            <w:r w:rsidR="0023455E">
              <w:t>.</w:t>
            </w:r>
          </w:p>
          <w:p w14:paraId="09DC853A" w14:textId="77777777" w:rsidR="005F4DF8" w:rsidRPr="00E853DD" w:rsidRDefault="005F4DF8" w:rsidP="005F4DF8">
            <w:pPr>
              <w:pStyle w:val="TableText"/>
            </w:pPr>
            <w:r w:rsidRPr="00E853DD">
              <w:t>To support accurate stage data for screen detected cancers in the Cancer Registry, the National Bowel Cancer Working Group has proposed:</w:t>
            </w:r>
          </w:p>
          <w:p w14:paraId="6BEFB744" w14:textId="77777777" w:rsidR="005F4DF8" w:rsidRPr="00E853DD" w:rsidRDefault="005F4DF8" w:rsidP="005F4DF8">
            <w:pPr>
              <w:pStyle w:val="TableText"/>
            </w:pPr>
            <w:r w:rsidRPr="00E853DD">
              <w:t>The following information is recorded on the histopathology request form by the surgeon in addition to patient demographics:</w:t>
            </w:r>
          </w:p>
          <w:p w14:paraId="6656AA8E" w14:textId="77777777" w:rsidR="005F4DF8" w:rsidRPr="00E15BE7" w:rsidRDefault="005F4DF8" w:rsidP="005F4DF8">
            <w:pPr>
              <w:pStyle w:val="TableBullet"/>
            </w:pPr>
            <w:r w:rsidRPr="00E853DD">
              <w:t>clinical stage data regarding malignancy and metastasis</w:t>
            </w:r>
          </w:p>
          <w:p w14:paraId="5C74DA03" w14:textId="4E1376FA" w:rsidR="005F4DF8" w:rsidRPr="00E853DD" w:rsidRDefault="005F4DF8" w:rsidP="00E853DD">
            <w:pPr>
              <w:pStyle w:val="TableBullet"/>
            </w:pPr>
            <w:r w:rsidRPr="00E853DD">
              <w:t>pre-operative chemotherapy, radiotherapy and initial radiological stage for rectal cancer</w:t>
            </w:r>
            <w:r>
              <w:t>.</w:t>
            </w:r>
          </w:p>
          <w:p w14:paraId="02D14641" w14:textId="77777777" w:rsidR="00F301C7" w:rsidRPr="00E853DD" w:rsidRDefault="00F301C7" w:rsidP="00E853DD">
            <w:pPr>
              <w:pStyle w:val="TableText"/>
            </w:pPr>
            <w:r w:rsidRPr="00E853DD">
              <w:t>Participants who have undergone colorectal cancer resection are followed up intensively</w:t>
            </w:r>
            <w:r w:rsidR="0023455E">
              <w:t>.</w:t>
            </w:r>
          </w:p>
          <w:p w14:paraId="3180EE60" w14:textId="77777777" w:rsidR="00F301C7" w:rsidRPr="00E853DD" w:rsidRDefault="00F301C7" w:rsidP="00E853DD">
            <w:pPr>
              <w:pStyle w:val="TableText"/>
            </w:pPr>
            <w:r w:rsidRPr="00E853DD">
              <w:t>Refer to:</w:t>
            </w:r>
          </w:p>
          <w:p w14:paraId="3A45ACA6" w14:textId="77777777" w:rsidR="00F301C7" w:rsidRPr="0023455E" w:rsidRDefault="00F301C7" w:rsidP="0023455E">
            <w:pPr>
              <w:pStyle w:val="TableBullet"/>
            </w:pPr>
            <w:r w:rsidRPr="00E853DD">
              <w:t xml:space="preserve">NZGG 2011 guidelines for detailed cancer treatment and follow up </w:t>
            </w:r>
            <w:hyperlink r:id="rId21" w:history="1">
              <w:r w:rsidRPr="0023455E">
                <w:t>http://www.health.govt.nz/publication/guidance-surveillance-people-increased-risk-colorectal-cancer</w:t>
              </w:r>
            </w:hyperlink>
          </w:p>
          <w:p w14:paraId="1DFD29A2" w14:textId="77777777" w:rsidR="00F301C7" w:rsidRPr="00E853DD" w:rsidRDefault="00F301C7" w:rsidP="0023455E">
            <w:pPr>
              <w:pStyle w:val="TableBullet"/>
              <w:rPr>
                <w:iCs/>
              </w:rPr>
            </w:pPr>
            <w:r w:rsidRPr="00E853DD">
              <w:t xml:space="preserve">National tumour standards: Standards for service provision for bowel cancer patients in New Zealand (provisional) </w:t>
            </w:r>
            <w:hyperlink r:id="rId22" w:history="1">
              <w:r w:rsidRPr="0023455E">
                <w:rPr>
                  <w:rStyle w:val="Hyperlink"/>
                </w:rPr>
                <w:t>http://www.health.govt.nz/our-work/diseases-and-conditions/cancer-programme/faster-cancer-treatment-programme/national-tumour-standards</w:t>
              </w:r>
            </w:hyperlink>
            <w:r w:rsidRPr="0023455E">
              <w:rPr>
                <w:rStyle w:val="Hyperlink"/>
              </w:rPr>
              <w:t xml:space="preserve">. </w:t>
            </w:r>
            <w:r w:rsidRPr="0023455E">
              <w:t xml:space="preserve">See </w:t>
            </w:r>
            <w:r w:rsidR="0023455E">
              <w:t>f</w:t>
            </w:r>
            <w:r w:rsidRPr="0023455E">
              <w:t>low chart below</w:t>
            </w:r>
            <w:r w:rsidR="0023455E">
              <w:t>.</w:t>
            </w:r>
          </w:p>
        </w:tc>
      </w:tr>
      <w:tr w:rsidR="00F301C7" w:rsidRPr="005E3C2C" w14:paraId="0BFAA76D" w14:textId="77777777" w:rsidTr="00564D98">
        <w:trPr>
          <w:cantSplit/>
        </w:trPr>
        <w:tc>
          <w:tcPr>
            <w:tcW w:w="2410" w:type="dxa"/>
            <w:shd w:val="clear" w:color="auto" w:fill="F2F2F2" w:themeFill="background1" w:themeFillShade="F2"/>
          </w:tcPr>
          <w:p w14:paraId="01494D30" w14:textId="77777777" w:rsidR="00F301C7" w:rsidRDefault="00F301C7" w:rsidP="00E259E5">
            <w:pPr>
              <w:pStyle w:val="TableText"/>
              <w:ind w:left="709" w:right="142" w:hanging="709"/>
            </w:pPr>
            <w:r>
              <w:t>R8.34</w:t>
            </w:r>
            <w:r w:rsidR="00E259E5">
              <w:tab/>
            </w:r>
            <w:r>
              <w:t>Follow up of cancer</w:t>
            </w:r>
            <w:r w:rsidR="00271641">
              <w:t xml:space="preserve"> </w:t>
            </w:r>
            <w:r>
              <w:t>resection</w:t>
            </w:r>
          </w:p>
        </w:tc>
        <w:tc>
          <w:tcPr>
            <w:tcW w:w="6946" w:type="dxa"/>
            <w:shd w:val="clear" w:color="auto" w:fill="F2F2F2" w:themeFill="background1" w:themeFillShade="F2"/>
          </w:tcPr>
          <w:p w14:paraId="7422E075" w14:textId="77777777" w:rsidR="00F301C7" w:rsidRPr="00E853DD" w:rsidRDefault="00F301C7" w:rsidP="00E853DD">
            <w:pPr>
              <w:pStyle w:val="TableText"/>
              <w:rPr>
                <w:bCs/>
              </w:rPr>
            </w:pPr>
            <w:r w:rsidRPr="0023455E">
              <w:rPr>
                <w:b/>
                <w:bCs/>
                <w:i/>
              </w:rPr>
              <w:t>Consensus-based recommendation</w:t>
            </w:r>
            <w:r w:rsidRPr="00E853DD">
              <w:rPr>
                <w:bCs/>
              </w:rPr>
              <w:t xml:space="preserve"> (NZGG 2011)</w:t>
            </w:r>
          </w:p>
          <w:p w14:paraId="7909E748" w14:textId="77777777" w:rsidR="00F301C7" w:rsidRPr="0023455E" w:rsidRDefault="00F301C7" w:rsidP="00E853DD">
            <w:pPr>
              <w:pStyle w:val="TableText"/>
              <w:rPr>
                <w:spacing w:val="-2"/>
              </w:rPr>
            </w:pPr>
            <w:r w:rsidRPr="0023455E">
              <w:rPr>
                <w:spacing w:val="-2"/>
              </w:rPr>
              <w:t>Patients treated for cancer are no longer part of the screening programme. The use of faecal occult blood testing as part of colorectal cancer follow-up is not recommended</w:t>
            </w:r>
            <w:r w:rsidR="0023455E" w:rsidRPr="0023455E">
              <w:rPr>
                <w:spacing w:val="-2"/>
              </w:rPr>
              <w:t>.</w:t>
            </w:r>
          </w:p>
        </w:tc>
      </w:tr>
    </w:tbl>
    <w:p w14:paraId="29F5B43A" w14:textId="77777777" w:rsidR="00F301C7" w:rsidRDefault="00F301C7" w:rsidP="009F787F"/>
    <w:p w14:paraId="520FCE51" w14:textId="77777777" w:rsidR="00E005C0" w:rsidRDefault="00E005C0" w:rsidP="00E005C0">
      <w:pPr>
        <w:pStyle w:val="Figure"/>
      </w:pPr>
      <w:bookmarkStart w:id="27" w:name="_Toc530566683"/>
      <w:r>
        <w:lastRenderedPageBreak/>
        <w:t>Figure 5: Cultural and supportive care</w:t>
      </w:r>
      <w:bookmarkEnd w:id="27"/>
    </w:p>
    <w:p w14:paraId="436ACA93" w14:textId="77777777" w:rsidR="00F301C7" w:rsidRPr="0023455E" w:rsidRDefault="00F301C7" w:rsidP="00F301C7">
      <w:r>
        <w:rPr>
          <w:noProof/>
          <w:lang w:eastAsia="en-NZ"/>
        </w:rPr>
        <w:drawing>
          <wp:inline distT="0" distB="0" distL="0" distR="0" wp14:anchorId="41E7D33E" wp14:editId="161C6483">
            <wp:extent cx="5195455" cy="5003027"/>
            <wp:effectExtent l="0" t="0" r="5715" b="7620"/>
            <wp:docPr id="12" name="Picture 12" descr="Glow chart showing the stages of detecting and managing early and advanced colorectal canc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3">
                      <a:grayscl/>
                      <a:extLst>
                        <a:ext uri="{28A0092B-C50C-407E-A947-70E740481C1C}">
                          <a14:useLocalDpi xmlns:a14="http://schemas.microsoft.com/office/drawing/2010/main" val="0"/>
                        </a:ext>
                      </a:extLst>
                    </a:blip>
                    <a:srcRect t="6523"/>
                    <a:stretch/>
                  </pic:blipFill>
                  <pic:spPr bwMode="auto">
                    <a:xfrm>
                      <a:off x="0" y="0"/>
                      <a:ext cx="5200956" cy="5008324"/>
                    </a:xfrm>
                    <a:prstGeom prst="rect">
                      <a:avLst/>
                    </a:prstGeom>
                    <a:noFill/>
                    <a:ln>
                      <a:noFill/>
                    </a:ln>
                    <a:extLst>
                      <a:ext uri="{53640926-AAD7-44D8-BBD7-CCE9431645EC}">
                        <a14:shadowObscured xmlns:a14="http://schemas.microsoft.com/office/drawing/2010/main"/>
                      </a:ext>
                    </a:extLst>
                  </pic:spPr>
                </pic:pic>
              </a:graphicData>
            </a:graphic>
          </wp:inline>
        </w:drawing>
      </w:r>
    </w:p>
    <w:p w14:paraId="72EA3860" w14:textId="77777777" w:rsidR="00F301C7" w:rsidRDefault="009F787F" w:rsidP="0023455E">
      <w:pPr>
        <w:pStyle w:val="Source"/>
      </w:pPr>
      <w:r>
        <w:t xml:space="preserve">Source: </w:t>
      </w:r>
      <w:hyperlink r:id="rId24" w:history="1">
        <w:r w:rsidR="00F301C7" w:rsidRPr="00635CEC">
          <w:rPr>
            <w:rStyle w:val="Hyperlink"/>
          </w:rPr>
          <w:t>http://www.health.govt.nz/our-work/diseases-and-conditions/cancer-programme/faster-cancer-treatment-programme/national-tumour-standards</w:t>
        </w:r>
      </w:hyperlink>
    </w:p>
    <w:p w14:paraId="1E81A5F3" w14:textId="77777777" w:rsidR="009F787F" w:rsidRPr="009F787F" w:rsidRDefault="009F787F" w:rsidP="009F787F"/>
    <w:p w14:paraId="6EC8247B" w14:textId="77777777" w:rsidR="00F301C7" w:rsidRDefault="00F301C7" w:rsidP="009F787F">
      <w:pPr>
        <w:pStyle w:val="Heading3"/>
      </w:pPr>
      <w:r>
        <w:lastRenderedPageBreak/>
        <w:t>Recommend</w:t>
      </w:r>
      <w:r w:rsidR="007547B3">
        <w:t>ation: Reporting adverse events</w:t>
      </w:r>
    </w:p>
    <w:tbl>
      <w:tblPr>
        <w:tblW w:w="0" w:type="auto"/>
        <w:tblInd w:w="57" w:type="dxa"/>
        <w:tblBorders>
          <w:top w:val="single" w:sz="4" w:space="0" w:color="auto"/>
          <w:bottom w:val="single" w:sz="4" w:space="0" w:color="auto"/>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2410"/>
        <w:gridCol w:w="6946"/>
      </w:tblGrid>
      <w:tr w:rsidR="00F301C7" w:rsidRPr="00F33E74" w14:paraId="31051282" w14:textId="77777777" w:rsidTr="00564D98">
        <w:trPr>
          <w:cantSplit/>
        </w:trPr>
        <w:tc>
          <w:tcPr>
            <w:tcW w:w="2410" w:type="dxa"/>
            <w:shd w:val="clear" w:color="auto" w:fill="F2F2F2" w:themeFill="background1" w:themeFillShade="F2"/>
          </w:tcPr>
          <w:p w14:paraId="0F2C6E49" w14:textId="77777777" w:rsidR="00F301C7" w:rsidRPr="00F33E74" w:rsidRDefault="00F301C7" w:rsidP="00E259E5">
            <w:pPr>
              <w:pStyle w:val="TableText"/>
              <w:ind w:left="709" w:right="142" w:hanging="709"/>
            </w:pPr>
            <w:r>
              <w:t>R8.</w:t>
            </w:r>
            <w:r w:rsidRPr="00F33E74">
              <w:t>35</w:t>
            </w:r>
            <w:r w:rsidR="00E259E5">
              <w:tab/>
            </w:r>
            <w:r w:rsidRPr="00F33E74">
              <w:t>Assessment of adverse</w:t>
            </w:r>
            <w:r w:rsidR="00271641">
              <w:t xml:space="preserve"> </w:t>
            </w:r>
            <w:r w:rsidRPr="00F33E74">
              <w:t>events</w:t>
            </w:r>
          </w:p>
        </w:tc>
        <w:tc>
          <w:tcPr>
            <w:tcW w:w="6946" w:type="dxa"/>
            <w:shd w:val="clear" w:color="auto" w:fill="F2F2F2" w:themeFill="background1" w:themeFillShade="F2"/>
          </w:tcPr>
          <w:p w14:paraId="368F93B4" w14:textId="77777777" w:rsidR="00F301C7" w:rsidRPr="00E853DD" w:rsidRDefault="00F301C7" w:rsidP="00E853DD">
            <w:pPr>
              <w:pStyle w:val="TableText"/>
            </w:pPr>
            <w:r w:rsidRPr="0023455E">
              <w:rPr>
                <w:b/>
                <w:i/>
              </w:rPr>
              <w:t>Practice point</w:t>
            </w:r>
            <w:r w:rsidRPr="00E853DD">
              <w:t xml:space="preserve"> (NSU)</w:t>
            </w:r>
          </w:p>
          <w:p w14:paraId="3D22282C" w14:textId="77777777" w:rsidR="00F301C7" w:rsidRPr="00E853DD" w:rsidRDefault="00F301C7" w:rsidP="00E853DD">
            <w:pPr>
              <w:pStyle w:val="TableText"/>
            </w:pPr>
            <w:r w:rsidRPr="00E853DD">
              <w:t>A transparent process around serious adverse events with effective risk management and learning from adverse events, results in initiatives to prevent recurrence of similar events</w:t>
            </w:r>
            <w:r w:rsidR="0023455E">
              <w:t>.</w:t>
            </w:r>
            <w:r w:rsidRPr="0023455E">
              <w:rPr>
                <w:rStyle w:val="FootnoteReference"/>
              </w:rPr>
              <w:footnoteReference w:id="56"/>
            </w:r>
            <w:r w:rsidRPr="0023455E">
              <w:rPr>
                <w:vertAlign w:val="superscript"/>
              </w:rPr>
              <w:t xml:space="preserve"> </w:t>
            </w:r>
            <w:r w:rsidRPr="0023455E">
              <w:rPr>
                <w:rStyle w:val="FootnoteReference"/>
              </w:rPr>
              <w:footnoteReference w:id="57"/>
            </w:r>
          </w:p>
          <w:p w14:paraId="626BFA45" w14:textId="77777777" w:rsidR="00F301C7" w:rsidRPr="00E853DD" w:rsidRDefault="00F301C7" w:rsidP="00E853DD">
            <w:pPr>
              <w:pStyle w:val="TableText"/>
            </w:pPr>
            <w:r w:rsidRPr="00E853DD">
              <w:t>A system is in place to:</w:t>
            </w:r>
          </w:p>
          <w:p w14:paraId="636D248C" w14:textId="77777777" w:rsidR="00F301C7" w:rsidRPr="00E853DD" w:rsidRDefault="00F301C7" w:rsidP="0098219E">
            <w:pPr>
              <w:pStyle w:val="TableBullet"/>
              <w:rPr>
                <w:rFonts w:eastAsia="Arial Unicode MS"/>
              </w:rPr>
            </w:pPr>
            <w:r w:rsidRPr="00E853DD">
              <w:rPr>
                <w:rFonts w:eastAsia="Arial Unicode MS"/>
              </w:rPr>
              <w:t>document all adverse events before, during or immediately after colonoscopy in the colonoscopy report</w:t>
            </w:r>
          </w:p>
          <w:p w14:paraId="6D1FF5E2" w14:textId="77777777" w:rsidR="00F301C7" w:rsidRPr="00E853DD" w:rsidRDefault="00F301C7" w:rsidP="0098219E">
            <w:pPr>
              <w:pStyle w:val="TableBullet"/>
            </w:pPr>
            <w:r w:rsidRPr="00E853DD">
              <w:t>record all adverse events before and during in the patient</w:t>
            </w:r>
            <w:r w:rsidR="003B6490" w:rsidRPr="00E853DD">
              <w:t>’</w:t>
            </w:r>
            <w:r w:rsidRPr="00E853DD">
              <w:t xml:space="preserve">s colonoscopy </w:t>
            </w:r>
            <w:r w:rsidR="0023455E">
              <w:t>report</w:t>
            </w:r>
          </w:p>
          <w:p w14:paraId="7E28D5EF" w14:textId="77777777" w:rsidR="00F301C7" w:rsidRPr="0098219E" w:rsidRDefault="00F301C7" w:rsidP="0098219E">
            <w:pPr>
              <w:pStyle w:val="TableBullet"/>
              <w:rPr>
                <w:iCs/>
              </w:rPr>
            </w:pPr>
            <w:bookmarkStart w:id="28" w:name="_Toc470252946"/>
            <w:r w:rsidRPr="00E853DD">
              <w:t xml:space="preserve">review all adverse events relating to the performance of </w:t>
            </w:r>
            <w:bookmarkEnd w:id="28"/>
            <w:r w:rsidR="0023455E">
              <w:t>colonoscopy</w:t>
            </w:r>
          </w:p>
          <w:p w14:paraId="5C739E73" w14:textId="601E64FA" w:rsidR="0098219E" w:rsidRPr="00E853DD" w:rsidRDefault="0098219E" w:rsidP="0098219E">
            <w:pPr>
              <w:pStyle w:val="TableBullet"/>
            </w:pPr>
            <w:r>
              <w:rPr>
                <w:rStyle w:val="Hyperlink0"/>
              </w:rPr>
              <w:t>ensure hospital readmissions within 30 days of performing NBSP colonoscopy are reviewed weekly to allow early identification of remedial factors.</w:t>
            </w:r>
          </w:p>
          <w:p w14:paraId="7FA43552" w14:textId="77777777" w:rsidR="00F301C7" w:rsidRPr="00E853DD" w:rsidRDefault="00F301C7" w:rsidP="0098219E">
            <w:pPr>
              <w:pStyle w:val="TableBullet"/>
              <w:rPr>
                <w:iCs/>
              </w:rPr>
            </w:pPr>
            <w:r w:rsidRPr="00E853DD">
              <w:rPr>
                <w:rFonts w:eastAsia="Calibri"/>
              </w:rPr>
              <w:t>ensure that adverse events and all hospital readmissions within 30 days of performing NBSP colonoscopy are reported to the NSU within in the month they occur on the provided data sheet. All readmissions need to be</w:t>
            </w:r>
            <w:r w:rsidR="003B6490" w:rsidRPr="00E853DD">
              <w:rPr>
                <w:rFonts w:eastAsia="Calibri"/>
              </w:rPr>
              <w:t xml:space="preserve"> </w:t>
            </w:r>
            <w:r w:rsidRPr="00E853DD">
              <w:rPr>
                <w:rFonts w:eastAsia="Calibri"/>
              </w:rPr>
              <w:t>documented, appropriately reviewed are made available for external and NSU audit (see section 8.36)</w:t>
            </w:r>
          </w:p>
          <w:p w14:paraId="34880B0E" w14:textId="77777777" w:rsidR="00F301C7" w:rsidRDefault="00F301C7" w:rsidP="0023455E">
            <w:pPr>
              <w:pStyle w:val="TableText"/>
              <w:rPr>
                <w:rFonts w:eastAsia="Arial Unicode MS"/>
                <w:vertAlign w:val="superscript"/>
              </w:rPr>
            </w:pPr>
            <w:r w:rsidRPr="00E853DD">
              <w:rPr>
                <w:rFonts w:eastAsia="Arial Unicode MS"/>
              </w:rPr>
              <w:t xml:space="preserve">Note: The rate of intermediate or serious </w:t>
            </w:r>
            <w:proofErr w:type="spellStart"/>
            <w:r w:rsidRPr="00E853DD">
              <w:rPr>
                <w:rFonts w:eastAsia="Arial Unicode MS"/>
              </w:rPr>
              <w:t>colonoscopic</w:t>
            </w:r>
            <w:proofErr w:type="spellEnd"/>
            <w:r w:rsidRPr="00E853DD">
              <w:rPr>
                <w:rFonts w:eastAsia="Arial Unicode MS"/>
              </w:rPr>
              <w:t xml:space="preserve"> complications relating to perforation or bleeding requiring hospital admission within 30 days of performance of colonoscopy within the NBSP is &lt;10:1,000 colonoscopies</w:t>
            </w:r>
            <w:r w:rsidR="0023455E">
              <w:rPr>
                <w:rFonts w:eastAsia="Arial Unicode MS"/>
              </w:rPr>
              <w:t>.</w:t>
            </w:r>
            <w:r w:rsidRPr="0023455E">
              <w:rPr>
                <w:rStyle w:val="FootnoteReference"/>
                <w:rFonts w:eastAsia="Arial Unicode MS"/>
              </w:rPr>
              <w:footnoteReference w:id="58"/>
            </w:r>
            <w:r w:rsidRPr="0023455E">
              <w:rPr>
                <w:rFonts w:eastAsia="Arial Unicode MS"/>
                <w:vertAlign w:val="superscript"/>
              </w:rPr>
              <w:t xml:space="preserve"> </w:t>
            </w:r>
            <w:r w:rsidRPr="0023455E">
              <w:rPr>
                <w:rStyle w:val="FootnoteReference"/>
                <w:rFonts w:eastAsia="Arial Unicode MS"/>
              </w:rPr>
              <w:footnoteReference w:id="59"/>
            </w:r>
          </w:p>
          <w:p w14:paraId="599E8299" w14:textId="621CF8D1" w:rsidR="0081339C" w:rsidRPr="0081339C" w:rsidRDefault="0081339C" w:rsidP="0023455E">
            <w:pPr>
              <w:pStyle w:val="TableText"/>
              <w:rPr>
                <w:iCs/>
                <w:szCs w:val="18"/>
              </w:rPr>
            </w:pPr>
            <w:r w:rsidRPr="009C4CC6">
              <w:rPr>
                <w:rFonts w:cs="Arial"/>
                <w:i/>
                <w:szCs w:val="18"/>
              </w:rPr>
              <w:t>This set of indicators (and related targets) is currently under review</w:t>
            </w:r>
            <w:r w:rsidRPr="0081339C">
              <w:rPr>
                <w:rFonts w:cs="Arial"/>
                <w:szCs w:val="18"/>
              </w:rPr>
              <w:t>.</w:t>
            </w:r>
          </w:p>
        </w:tc>
      </w:tr>
      <w:tr w:rsidR="00F301C7" w:rsidRPr="00F33E74" w14:paraId="46BFA1BC" w14:textId="77777777" w:rsidTr="00564D98">
        <w:trPr>
          <w:cantSplit/>
        </w:trPr>
        <w:tc>
          <w:tcPr>
            <w:tcW w:w="2410" w:type="dxa"/>
            <w:shd w:val="clear" w:color="auto" w:fill="F2F2F2" w:themeFill="background1" w:themeFillShade="F2"/>
          </w:tcPr>
          <w:p w14:paraId="2AA3C06C" w14:textId="77777777" w:rsidR="00F301C7" w:rsidRDefault="00F301C7" w:rsidP="00E259E5">
            <w:pPr>
              <w:pStyle w:val="TableText"/>
              <w:ind w:left="709" w:right="142" w:hanging="709"/>
            </w:pPr>
            <w:r>
              <w:t>R8.36</w:t>
            </w:r>
            <w:r w:rsidR="00E259E5">
              <w:tab/>
            </w:r>
            <w:r>
              <w:t>Managing adverse events</w:t>
            </w:r>
          </w:p>
        </w:tc>
        <w:tc>
          <w:tcPr>
            <w:tcW w:w="6946" w:type="dxa"/>
            <w:shd w:val="clear" w:color="auto" w:fill="F2F2F2" w:themeFill="background1" w:themeFillShade="F2"/>
          </w:tcPr>
          <w:p w14:paraId="6719B5BD" w14:textId="77777777" w:rsidR="00F301C7" w:rsidRPr="00E853DD" w:rsidRDefault="00F301C7" w:rsidP="00E853DD">
            <w:pPr>
              <w:pStyle w:val="TableText"/>
            </w:pPr>
            <w:r w:rsidRPr="0023455E">
              <w:rPr>
                <w:b/>
                <w:i/>
              </w:rPr>
              <w:t>Practice point</w:t>
            </w:r>
            <w:r w:rsidRPr="00E853DD">
              <w:t xml:space="preserve"> (NBSP)</w:t>
            </w:r>
          </w:p>
          <w:p w14:paraId="605E10F0" w14:textId="77777777" w:rsidR="00F301C7" w:rsidRPr="00E853DD" w:rsidRDefault="00F301C7" w:rsidP="00E853DD">
            <w:pPr>
              <w:pStyle w:val="TableText"/>
            </w:pPr>
            <w:r w:rsidRPr="00E853DD">
              <w:t xml:space="preserve">NBSP </w:t>
            </w:r>
            <w:r w:rsidR="0023455E">
              <w:t>c</w:t>
            </w:r>
            <w:r w:rsidRPr="00E853DD">
              <w:t>olonoscopy reports should include advice to contact the named NBSP DHB clinical lead should the patient present to hospital with an adverse event post NBSP colonoscopy.</w:t>
            </w:r>
          </w:p>
          <w:p w14:paraId="13BCBC01" w14:textId="77777777" w:rsidR="00F301C7" w:rsidRPr="00E853DD" w:rsidRDefault="00F301C7" w:rsidP="00E853DD">
            <w:pPr>
              <w:pStyle w:val="TableText"/>
            </w:pPr>
            <w:r w:rsidRPr="00E853DD">
              <w:t xml:space="preserve">Adverse events such as perforation and bleeding should be </w:t>
            </w:r>
            <w:r w:rsidR="0023455E">
              <w:t>managed in a manner that minimis</w:t>
            </w:r>
            <w:r w:rsidRPr="00E853DD">
              <w:t>es the likelihood of serious morbidity and mortality as a consequence of the adverse event</w:t>
            </w:r>
            <w:r w:rsidR="00450F04">
              <w:t>.</w:t>
            </w:r>
          </w:p>
          <w:p w14:paraId="454C4332" w14:textId="505403CB" w:rsidR="0098219E" w:rsidRPr="00E853DD" w:rsidRDefault="0098219E" w:rsidP="00E853DD">
            <w:pPr>
              <w:pStyle w:val="TableText"/>
            </w:pPr>
            <w:r>
              <w:rPr>
                <w:rStyle w:val="Hyperlink0"/>
              </w:rPr>
              <w:t>Treatment of bowel perforation where there is CT evidence of perforation and significant intra-peritoneal air requires operative management unless there are significant reasons to the contrary identified at initial consultant assessment and supported by ongoing daily consultant review.</w:t>
            </w:r>
          </w:p>
          <w:p w14:paraId="720F0F02" w14:textId="77777777" w:rsidR="00F301C7" w:rsidRPr="00E853DD" w:rsidRDefault="00F301C7" w:rsidP="00E853DD">
            <w:pPr>
              <w:pStyle w:val="TableText"/>
            </w:pPr>
            <w:r w:rsidRPr="00E853DD">
              <w:rPr>
                <w:rFonts w:cs="Trebuchet MS"/>
              </w:rPr>
              <w:t>If an adverse event requires transfer between hospitals there must be</w:t>
            </w:r>
            <w:r w:rsidR="003B6490" w:rsidRPr="00E853DD">
              <w:rPr>
                <w:rFonts w:cs="Trebuchet MS"/>
              </w:rPr>
              <w:t xml:space="preserve"> </w:t>
            </w:r>
            <w:r w:rsidRPr="00E853DD">
              <w:rPr>
                <w:rFonts w:cs="Trebuchet MS"/>
              </w:rPr>
              <w:t>consultant to consultant communication.</w:t>
            </w:r>
          </w:p>
        </w:tc>
      </w:tr>
      <w:tr w:rsidR="00F301C7" w:rsidRPr="00F33E74" w14:paraId="5EA5B84C" w14:textId="77777777" w:rsidTr="00564D98">
        <w:trPr>
          <w:cantSplit/>
        </w:trPr>
        <w:tc>
          <w:tcPr>
            <w:tcW w:w="2410" w:type="dxa"/>
            <w:shd w:val="clear" w:color="auto" w:fill="F2F2F2" w:themeFill="background1" w:themeFillShade="F2"/>
          </w:tcPr>
          <w:p w14:paraId="40AC7340" w14:textId="77777777" w:rsidR="00F301C7" w:rsidRPr="00F33E74" w:rsidRDefault="00F301C7" w:rsidP="00E259E5">
            <w:pPr>
              <w:pStyle w:val="TableText"/>
              <w:ind w:left="709" w:right="142" w:hanging="709"/>
            </w:pPr>
            <w:r>
              <w:t>R8.37</w:t>
            </w:r>
            <w:r w:rsidR="00E259E5">
              <w:tab/>
            </w:r>
            <w:r w:rsidRPr="00F33E74">
              <w:t>Reporting of adverse</w:t>
            </w:r>
            <w:r w:rsidR="00271641">
              <w:t xml:space="preserve"> </w:t>
            </w:r>
            <w:r w:rsidRPr="00F33E74">
              <w:t>events to the National Screening</w:t>
            </w:r>
            <w:r w:rsidR="00271641">
              <w:t xml:space="preserve"> </w:t>
            </w:r>
            <w:r w:rsidRPr="00F33E74">
              <w:t>Unit</w:t>
            </w:r>
          </w:p>
        </w:tc>
        <w:tc>
          <w:tcPr>
            <w:tcW w:w="6946" w:type="dxa"/>
            <w:shd w:val="clear" w:color="auto" w:fill="F2F2F2" w:themeFill="background1" w:themeFillShade="F2"/>
          </w:tcPr>
          <w:p w14:paraId="32CE42CE" w14:textId="77777777" w:rsidR="00F301C7" w:rsidRPr="00E853DD" w:rsidRDefault="00F301C7" w:rsidP="00E853DD">
            <w:pPr>
              <w:pStyle w:val="TableText"/>
            </w:pPr>
            <w:r w:rsidRPr="00450F04">
              <w:rPr>
                <w:b/>
                <w:i/>
              </w:rPr>
              <w:t>Practice point</w:t>
            </w:r>
            <w:r w:rsidRPr="00E853DD">
              <w:t xml:space="preserve"> (NBSP)</w:t>
            </w:r>
          </w:p>
          <w:p w14:paraId="2DE5A989" w14:textId="77777777" w:rsidR="00F301C7" w:rsidRPr="00E853DD" w:rsidRDefault="00F301C7" w:rsidP="00E853DD">
            <w:pPr>
              <w:pStyle w:val="TableText"/>
            </w:pPr>
            <w:r w:rsidRPr="00E853DD">
              <w:t>Significant adverse events are notified to the NSU immediately and reported according to the NSU incident reporting protocols</w:t>
            </w:r>
            <w:r w:rsidR="00450F04">
              <w:t>.</w:t>
            </w:r>
            <w:r w:rsidRPr="00450F04">
              <w:rPr>
                <w:rStyle w:val="FootnoteReference"/>
              </w:rPr>
              <w:footnoteReference w:id="60"/>
            </w:r>
          </w:p>
        </w:tc>
      </w:tr>
    </w:tbl>
    <w:p w14:paraId="169C190C" w14:textId="77777777" w:rsidR="00F301C7" w:rsidRDefault="00F301C7" w:rsidP="009F787F"/>
    <w:p w14:paraId="7D79A83D" w14:textId="77777777" w:rsidR="00F301C7" w:rsidRPr="003E2462" w:rsidRDefault="00F301C7" w:rsidP="009F787F">
      <w:pPr>
        <w:pStyle w:val="Heading2"/>
      </w:pPr>
      <w:bookmarkStart w:id="29" w:name="_Toc530661014"/>
      <w:r>
        <w:lastRenderedPageBreak/>
        <w:t>G9</w:t>
      </w:r>
      <w:r w:rsidR="009F787F">
        <w:tab/>
      </w:r>
      <w:r w:rsidRPr="003E2462">
        <w:t>Recommendations</w:t>
      </w:r>
      <w:r w:rsidR="003B6490">
        <w:t xml:space="preserve"> – </w:t>
      </w:r>
      <w:r w:rsidRPr="003E2462">
        <w:t>histopathology</w:t>
      </w:r>
      <w:bookmarkEnd w:id="29"/>
    </w:p>
    <w:p w14:paraId="3F3825EB" w14:textId="77777777" w:rsidR="00F301C7" w:rsidRDefault="00F301C7" w:rsidP="009F787F">
      <w:pPr>
        <w:pStyle w:val="Heading3"/>
      </w:pPr>
      <w:r>
        <w:t xml:space="preserve">Recommendations: </w:t>
      </w:r>
      <w:r w:rsidRPr="007E0162">
        <w:t>Terminology and classifications for histopathology reporting</w:t>
      </w:r>
    </w:p>
    <w:tbl>
      <w:tblPr>
        <w:tblW w:w="0" w:type="auto"/>
        <w:tblInd w:w="57" w:type="dxa"/>
        <w:tblBorders>
          <w:top w:val="single" w:sz="4" w:space="0" w:color="auto"/>
          <w:bottom w:val="single" w:sz="4" w:space="0" w:color="auto"/>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2410"/>
        <w:gridCol w:w="6946"/>
      </w:tblGrid>
      <w:tr w:rsidR="00F301C7" w:rsidRPr="005E3C2C" w14:paraId="60FC9D39" w14:textId="77777777" w:rsidTr="00564D98">
        <w:trPr>
          <w:cantSplit/>
        </w:trPr>
        <w:tc>
          <w:tcPr>
            <w:tcW w:w="2410" w:type="dxa"/>
            <w:shd w:val="clear" w:color="auto" w:fill="D9D9D9" w:themeFill="background1" w:themeFillShade="D9"/>
          </w:tcPr>
          <w:p w14:paraId="681388A7" w14:textId="77777777" w:rsidR="00F301C7" w:rsidRPr="00D95424" w:rsidRDefault="00F301C7" w:rsidP="00E259E5">
            <w:pPr>
              <w:pStyle w:val="TableText"/>
              <w:ind w:left="709" w:right="142" w:hanging="709"/>
            </w:pPr>
            <w:r w:rsidRPr="00D95424">
              <w:t>R9.01</w:t>
            </w:r>
            <w:r w:rsidR="00E259E5">
              <w:tab/>
            </w:r>
            <w:r w:rsidRPr="00D95424">
              <w:t>Reporting</w:t>
            </w:r>
            <w:r w:rsidR="00271641">
              <w:t xml:space="preserve"> </w:t>
            </w:r>
            <w:r w:rsidRPr="00D95424">
              <w:t>terminology and classifications</w:t>
            </w:r>
            <w:r w:rsidR="00271641">
              <w:t xml:space="preserve"> </w:t>
            </w:r>
            <w:r w:rsidRPr="00D95424">
              <w:t>for histopathology specimens</w:t>
            </w:r>
          </w:p>
        </w:tc>
        <w:tc>
          <w:tcPr>
            <w:tcW w:w="6946" w:type="dxa"/>
            <w:shd w:val="clear" w:color="auto" w:fill="D9D9D9" w:themeFill="background1" w:themeFillShade="D9"/>
          </w:tcPr>
          <w:p w14:paraId="506E582B" w14:textId="77777777" w:rsidR="00F301C7" w:rsidRPr="00E853DD" w:rsidRDefault="00F301C7" w:rsidP="00E853DD">
            <w:pPr>
              <w:pStyle w:val="TableText"/>
            </w:pPr>
            <w:r w:rsidRPr="00450F04">
              <w:rPr>
                <w:b/>
                <w:i/>
              </w:rPr>
              <w:t>Consensus-based recommendation</w:t>
            </w:r>
            <w:r w:rsidRPr="00E853DD">
              <w:t xml:space="preserve"> (WHO; NBCWG)</w:t>
            </w:r>
          </w:p>
          <w:p w14:paraId="343939DF" w14:textId="77777777" w:rsidR="00F301C7" w:rsidRPr="00E853DD" w:rsidRDefault="00F301C7" w:rsidP="00E853DD">
            <w:pPr>
              <w:pStyle w:val="TableText"/>
            </w:pPr>
            <w:r w:rsidRPr="00E853DD">
              <w:t xml:space="preserve">Adenomatous polyps are classified using the latest WHO </w:t>
            </w:r>
            <w:r w:rsidR="00450F04">
              <w:t>c</w:t>
            </w:r>
            <w:r w:rsidRPr="00E853DD">
              <w:t>lassification of tumours of the colon and rectum</w:t>
            </w:r>
            <w:r w:rsidR="00450F04">
              <w:t>.</w:t>
            </w:r>
          </w:p>
          <w:p w14:paraId="126DE819" w14:textId="77777777" w:rsidR="003B6490" w:rsidRPr="00E853DD" w:rsidRDefault="00F301C7" w:rsidP="00E853DD">
            <w:pPr>
              <w:pStyle w:val="TableText"/>
            </w:pPr>
            <w:r w:rsidRPr="00E853DD">
              <w:t>All polyps, including malignant polyps, are reported using a structured report.</w:t>
            </w:r>
          </w:p>
          <w:p w14:paraId="1D6DB085" w14:textId="77777777" w:rsidR="00F301C7" w:rsidRPr="00E853DD" w:rsidRDefault="00F301C7" w:rsidP="00E853DD">
            <w:pPr>
              <w:pStyle w:val="TableText"/>
            </w:pPr>
            <w:r w:rsidRPr="00E853DD">
              <w:t>All colorectal adenocarcinomas in participants whom meet the modified Bethesda guidelines are tested for mismatch repair status. Universal testing may be implemented in the future.</w:t>
            </w:r>
          </w:p>
          <w:p w14:paraId="1419A2F4" w14:textId="77777777" w:rsidR="00F301C7" w:rsidRPr="00E853DD" w:rsidRDefault="00F301C7" w:rsidP="00450F04">
            <w:pPr>
              <w:pStyle w:val="TableText"/>
            </w:pPr>
            <w:r w:rsidRPr="00E853DD">
              <w:t>In addition (NBCWG)</w:t>
            </w:r>
            <w:r w:rsidR="00450F04">
              <w:t xml:space="preserve"> t</w:t>
            </w:r>
            <w:r w:rsidRPr="00E853DD">
              <w:t>o support accurate stage data for screen detected cancers in the cancer registry, the National Bowel Cancer Working Group has proposed:</w:t>
            </w:r>
          </w:p>
          <w:p w14:paraId="368D2CCE" w14:textId="77777777" w:rsidR="00F301C7" w:rsidRPr="00E853DD" w:rsidRDefault="00450F04" w:rsidP="00450F04">
            <w:pPr>
              <w:pStyle w:val="TableBullet"/>
            </w:pPr>
            <w:r>
              <w:t>s</w:t>
            </w:r>
            <w:r w:rsidR="00F301C7" w:rsidRPr="00E853DD">
              <w:t>tage data as provided by the requesting surgeon following surgery for screen detected cancer, should be included in the pathology reports</w:t>
            </w:r>
            <w:r>
              <w:t>.</w:t>
            </w:r>
          </w:p>
        </w:tc>
      </w:tr>
      <w:tr w:rsidR="00F301C7" w:rsidRPr="00652081" w14:paraId="04CE1872" w14:textId="77777777" w:rsidTr="00564D98">
        <w:trPr>
          <w:cantSplit/>
        </w:trPr>
        <w:tc>
          <w:tcPr>
            <w:tcW w:w="2410" w:type="dxa"/>
            <w:shd w:val="clear" w:color="auto" w:fill="BFBFBF" w:themeFill="background1" w:themeFillShade="BF"/>
          </w:tcPr>
          <w:p w14:paraId="56286AFF" w14:textId="77777777" w:rsidR="00F301C7" w:rsidRPr="00662588" w:rsidRDefault="00F301C7" w:rsidP="00E259E5">
            <w:pPr>
              <w:pStyle w:val="TableText"/>
              <w:ind w:left="709" w:right="142" w:hanging="709"/>
            </w:pPr>
            <w:r>
              <w:t>R9.02</w:t>
            </w:r>
            <w:r w:rsidR="00E259E5">
              <w:tab/>
            </w:r>
            <w:r>
              <w:t>Molecular testing strategies</w:t>
            </w:r>
          </w:p>
        </w:tc>
        <w:tc>
          <w:tcPr>
            <w:tcW w:w="6946" w:type="dxa"/>
            <w:shd w:val="clear" w:color="auto" w:fill="BFBFBF" w:themeFill="background1" w:themeFillShade="BF"/>
          </w:tcPr>
          <w:p w14:paraId="679DA9ED" w14:textId="77777777" w:rsidR="00F301C7" w:rsidRPr="00E853DD" w:rsidRDefault="00F301C7" w:rsidP="00E259E5">
            <w:pPr>
              <w:pStyle w:val="TableText"/>
            </w:pPr>
            <w:r w:rsidRPr="00450F04">
              <w:rPr>
                <w:b/>
                <w:i/>
              </w:rPr>
              <w:t>Evidence-based recommendation</w:t>
            </w:r>
            <w:r w:rsidRPr="00E853DD">
              <w:t xml:space="preserve"> (NICE 2017; </w:t>
            </w:r>
            <w:proofErr w:type="spellStart"/>
            <w:r w:rsidRPr="00E853DD">
              <w:t>MoH</w:t>
            </w:r>
            <w:proofErr w:type="spellEnd"/>
            <w:r w:rsidRPr="00E853DD">
              <w:t xml:space="preserve"> 2018)</w:t>
            </w:r>
          </w:p>
          <w:p w14:paraId="268CDB84" w14:textId="77777777" w:rsidR="00F301C7" w:rsidRPr="00E853DD" w:rsidRDefault="00F301C7" w:rsidP="00450F04">
            <w:pPr>
              <w:pStyle w:val="TableText"/>
            </w:pPr>
            <w:r w:rsidRPr="00E853DD">
              <w:t>Offer testing to all people with colorectal cancer, when first diagnosed, using immunohistochemistry for mismatch repair proteins or microsatellite instability testing to identify tumours with deficient DNA mismatch repair, and to guide further sequential testing for Lynch syndrome.</w:t>
            </w:r>
            <w:r w:rsidRPr="00450F04">
              <w:rPr>
                <w:rStyle w:val="FootnoteReference"/>
              </w:rPr>
              <w:footnoteReference w:id="61"/>
            </w:r>
            <w:r w:rsidRPr="00450F04">
              <w:rPr>
                <w:vertAlign w:val="superscript"/>
              </w:rPr>
              <w:t>,</w:t>
            </w:r>
            <w:r w:rsidRPr="00450F04">
              <w:rPr>
                <w:rStyle w:val="FootnoteReference"/>
              </w:rPr>
              <w:footnoteReference w:id="62"/>
            </w:r>
          </w:p>
        </w:tc>
      </w:tr>
      <w:tr w:rsidR="00F301C7" w:rsidRPr="00652081" w14:paraId="1EFA6682" w14:textId="77777777" w:rsidTr="00564D98">
        <w:trPr>
          <w:cantSplit/>
        </w:trPr>
        <w:tc>
          <w:tcPr>
            <w:tcW w:w="2410" w:type="dxa"/>
            <w:shd w:val="clear" w:color="auto" w:fill="D9D9D9" w:themeFill="background1" w:themeFillShade="D9"/>
          </w:tcPr>
          <w:p w14:paraId="718C7772" w14:textId="77777777" w:rsidR="00F301C7" w:rsidRPr="00662588" w:rsidRDefault="00F301C7" w:rsidP="00E259E5">
            <w:pPr>
              <w:pStyle w:val="TableText"/>
              <w:ind w:left="709" w:right="142" w:hanging="709"/>
            </w:pPr>
            <w:r w:rsidRPr="00662588">
              <w:t>R</w:t>
            </w:r>
            <w:r>
              <w:t>9</w:t>
            </w:r>
            <w:r w:rsidRPr="00662588">
              <w:t>.0</w:t>
            </w:r>
            <w:r>
              <w:t>3</w:t>
            </w:r>
            <w:r w:rsidR="00E259E5">
              <w:tab/>
            </w:r>
            <w:r w:rsidRPr="00662588">
              <w:t>Serrated polyps</w:t>
            </w:r>
          </w:p>
        </w:tc>
        <w:tc>
          <w:tcPr>
            <w:tcW w:w="6946" w:type="dxa"/>
            <w:shd w:val="clear" w:color="auto" w:fill="D9D9D9" w:themeFill="background1" w:themeFillShade="D9"/>
          </w:tcPr>
          <w:p w14:paraId="34CF4CCC" w14:textId="77777777" w:rsidR="00F301C7" w:rsidRPr="00E853DD" w:rsidRDefault="00F301C7" w:rsidP="00E259E5">
            <w:pPr>
              <w:pStyle w:val="TableText"/>
            </w:pPr>
            <w:r w:rsidRPr="00450F04">
              <w:rPr>
                <w:b/>
                <w:i/>
              </w:rPr>
              <w:t>Practice point</w:t>
            </w:r>
            <w:r w:rsidRPr="00E853DD">
              <w:t xml:space="preserve"> (BSG 2017 statement 2)</w:t>
            </w:r>
          </w:p>
          <w:p w14:paraId="0FC1F5AB" w14:textId="77777777" w:rsidR="00F301C7" w:rsidRPr="00E853DD" w:rsidRDefault="00F301C7" w:rsidP="00E259E5">
            <w:pPr>
              <w:pStyle w:val="TableText"/>
            </w:pPr>
            <w:r w:rsidRPr="00E853DD">
              <w:t xml:space="preserve">Adopt the terms hyperplastic polyp (HP), SSL, SSL with dysplasia, traditional serrated adenoma (TSA) or mixed polyp to describe SLs in the </w:t>
            </w:r>
            <w:proofErr w:type="spellStart"/>
            <w:r w:rsidRPr="00E853DD">
              <w:t>colorectum</w:t>
            </w:r>
            <w:proofErr w:type="spellEnd"/>
            <w:r w:rsidRPr="00E853DD">
              <w:t>, using the WHO criteria to define SSL</w:t>
            </w:r>
            <w:r w:rsidR="00450F04">
              <w:t>.</w:t>
            </w:r>
          </w:p>
        </w:tc>
      </w:tr>
      <w:tr w:rsidR="00F301C7" w:rsidRPr="005E3C2C" w14:paraId="0A85FFCD" w14:textId="77777777" w:rsidTr="00564D98">
        <w:trPr>
          <w:cantSplit/>
        </w:trPr>
        <w:tc>
          <w:tcPr>
            <w:tcW w:w="2410" w:type="dxa"/>
            <w:shd w:val="clear" w:color="auto" w:fill="F2F2F2" w:themeFill="background1" w:themeFillShade="F2"/>
          </w:tcPr>
          <w:p w14:paraId="073B4459" w14:textId="77777777" w:rsidR="00F301C7" w:rsidRPr="005E3C2C" w:rsidRDefault="00F301C7" w:rsidP="00E259E5">
            <w:pPr>
              <w:pStyle w:val="TableText"/>
              <w:ind w:left="709" w:right="142" w:hanging="709"/>
            </w:pPr>
            <w:r>
              <w:t>R9.04</w:t>
            </w:r>
            <w:r w:rsidR="00E259E5">
              <w:tab/>
            </w:r>
            <w:r w:rsidRPr="00B56388">
              <w:t>Double reading of selected</w:t>
            </w:r>
            <w:r w:rsidR="00271641">
              <w:t xml:space="preserve"> </w:t>
            </w:r>
            <w:r w:rsidRPr="00B56388">
              <w:t>cases</w:t>
            </w:r>
          </w:p>
        </w:tc>
        <w:tc>
          <w:tcPr>
            <w:tcW w:w="6946" w:type="dxa"/>
            <w:shd w:val="clear" w:color="auto" w:fill="F2F2F2" w:themeFill="background1" w:themeFillShade="F2"/>
          </w:tcPr>
          <w:p w14:paraId="07B9C9E0" w14:textId="77777777" w:rsidR="00F301C7" w:rsidRPr="00E853DD" w:rsidRDefault="00F301C7" w:rsidP="00E259E5">
            <w:pPr>
              <w:pStyle w:val="TableText"/>
            </w:pPr>
            <w:r w:rsidRPr="00450F04">
              <w:rPr>
                <w:b/>
                <w:i/>
              </w:rPr>
              <w:t>Practice point</w:t>
            </w:r>
            <w:r w:rsidRPr="00E853DD">
              <w:t xml:space="preserve"> (NBSP)</w:t>
            </w:r>
          </w:p>
          <w:p w14:paraId="7D824B0C" w14:textId="77777777" w:rsidR="00F301C7" w:rsidRPr="00E853DD" w:rsidRDefault="00F301C7" w:rsidP="00E259E5">
            <w:pPr>
              <w:pStyle w:val="TableText"/>
              <w:rPr>
                <w:iCs/>
              </w:rPr>
            </w:pPr>
            <w:r w:rsidRPr="00E853DD">
              <w:t>All adenocarcinomas (and particularly pT1 cancers) and polyps showing high-grade dysplasia are double-reported or independently second read by another pathologist who reports histopathology for the NBSP</w:t>
            </w:r>
            <w:r w:rsidR="00450F04">
              <w:t>.</w:t>
            </w:r>
          </w:p>
        </w:tc>
      </w:tr>
      <w:tr w:rsidR="00F301C7" w:rsidRPr="00D13F3B" w14:paraId="565F3ABC" w14:textId="77777777" w:rsidTr="00564D98">
        <w:trPr>
          <w:cantSplit/>
        </w:trPr>
        <w:tc>
          <w:tcPr>
            <w:tcW w:w="2410" w:type="dxa"/>
            <w:shd w:val="clear" w:color="auto" w:fill="F2F2F2" w:themeFill="background1" w:themeFillShade="F2"/>
          </w:tcPr>
          <w:p w14:paraId="51B31970" w14:textId="77777777" w:rsidR="00F301C7" w:rsidRPr="0055494F" w:rsidRDefault="00F301C7" w:rsidP="00450F04">
            <w:pPr>
              <w:pStyle w:val="TableText"/>
              <w:ind w:left="709" w:right="142" w:hanging="709"/>
            </w:pPr>
            <w:r w:rsidRPr="0055494F">
              <w:t>R9.05</w:t>
            </w:r>
            <w:r w:rsidR="00E259E5">
              <w:tab/>
            </w:r>
            <w:r>
              <w:t>A</w:t>
            </w:r>
            <w:r w:rsidRPr="0055494F">
              <w:t xml:space="preserve">lgorithm for </w:t>
            </w:r>
            <w:r>
              <w:t>determining</w:t>
            </w:r>
            <w:r w:rsidR="00271641">
              <w:t xml:space="preserve"> </w:t>
            </w:r>
            <w:r>
              <w:t>major pathology in BSP+</w:t>
            </w:r>
          </w:p>
        </w:tc>
        <w:tc>
          <w:tcPr>
            <w:tcW w:w="6946" w:type="dxa"/>
            <w:shd w:val="clear" w:color="auto" w:fill="F2F2F2" w:themeFill="background1" w:themeFillShade="F2"/>
          </w:tcPr>
          <w:p w14:paraId="5EE3BFD8" w14:textId="77777777" w:rsidR="00F301C7" w:rsidRPr="00E853DD" w:rsidRDefault="00F301C7" w:rsidP="00E259E5">
            <w:pPr>
              <w:pStyle w:val="TableText"/>
            </w:pPr>
            <w:r w:rsidRPr="00450F04">
              <w:rPr>
                <w:b/>
                <w:i/>
              </w:rPr>
              <w:t>Practice point</w:t>
            </w:r>
            <w:r w:rsidRPr="00E853DD">
              <w:t xml:space="preserve"> (NBSP)</w:t>
            </w:r>
          </w:p>
          <w:p w14:paraId="6243995C" w14:textId="77777777" w:rsidR="00F301C7" w:rsidRPr="00E853DD" w:rsidRDefault="00F301C7" w:rsidP="00450F04">
            <w:pPr>
              <w:pStyle w:val="TableText"/>
            </w:pPr>
            <w:r w:rsidRPr="00E853DD">
              <w:t>Fig</w:t>
            </w:r>
            <w:r w:rsidR="00450F04">
              <w:t>ure 3</w:t>
            </w:r>
            <w:r w:rsidRPr="00E853DD">
              <w:t xml:space="preserve"> is the reporting algorithm to be used to determine</w:t>
            </w:r>
            <w:r w:rsidR="003B6490" w:rsidRPr="00E853DD">
              <w:t xml:space="preserve"> </w:t>
            </w:r>
            <w:r w:rsidRPr="00E853DD">
              <w:t>major pathology</w:t>
            </w:r>
            <w:r w:rsidR="00450F04">
              <w:t>.</w:t>
            </w:r>
          </w:p>
        </w:tc>
      </w:tr>
    </w:tbl>
    <w:p w14:paraId="1E5D0FBF" w14:textId="77777777" w:rsidR="009F787F" w:rsidRDefault="009F787F" w:rsidP="009F787F"/>
    <w:p w14:paraId="7331D6DE" w14:textId="77777777" w:rsidR="00F301C7" w:rsidRPr="0055494F" w:rsidRDefault="00F301C7" w:rsidP="009F787F">
      <w:pPr>
        <w:pStyle w:val="Figure"/>
      </w:pPr>
      <w:bookmarkStart w:id="30" w:name="_Toc530566684"/>
      <w:r w:rsidRPr="0055494F">
        <w:lastRenderedPageBreak/>
        <w:t>Fig</w:t>
      </w:r>
      <w:r w:rsidR="00827638">
        <w:t xml:space="preserve">ure </w:t>
      </w:r>
      <w:r w:rsidR="00E005C0">
        <w:t>6</w:t>
      </w:r>
      <w:r w:rsidR="00827638">
        <w:t>:</w:t>
      </w:r>
      <w:r w:rsidRPr="0055494F">
        <w:t xml:space="preserve"> </w:t>
      </w:r>
      <w:r>
        <w:t>R</w:t>
      </w:r>
      <w:r w:rsidRPr="0055494F">
        <w:t>eporting algorithm for major pathology</w:t>
      </w:r>
      <w:bookmarkEnd w:id="30"/>
    </w:p>
    <w:p w14:paraId="5A0D0399" w14:textId="77777777" w:rsidR="009F787F" w:rsidRDefault="00844114" w:rsidP="00215A98">
      <w:r>
        <w:rPr>
          <w:noProof/>
          <w:lang w:eastAsia="en-NZ"/>
        </w:rPr>
        <w:drawing>
          <wp:inline distT="0" distB="0" distL="0" distR="0" wp14:anchorId="0ECDBA83" wp14:editId="0578E8DE">
            <wp:extent cx="5935287" cy="4416125"/>
            <wp:effectExtent l="0" t="0" r="8890" b="0"/>
            <wp:docPr id="14" name="Picture 14" title="Figure 6: Reporting algorithm for major path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grayscl/>
                      <a:extLst>
                        <a:ext uri="{28A0092B-C50C-407E-A947-70E740481C1C}">
                          <a14:useLocalDpi xmlns:a14="http://schemas.microsoft.com/office/drawing/2010/main" val="0"/>
                        </a:ext>
                      </a:extLst>
                    </a:blip>
                    <a:srcRect/>
                    <a:stretch>
                      <a:fillRect/>
                    </a:stretch>
                  </pic:blipFill>
                  <pic:spPr bwMode="auto">
                    <a:xfrm>
                      <a:off x="0" y="0"/>
                      <a:ext cx="5941314" cy="4420609"/>
                    </a:xfrm>
                    <a:prstGeom prst="rect">
                      <a:avLst/>
                    </a:prstGeom>
                    <a:noFill/>
                  </pic:spPr>
                </pic:pic>
              </a:graphicData>
            </a:graphic>
          </wp:inline>
        </w:drawing>
      </w:r>
      <w:bookmarkStart w:id="31" w:name="_GoBack"/>
      <w:bookmarkEnd w:id="31"/>
    </w:p>
    <w:p w14:paraId="404FF5A6" w14:textId="77777777" w:rsidR="00215A98" w:rsidRDefault="00215A98" w:rsidP="00215A98"/>
    <w:p w14:paraId="568FBED0" w14:textId="77777777" w:rsidR="00F301C7" w:rsidRDefault="00F301C7" w:rsidP="009F787F">
      <w:pPr>
        <w:pStyle w:val="Heading3"/>
      </w:pPr>
      <w:r>
        <w:lastRenderedPageBreak/>
        <w:t>Recommendations – Organisation, quality and equity</w:t>
      </w:r>
    </w:p>
    <w:tbl>
      <w:tblPr>
        <w:tblW w:w="0" w:type="auto"/>
        <w:tblInd w:w="57" w:type="dxa"/>
        <w:tblBorders>
          <w:top w:val="single" w:sz="4" w:space="0" w:color="auto"/>
          <w:bottom w:val="single" w:sz="4" w:space="0" w:color="auto"/>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2410"/>
        <w:gridCol w:w="6946"/>
      </w:tblGrid>
      <w:tr w:rsidR="00F301C7" w:rsidRPr="0000783A" w14:paraId="7D3FB390" w14:textId="77777777" w:rsidTr="00564D98">
        <w:trPr>
          <w:cantSplit/>
        </w:trPr>
        <w:tc>
          <w:tcPr>
            <w:tcW w:w="2410" w:type="dxa"/>
            <w:shd w:val="clear" w:color="auto" w:fill="F2F2F2" w:themeFill="background1" w:themeFillShade="F2"/>
          </w:tcPr>
          <w:p w14:paraId="639825C6" w14:textId="77777777" w:rsidR="00F301C7" w:rsidRPr="0000783A" w:rsidRDefault="00F301C7" w:rsidP="005744BC">
            <w:pPr>
              <w:pStyle w:val="TableText"/>
              <w:keepNext/>
              <w:ind w:left="709" w:right="142" w:hanging="709"/>
            </w:pPr>
            <w:r>
              <w:t>R9.06</w:t>
            </w:r>
            <w:r w:rsidR="00E259E5">
              <w:tab/>
            </w:r>
            <w:r>
              <w:t>Laboratory organisation</w:t>
            </w:r>
          </w:p>
        </w:tc>
        <w:tc>
          <w:tcPr>
            <w:tcW w:w="6946" w:type="dxa"/>
            <w:shd w:val="clear" w:color="auto" w:fill="F2F2F2" w:themeFill="background1" w:themeFillShade="F2"/>
          </w:tcPr>
          <w:p w14:paraId="5EEE1291" w14:textId="77777777" w:rsidR="00F301C7" w:rsidRPr="00E853DD" w:rsidRDefault="00F301C7" w:rsidP="005744BC">
            <w:pPr>
              <w:pStyle w:val="TableText"/>
              <w:keepNext/>
              <w:rPr>
                <w:iCs/>
              </w:rPr>
            </w:pPr>
            <w:r w:rsidRPr="00215A98">
              <w:rPr>
                <w:b/>
                <w:i/>
              </w:rPr>
              <w:t>Practice point</w:t>
            </w:r>
            <w:r w:rsidRPr="00E853DD">
              <w:t xml:space="preserve"> (NBSP)</w:t>
            </w:r>
          </w:p>
          <w:p w14:paraId="6E4B2541" w14:textId="77777777" w:rsidR="00F301C7" w:rsidRPr="00E853DD" w:rsidRDefault="00F301C7" w:rsidP="005744BC">
            <w:pPr>
              <w:pStyle w:val="TableText"/>
              <w:keepNext/>
            </w:pPr>
            <w:r w:rsidRPr="00E853DD">
              <w:t>Bowel screening is effectively delivered to the eligible population by the laboratory:</w:t>
            </w:r>
          </w:p>
          <w:p w14:paraId="53E133FC" w14:textId="77777777" w:rsidR="00F301C7" w:rsidRPr="00E853DD" w:rsidRDefault="00F301C7" w:rsidP="005744BC">
            <w:pPr>
              <w:pStyle w:val="TableBullet"/>
              <w:keepNext/>
            </w:pPr>
            <w:r w:rsidRPr="00E853DD">
              <w:t>having management structures, business processes and operational components in place to provide a high quality bowel screening service</w:t>
            </w:r>
          </w:p>
          <w:p w14:paraId="019430AE" w14:textId="77777777" w:rsidR="00F301C7" w:rsidRPr="00E853DD" w:rsidRDefault="00F301C7" w:rsidP="005744BC">
            <w:pPr>
              <w:pStyle w:val="TableBullet"/>
              <w:keepNext/>
            </w:pPr>
            <w:r w:rsidRPr="00E853DD">
              <w:t>ensuring organisational requirements include controlled standard operational procedures, monitoring and evaluation processes and reporting, a recovery plan for under performance, and protocols for identifying and managing risk and adverse events</w:t>
            </w:r>
          </w:p>
          <w:p w14:paraId="2D1C266E" w14:textId="77777777" w:rsidR="00F301C7" w:rsidRPr="00E853DD" w:rsidRDefault="00F301C7" w:rsidP="005744BC">
            <w:pPr>
              <w:pStyle w:val="TableBullet"/>
              <w:keepNext/>
            </w:pPr>
            <w:r w:rsidRPr="00E853DD">
              <w:t>providing clinical and governance oversight</w:t>
            </w:r>
          </w:p>
          <w:p w14:paraId="2BFB0BAD" w14:textId="77777777" w:rsidR="00F301C7" w:rsidRPr="00E853DD" w:rsidRDefault="00F301C7" w:rsidP="005744BC">
            <w:pPr>
              <w:pStyle w:val="TableBullet"/>
              <w:keepNext/>
            </w:pPr>
            <w:r w:rsidRPr="00E853DD">
              <w:t>establishing and maintaining linkages and regular meetings with Ministry service providers, including the NCC, and stakeholders</w:t>
            </w:r>
          </w:p>
          <w:p w14:paraId="58FBB64A" w14:textId="77777777" w:rsidR="00F301C7" w:rsidRPr="00E853DD" w:rsidRDefault="00F301C7" w:rsidP="005744BC">
            <w:pPr>
              <w:pStyle w:val="TableBullet"/>
              <w:keepNext/>
            </w:pPr>
            <w:r w:rsidRPr="00E853DD">
              <w:t>having a suitable mix of qualified, trained and competent staff</w:t>
            </w:r>
          </w:p>
          <w:p w14:paraId="4B8D0D2F" w14:textId="77777777" w:rsidR="00F301C7" w:rsidRPr="00E853DD" w:rsidRDefault="00F301C7" w:rsidP="005744BC">
            <w:pPr>
              <w:pStyle w:val="TableBullet"/>
              <w:keepNext/>
            </w:pPr>
            <w:r w:rsidRPr="00E853DD">
              <w:t>ensuring that IT systems are maintained and provide high quality data and information</w:t>
            </w:r>
            <w:r w:rsidR="00215A98">
              <w:t>.</w:t>
            </w:r>
          </w:p>
        </w:tc>
      </w:tr>
      <w:tr w:rsidR="00F301C7" w:rsidRPr="0000783A" w14:paraId="34B0E240" w14:textId="77777777" w:rsidTr="00564D98">
        <w:trPr>
          <w:cantSplit/>
        </w:trPr>
        <w:tc>
          <w:tcPr>
            <w:tcW w:w="2410" w:type="dxa"/>
            <w:shd w:val="clear" w:color="auto" w:fill="F2F2F2" w:themeFill="background1" w:themeFillShade="F2"/>
          </w:tcPr>
          <w:p w14:paraId="0FD8A64F" w14:textId="77777777" w:rsidR="00F301C7" w:rsidRDefault="00F301C7" w:rsidP="005744BC">
            <w:pPr>
              <w:pStyle w:val="TableText"/>
              <w:keepNext/>
              <w:ind w:left="709" w:right="142" w:hanging="709"/>
            </w:pPr>
            <w:r>
              <w:t>R9.07</w:t>
            </w:r>
            <w:r w:rsidR="00E259E5">
              <w:tab/>
            </w:r>
            <w:r>
              <w:t>Quality</w:t>
            </w:r>
          </w:p>
        </w:tc>
        <w:tc>
          <w:tcPr>
            <w:tcW w:w="6946" w:type="dxa"/>
            <w:shd w:val="clear" w:color="auto" w:fill="F2F2F2" w:themeFill="background1" w:themeFillShade="F2"/>
          </w:tcPr>
          <w:p w14:paraId="0570D615" w14:textId="77777777" w:rsidR="00F301C7" w:rsidRPr="00E853DD" w:rsidRDefault="00F301C7" w:rsidP="005744BC">
            <w:pPr>
              <w:pStyle w:val="TableText"/>
              <w:keepNext/>
            </w:pPr>
            <w:r w:rsidRPr="00215A98">
              <w:rPr>
                <w:b/>
                <w:i/>
              </w:rPr>
              <w:t>Practice point</w:t>
            </w:r>
            <w:r w:rsidRPr="00E853DD">
              <w:t xml:space="preserve"> (NBSP)</w:t>
            </w:r>
          </w:p>
          <w:p w14:paraId="54D18BA4" w14:textId="77777777" w:rsidR="00F301C7" w:rsidRPr="00E853DD" w:rsidRDefault="00F301C7" w:rsidP="005744BC">
            <w:pPr>
              <w:pStyle w:val="TableText"/>
              <w:keepNext/>
            </w:pPr>
            <w:r w:rsidRPr="00E853DD">
              <w:t>Quality histopathology is achieved by the laboratory by</w:t>
            </w:r>
            <w:r w:rsidR="00215A98">
              <w:t>:</w:t>
            </w:r>
          </w:p>
          <w:p w14:paraId="05E6EC45" w14:textId="77777777" w:rsidR="00F301C7" w:rsidRPr="00E853DD" w:rsidRDefault="00215A98" w:rsidP="005744BC">
            <w:pPr>
              <w:pStyle w:val="TableBullet"/>
              <w:keepNext/>
            </w:pPr>
            <w:r>
              <w:t>t</w:t>
            </w:r>
            <w:r w:rsidR="00F301C7" w:rsidRPr="00E853DD">
              <w:t>imely and accurate processing and reporting of histopathology specimens for the NBSP</w:t>
            </w:r>
          </w:p>
          <w:p w14:paraId="0702D6CE" w14:textId="77777777" w:rsidR="00F301C7" w:rsidRPr="00E853DD" w:rsidRDefault="00215A98" w:rsidP="005744BC">
            <w:pPr>
              <w:pStyle w:val="TableBullet"/>
              <w:keepNext/>
            </w:pPr>
            <w:r>
              <w:t>u</w:t>
            </w:r>
            <w:r w:rsidR="00F301C7" w:rsidRPr="00E853DD">
              <w:t>tilising NBSP approved synoptic reporting</w:t>
            </w:r>
          </w:p>
          <w:p w14:paraId="12F7581B" w14:textId="77777777" w:rsidR="00F301C7" w:rsidRPr="00E853DD" w:rsidRDefault="00215A98" w:rsidP="005744BC">
            <w:pPr>
              <w:pStyle w:val="TableBullet"/>
              <w:keepNext/>
            </w:pPr>
            <w:r>
              <w:t>r</w:t>
            </w:r>
            <w:r w:rsidR="00F301C7" w:rsidRPr="00E853DD">
              <w:t>eporting using approved terminology and classifications</w:t>
            </w:r>
          </w:p>
          <w:p w14:paraId="35FBD149" w14:textId="77777777" w:rsidR="00F301C7" w:rsidRPr="00E853DD" w:rsidRDefault="00F301C7" w:rsidP="005744BC">
            <w:pPr>
              <w:pStyle w:val="TableBullet"/>
              <w:keepNext/>
            </w:pPr>
            <w:r w:rsidRPr="00E853DD">
              <w:t>having protocols, QC and internal and external QA programmes that ensure high quality registration, processing, analysing and result reporting</w:t>
            </w:r>
          </w:p>
          <w:p w14:paraId="1898B051" w14:textId="77777777" w:rsidR="00F301C7" w:rsidRPr="00E853DD" w:rsidRDefault="00F301C7" w:rsidP="005744BC">
            <w:pPr>
              <w:pStyle w:val="TableBullet"/>
              <w:keepNext/>
            </w:pPr>
            <w:r w:rsidRPr="00E853DD">
              <w:t>participating in MDM</w:t>
            </w:r>
            <w:r w:rsidR="00215A98">
              <w:t>s.</w:t>
            </w:r>
          </w:p>
        </w:tc>
      </w:tr>
      <w:tr w:rsidR="00F301C7" w:rsidRPr="0000783A" w14:paraId="0A9CEE01" w14:textId="77777777" w:rsidTr="00564D98">
        <w:trPr>
          <w:cantSplit/>
        </w:trPr>
        <w:tc>
          <w:tcPr>
            <w:tcW w:w="2410" w:type="dxa"/>
            <w:shd w:val="clear" w:color="auto" w:fill="F2F2F2" w:themeFill="background1" w:themeFillShade="F2"/>
          </w:tcPr>
          <w:p w14:paraId="00E48E64" w14:textId="77777777" w:rsidR="00F301C7" w:rsidRDefault="00F301C7" w:rsidP="00E259E5">
            <w:pPr>
              <w:pStyle w:val="TableText"/>
              <w:ind w:left="709" w:right="142" w:hanging="709"/>
            </w:pPr>
            <w:r>
              <w:t>R9.08</w:t>
            </w:r>
            <w:r w:rsidR="00E259E5">
              <w:tab/>
            </w:r>
            <w:r>
              <w:t>Equity</w:t>
            </w:r>
          </w:p>
        </w:tc>
        <w:tc>
          <w:tcPr>
            <w:tcW w:w="6946" w:type="dxa"/>
            <w:shd w:val="clear" w:color="auto" w:fill="F2F2F2" w:themeFill="background1" w:themeFillShade="F2"/>
          </w:tcPr>
          <w:p w14:paraId="5B373D56" w14:textId="77777777" w:rsidR="00F301C7" w:rsidRPr="00E853DD" w:rsidRDefault="00F301C7" w:rsidP="00E853DD">
            <w:pPr>
              <w:pStyle w:val="TableText"/>
            </w:pPr>
            <w:r w:rsidRPr="00215A98">
              <w:rPr>
                <w:b/>
                <w:i/>
              </w:rPr>
              <w:t>Practice point</w:t>
            </w:r>
            <w:r w:rsidRPr="00E853DD">
              <w:t xml:space="preserve"> (NBSP)</w:t>
            </w:r>
          </w:p>
          <w:p w14:paraId="7138F01F" w14:textId="77777777" w:rsidR="00F301C7" w:rsidRPr="00E853DD" w:rsidRDefault="00F301C7" w:rsidP="00E853DD">
            <w:pPr>
              <w:pStyle w:val="TableText"/>
            </w:pPr>
            <w:r w:rsidRPr="00E853DD">
              <w:t>The laboratory and staff are responsive to cultural diversity and committed to ongoing development of cultural competency</w:t>
            </w:r>
            <w:r w:rsidR="00215A98">
              <w:t>.</w:t>
            </w:r>
          </w:p>
          <w:p w14:paraId="3060BF70" w14:textId="77777777" w:rsidR="00F301C7" w:rsidRPr="00E853DD" w:rsidRDefault="00F301C7" w:rsidP="00E853DD">
            <w:pPr>
              <w:pStyle w:val="TableText"/>
            </w:pPr>
            <w:r w:rsidRPr="00E853DD">
              <w:t>Samples are handled and disposed of in a culturally sensitive manner</w:t>
            </w:r>
            <w:r w:rsidR="00215A98">
              <w:t>.</w:t>
            </w:r>
          </w:p>
        </w:tc>
      </w:tr>
    </w:tbl>
    <w:p w14:paraId="41634653" w14:textId="77777777" w:rsidR="00F301C7" w:rsidRDefault="00F301C7" w:rsidP="009F787F"/>
    <w:p w14:paraId="48FA33C0" w14:textId="77777777" w:rsidR="00AE19B5" w:rsidRPr="00C86FD3" w:rsidRDefault="00AE19B5" w:rsidP="00AE19B5">
      <w:pPr>
        <w:pStyle w:val="Heading1"/>
      </w:pPr>
      <w:bookmarkStart w:id="32" w:name="_Toc530661015"/>
      <w:r w:rsidRPr="00C86FD3">
        <w:lastRenderedPageBreak/>
        <w:t>References</w:t>
      </w:r>
      <w:bookmarkEnd w:id="32"/>
    </w:p>
    <w:p w14:paraId="41A02EAE" w14:textId="77777777" w:rsidR="00AE19B5" w:rsidRPr="00C86FD3" w:rsidRDefault="00AE19B5" w:rsidP="00AE19B5">
      <w:pPr>
        <w:pStyle w:val="References"/>
      </w:pPr>
      <w:r w:rsidRPr="00C86FD3">
        <w:t>Blakely</w:t>
      </w:r>
      <w:r>
        <w:t xml:space="preserve"> T, Shaw C, Atkinson J, et al. </w:t>
      </w:r>
      <w:r w:rsidRPr="00C86FD3">
        <w:t xml:space="preserve">2010. </w:t>
      </w:r>
      <w:r w:rsidRPr="00C86FD3">
        <w:rPr>
          <w:i/>
        </w:rPr>
        <w:t>Cancer Trends: Trends in incidence by ethnic and socioeconomic group, New Zealand 1981–2004</w:t>
      </w:r>
      <w:r w:rsidRPr="00C86FD3">
        <w:t>. Wellington: Ministry of Health.</w:t>
      </w:r>
    </w:p>
    <w:p w14:paraId="392BB290" w14:textId="77777777" w:rsidR="00AE19B5" w:rsidRPr="00C86FD3" w:rsidRDefault="00AE19B5" w:rsidP="00AE19B5">
      <w:pPr>
        <w:pStyle w:val="References"/>
      </w:pPr>
      <w:r w:rsidRPr="00C86FD3">
        <w:t xml:space="preserve">C3 Quantitative Study. </w:t>
      </w:r>
      <w:r w:rsidRPr="002D56F4">
        <w:rPr>
          <w:i/>
        </w:rPr>
        <w:t>Cancer, Comorbidity and Care: key findings from the C3 (Quantitative) Study</w:t>
      </w:r>
      <w:r w:rsidRPr="00C86FD3">
        <w:t>. http://www.otago.ac.nz/wellington/otago067851.pdf. URL:</w:t>
      </w:r>
      <w:r>
        <w:t xml:space="preserve"> </w:t>
      </w:r>
      <w:r w:rsidRPr="00C86FD3">
        <w:t>(accessed July 2017).</w:t>
      </w:r>
    </w:p>
    <w:p w14:paraId="5C6E009F" w14:textId="77777777" w:rsidR="00AE19B5" w:rsidRDefault="00AE19B5" w:rsidP="00AE19B5">
      <w:pPr>
        <w:pStyle w:val="References"/>
      </w:pPr>
      <w:r w:rsidRPr="003C140B">
        <w:t xml:space="preserve">European Commission: </w:t>
      </w:r>
      <w:r w:rsidRPr="00CC1A08">
        <w:rPr>
          <w:i/>
        </w:rPr>
        <w:t xml:space="preserve">European Guidelines for Quality Assurance in Colorectal Cancer Screening and Diagnosis </w:t>
      </w:r>
      <w:r>
        <w:t xml:space="preserve">– </w:t>
      </w:r>
      <w:r w:rsidRPr="003C140B">
        <w:t>First Edition</w:t>
      </w:r>
      <w:r>
        <w:t xml:space="preserve"> </w:t>
      </w:r>
      <w:r w:rsidRPr="003C140B">
        <w:t>(2012)</w:t>
      </w:r>
      <w:r>
        <w:t xml:space="preserve"> </w:t>
      </w:r>
      <w:r w:rsidRPr="003C140B">
        <w:rPr>
          <w:rStyle w:val="Hyperlink"/>
        </w:rPr>
        <w:t>https://publications.europa.eu/en/publication-detail/-/publication/e1ef52d8-8786-4ac4-9f91-4da2261ee535</w:t>
      </w:r>
    </w:p>
    <w:p w14:paraId="031ACA74" w14:textId="77777777" w:rsidR="00AE19B5" w:rsidRPr="00C86FD3" w:rsidRDefault="00AE19B5" w:rsidP="00AE19B5">
      <w:pPr>
        <w:pStyle w:val="References"/>
      </w:pPr>
      <w:r w:rsidRPr="00C86FD3">
        <w:t xml:space="preserve">Hill S, </w:t>
      </w:r>
      <w:proofErr w:type="spellStart"/>
      <w:r w:rsidRPr="00C86FD3">
        <w:t>Sarfati</w:t>
      </w:r>
      <w:proofErr w:type="spellEnd"/>
      <w:r w:rsidRPr="00C86FD3">
        <w:t xml:space="preserve"> D, Blakely T, et al. 2010a. Ethnicity and management of colon cancer in New Zealand: do indigenous patients get a worse deal? </w:t>
      </w:r>
      <w:r w:rsidRPr="00C86FD3">
        <w:rPr>
          <w:i/>
        </w:rPr>
        <w:t>Cancer</w:t>
      </w:r>
      <w:r w:rsidRPr="00C86FD3">
        <w:t xml:space="preserve"> 116(13): 3205</w:t>
      </w:r>
      <w:r>
        <w:t>–</w:t>
      </w:r>
      <w:r w:rsidRPr="00C86FD3">
        <w:t>14.</w:t>
      </w:r>
    </w:p>
    <w:p w14:paraId="35D56CD4" w14:textId="77777777" w:rsidR="00AE19B5" w:rsidRPr="00C86FD3" w:rsidRDefault="00AE19B5" w:rsidP="00AE19B5">
      <w:pPr>
        <w:pStyle w:val="References"/>
      </w:pPr>
      <w:r w:rsidRPr="00C86FD3">
        <w:t xml:space="preserve">Hill S, </w:t>
      </w:r>
      <w:proofErr w:type="spellStart"/>
      <w:r w:rsidRPr="00C86FD3">
        <w:t>Sarfati</w:t>
      </w:r>
      <w:proofErr w:type="spellEnd"/>
      <w:r w:rsidRPr="00C86FD3">
        <w:t xml:space="preserve"> D, Blakely T, et al. 2010b. Survival disparities in</w:t>
      </w:r>
      <w:r>
        <w:t xml:space="preserve"> i</w:t>
      </w:r>
      <w:r w:rsidRPr="00C86FD3">
        <w:t>ndigenous and non-</w:t>
      </w:r>
      <w:r>
        <w:t>i</w:t>
      </w:r>
      <w:r w:rsidRPr="00C86FD3">
        <w:t>ndigenous New</w:t>
      </w:r>
      <w:r>
        <w:t> </w:t>
      </w:r>
      <w:r w:rsidRPr="00C86FD3">
        <w:t xml:space="preserve">Zealanders with colon cancer: the role of patient comorbidity, treatment and health service factors. </w:t>
      </w:r>
      <w:r w:rsidRPr="00C86FD3">
        <w:rPr>
          <w:i/>
        </w:rPr>
        <w:t>J</w:t>
      </w:r>
      <w:r>
        <w:rPr>
          <w:i/>
        </w:rPr>
        <w:t> </w:t>
      </w:r>
      <w:proofErr w:type="spellStart"/>
      <w:r w:rsidRPr="00C86FD3">
        <w:rPr>
          <w:i/>
        </w:rPr>
        <w:t>Epidemiol</w:t>
      </w:r>
      <w:proofErr w:type="spellEnd"/>
      <w:r w:rsidRPr="00C86FD3">
        <w:rPr>
          <w:i/>
        </w:rPr>
        <w:t xml:space="preserve"> Community Health </w:t>
      </w:r>
      <w:r w:rsidRPr="00C86FD3">
        <w:t>64(2): 117</w:t>
      </w:r>
      <w:r>
        <w:t>–</w:t>
      </w:r>
      <w:r w:rsidRPr="00C86FD3">
        <w:t>23.</w:t>
      </w:r>
    </w:p>
    <w:p w14:paraId="57BCCCB2" w14:textId="77777777" w:rsidR="00AE19B5" w:rsidRPr="00C86FD3" w:rsidRDefault="00AE19B5" w:rsidP="00AE19B5">
      <w:pPr>
        <w:pStyle w:val="References"/>
      </w:pPr>
      <w:r w:rsidRPr="00C86FD3">
        <w:t xml:space="preserve">Hill S, </w:t>
      </w:r>
      <w:proofErr w:type="spellStart"/>
      <w:r w:rsidRPr="00C86FD3">
        <w:t>Sarfati</w:t>
      </w:r>
      <w:proofErr w:type="spellEnd"/>
      <w:r w:rsidRPr="00C86FD3">
        <w:t xml:space="preserve"> D, Robson B, et al. 2013. Indigenous inequalities in cancer: what role for health care? </w:t>
      </w:r>
      <w:r w:rsidRPr="00C86FD3">
        <w:rPr>
          <w:i/>
        </w:rPr>
        <w:t xml:space="preserve">ANZ J </w:t>
      </w:r>
      <w:proofErr w:type="spellStart"/>
      <w:r w:rsidRPr="00C86FD3">
        <w:rPr>
          <w:i/>
        </w:rPr>
        <w:t>Surg</w:t>
      </w:r>
      <w:proofErr w:type="spellEnd"/>
      <w:r w:rsidRPr="00C86FD3">
        <w:rPr>
          <w:i/>
        </w:rPr>
        <w:t xml:space="preserve"> </w:t>
      </w:r>
      <w:r w:rsidRPr="00C86FD3">
        <w:t>83(1</w:t>
      </w:r>
      <w:r>
        <w:t>–</w:t>
      </w:r>
      <w:r w:rsidRPr="00C86FD3">
        <w:t>2): 36</w:t>
      </w:r>
      <w:r>
        <w:t>–</w:t>
      </w:r>
      <w:r w:rsidRPr="00C86FD3">
        <w:t>41.</w:t>
      </w:r>
    </w:p>
    <w:p w14:paraId="0105A4AE" w14:textId="77777777" w:rsidR="00AE19B5" w:rsidRPr="00C86FD3" w:rsidRDefault="00AE19B5" w:rsidP="00AE19B5">
      <w:pPr>
        <w:pStyle w:val="References"/>
      </w:pPr>
      <w:r w:rsidRPr="00C86FD3">
        <w:t xml:space="preserve">Jackson C, </w:t>
      </w:r>
      <w:proofErr w:type="spellStart"/>
      <w:r w:rsidRPr="00C86FD3">
        <w:t>Sharples</w:t>
      </w:r>
      <w:proofErr w:type="spellEnd"/>
      <w:r w:rsidRPr="00C86FD3">
        <w:t xml:space="preserve"> K, </w:t>
      </w:r>
      <w:proofErr w:type="spellStart"/>
      <w:r w:rsidRPr="00C86FD3">
        <w:t>Fith</w:t>
      </w:r>
      <w:proofErr w:type="spellEnd"/>
      <w:r w:rsidRPr="00C86FD3">
        <w:t xml:space="preserve"> M, et al. 2015. The PIPER Project: An Internal Examination of Colorectal Cancer Management in New Zealand: Report prepared for the Health Research Council and Ministry of Health.</w:t>
      </w:r>
    </w:p>
    <w:p w14:paraId="508B5CC9" w14:textId="77777777" w:rsidR="00AE19B5" w:rsidRPr="00C86FD3" w:rsidRDefault="00AE19B5" w:rsidP="00AE19B5">
      <w:pPr>
        <w:pStyle w:val="References"/>
      </w:pPr>
      <w:r w:rsidRPr="00C86FD3">
        <w:t xml:space="preserve">Ministry of Health. 2002. </w:t>
      </w:r>
      <w:r w:rsidRPr="00C86FD3">
        <w:rPr>
          <w:i/>
        </w:rPr>
        <w:t>Reducing Inequalities in Health</w:t>
      </w:r>
      <w:r w:rsidRPr="00C86FD3">
        <w:t>. Wellington.</w:t>
      </w:r>
    </w:p>
    <w:p w14:paraId="0D735FFE" w14:textId="77777777" w:rsidR="00AE19B5" w:rsidRPr="00C86FD3" w:rsidRDefault="00AE19B5" w:rsidP="00AE19B5">
      <w:pPr>
        <w:pStyle w:val="References"/>
      </w:pPr>
      <w:r w:rsidRPr="00C86FD3">
        <w:t xml:space="preserve">Ministry of Health. 2010. </w:t>
      </w:r>
      <w:r w:rsidRPr="002D56F4">
        <w:rPr>
          <w:i/>
        </w:rPr>
        <w:t>Cancer Projections: Incidence 2004–08 to 2014–18</w:t>
      </w:r>
      <w:r w:rsidRPr="00C86FD3">
        <w:t>. Wellington: Ministry of Health.</w:t>
      </w:r>
    </w:p>
    <w:p w14:paraId="1E365177" w14:textId="77777777" w:rsidR="00AE19B5" w:rsidRPr="00C86FD3" w:rsidRDefault="00AE19B5" w:rsidP="00AE19B5">
      <w:pPr>
        <w:pStyle w:val="References"/>
      </w:pPr>
      <w:r w:rsidRPr="00C86FD3">
        <w:t xml:space="preserve">Ministry of Health. 2011. </w:t>
      </w:r>
      <w:r w:rsidRPr="002D56F4">
        <w:rPr>
          <w:i/>
        </w:rPr>
        <w:t xml:space="preserve">Cancer: New </w:t>
      </w:r>
      <w:r>
        <w:rPr>
          <w:i/>
        </w:rPr>
        <w:t>r</w:t>
      </w:r>
      <w:r w:rsidRPr="002D56F4">
        <w:rPr>
          <w:i/>
        </w:rPr>
        <w:t xml:space="preserve">egistrations and </w:t>
      </w:r>
      <w:r>
        <w:rPr>
          <w:i/>
        </w:rPr>
        <w:t>d</w:t>
      </w:r>
      <w:r w:rsidRPr="002D56F4">
        <w:rPr>
          <w:i/>
        </w:rPr>
        <w:t>eaths 2008</w:t>
      </w:r>
      <w:r w:rsidRPr="00C86FD3">
        <w:t>. Wellington: Ministry of Health.</w:t>
      </w:r>
    </w:p>
    <w:p w14:paraId="24E012EE" w14:textId="77777777" w:rsidR="00AE19B5" w:rsidRPr="00C86FD3" w:rsidRDefault="00AE19B5" w:rsidP="00AE19B5">
      <w:pPr>
        <w:pStyle w:val="References"/>
      </w:pPr>
      <w:r w:rsidRPr="00C86FD3">
        <w:t xml:space="preserve">Ministry of Health. 2016. </w:t>
      </w:r>
      <w:r w:rsidRPr="002D56F4">
        <w:rPr>
          <w:i/>
        </w:rPr>
        <w:t>Cancer: New registrations and deaths 2013</w:t>
      </w:r>
      <w:r w:rsidRPr="00C86FD3">
        <w:t>. Wellington: Ministry of Health.</w:t>
      </w:r>
    </w:p>
    <w:p w14:paraId="4342FFFD" w14:textId="77777777" w:rsidR="00AE19B5" w:rsidRPr="00CC1A08" w:rsidRDefault="00AE19B5" w:rsidP="00AE19B5">
      <w:pPr>
        <w:pStyle w:val="References"/>
      </w:pPr>
      <w:bookmarkStart w:id="33" w:name="_ENREF_23"/>
      <w:r>
        <w:t xml:space="preserve">Ministry of Health, Eligibility. Eligibility for publically funded health services updated 9 November 2011. </w:t>
      </w:r>
      <w:r w:rsidRPr="00E664B4">
        <w:t>https://www.health.govt.nz/new-zealand-health-system/eligibility-publicly-funded-health-services</w:t>
      </w:r>
    </w:p>
    <w:p w14:paraId="7C636A58" w14:textId="77777777" w:rsidR="00AE19B5" w:rsidRPr="001E04B4" w:rsidRDefault="00AE19B5" w:rsidP="00AE19B5">
      <w:pPr>
        <w:pStyle w:val="References"/>
      </w:pPr>
      <w:r>
        <w:rPr>
          <w:rFonts w:cs="Arial"/>
          <w:noProof/>
        </w:rPr>
        <w:t>Ministry of Health, Māori Health. Equity. Up</w:t>
      </w:r>
      <w:r>
        <w:rPr>
          <w:rStyle w:val="Hyperlink"/>
        </w:rPr>
        <w:t xml:space="preserve">dated 13 October 2015 </w:t>
      </w:r>
      <w:hyperlink r:id="rId26" w:history="1">
        <w:r w:rsidRPr="003C140B">
          <w:rPr>
            <w:rStyle w:val="Hyperlink"/>
          </w:rPr>
          <w:t>http://www.health.govt.nz/our-work/populations/maori-health/he-korowai-oranga/key-threads/equity</w:t>
        </w:r>
      </w:hyperlink>
      <w:r>
        <w:rPr>
          <w:rStyle w:val="Hyperlink"/>
        </w:rPr>
        <w:t xml:space="preserve"> </w:t>
      </w:r>
    </w:p>
    <w:p w14:paraId="0CF39F38" w14:textId="77777777" w:rsidR="00AE19B5" w:rsidRPr="00DA70B6" w:rsidRDefault="00AE19B5" w:rsidP="00AE19B5">
      <w:pPr>
        <w:pStyle w:val="References"/>
        <w:rPr>
          <w:rFonts w:cs="MyriadPro-Regular"/>
        </w:rPr>
      </w:pPr>
      <w:r>
        <w:t xml:space="preserve">Ministry of Health. </w:t>
      </w:r>
      <w:r w:rsidRPr="003C140B">
        <w:t>NZ</w:t>
      </w:r>
      <w:r>
        <w:t xml:space="preserve"> Guidelines </w:t>
      </w:r>
      <w:r w:rsidRPr="003C140B">
        <w:t>G</w:t>
      </w:r>
      <w:r>
        <w:t>roup</w:t>
      </w:r>
      <w:r w:rsidRPr="003C140B">
        <w:t xml:space="preserve"> </w:t>
      </w:r>
      <w:r>
        <w:t xml:space="preserve">(NZGG) </w:t>
      </w:r>
      <w:r w:rsidRPr="003C140B">
        <w:t xml:space="preserve">2009: Suspected cancer in primary care. </w:t>
      </w:r>
      <w:r w:rsidRPr="003C140B">
        <w:rPr>
          <w:rFonts w:cs="MyriadPro-Regular"/>
        </w:rPr>
        <w:t>Guidelines for investigation, referral and reducing ethnic disparities. https://www.health.govt.nz/publication/suspected-cancer-primary-care-guidelines-investigation-referral-and-reducing-ethnic-disparities</w:t>
      </w:r>
    </w:p>
    <w:p w14:paraId="792FD486" w14:textId="77777777" w:rsidR="00AE19B5" w:rsidRPr="00C86FD3" w:rsidRDefault="00AE19B5" w:rsidP="00AE19B5">
      <w:pPr>
        <w:pStyle w:val="References"/>
        <w:rPr>
          <w:rFonts w:cs="Arial"/>
          <w:noProof/>
        </w:rPr>
      </w:pPr>
      <w:r w:rsidRPr="00C86FD3">
        <w:rPr>
          <w:rFonts w:cs="Arial"/>
          <w:noProof/>
        </w:rPr>
        <w:t xml:space="preserve">National Screening Unit. 2015. </w:t>
      </w:r>
      <w:r w:rsidRPr="00C86FD3">
        <w:rPr>
          <w:rFonts w:cs="Arial"/>
          <w:i/>
          <w:noProof/>
        </w:rPr>
        <w:t>National Screening Unit Quality Framework: Delivering screening programmes</w:t>
      </w:r>
      <w:r w:rsidRPr="00C86FD3">
        <w:rPr>
          <w:rFonts w:cs="Arial"/>
          <w:noProof/>
        </w:rPr>
        <w:t>. Wellington: Ministry of Health.</w:t>
      </w:r>
      <w:bookmarkEnd w:id="33"/>
    </w:p>
    <w:p w14:paraId="3AF906D3" w14:textId="77777777" w:rsidR="00AE19B5" w:rsidRDefault="00AE19B5" w:rsidP="00AE19B5">
      <w:pPr>
        <w:pStyle w:val="References"/>
        <w:rPr>
          <w:rStyle w:val="Hyperlink"/>
          <w:rFonts w:cs="Arial"/>
        </w:rPr>
      </w:pPr>
      <w:r w:rsidRPr="003C140B">
        <w:t xml:space="preserve">NHS Bowel </w:t>
      </w:r>
      <w:r>
        <w:t xml:space="preserve">Cancer </w:t>
      </w:r>
      <w:r w:rsidRPr="003C140B">
        <w:t>Screening Programme</w:t>
      </w:r>
      <w:r>
        <w:t xml:space="preserve"> (NHSBCP)</w:t>
      </w:r>
      <w:r w:rsidRPr="003C140B">
        <w:t>.</w:t>
      </w:r>
      <w:r>
        <w:t xml:space="preserve"> </w:t>
      </w:r>
      <w:r w:rsidRPr="003C140B">
        <w:t xml:space="preserve">NHS public </w:t>
      </w:r>
      <w:r>
        <w:t>health functions agreement 2017–</w:t>
      </w:r>
      <w:r w:rsidRPr="003C140B">
        <w:t>18</w:t>
      </w:r>
      <w:r>
        <w:t xml:space="preserve"> </w:t>
      </w:r>
      <w:r w:rsidRPr="003C140B">
        <w:rPr>
          <w:rFonts w:cs="Arial"/>
          <w:bCs/>
          <w:color w:val="000000"/>
        </w:rPr>
        <w:t xml:space="preserve">Service specification no.26 Bowel Cancer Screening Programme. </w:t>
      </w:r>
      <w:r w:rsidRPr="003C140B">
        <w:rPr>
          <w:rFonts w:cs="Arial"/>
          <w:color w:val="000000"/>
        </w:rPr>
        <w:t xml:space="preserve">Version number: 1.0. First published: April 2017. </w:t>
      </w:r>
      <w:hyperlink r:id="rId27" w:history="1">
        <w:r w:rsidRPr="00B841F6">
          <w:rPr>
            <w:rStyle w:val="Hyperlink"/>
            <w:rFonts w:cs="Arial"/>
          </w:rPr>
          <w:t>https://www.england.nhs.uk/wp-content/uploads/2017/04/service-spec-26.pdf</w:t>
        </w:r>
      </w:hyperlink>
    </w:p>
    <w:p w14:paraId="7E87A716" w14:textId="794A0AA1" w:rsidR="00AE19B5" w:rsidRPr="003A3367" w:rsidRDefault="003A3367" w:rsidP="00AE19B5">
      <w:pPr>
        <w:pStyle w:val="References"/>
      </w:pPr>
      <w:r w:rsidRPr="003C140B">
        <w:rPr>
          <w:lang w:val="en"/>
        </w:rPr>
        <w:lastRenderedPageBreak/>
        <w:t>Rex. D et al</w:t>
      </w:r>
      <w:r>
        <w:rPr>
          <w:lang w:val="en"/>
        </w:rPr>
        <w:t xml:space="preserve">. 2017. </w:t>
      </w:r>
      <w:r w:rsidRPr="003C140B">
        <w:rPr>
          <w:lang w:val="en"/>
        </w:rPr>
        <w:t xml:space="preserve"> </w:t>
      </w:r>
      <w:r w:rsidR="00AE19B5" w:rsidRPr="003C140B">
        <w:rPr>
          <w:lang w:val="en"/>
        </w:rPr>
        <w:t xml:space="preserve">Colorectal Cancer Screening: Recommendations for Physicians and Patients From the U.S. Multi-Society Task Force on Colorectal Cancer </w:t>
      </w:r>
      <w:r w:rsidR="00AE19B5" w:rsidRPr="003A3367">
        <w:rPr>
          <w:i/>
          <w:lang w:val="en"/>
        </w:rPr>
        <w:t xml:space="preserve">Gastroenterology </w:t>
      </w:r>
      <w:r w:rsidR="00AE19B5" w:rsidRPr="003C140B">
        <w:rPr>
          <w:lang w:val="en"/>
        </w:rPr>
        <w:t xml:space="preserve">2017 </w:t>
      </w:r>
      <w:r w:rsidR="00AE19B5" w:rsidRPr="003C140B">
        <w:rPr>
          <w:color w:val="000000"/>
          <w:lang w:val="en"/>
        </w:rPr>
        <w:t xml:space="preserve">Volume 153, Issue 1, Pages 307–323 </w:t>
      </w:r>
      <w:hyperlink r:id="rId28" w:history="1">
        <w:r w:rsidR="00AE19B5" w:rsidRPr="003C140B">
          <w:rPr>
            <w:rStyle w:val="Hyperlink"/>
            <w:lang w:val="en"/>
          </w:rPr>
          <w:t>https://doi.org/10.1053/j.gastro.2017.05.013</w:t>
        </w:r>
      </w:hyperlink>
      <w:r w:rsidR="00AE19B5">
        <w:rPr>
          <w:rStyle w:val="Hyperlink"/>
          <w:lang w:val="en"/>
        </w:rPr>
        <w:t xml:space="preserve"> </w:t>
      </w:r>
      <w:r w:rsidR="00AE19B5" w:rsidRPr="003C140B">
        <w:rPr>
          <w:rFonts w:eastAsia="UniversLTStd-LightCn" w:cs="UniversLTStd-LightCn"/>
          <w:color w:val="000000"/>
        </w:rPr>
        <w:t>http://www.gastrojournal.org/article/S0016-</w:t>
      </w:r>
      <w:proofErr w:type="gramStart"/>
      <w:r w:rsidR="00AE19B5" w:rsidRPr="003C140B">
        <w:rPr>
          <w:rFonts w:eastAsia="UniversLTStd-LightCn" w:cs="UniversLTStd-LightCn"/>
          <w:color w:val="000000"/>
        </w:rPr>
        <w:t>5085(</w:t>
      </w:r>
      <w:proofErr w:type="gramEnd"/>
      <w:r w:rsidR="00AE19B5" w:rsidRPr="003C140B">
        <w:rPr>
          <w:rFonts w:eastAsia="UniversLTStd-LightCn" w:cs="UniversLTStd-LightCn"/>
          <w:color w:val="000000"/>
        </w:rPr>
        <w:t>17)35599-3/pdf</w:t>
      </w:r>
    </w:p>
    <w:p w14:paraId="35220069" w14:textId="77777777" w:rsidR="00AE19B5" w:rsidRPr="00C86FD3" w:rsidRDefault="00AE19B5" w:rsidP="00AE19B5">
      <w:pPr>
        <w:pStyle w:val="References"/>
      </w:pPr>
      <w:r w:rsidRPr="00C86FD3">
        <w:t>Robson B, Harris R (</w:t>
      </w:r>
      <w:proofErr w:type="spellStart"/>
      <w:proofErr w:type="gramStart"/>
      <w:r w:rsidRPr="00C86FD3">
        <w:t>eds</w:t>
      </w:r>
      <w:proofErr w:type="spellEnd"/>
      <w:proofErr w:type="gramEnd"/>
      <w:r w:rsidRPr="00C86FD3">
        <w:t xml:space="preserve">). 2007. </w:t>
      </w:r>
      <w:proofErr w:type="spellStart"/>
      <w:r w:rsidRPr="00C86FD3">
        <w:rPr>
          <w:i/>
        </w:rPr>
        <w:t>Hauorā</w:t>
      </w:r>
      <w:proofErr w:type="spellEnd"/>
      <w:r w:rsidRPr="00C86FD3">
        <w:rPr>
          <w:i/>
        </w:rPr>
        <w:t xml:space="preserve">: Māori Standards of Health. IV. A study of the years, 2000–2005. </w:t>
      </w:r>
      <w:r w:rsidRPr="00C86FD3">
        <w:t xml:space="preserve">Wellington, New Zealand: </w:t>
      </w:r>
      <w:proofErr w:type="spellStart"/>
      <w:r w:rsidRPr="00C86FD3">
        <w:t>Te</w:t>
      </w:r>
      <w:proofErr w:type="spellEnd"/>
      <w:r w:rsidRPr="00C86FD3">
        <w:t xml:space="preserve"> </w:t>
      </w:r>
      <w:proofErr w:type="spellStart"/>
      <w:r w:rsidRPr="00C86FD3">
        <w:t>Ropu</w:t>
      </w:r>
      <w:proofErr w:type="spellEnd"/>
      <w:r w:rsidRPr="00C86FD3">
        <w:t xml:space="preserve"> </w:t>
      </w:r>
      <w:proofErr w:type="spellStart"/>
      <w:r w:rsidRPr="00C86FD3">
        <w:t>Rangahau</w:t>
      </w:r>
      <w:proofErr w:type="spellEnd"/>
      <w:r w:rsidRPr="00C86FD3">
        <w:t xml:space="preserve"> Hauora </w:t>
      </w:r>
      <w:proofErr w:type="gramStart"/>
      <w:r w:rsidRPr="00C86FD3">
        <w:t>a</w:t>
      </w:r>
      <w:proofErr w:type="gramEnd"/>
      <w:r w:rsidRPr="00C86FD3">
        <w:t xml:space="preserve"> </w:t>
      </w:r>
      <w:proofErr w:type="spellStart"/>
      <w:r w:rsidRPr="00C86FD3">
        <w:t>Eru</w:t>
      </w:r>
      <w:proofErr w:type="spellEnd"/>
      <w:r w:rsidRPr="00C86FD3">
        <w:t xml:space="preserve"> </w:t>
      </w:r>
      <w:proofErr w:type="spellStart"/>
      <w:r w:rsidRPr="00C86FD3">
        <w:t>Pomare</w:t>
      </w:r>
      <w:proofErr w:type="spellEnd"/>
      <w:r w:rsidRPr="00C86FD3">
        <w:t>.</w:t>
      </w:r>
    </w:p>
    <w:p w14:paraId="74769B13" w14:textId="77777777" w:rsidR="00AE19B5" w:rsidRPr="00C86FD3" w:rsidRDefault="00AE19B5" w:rsidP="00AE19B5">
      <w:pPr>
        <w:pStyle w:val="References"/>
      </w:pPr>
      <w:r w:rsidRPr="00C86FD3">
        <w:t>Samson P, O</w:t>
      </w:r>
      <w:r>
        <w:t>’</w:t>
      </w:r>
      <w:r w:rsidRPr="00C86FD3">
        <w:t>Grady G, Keating J. 2009. An international comparison study of stage of colorectal cancer at diagnosis: how does New Zealand compare?</w:t>
      </w:r>
      <w:r w:rsidRPr="00C86FD3">
        <w:rPr>
          <w:i/>
        </w:rPr>
        <w:t xml:space="preserve"> New Zealand Medical Journal</w:t>
      </w:r>
      <w:r>
        <w:rPr>
          <w:i/>
        </w:rPr>
        <w:br/>
      </w:r>
      <w:r w:rsidRPr="00C86FD3">
        <w:t>122(1294):</w:t>
      </w:r>
      <w:r>
        <w:t> </w:t>
      </w:r>
      <w:r w:rsidRPr="00C86FD3">
        <w:t>74–83.</w:t>
      </w:r>
    </w:p>
    <w:p w14:paraId="05282D6E" w14:textId="77777777" w:rsidR="00AE19B5" w:rsidRPr="00C86FD3" w:rsidRDefault="00AE19B5" w:rsidP="00AE19B5">
      <w:pPr>
        <w:pStyle w:val="References"/>
      </w:pPr>
      <w:proofErr w:type="spellStart"/>
      <w:r w:rsidRPr="00C86FD3">
        <w:t>Sarfati</w:t>
      </w:r>
      <w:proofErr w:type="spellEnd"/>
      <w:r w:rsidRPr="00C86FD3">
        <w:t xml:space="preserve"> D, Hill S, Blakely T, et al. 2010. Is bowel cancer screening important for Māori? </w:t>
      </w:r>
      <w:r w:rsidRPr="00C86FD3">
        <w:rPr>
          <w:i/>
        </w:rPr>
        <w:t xml:space="preserve">New Zealand Medical Journal </w:t>
      </w:r>
      <w:r w:rsidRPr="00C86FD3">
        <w:t>123(1320): 9</w:t>
      </w:r>
      <w:r>
        <w:t>–</w:t>
      </w:r>
      <w:r w:rsidRPr="00C86FD3">
        <w:t>12.</w:t>
      </w:r>
    </w:p>
    <w:p w14:paraId="71637C72" w14:textId="77777777" w:rsidR="00AE19B5" w:rsidRPr="00C86FD3" w:rsidRDefault="00AE19B5" w:rsidP="00AE19B5">
      <w:pPr>
        <w:pStyle w:val="References"/>
      </w:pPr>
      <w:proofErr w:type="spellStart"/>
      <w:r w:rsidRPr="00C86FD3">
        <w:t>Teng</w:t>
      </w:r>
      <w:proofErr w:type="spellEnd"/>
      <w:r w:rsidRPr="00C86FD3">
        <w:t xml:space="preserve"> AM, Atkinson J, Disney G, et al. 2016. Ethnic inequalities in cancer incidence and mortality: census-linked cohort studies with 87 million years of person-time follow-up. </w:t>
      </w:r>
      <w:r w:rsidRPr="00C86FD3">
        <w:rPr>
          <w:i/>
        </w:rPr>
        <w:t>BMC Cancer</w:t>
      </w:r>
      <w:r w:rsidRPr="00C86FD3">
        <w:t xml:space="preserve"> 16:</w:t>
      </w:r>
      <w:r>
        <w:t xml:space="preserve"> </w:t>
      </w:r>
      <w:r w:rsidRPr="00C86FD3">
        <w:t>755</w:t>
      </w:r>
      <w:r>
        <w:t>.</w:t>
      </w:r>
    </w:p>
    <w:p w14:paraId="10AA170E" w14:textId="77777777" w:rsidR="00AE19B5" w:rsidRPr="00C86FD3" w:rsidRDefault="00AE19B5" w:rsidP="00AE19B5">
      <w:pPr>
        <w:pStyle w:val="References"/>
      </w:pPr>
      <w:r w:rsidRPr="00C86FD3">
        <w:t xml:space="preserve">Whitehead M. 1990. </w:t>
      </w:r>
      <w:r w:rsidRPr="007965CA">
        <w:rPr>
          <w:i/>
        </w:rPr>
        <w:t xml:space="preserve">The </w:t>
      </w:r>
      <w:r>
        <w:rPr>
          <w:i/>
        </w:rPr>
        <w:t>C</w:t>
      </w:r>
      <w:r w:rsidRPr="007965CA">
        <w:rPr>
          <w:i/>
        </w:rPr>
        <w:t xml:space="preserve">oncepts and </w:t>
      </w:r>
      <w:r>
        <w:rPr>
          <w:i/>
        </w:rPr>
        <w:t>P</w:t>
      </w:r>
      <w:r w:rsidRPr="007965CA">
        <w:rPr>
          <w:i/>
        </w:rPr>
        <w:t xml:space="preserve">rinciples of </w:t>
      </w:r>
      <w:r>
        <w:rPr>
          <w:i/>
        </w:rPr>
        <w:t>E</w:t>
      </w:r>
      <w:r w:rsidRPr="007965CA">
        <w:rPr>
          <w:i/>
        </w:rPr>
        <w:t xml:space="preserve">quity and </w:t>
      </w:r>
      <w:r>
        <w:rPr>
          <w:i/>
        </w:rPr>
        <w:t>H</w:t>
      </w:r>
      <w:r w:rsidRPr="007965CA">
        <w:rPr>
          <w:i/>
        </w:rPr>
        <w:t>ealth</w:t>
      </w:r>
      <w:r w:rsidRPr="00C86FD3">
        <w:t>. Copenhagen: WHO Regional Office for Europe (document number: EUR/ICP/RPD 414).</w:t>
      </w:r>
    </w:p>
    <w:p w14:paraId="68432E74" w14:textId="77777777" w:rsidR="00AE19B5" w:rsidRDefault="00AE19B5" w:rsidP="00AE19B5">
      <w:pPr>
        <w:pStyle w:val="References"/>
      </w:pPr>
      <w:r w:rsidRPr="00C86FD3">
        <w:t xml:space="preserve">Whitehead M, Dahlgren G. 2006. </w:t>
      </w:r>
      <w:r w:rsidRPr="007965CA">
        <w:rPr>
          <w:i/>
        </w:rPr>
        <w:t xml:space="preserve">Concepts and </w:t>
      </w:r>
      <w:r>
        <w:rPr>
          <w:i/>
        </w:rPr>
        <w:t>P</w:t>
      </w:r>
      <w:r w:rsidRPr="007965CA">
        <w:rPr>
          <w:i/>
        </w:rPr>
        <w:t xml:space="preserve">rinciples for </w:t>
      </w:r>
      <w:r>
        <w:rPr>
          <w:i/>
        </w:rPr>
        <w:t>T</w:t>
      </w:r>
      <w:r w:rsidRPr="007965CA">
        <w:rPr>
          <w:i/>
        </w:rPr>
        <w:t xml:space="preserve">ackling </w:t>
      </w:r>
      <w:r>
        <w:rPr>
          <w:i/>
        </w:rPr>
        <w:t>S</w:t>
      </w:r>
      <w:r w:rsidRPr="007965CA">
        <w:rPr>
          <w:i/>
        </w:rPr>
        <w:t xml:space="preserve">ocial </w:t>
      </w:r>
      <w:r>
        <w:rPr>
          <w:i/>
        </w:rPr>
        <w:t>I</w:t>
      </w:r>
      <w:r w:rsidRPr="007965CA">
        <w:rPr>
          <w:i/>
        </w:rPr>
        <w:t xml:space="preserve">nequities in </w:t>
      </w:r>
      <w:r>
        <w:rPr>
          <w:i/>
        </w:rPr>
        <w:t>H</w:t>
      </w:r>
      <w:r w:rsidRPr="007965CA">
        <w:rPr>
          <w:i/>
        </w:rPr>
        <w:t>ealth: Levelling up Part 1</w:t>
      </w:r>
      <w:r w:rsidRPr="00C86FD3">
        <w:t>. WHO Regional Office for Europe: WHO Collaborating Centre for Policy Research on Social Determinants of Health University of Liverpool.</w:t>
      </w:r>
    </w:p>
    <w:p w14:paraId="745A0515" w14:textId="77777777" w:rsidR="00AE19B5" w:rsidRPr="00C86FD3" w:rsidRDefault="00AE19B5" w:rsidP="00AE19B5"/>
    <w:p w14:paraId="188DAD34" w14:textId="09E18250" w:rsidR="00BB09DA" w:rsidRDefault="00AA6BD0" w:rsidP="009F787F">
      <w:pPr>
        <w:pStyle w:val="Heading1"/>
      </w:pPr>
      <w:bookmarkStart w:id="34" w:name="_Toc530661016"/>
      <w:r>
        <w:lastRenderedPageBreak/>
        <w:t>Information sources, organisations and groups</w:t>
      </w:r>
      <w:bookmarkEnd w:id="34"/>
    </w:p>
    <w:p w14:paraId="41FF5FE9" w14:textId="74BE0709" w:rsidR="007E0C10" w:rsidRDefault="007E0C10" w:rsidP="007E0C10">
      <w:pPr>
        <w:pStyle w:val="References"/>
      </w:pPr>
      <w:r w:rsidRPr="003C140B">
        <w:rPr>
          <w:rFonts w:cs="Arial"/>
          <w:color w:val="000000"/>
        </w:rPr>
        <w:t>AGA = The American Gastroenterological</w:t>
      </w:r>
      <w:r>
        <w:rPr>
          <w:rFonts w:cs="Arial"/>
          <w:color w:val="000000"/>
        </w:rPr>
        <w:t xml:space="preserve"> </w:t>
      </w:r>
      <w:r w:rsidRPr="003C140B">
        <w:rPr>
          <w:rFonts w:cs="Arial"/>
          <w:color w:val="000000"/>
        </w:rPr>
        <w:t>Association</w:t>
      </w:r>
      <w:r>
        <w:rPr>
          <w:rFonts w:cs="Arial"/>
          <w:color w:val="000000"/>
        </w:rPr>
        <w:t xml:space="preserve"> </w:t>
      </w:r>
      <w:hyperlink r:id="rId29" w:history="1">
        <w:r w:rsidRPr="003C140B">
          <w:rPr>
            <w:rStyle w:val="Hyperlink"/>
            <w:rFonts w:cs="Arial"/>
          </w:rPr>
          <w:t>www.gastro.org</w:t>
        </w:r>
      </w:hyperlink>
      <w:r>
        <w:rPr>
          <w:rStyle w:val="Hyperlink"/>
          <w:rFonts w:cs="Arial"/>
        </w:rPr>
        <w:t xml:space="preserve"> </w:t>
      </w:r>
      <w:hyperlink r:id="rId30" w:history="1">
        <w:r w:rsidRPr="003B540F">
          <w:rPr>
            <w:rStyle w:val="Hyperlink"/>
            <w:rFonts w:cs="Arial"/>
          </w:rPr>
          <w:t>http://www.gastro.org/guidelines</w:t>
        </w:r>
      </w:hyperlink>
      <w:r>
        <w:rPr>
          <w:rFonts w:cs="Arial"/>
          <w:color w:val="000000"/>
        </w:rPr>
        <w:t xml:space="preserve"> </w:t>
      </w:r>
      <w:r w:rsidRPr="003C140B">
        <w:rPr>
          <w:rFonts w:eastAsia="UniversLTStd-LightCn" w:cs="UniversLTStd-LightCn"/>
          <w:color w:val="000000"/>
        </w:rPr>
        <w:t xml:space="preserve">AGA Institute Guidelines for the </w:t>
      </w:r>
      <w:r w:rsidRPr="003C140B">
        <w:rPr>
          <w:rFonts w:eastAsia="UniversLTStd-LightCn" w:cs="UniversLTStd-UltraCn"/>
        </w:rPr>
        <w:t>Early Detection of Colorectal Cancer and Adenomatous Polyps</w:t>
      </w:r>
      <w:r w:rsidRPr="003C140B">
        <w:rPr>
          <w:rFonts w:eastAsia="UniversLTStd-LightCn" w:cs="UniversLTStd-LightCn"/>
          <w:color w:val="000000"/>
        </w:rPr>
        <w:t xml:space="preserve">. </w:t>
      </w:r>
      <w:r w:rsidRPr="003C140B">
        <w:rPr>
          <w:rFonts w:eastAsia="UniversLTStd-LightCn" w:cs="UniversLTStd-UltraCn"/>
        </w:rPr>
        <w:t>Clinical decision support tool 2008</w:t>
      </w:r>
      <w:r>
        <w:rPr>
          <w:rFonts w:eastAsia="UniversLTStd-LightCn" w:cs="UniversLTStd-UltraCn"/>
        </w:rPr>
        <w:t xml:space="preserve"> </w:t>
      </w:r>
      <w:hyperlink r:id="rId31" w:history="1">
        <w:r w:rsidR="00AE19B5" w:rsidRPr="00BF2754">
          <w:rPr>
            <w:rStyle w:val="Hyperlink"/>
            <w:rFonts w:eastAsia="UniversLTStd-LightCn" w:cs="UniversLTStd-LightCn"/>
          </w:rPr>
          <w:t>http://campaigns.gastro.org/algorithms/crc/early-detection/150-027PNQ_14-3%20CRC%20Screening%20Algorithm_v1%5B1%5D.pdf</w:t>
        </w:r>
      </w:hyperlink>
      <w:r w:rsidR="00AE19B5">
        <w:rPr>
          <w:rFonts w:eastAsia="UniversLTStd-LightCn" w:cs="UniversLTStd-LightCn"/>
          <w:color w:val="000000"/>
        </w:rPr>
        <w:t xml:space="preserve">  </w:t>
      </w:r>
      <w:r w:rsidRPr="003C140B">
        <w:rPr>
          <w:lang w:val="en"/>
        </w:rPr>
        <w:t xml:space="preserve">Colorectal Cancer Screening: Recommendations for Physicians and Patients </w:t>
      </w:r>
      <w:proofErr w:type="gramStart"/>
      <w:r w:rsidRPr="003C140B">
        <w:rPr>
          <w:lang w:val="en"/>
        </w:rPr>
        <w:t>From</w:t>
      </w:r>
      <w:proofErr w:type="gramEnd"/>
      <w:r w:rsidRPr="003C140B">
        <w:rPr>
          <w:lang w:val="en"/>
        </w:rPr>
        <w:t xml:space="preserve"> the U.S. Multi-Society Task Force on Colorectal Cancer Rex. D et al Gastroenterology 2017 </w:t>
      </w:r>
      <w:r w:rsidRPr="003C140B">
        <w:rPr>
          <w:color w:val="000000"/>
          <w:lang w:val="en"/>
        </w:rPr>
        <w:t xml:space="preserve">Volume 153, Issue 1, Pages 307–323 </w:t>
      </w:r>
      <w:hyperlink r:id="rId32" w:history="1">
        <w:r w:rsidRPr="003C140B">
          <w:rPr>
            <w:rStyle w:val="Hyperlink"/>
            <w:lang w:val="en"/>
          </w:rPr>
          <w:t>https://doi.org/10.1053/j.gastro.2017.05.013</w:t>
        </w:r>
      </w:hyperlink>
      <w:r>
        <w:rPr>
          <w:rStyle w:val="Hyperlink"/>
          <w:lang w:val="en"/>
        </w:rPr>
        <w:t xml:space="preserve"> </w:t>
      </w:r>
      <w:r w:rsidRPr="003C140B">
        <w:rPr>
          <w:rFonts w:eastAsia="UniversLTStd-LightCn" w:cs="UniversLTStd-LightCn"/>
          <w:color w:val="000000"/>
        </w:rPr>
        <w:t>http://www.gastrojournal.org/article/S0016-</w:t>
      </w:r>
      <w:proofErr w:type="gramStart"/>
      <w:r w:rsidRPr="003C140B">
        <w:rPr>
          <w:rFonts w:eastAsia="UniversLTStd-LightCn" w:cs="UniversLTStd-LightCn"/>
          <w:color w:val="000000"/>
        </w:rPr>
        <w:t>5085(</w:t>
      </w:r>
      <w:proofErr w:type="gramEnd"/>
      <w:r w:rsidRPr="003C140B">
        <w:rPr>
          <w:rFonts w:eastAsia="UniversLTStd-LightCn" w:cs="UniversLTStd-LightCn"/>
          <w:color w:val="000000"/>
        </w:rPr>
        <w:t>17)35599-3/pdf</w:t>
      </w:r>
    </w:p>
    <w:p w14:paraId="1ED961D1" w14:textId="18922A8A" w:rsidR="007E0C10" w:rsidRPr="007E0C10" w:rsidRDefault="007E0C10" w:rsidP="007E0C10">
      <w:pPr>
        <w:pStyle w:val="References"/>
      </w:pPr>
      <w:r w:rsidRPr="003C140B">
        <w:t>AGSE = American Society for Gastrointestinal Endoscopy.</w:t>
      </w:r>
      <w:r>
        <w:t xml:space="preserve"> </w:t>
      </w:r>
      <w:r w:rsidRPr="003C140B">
        <w:rPr>
          <w:rFonts w:cs="Arial"/>
          <w:color w:val="000000"/>
        </w:rPr>
        <w:t xml:space="preserve">Bowel preparation before colonoscopy. </w:t>
      </w:r>
      <w:r w:rsidRPr="003C140B">
        <w:rPr>
          <w:rFonts w:cs="AdvOTdc5ff126"/>
        </w:rPr>
        <w:t xml:space="preserve">Volume 81, No. </w:t>
      </w:r>
      <w:proofErr w:type="gramStart"/>
      <w:r w:rsidRPr="003C140B">
        <w:rPr>
          <w:rFonts w:cs="AdvOTdc5ff126"/>
        </w:rPr>
        <w:t>4 :</w:t>
      </w:r>
      <w:proofErr w:type="gramEnd"/>
      <w:r w:rsidRPr="003C140B">
        <w:rPr>
          <w:rFonts w:cs="AdvOTdc5ff126"/>
        </w:rPr>
        <w:t xml:space="preserve"> 2015 GASTROINTESTINAL ENDOSCOPY. </w:t>
      </w:r>
      <w:hyperlink r:id="rId33" w:history="1">
        <w:r w:rsidRPr="003C140B">
          <w:rPr>
            <w:rStyle w:val="Hyperlink"/>
            <w:rFonts w:cs="AdvOT15e8cdec"/>
          </w:rPr>
          <w:t>http://dx.doi.org/10.1016/j.gie.2014.09.048</w:t>
        </w:r>
      </w:hyperlink>
      <w:r>
        <w:rPr>
          <w:rStyle w:val="Hyperlink"/>
          <w:rFonts w:cs="AdvOT15e8cdec"/>
        </w:rPr>
        <w:br/>
      </w:r>
      <w:hyperlink r:id="rId34" w:history="1">
        <w:r w:rsidRPr="003C140B">
          <w:rPr>
            <w:rStyle w:val="Hyperlink"/>
            <w:rFonts w:cs="Arial"/>
          </w:rPr>
          <w:t>https://www.asge.org/docs/default-source/education/practice_guidelines/doc-bowel_prep_before_colonoscopy.pdf</w:t>
        </w:r>
      </w:hyperlink>
    </w:p>
    <w:p w14:paraId="6CD444FB" w14:textId="77777777" w:rsidR="007E0C10" w:rsidRPr="008D12FC" w:rsidRDefault="007E0C10" w:rsidP="007E0C10">
      <w:pPr>
        <w:pStyle w:val="References"/>
      </w:pPr>
      <w:r w:rsidRPr="008D12FC">
        <w:t>ANZCA = Australian and New Zealand College of Anaesthetists. PS09 2014. Guidelines on Sedation and/or Analgesia for Diagnostic and Interventional Medical, Dental or Surgical Procedures</w:t>
      </w:r>
      <w:r>
        <w:t xml:space="preserve"> </w:t>
      </w:r>
      <w:r w:rsidRPr="008D12FC">
        <w:t>http://www.anzca.edu.au/getattachment/resources/professional-documents/ps09-2014-guidelines-on-sedation-and-or-analgesia-for-diagnostic-and-interventional-medical-dental-or-surgical-procedures.pdf</w:t>
      </w:r>
    </w:p>
    <w:p w14:paraId="151658FE" w14:textId="77777777" w:rsidR="007E0C10" w:rsidRPr="00CA4E12" w:rsidRDefault="007E0C10" w:rsidP="007E0C10">
      <w:pPr>
        <w:pStyle w:val="References"/>
        <w:rPr>
          <w:rStyle w:val="Hyperlink"/>
          <w:rFonts w:eastAsiaTheme="minorHAnsi"/>
          <w:color w:val="000000"/>
          <w:sz w:val="22"/>
          <w:szCs w:val="22"/>
          <w:lang w:eastAsia="en-US"/>
        </w:rPr>
      </w:pPr>
      <w:r w:rsidRPr="00CA4E12">
        <w:rPr>
          <w:sz w:val="22"/>
          <w:szCs w:val="22"/>
        </w:rPr>
        <w:t xml:space="preserve">BSG 2008 </w:t>
      </w:r>
      <w:proofErr w:type="spellStart"/>
      <w:r w:rsidRPr="00CA4E12">
        <w:rPr>
          <w:sz w:val="22"/>
          <w:szCs w:val="22"/>
        </w:rPr>
        <w:t>Colonoscopic</w:t>
      </w:r>
      <w:proofErr w:type="spellEnd"/>
      <w:r w:rsidRPr="00CA4E12">
        <w:rPr>
          <w:sz w:val="22"/>
          <w:szCs w:val="22"/>
        </w:rPr>
        <w:t xml:space="preserve"> polypectomy and endoscopic mucosal resection: A practical guide 2008. British Society of Gastroenterology. https://www.bsg.org.uk/resource/colonoscopic-polypectomy-and-endoscopic-mucosal-resection--a-practical-guide.html</w:t>
      </w:r>
    </w:p>
    <w:p w14:paraId="4C0A3D9F" w14:textId="77777777" w:rsidR="007E0C10" w:rsidRPr="003C140B" w:rsidRDefault="007E0C10" w:rsidP="007E0C10">
      <w:pPr>
        <w:pStyle w:val="References"/>
      </w:pPr>
      <w:r w:rsidRPr="003C140B">
        <w:t>BSG =</w:t>
      </w:r>
      <w:r>
        <w:t xml:space="preserve"> </w:t>
      </w:r>
      <w:r w:rsidRPr="003C140B">
        <w:t>British Society of Gastroenterology 2017</w:t>
      </w:r>
      <w:r>
        <w:t xml:space="preserve"> </w:t>
      </w:r>
      <w:r w:rsidRPr="003C140B">
        <w:rPr>
          <w:rFonts w:cs="AdvOT6520a694"/>
        </w:rPr>
        <w:t xml:space="preserve">British Society of Gastroenterology position statement on serrated polyps in the colon and rectum. </w:t>
      </w:r>
      <w:r w:rsidRPr="003C140B">
        <w:rPr>
          <w:rFonts w:cs="AdvOT0231c847"/>
        </w:rPr>
        <w:t xml:space="preserve">East JE, </w:t>
      </w:r>
      <w:r w:rsidRPr="003C140B">
        <w:rPr>
          <w:rFonts w:cs="AdvOTbe4cb9cb"/>
        </w:rPr>
        <w:t>et al</w:t>
      </w:r>
      <w:r w:rsidRPr="003C140B">
        <w:rPr>
          <w:rFonts w:cs="AdvOT0231c847"/>
        </w:rPr>
        <w:t xml:space="preserve">. </w:t>
      </w:r>
      <w:r w:rsidRPr="003C140B">
        <w:rPr>
          <w:rFonts w:cs="AdvOTbe4cb9cb"/>
        </w:rPr>
        <w:t xml:space="preserve">Gut </w:t>
      </w:r>
      <w:r w:rsidRPr="003C140B">
        <w:rPr>
          <w:rFonts w:cs="AdvOT0231c847"/>
        </w:rPr>
        <w:t>2017</w:t>
      </w:r>
      <w:proofErr w:type="gramStart"/>
      <w:r w:rsidRPr="003C140B">
        <w:rPr>
          <w:rFonts w:cs="AdvOT0231c847"/>
        </w:rPr>
        <w:t>;</w:t>
      </w:r>
      <w:r w:rsidRPr="003C140B">
        <w:rPr>
          <w:rFonts w:cs="AdvOTc9c0ed35.B"/>
        </w:rPr>
        <w:t>0</w:t>
      </w:r>
      <w:r w:rsidRPr="003C140B">
        <w:rPr>
          <w:rFonts w:cs="AdvOT0231c847"/>
        </w:rPr>
        <w:t>:1</w:t>
      </w:r>
      <w:proofErr w:type="gramEnd"/>
      <w:r w:rsidRPr="003C140B">
        <w:rPr>
          <w:rFonts w:cs="AdvOT0231c847+20"/>
        </w:rPr>
        <w:t>–</w:t>
      </w:r>
      <w:r w:rsidRPr="003C140B">
        <w:rPr>
          <w:rFonts w:cs="AdvOT0231c847"/>
        </w:rPr>
        <w:t xml:space="preserve">16. </w:t>
      </w:r>
      <w:proofErr w:type="gramStart"/>
      <w:r w:rsidRPr="003C140B">
        <w:rPr>
          <w:rFonts w:cs="AdvOT0231c847"/>
        </w:rPr>
        <w:t>doi:</w:t>
      </w:r>
      <w:proofErr w:type="gramEnd"/>
      <w:r w:rsidRPr="003C140B">
        <w:rPr>
          <w:rFonts w:cs="AdvOT0231c847"/>
        </w:rPr>
        <w:t>10.1136/gutjnl-2017-314005</w:t>
      </w:r>
      <w:r>
        <w:rPr>
          <w:rFonts w:cs="AdvOT0231c847"/>
        </w:rPr>
        <w:t xml:space="preserve"> </w:t>
      </w:r>
      <w:hyperlink r:id="rId35" w:history="1">
        <w:r w:rsidRPr="003C140B">
          <w:rPr>
            <w:rStyle w:val="Hyperlink"/>
          </w:rPr>
          <w:t>http://gut.bmj.com/content/gutjnl/early/2017/04/27/gutjnl-2017-314005.full.pdf</w:t>
        </w:r>
      </w:hyperlink>
    </w:p>
    <w:p w14:paraId="4F6FBEF0" w14:textId="63E5A06F" w:rsidR="00AA6BD0" w:rsidRPr="003C140B" w:rsidRDefault="00AA6BD0" w:rsidP="00AA6BD0">
      <w:pPr>
        <w:pStyle w:val="References"/>
        <w:rPr>
          <w:rStyle w:val="Hyperlink"/>
        </w:rPr>
      </w:pPr>
      <w:r>
        <w:t>EC = European Commission</w:t>
      </w:r>
      <w:r w:rsidRPr="003C140B">
        <w:t>: European Guidelines for Quality Assurance in Colorectal Cancer Screening and Diagnosis</w:t>
      </w:r>
      <w:r>
        <w:t xml:space="preserve"> – </w:t>
      </w:r>
      <w:r w:rsidRPr="003C140B">
        <w:t>First Edition</w:t>
      </w:r>
      <w:r>
        <w:t xml:space="preserve"> </w:t>
      </w:r>
      <w:r w:rsidRPr="003C140B">
        <w:t>(2012)</w:t>
      </w:r>
      <w:r>
        <w:t xml:space="preserve"> </w:t>
      </w:r>
      <w:r w:rsidRPr="003C140B">
        <w:rPr>
          <w:rStyle w:val="Hyperlink"/>
        </w:rPr>
        <w:t>https://publications.europa.eu/en/publication-detail/-/publication/e1ef52d8-8786-4ac4-9f91-4da2261ee535</w:t>
      </w:r>
    </w:p>
    <w:p w14:paraId="7C1DCAA1" w14:textId="7F7E5A6B" w:rsidR="00013C3B" w:rsidRPr="003C140B" w:rsidRDefault="00013C3B" w:rsidP="00013C3B">
      <w:pPr>
        <w:pStyle w:val="References"/>
        <w:rPr>
          <w:rFonts w:cs="Arial"/>
          <w:color w:val="000000"/>
        </w:rPr>
      </w:pPr>
      <w:r w:rsidRPr="003C140B">
        <w:t>EGGNZ = Endoscopy Governance Group for New Zealand.</w:t>
      </w:r>
      <w:r>
        <w:t xml:space="preserve"> </w:t>
      </w:r>
      <w:r w:rsidRPr="003C140B">
        <w:t>The New Zealand Society of</w:t>
      </w:r>
      <w:r>
        <w:t xml:space="preserve"> </w:t>
      </w:r>
      <w:r w:rsidRPr="003C140B">
        <w:t>Gastroenterology</w:t>
      </w:r>
      <w:r>
        <w:t xml:space="preserve"> </w:t>
      </w:r>
      <w:r w:rsidRPr="003C140B">
        <w:t xml:space="preserve">in conjunction with the RACP, RACS and their training groups NZAGS and Gastro ATC, the NZ Nurses Organisation, Conjoint Committee on Training in Endoscopy, NEQIP remaining staff member, and the Clinical lead of the BCSP, have formed the Endoscopy Governance Group for New Zealand (EGGNZ). </w:t>
      </w:r>
      <w:r w:rsidR="007E0C10" w:rsidRPr="007E0C10">
        <w:rPr>
          <w:rStyle w:val="Hyperlink"/>
        </w:rPr>
        <w:t>https://endoscopyquality.co.nz/about-us/</w:t>
      </w:r>
    </w:p>
    <w:p w14:paraId="57D526CE" w14:textId="6CB86B56" w:rsidR="00013C3B" w:rsidRPr="003C140B" w:rsidRDefault="00013C3B" w:rsidP="00013C3B">
      <w:pPr>
        <w:pStyle w:val="References"/>
      </w:pPr>
      <w:proofErr w:type="spellStart"/>
      <w:r w:rsidRPr="003C140B">
        <w:rPr>
          <w:rFonts w:cs="Arial"/>
          <w:color w:val="000000"/>
        </w:rPr>
        <w:t>EGGNZa</w:t>
      </w:r>
      <w:proofErr w:type="spellEnd"/>
      <w:r w:rsidRPr="003C140B">
        <w:rPr>
          <w:rFonts w:cs="Arial"/>
          <w:color w:val="000000"/>
        </w:rPr>
        <w:t xml:space="preserve"> = </w:t>
      </w:r>
      <w:r w:rsidR="007E0C10">
        <w:rPr>
          <w:rFonts w:cs="Arial"/>
        </w:rPr>
        <w:t xml:space="preserve">EGGNZ 2017, </w:t>
      </w:r>
      <w:r w:rsidRPr="003C140B">
        <w:rPr>
          <w:rFonts w:cs="Arial Black"/>
          <w:bCs/>
        </w:rPr>
        <w:t xml:space="preserve">Endoscopy Standards for Individual </w:t>
      </w:r>
      <w:proofErr w:type="spellStart"/>
      <w:r w:rsidRPr="003C140B">
        <w:rPr>
          <w:rFonts w:cs="Arial Black"/>
          <w:bCs/>
        </w:rPr>
        <w:t>Colonoscopists</w:t>
      </w:r>
      <w:proofErr w:type="spellEnd"/>
      <w:r w:rsidRPr="003C140B">
        <w:rPr>
          <w:rFonts w:cs="Arial Black"/>
          <w:bCs/>
        </w:rPr>
        <w:t xml:space="preserve"> Performing Bowel Cancer Screening in New Zealand</w:t>
      </w:r>
      <w:r w:rsidRPr="003C140B">
        <w:rPr>
          <w:rFonts w:cs="Arial Black"/>
        </w:rPr>
        <w:t xml:space="preserve"> and </w:t>
      </w:r>
      <w:r w:rsidRPr="003C140B">
        <w:rPr>
          <w:rFonts w:cs="Arial Black"/>
          <w:iCs/>
        </w:rPr>
        <w:t>Endoscopy Unit Standards for Performing Bowel Cancer Screening in New Zealand)</w:t>
      </w:r>
      <w:r w:rsidRPr="003C140B">
        <w:rPr>
          <w:rFonts w:cs="Arial"/>
        </w:rPr>
        <w:t xml:space="preserve">: </w:t>
      </w:r>
      <w:r w:rsidR="007E0C10" w:rsidRPr="007E0C10">
        <w:rPr>
          <w:rStyle w:val="Hyperlink"/>
          <w:rFonts w:cs="Arial"/>
        </w:rPr>
        <w:t>https://endoscopyquality.co.nz/assets/Uploads/EGGNZ-Endoscopy-Standards-for-Individual-Colonoscopists-Performing-Bowel-Cancer-Screening-in-New-Zealand-Final-v3.0.pdf</w:t>
      </w:r>
    </w:p>
    <w:p w14:paraId="38FBAA54" w14:textId="0CC288B5" w:rsidR="00013C3B" w:rsidRPr="00215A98" w:rsidRDefault="00013C3B" w:rsidP="00013C3B">
      <w:pPr>
        <w:pStyle w:val="References"/>
      </w:pPr>
      <w:proofErr w:type="spellStart"/>
      <w:r w:rsidRPr="00215A98">
        <w:t>EGGNZb</w:t>
      </w:r>
      <w:proofErr w:type="spellEnd"/>
      <w:r w:rsidRPr="00215A98">
        <w:t xml:space="preserve"> 2017</w:t>
      </w:r>
      <w:r w:rsidR="007E0C10">
        <w:t>,</w:t>
      </w:r>
      <w:r w:rsidRPr="00215A98">
        <w:t xml:space="preserve"> Endoscopy Unit Standards for Performing Bowel Cancer Screening in New Zealand</w:t>
      </w:r>
      <w:r>
        <w:rPr>
          <w:rFonts w:asciiTheme="minorHAnsi" w:hAnsiTheme="minorHAnsi"/>
          <w:bCs/>
          <w:szCs w:val="22"/>
        </w:rPr>
        <w:t xml:space="preserve"> </w:t>
      </w:r>
      <w:r w:rsidR="007E0C10" w:rsidRPr="007E0C10">
        <w:t>https://endoscopyquality.co.nz/assets/Uploads/EGGNZ-Endoscopy-Unit-Standards-for-Performing-Bowel-Cancer-Screening-in-New-Zealand-v3.0.pdf</w:t>
      </w:r>
    </w:p>
    <w:p w14:paraId="68CB002B" w14:textId="77777777" w:rsidR="007E0C10" w:rsidRDefault="007E0C10" w:rsidP="007E0C10">
      <w:pPr>
        <w:pStyle w:val="References"/>
        <w:rPr>
          <w:rStyle w:val="Hyperlink"/>
        </w:rPr>
      </w:pPr>
      <w:r>
        <w:lastRenderedPageBreak/>
        <w:t xml:space="preserve">ESGE </w:t>
      </w:r>
      <w:r w:rsidRPr="003C140B">
        <w:t>= European Society of Gastrointestinal Endoscopy</w:t>
      </w:r>
      <w:r>
        <w:t xml:space="preserve"> </w:t>
      </w:r>
      <w:r w:rsidRPr="003C140B">
        <w:t>http://www.esge.com/esge-guidelines.html</w:t>
      </w:r>
      <w:r w:rsidRPr="003C140B">
        <w:rPr>
          <w:bCs/>
          <w:color w:val="222222"/>
        </w:rPr>
        <w:t xml:space="preserve">Colorectal polypectomy and endoscopic mucosal resection (EMR): European Society of Gastrointestinal Endoscopy (ESGE) clinical guideline (2013). </w:t>
      </w:r>
      <w:hyperlink r:id="rId36" w:history="1">
        <w:r w:rsidRPr="003C140B">
          <w:rPr>
            <w:rStyle w:val="Hyperlink"/>
          </w:rPr>
          <w:t>http://www.esge.com/colorectal-polypectomy-and-endoscopic-mucosal-resection-emr-esge.html</w:t>
        </w:r>
      </w:hyperlink>
    </w:p>
    <w:p w14:paraId="6121FD2D" w14:textId="77777777" w:rsidR="00AA6BD0" w:rsidRPr="003C140B" w:rsidRDefault="00AA6BD0" w:rsidP="00AA6BD0">
      <w:pPr>
        <w:pStyle w:val="References"/>
      </w:pPr>
      <w:r>
        <w:t xml:space="preserve">Ministry of Health, Eligibility. Eligibility for publically funded health services updated 9 November 2011. </w:t>
      </w:r>
      <w:r w:rsidRPr="00E664B4">
        <w:t>https://www.health.govt.nz/new-zealand-health-system/eligibility-publicly-funded-health-services</w:t>
      </w:r>
    </w:p>
    <w:p w14:paraId="2AD8545D" w14:textId="0B17E5F4" w:rsidR="004D2770" w:rsidRPr="003C140B" w:rsidRDefault="00AA6BD0" w:rsidP="004D2770">
      <w:pPr>
        <w:pStyle w:val="References"/>
      </w:pPr>
      <w:r>
        <w:t xml:space="preserve">Ministry of Health, </w:t>
      </w:r>
      <w:r w:rsidR="004D2770" w:rsidRPr="003C140B">
        <w:t>Equity</w:t>
      </w:r>
      <w:r>
        <w:t>:</w:t>
      </w:r>
      <w:r w:rsidR="004D2770" w:rsidRPr="003C140B">
        <w:t xml:space="preserve"> </w:t>
      </w:r>
      <w:hyperlink r:id="rId37" w:history="1">
        <w:r w:rsidR="004D2770" w:rsidRPr="003C140B">
          <w:rPr>
            <w:rStyle w:val="Hyperlink"/>
          </w:rPr>
          <w:t>http://www.health.govt.nz/our-work/populations/maori-health/he-korowai-oranga/key-threads/equity</w:t>
        </w:r>
      </w:hyperlink>
    </w:p>
    <w:p w14:paraId="27E66B96" w14:textId="2925FF71" w:rsidR="007E0C10" w:rsidRPr="000571B9" w:rsidRDefault="007E0C10" w:rsidP="007E0C10">
      <w:pPr>
        <w:pStyle w:val="References"/>
      </w:pPr>
      <w:r w:rsidRPr="003C140B">
        <w:t>M</w:t>
      </w:r>
      <w:r>
        <w:t xml:space="preserve">inistry </w:t>
      </w:r>
      <w:r w:rsidRPr="003C140B">
        <w:t>o</w:t>
      </w:r>
      <w:r>
        <w:t xml:space="preserve">f </w:t>
      </w:r>
      <w:r w:rsidRPr="003C140B">
        <w:t>H</w:t>
      </w:r>
      <w:r>
        <w:t>ealth</w:t>
      </w:r>
      <w:r w:rsidRPr="003C140B">
        <w:t xml:space="preserve"> MDM</w:t>
      </w:r>
      <w:r>
        <w:t xml:space="preserve">. </w:t>
      </w:r>
      <w:r w:rsidRPr="003C140B">
        <w:rPr>
          <w:rFonts w:cs="Arial"/>
          <w:color w:val="002639"/>
          <w:lang w:val="en"/>
        </w:rPr>
        <w:t>Guidance for implementing high-quality multidisciplinary meetings 2 October 2012</w:t>
      </w:r>
      <w:r>
        <w:rPr>
          <w:rFonts w:cs="Arial"/>
          <w:color w:val="002639"/>
          <w:lang w:val="en"/>
        </w:rPr>
        <w:t xml:space="preserve"> </w:t>
      </w:r>
      <w:hyperlink r:id="rId38" w:history="1">
        <w:r w:rsidRPr="003C140B">
          <w:rPr>
            <w:rStyle w:val="Hyperlink"/>
          </w:rPr>
          <w:t>https://www.health.govt.nz/publication/guidance-implementing-high-quality-multidisciplinary-meetings</w:t>
        </w:r>
      </w:hyperlink>
      <w:r>
        <w:rPr>
          <w:rStyle w:val="Hyperlink"/>
        </w:rPr>
        <w:br/>
      </w:r>
      <w:hyperlink r:id="rId39" w:history="1">
        <w:r w:rsidRPr="003C140B">
          <w:rPr>
            <w:rStyle w:val="Hyperlink"/>
          </w:rPr>
          <w:t>https://www.health.govt.nz/system/files/documents/publications/guidance-implementing-high-quality-multidisciplinary-meetings-oct12-v3.pdf</w:t>
        </w:r>
      </w:hyperlink>
      <w:r>
        <w:rPr>
          <w:rStyle w:val="Hyperlink"/>
        </w:rPr>
        <w:br/>
      </w:r>
      <w:r w:rsidRPr="003C140B">
        <w:t>https://www.health.govt.nz/system/files/documents/publications/quick-reference-for-high-quality-multidisciplinary-meetings_0.pdf</w:t>
      </w:r>
    </w:p>
    <w:p w14:paraId="48293952" w14:textId="4589B8ED" w:rsidR="004D2770" w:rsidRDefault="00AA6BD0" w:rsidP="004D2770">
      <w:pPr>
        <w:pStyle w:val="References"/>
      </w:pPr>
      <w:r>
        <w:t>Ministry of Health,</w:t>
      </w:r>
      <w:r w:rsidR="004D2770" w:rsidRPr="003C140B">
        <w:t xml:space="preserve"> priority groups. NZ Health </w:t>
      </w:r>
      <w:r>
        <w:t xml:space="preserve">Strategy: Future direction Ministry of </w:t>
      </w:r>
      <w:r w:rsidR="004D2770" w:rsidRPr="003C140B">
        <w:t>H</w:t>
      </w:r>
      <w:r>
        <w:t>ealth,</w:t>
      </w:r>
      <w:r w:rsidR="004D2770" w:rsidRPr="003C140B">
        <w:t xml:space="preserve"> April 2016 </w:t>
      </w:r>
      <w:hyperlink r:id="rId40" w:history="1">
        <w:r w:rsidR="004D2770" w:rsidRPr="003C140B">
          <w:rPr>
            <w:rStyle w:val="Hyperlink"/>
          </w:rPr>
          <w:t>https://www.health.govt.nz/system/files/documents/publications/new-zealand-health-strategy-futuredirection-2016-apr16.pdf</w:t>
        </w:r>
      </w:hyperlink>
    </w:p>
    <w:p w14:paraId="15C06E38" w14:textId="77777777" w:rsidR="007E0C10" w:rsidRDefault="007E0C10" w:rsidP="007E0C10">
      <w:pPr>
        <w:pStyle w:val="References"/>
        <w:rPr>
          <w:rFonts w:cs="Lato"/>
        </w:rPr>
      </w:pPr>
      <w:r w:rsidRPr="008960A5">
        <w:rPr>
          <w:rFonts w:cs="Lato"/>
        </w:rPr>
        <w:t xml:space="preserve">NBCWG = National Bowel Cancer Working Group </w:t>
      </w:r>
      <w:hyperlink r:id="rId41" w:history="1">
        <w:r w:rsidRPr="00AA0174">
          <w:rPr>
            <w:rStyle w:val="Hyperlink"/>
            <w:rFonts w:cs="Lato"/>
          </w:rPr>
          <w:t>https://www.health.govt.nz/our-work/diseases-and-conditions/cancer-programme/bowel-cancer-programme</w:t>
        </w:r>
      </w:hyperlink>
      <w:r>
        <w:rPr>
          <w:rFonts w:cs="Lato"/>
        </w:rPr>
        <w:t xml:space="preserve"> last updated 13 June 2013</w:t>
      </w:r>
    </w:p>
    <w:p w14:paraId="00B7D8EE" w14:textId="77777777" w:rsidR="004D2770" w:rsidRPr="003C140B" w:rsidRDefault="004D2770" w:rsidP="004D2770">
      <w:pPr>
        <w:pStyle w:val="References"/>
      </w:pPr>
      <w:r w:rsidRPr="003C140B">
        <w:t xml:space="preserve">NBSP = National Bowel Screening Programme (NZ). </w:t>
      </w:r>
      <w:hyperlink r:id="rId42" w:history="1">
        <w:r w:rsidRPr="003C140B">
          <w:rPr>
            <w:rStyle w:val="Hyperlink"/>
          </w:rPr>
          <w:t>https://www.nsu.govt.nz/health-professionals/national-bowel-screening-programme</w:t>
        </w:r>
      </w:hyperlink>
    </w:p>
    <w:p w14:paraId="5C4B1404" w14:textId="77777777" w:rsidR="007E0C10" w:rsidRPr="008960A5" w:rsidRDefault="007E0C10" w:rsidP="007E0C10">
      <w:pPr>
        <w:pStyle w:val="References"/>
        <w:rPr>
          <w:rFonts w:cs="Lato"/>
        </w:rPr>
      </w:pPr>
      <w:r>
        <w:rPr>
          <w:rFonts w:cs="Lato"/>
        </w:rPr>
        <w:t>NBSP CTC – CTC standards for quality assurance in the NZ BSP (in draft).</w:t>
      </w:r>
    </w:p>
    <w:p w14:paraId="177983F5" w14:textId="77777777" w:rsidR="007E0C10" w:rsidRPr="003C140B" w:rsidRDefault="007E0C10" w:rsidP="007E0C10">
      <w:pPr>
        <w:pStyle w:val="References"/>
        <w:rPr>
          <w:rFonts w:cs="MyriadMM.400.wt.600.wd"/>
        </w:rPr>
      </w:pPr>
      <w:r w:rsidRPr="003C140B">
        <w:t xml:space="preserve">NCSPI: </w:t>
      </w:r>
      <w:r w:rsidRPr="003C140B">
        <w:rPr>
          <w:rFonts w:cs="MyriadMM.400.wt.600.wd"/>
        </w:rPr>
        <w:t xml:space="preserve">Faculty of Radiologists, Royal College of Surgeons in Ireland (2012) Guidelines for use of CT </w:t>
      </w:r>
      <w:proofErr w:type="spellStart"/>
      <w:r w:rsidRPr="003C140B">
        <w:rPr>
          <w:rFonts w:cs="MyriadMM.400.wt.600.wd"/>
        </w:rPr>
        <w:t>Colonography</w:t>
      </w:r>
      <w:proofErr w:type="spellEnd"/>
      <w:r w:rsidRPr="003C140B">
        <w:rPr>
          <w:rFonts w:cs="MyriadMM.400.wt.600.wd"/>
        </w:rPr>
        <w:t xml:space="preserve"> (CTC) as part of the National Colorectal Screening Programme in Ireland, available: http://www.radiology.ie/wp-content/uploads/2012/01/Guidelines-for-Use-of-CT-Colonography-CTC-as-Part-of-the-National-Colorectal-Screening-Programme-in-Ireland1.pdf</w:t>
      </w:r>
    </w:p>
    <w:p w14:paraId="2809D111" w14:textId="77777777" w:rsidR="004D2770" w:rsidRDefault="004D2770" w:rsidP="004D2770">
      <w:pPr>
        <w:pStyle w:val="References"/>
        <w:rPr>
          <w:rFonts w:cs="Arial"/>
          <w:color w:val="000000"/>
        </w:rPr>
      </w:pPr>
      <w:r w:rsidRPr="003C140B">
        <w:t>NHSB</w:t>
      </w:r>
      <w:r>
        <w:t>C</w:t>
      </w:r>
      <w:r w:rsidRPr="003C140B">
        <w:t>SP = NHS Bowel Screening Programme.</w:t>
      </w:r>
      <w:r>
        <w:t xml:space="preserve"> </w:t>
      </w:r>
      <w:r w:rsidRPr="003C140B">
        <w:t xml:space="preserve">NHS public </w:t>
      </w:r>
      <w:r>
        <w:t>health functions agreement 2017–</w:t>
      </w:r>
      <w:r w:rsidRPr="003C140B">
        <w:t>18</w:t>
      </w:r>
      <w:r>
        <w:t xml:space="preserve"> </w:t>
      </w:r>
      <w:r w:rsidRPr="003C140B">
        <w:rPr>
          <w:rFonts w:cs="Arial"/>
          <w:bCs/>
          <w:color w:val="000000"/>
        </w:rPr>
        <w:t xml:space="preserve">Service specification no.26 Bowel Cancer Screening Programme. </w:t>
      </w:r>
      <w:r w:rsidRPr="003C140B">
        <w:rPr>
          <w:rFonts w:cs="Arial"/>
          <w:color w:val="000000"/>
        </w:rPr>
        <w:t xml:space="preserve">Version number: 1.0. First published: April 2017. </w:t>
      </w:r>
      <w:hyperlink r:id="rId43" w:history="1">
        <w:r w:rsidRPr="00B841F6">
          <w:rPr>
            <w:rStyle w:val="Hyperlink"/>
            <w:rFonts w:cs="Arial"/>
          </w:rPr>
          <w:t>https://www.england.nhs.uk/wp-content/uploads/2017/04/service-spec-26.pdf</w:t>
        </w:r>
      </w:hyperlink>
    </w:p>
    <w:p w14:paraId="12E92627" w14:textId="77777777" w:rsidR="00AA6BD0" w:rsidRDefault="00AA6BD0" w:rsidP="00AA6BD0">
      <w:pPr>
        <w:pStyle w:val="References"/>
      </w:pPr>
      <w:r w:rsidRPr="003C140B">
        <w:t>NICE = National Institute for Health and Care Excellence</w:t>
      </w:r>
      <w:r>
        <w:t xml:space="preserve">. </w:t>
      </w:r>
      <w:r w:rsidRPr="003B6490">
        <w:t>Colorectal cancer: diagnosis and management (2011, rev 2017)</w:t>
      </w:r>
      <w:r>
        <w:t xml:space="preserve">. </w:t>
      </w:r>
      <w:hyperlink r:id="rId44" w:history="1">
        <w:r w:rsidRPr="003C140B">
          <w:rPr>
            <w:rStyle w:val="Hyperlink"/>
          </w:rPr>
          <w:t>https://www.nice.org.uk/guidance/cg131</w:t>
        </w:r>
      </w:hyperlink>
    </w:p>
    <w:p w14:paraId="19EBE71E" w14:textId="77777777" w:rsidR="007E0C10" w:rsidRDefault="007E0C10" w:rsidP="007E0C10">
      <w:pPr>
        <w:pStyle w:val="References"/>
        <w:rPr>
          <w:rFonts w:cs="Lato"/>
        </w:rPr>
      </w:pPr>
      <w:r w:rsidRPr="00BB7EE8">
        <w:rPr>
          <w:rFonts w:eastAsia="UniversLTStd-LightCn" w:cs="UniversLTStd-LightCn"/>
        </w:rPr>
        <w:t>NICE 2017</w:t>
      </w:r>
      <w:r>
        <w:rPr>
          <w:rFonts w:eastAsia="UniversLTStd-LightCn" w:cs="UniversLTStd-LightCn"/>
        </w:rPr>
        <w:t xml:space="preserve"> </w:t>
      </w:r>
      <w:r w:rsidRPr="00BB7EE8">
        <w:rPr>
          <w:rFonts w:cs="Lato"/>
        </w:rPr>
        <w:t>Molecular testing strategies for Lynch syndrome in people with colorectal cancer</w:t>
      </w:r>
      <w:r>
        <w:rPr>
          <w:rFonts w:cs="Lato"/>
        </w:rPr>
        <w:t xml:space="preserve"> </w:t>
      </w:r>
      <w:r w:rsidRPr="00BB7EE8">
        <w:rPr>
          <w:rFonts w:cs="Lato"/>
        </w:rPr>
        <w:t>nice.org.uk/guidance/dg27</w:t>
      </w:r>
    </w:p>
    <w:p w14:paraId="287F434B" w14:textId="19268EAC" w:rsidR="007E0C10" w:rsidRDefault="007E0C10" w:rsidP="007E0C10">
      <w:pPr>
        <w:pStyle w:val="References"/>
      </w:pPr>
      <w:r w:rsidRPr="003C140B">
        <w:rPr>
          <w:rFonts w:eastAsia="UniversLTStd-LightCn" w:cs="UniversLTStd-LightCn"/>
        </w:rPr>
        <w:t>NSU = National Screening Unit</w:t>
      </w:r>
      <w:r>
        <w:rPr>
          <w:rFonts w:eastAsia="UniversLTStd-LightCn" w:cs="UniversLTStd-LightCn"/>
        </w:rPr>
        <w:t xml:space="preserve"> </w:t>
      </w:r>
      <w:hyperlink r:id="rId45" w:history="1">
        <w:r w:rsidRPr="00BF2754">
          <w:rPr>
            <w:rStyle w:val="Hyperlink"/>
          </w:rPr>
          <w:t>https://www.nsu.govt.nz/</w:t>
        </w:r>
      </w:hyperlink>
    </w:p>
    <w:p w14:paraId="74BA0BBD" w14:textId="35456EFC" w:rsidR="007E0C10" w:rsidRPr="003C140B" w:rsidRDefault="007E0C10" w:rsidP="007E0C10">
      <w:pPr>
        <w:pStyle w:val="References"/>
      </w:pPr>
      <w:r w:rsidRPr="003C140B">
        <w:t>NZFGICS = New Zealand Familial GI Service</w:t>
      </w:r>
      <w:r>
        <w:t xml:space="preserve"> </w:t>
      </w:r>
      <w:hyperlink r:id="rId46" w:history="1">
        <w:r w:rsidRPr="003C140B">
          <w:rPr>
            <w:rStyle w:val="Hyperlink"/>
          </w:rPr>
          <w:t>http://www.nzfgcs.co.nz/home</w:t>
        </w:r>
      </w:hyperlink>
    </w:p>
    <w:p w14:paraId="33CDDD6C" w14:textId="67EFE608" w:rsidR="00AA6BD0" w:rsidRDefault="00AA6BD0" w:rsidP="00AA6BD0">
      <w:pPr>
        <w:pStyle w:val="References"/>
      </w:pPr>
      <w:r w:rsidRPr="003C140B">
        <w:rPr>
          <w:rFonts w:cs="Arial"/>
          <w:color w:val="000000"/>
        </w:rPr>
        <w:t xml:space="preserve">NZGG  = </w:t>
      </w:r>
      <w:r w:rsidRPr="003C140B">
        <w:t xml:space="preserve">The New Zealand Guidelines Group </w:t>
      </w:r>
      <w:r w:rsidR="00013C3B">
        <w:t xml:space="preserve">(NZGG) </w:t>
      </w:r>
      <w:r w:rsidRPr="003C140B">
        <w:t>was an independent, not-for-profit organisation, set up in 1999 to promote the use of evidence in the delivery of health and disability services. The NZGG went into voluntary liquidation in mid-2012.</w:t>
      </w:r>
      <w:r>
        <w:t xml:space="preserve"> </w:t>
      </w:r>
    </w:p>
    <w:p w14:paraId="2C1F96E9" w14:textId="50AC09D7" w:rsidR="00AA6BD0" w:rsidRPr="003C140B" w:rsidRDefault="00AA6BD0" w:rsidP="00AA6BD0">
      <w:pPr>
        <w:pStyle w:val="References"/>
      </w:pPr>
      <w:r>
        <w:t xml:space="preserve">NZGG 2011: </w:t>
      </w:r>
      <w:r w:rsidRPr="003C140B">
        <w:t xml:space="preserve">The NZGG created evidence-based guidance, useable tools and implementation approaches. They also promoted the use of evidence in clinical and personal practice. </w:t>
      </w:r>
      <w:hyperlink r:id="rId47" w:history="1">
        <w:r w:rsidRPr="003C140B">
          <w:rPr>
            <w:rStyle w:val="Hyperlink"/>
          </w:rPr>
          <w:t>http://www.health.govt.nz/search/results/NZGG</w:t>
        </w:r>
      </w:hyperlink>
    </w:p>
    <w:p w14:paraId="1BA65245" w14:textId="6F290923" w:rsidR="004D2770" w:rsidRPr="00DA70B6" w:rsidRDefault="004D2770" w:rsidP="004D2770">
      <w:pPr>
        <w:pStyle w:val="References"/>
        <w:rPr>
          <w:rFonts w:cs="MyriadPro-Regular"/>
        </w:rPr>
      </w:pPr>
      <w:r w:rsidRPr="003C140B">
        <w:lastRenderedPageBreak/>
        <w:t>NZGG 2009</w:t>
      </w:r>
      <w:r w:rsidR="00AA6BD0">
        <w:t xml:space="preserve">: </w:t>
      </w:r>
      <w:r w:rsidRPr="003C140B">
        <w:t xml:space="preserve">Suspected cancer in primary care. </w:t>
      </w:r>
      <w:r w:rsidRPr="003C140B">
        <w:rPr>
          <w:rFonts w:cs="MyriadPro-Regular"/>
        </w:rPr>
        <w:t xml:space="preserve">Guidelines for investigation, referral and reducing ethnic disparities. </w:t>
      </w:r>
      <w:proofErr w:type="spellStart"/>
      <w:r w:rsidRPr="003C140B">
        <w:rPr>
          <w:rFonts w:cs="MyriadPro-Regular"/>
        </w:rPr>
        <w:t>MoH</w:t>
      </w:r>
      <w:proofErr w:type="spellEnd"/>
      <w:r w:rsidRPr="003C140B">
        <w:rPr>
          <w:rFonts w:cs="MyriadPro-Regular"/>
        </w:rPr>
        <w:t>. https://www.health.govt.nz/publication/suspected-cancer-primary-care-guidelines-investigation-referral-and-reducing-ethnic-disparities</w:t>
      </w:r>
    </w:p>
    <w:p w14:paraId="2505CEF3" w14:textId="53DD32BA" w:rsidR="003B6490" w:rsidRDefault="00F301C7" w:rsidP="00215A98">
      <w:pPr>
        <w:pStyle w:val="References"/>
      </w:pPr>
      <w:r w:rsidRPr="003C140B">
        <w:t xml:space="preserve">NZGG 2011 (includes 2004): Surveillance for people at increased risk of Colorectal Cancer. </w:t>
      </w:r>
      <w:proofErr w:type="spellStart"/>
      <w:r w:rsidRPr="003C140B">
        <w:t>MoH</w:t>
      </w:r>
      <w:proofErr w:type="spellEnd"/>
      <w:r w:rsidRPr="003C140B">
        <w:t>.</w:t>
      </w:r>
      <w:r w:rsidR="00215A98">
        <w:t xml:space="preserve"> </w:t>
      </w:r>
      <w:r w:rsidRPr="003C140B">
        <w:t>https://www.health.govt.nz/system/files/documents/publications/colorectal-cancer-surveillance-guidance.pdf</w:t>
      </w:r>
    </w:p>
    <w:p w14:paraId="11D651CD" w14:textId="77777777" w:rsidR="007E0C10" w:rsidRPr="003C140B" w:rsidRDefault="007E0C10" w:rsidP="007E0C10">
      <w:pPr>
        <w:pStyle w:val="References"/>
        <w:rPr>
          <w:rFonts w:cs="Arial"/>
        </w:rPr>
      </w:pPr>
      <w:r w:rsidRPr="003C140B">
        <w:rPr>
          <w:rFonts w:cs="Arial"/>
          <w:color w:val="000000"/>
        </w:rPr>
        <w:t>NZNO = NZ Nurses Organisation</w:t>
      </w:r>
      <w:r>
        <w:rPr>
          <w:rFonts w:cs="Arial"/>
          <w:color w:val="000000"/>
        </w:rPr>
        <w:t xml:space="preserve">. </w:t>
      </w:r>
      <w:r w:rsidRPr="003C140B">
        <w:rPr>
          <w:rFonts w:cs="Arial"/>
          <w:color w:val="000000"/>
        </w:rPr>
        <w:t>NZNO Gastroenterology Nurses College. Standards for delivery of services.</w:t>
      </w:r>
      <w:r>
        <w:rPr>
          <w:rFonts w:cs="Arial"/>
          <w:color w:val="000000"/>
        </w:rPr>
        <w:t xml:space="preserve"> </w:t>
      </w:r>
      <w:r w:rsidRPr="003C140B">
        <w:rPr>
          <w:rFonts w:cs="Arial"/>
          <w:color w:val="000000"/>
        </w:rPr>
        <w:t>2000.</w:t>
      </w:r>
      <w:r>
        <w:rPr>
          <w:rFonts w:cs="Arial"/>
          <w:color w:val="000000"/>
        </w:rPr>
        <w:t xml:space="preserve"> </w:t>
      </w:r>
      <w:r w:rsidRPr="003C140B">
        <w:rPr>
          <w:rFonts w:cs="Arial"/>
        </w:rPr>
        <w:t>https://www.nzno.org.nz/groups/colleges_sections/colleges/nzno_gastroenterology_nurses_college/nzgns_standards</w:t>
      </w:r>
    </w:p>
    <w:p w14:paraId="79D606AE" w14:textId="5E2A33C6" w:rsidR="00F301C7" w:rsidRPr="007E0C10" w:rsidRDefault="00F301C7" w:rsidP="00215A98">
      <w:pPr>
        <w:pStyle w:val="References"/>
      </w:pPr>
      <w:r w:rsidRPr="003C140B">
        <w:t xml:space="preserve">RANZCR = Royal Australian and New Zealand College of Radiologists </w:t>
      </w:r>
      <w:hyperlink r:id="rId48" w:history="1">
        <w:r w:rsidRPr="003C140B">
          <w:rPr>
            <w:rStyle w:val="Hyperlink"/>
          </w:rPr>
          <w:t>https://www.ranzcr.com/college/document-library/</w:t>
        </w:r>
      </w:hyperlink>
      <w:r w:rsidR="00215A98">
        <w:rPr>
          <w:rStyle w:val="Hyperlink"/>
        </w:rPr>
        <w:br/>
      </w:r>
      <w:hyperlink r:id="rId49" w:history="1">
        <w:r w:rsidRPr="003C140B">
          <w:rPr>
            <w:rStyle w:val="Hyperlink"/>
          </w:rPr>
          <w:t>https://www.ranzcr.com/fellows/clinical-radiology/quality-assurance-and-accreditation/ctc</w:t>
        </w:r>
      </w:hyperlink>
    </w:p>
    <w:p w14:paraId="68EFE465" w14:textId="77777777" w:rsidR="00F301C7" w:rsidRDefault="00F301C7" w:rsidP="00215A98">
      <w:pPr>
        <w:pStyle w:val="References"/>
        <w:rPr>
          <w:rFonts w:cs="Lato"/>
        </w:rPr>
      </w:pPr>
      <w:r w:rsidRPr="00BB7EE8">
        <w:rPr>
          <w:rFonts w:cs="Lato"/>
        </w:rPr>
        <w:t>WHO</w:t>
      </w:r>
      <w:r>
        <w:rPr>
          <w:rFonts w:cs="Lato"/>
        </w:rPr>
        <w:t xml:space="preserve"> World Health Organisation. </w:t>
      </w:r>
      <w:r w:rsidRPr="00BB7EE8">
        <w:rPr>
          <w:rFonts w:cs="Arial"/>
          <w:bCs/>
        </w:rPr>
        <w:t xml:space="preserve">WHO Classification of Tumours of the Digestive System. </w:t>
      </w:r>
      <w:r w:rsidRPr="00BB7EE8">
        <w:rPr>
          <w:rFonts w:cs="Arial"/>
          <w:bCs/>
          <w:lang w:eastAsia="en-NZ"/>
        </w:rPr>
        <w:t xml:space="preserve">WHO Classification of Tumours, Volume 3, IARC WHO Classification of Tumours, No 3 Bosman FT, </w:t>
      </w:r>
      <w:proofErr w:type="spellStart"/>
      <w:r w:rsidRPr="00BB7EE8">
        <w:rPr>
          <w:rFonts w:cs="Arial"/>
          <w:bCs/>
          <w:lang w:eastAsia="en-NZ"/>
        </w:rPr>
        <w:t>Carneiro</w:t>
      </w:r>
      <w:proofErr w:type="spellEnd"/>
      <w:r w:rsidRPr="00BB7EE8">
        <w:rPr>
          <w:rFonts w:cs="Arial"/>
          <w:bCs/>
          <w:lang w:eastAsia="en-NZ"/>
        </w:rPr>
        <w:t xml:space="preserve"> F, </w:t>
      </w:r>
      <w:proofErr w:type="spellStart"/>
      <w:r w:rsidRPr="00BB7EE8">
        <w:rPr>
          <w:rFonts w:cs="Arial"/>
          <w:bCs/>
          <w:lang w:eastAsia="en-NZ"/>
        </w:rPr>
        <w:t>Hruban</w:t>
      </w:r>
      <w:proofErr w:type="spellEnd"/>
      <w:r w:rsidRPr="00BB7EE8">
        <w:rPr>
          <w:rFonts w:cs="Arial"/>
          <w:bCs/>
          <w:lang w:eastAsia="en-NZ"/>
        </w:rPr>
        <w:t xml:space="preserve"> RH, </w:t>
      </w:r>
      <w:proofErr w:type="spellStart"/>
      <w:r w:rsidRPr="00BB7EE8">
        <w:rPr>
          <w:rFonts w:cs="Arial"/>
          <w:bCs/>
          <w:lang w:eastAsia="en-NZ"/>
        </w:rPr>
        <w:t>Theise</w:t>
      </w:r>
      <w:proofErr w:type="spellEnd"/>
      <w:r w:rsidRPr="00BB7EE8">
        <w:rPr>
          <w:rFonts w:cs="Arial"/>
          <w:bCs/>
          <w:lang w:eastAsia="en-NZ"/>
        </w:rPr>
        <w:t xml:space="preserve"> ND. </w:t>
      </w:r>
      <w:r w:rsidRPr="00BB7EE8">
        <w:rPr>
          <w:lang w:eastAsia="en-NZ"/>
        </w:rPr>
        <w:t>ISBN-13</w:t>
      </w:r>
      <w:r w:rsidR="003B6490">
        <w:rPr>
          <w:lang w:eastAsia="en-NZ"/>
        </w:rPr>
        <w:t xml:space="preserve"> </w:t>
      </w:r>
      <w:r w:rsidRPr="00BB7EE8">
        <w:rPr>
          <w:lang w:eastAsia="en-NZ"/>
        </w:rPr>
        <w:t>9789283224327 ISBN-10</w:t>
      </w:r>
      <w:r w:rsidR="003B6490">
        <w:rPr>
          <w:lang w:eastAsia="en-NZ"/>
        </w:rPr>
        <w:t xml:space="preserve"> </w:t>
      </w:r>
      <w:r w:rsidRPr="00BB7EE8">
        <w:rPr>
          <w:lang w:eastAsia="en-NZ"/>
        </w:rPr>
        <w:t>9283224329</w:t>
      </w:r>
      <w:r w:rsidR="00215A98">
        <w:rPr>
          <w:lang w:eastAsia="en-NZ"/>
        </w:rPr>
        <w:t xml:space="preserve"> </w:t>
      </w:r>
      <w:hyperlink r:id="rId50" w:history="1">
        <w:r w:rsidRPr="00AA0174">
          <w:rPr>
            <w:rStyle w:val="Hyperlink"/>
            <w:rFonts w:cs="Lato"/>
          </w:rPr>
          <w:t>http://apps.who.int/bookorders/WHP/detart1.jsp?sesslan=1&amp;codlan=1&amp;codcol=70&amp;codcch=4003#</w:t>
        </w:r>
      </w:hyperlink>
    </w:p>
    <w:p w14:paraId="502629D4" w14:textId="77777777" w:rsidR="00F301C7" w:rsidRDefault="00F301C7" w:rsidP="009F787F"/>
    <w:p w14:paraId="631F855A" w14:textId="77777777" w:rsidR="00F301C7" w:rsidRPr="00647D21" w:rsidRDefault="00F301C7" w:rsidP="009F787F">
      <w:pPr>
        <w:pStyle w:val="Heading1"/>
      </w:pPr>
      <w:bookmarkStart w:id="35" w:name="_Toc530661017"/>
      <w:r w:rsidRPr="00647D21">
        <w:lastRenderedPageBreak/>
        <w:t xml:space="preserve">Grading of </w:t>
      </w:r>
      <w:r w:rsidR="009F787F">
        <w:t>e</w:t>
      </w:r>
      <w:r w:rsidRPr="00647D21">
        <w:t>vidence</w:t>
      </w:r>
      <w:bookmarkEnd w:id="35"/>
    </w:p>
    <w:p w14:paraId="4B4BB7A5" w14:textId="77777777" w:rsidR="00F301C7" w:rsidRDefault="00F301C7" w:rsidP="009F787F">
      <w:pPr>
        <w:pStyle w:val="Heading2"/>
        <w:ind w:left="0" w:firstLine="0"/>
      </w:pPr>
      <w:bookmarkStart w:id="36" w:name="_Toc530661018"/>
      <w:r w:rsidRPr="00657AB6">
        <w:t>Grading – cross comparison</w:t>
      </w:r>
      <w:r>
        <w:t xml:space="preserve"> table for levels of evidence</w:t>
      </w:r>
      <w:bookmarkEnd w:id="36"/>
    </w:p>
    <w:tbl>
      <w:tblPr>
        <w:tblW w:w="0" w:type="auto"/>
        <w:tblInd w:w="57" w:type="dxa"/>
        <w:tblBorders>
          <w:top w:val="single" w:sz="4" w:space="0" w:color="auto"/>
          <w:bottom w:val="single" w:sz="4" w:space="0" w:color="auto"/>
          <w:insideH w:val="single" w:sz="4" w:space="0" w:color="A6A6A6" w:themeColor="background1" w:themeShade="A6"/>
        </w:tblBorders>
        <w:tblLayout w:type="fixed"/>
        <w:tblCellMar>
          <w:left w:w="57" w:type="dxa"/>
          <w:right w:w="57" w:type="dxa"/>
        </w:tblCellMar>
        <w:tblLook w:val="01E0" w:firstRow="1" w:lastRow="1" w:firstColumn="1" w:lastColumn="1" w:noHBand="0" w:noVBand="0"/>
      </w:tblPr>
      <w:tblGrid>
        <w:gridCol w:w="2690"/>
        <w:gridCol w:w="983"/>
        <w:gridCol w:w="1108"/>
        <w:gridCol w:w="1042"/>
        <w:gridCol w:w="1044"/>
        <w:gridCol w:w="1247"/>
        <w:gridCol w:w="1242"/>
      </w:tblGrid>
      <w:tr w:rsidR="00D024A4" w:rsidRPr="00D024A4" w14:paraId="69A0B81E" w14:textId="77777777" w:rsidTr="00FB1574">
        <w:trPr>
          <w:cantSplit/>
        </w:trPr>
        <w:tc>
          <w:tcPr>
            <w:tcW w:w="2690" w:type="dxa"/>
            <w:tcBorders>
              <w:top w:val="single" w:sz="4" w:space="0" w:color="auto"/>
              <w:bottom w:val="single" w:sz="4" w:space="0" w:color="auto"/>
            </w:tcBorders>
            <w:shd w:val="clear" w:color="auto" w:fill="auto"/>
          </w:tcPr>
          <w:p w14:paraId="32D108A3" w14:textId="77777777" w:rsidR="00D024A4" w:rsidRPr="00D024A4" w:rsidRDefault="00D024A4" w:rsidP="00D024A4">
            <w:pPr>
              <w:pStyle w:val="TableText"/>
              <w:rPr>
                <w:b/>
              </w:rPr>
            </w:pPr>
          </w:p>
        </w:tc>
        <w:tc>
          <w:tcPr>
            <w:tcW w:w="983" w:type="dxa"/>
            <w:tcBorders>
              <w:top w:val="single" w:sz="4" w:space="0" w:color="auto"/>
              <w:bottom w:val="single" w:sz="4" w:space="0" w:color="auto"/>
            </w:tcBorders>
            <w:shd w:val="clear" w:color="auto" w:fill="auto"/>
          </w:tcPr>
          <w:p w14:paraId="18452AF0" w14:textId="77777777" w:rsidR="00D024A4" w:rsidRPr="00D024A4" w:rsidRDefault="00D024A4" w:rsidP="00D024A4">
            <w:pPr>
              <w:pStyle w:val="TableText"/>
              <w:jc w:val="center"/>
              <w:rPr>
                <w:b/>
              </w:rPr>
            </w:pPr>
            <w:r w:rsidRPr="00D024A4">
              <w:rPr>
                <w:b/>
              </w:rPr>
              <w:t>NZ guidance</w:t>
            </w:r>
          </w:p>
        </w:tc>
        <w:tc>
          <w:tcPr>
            <w:tcW w:w="1108" w:type="dxa"/>
            <w:tcBorders>
              <w:top w:val="single" w:sz="4" w:space="0" w:color="auto"/>
              <w:bottom w:val="single" w:sz="4" w:space="0" w:color="auto"/>
            </w:tcBorders>
            <w:shd w:val="clear" w:color="auto" w:fill="auto"/>
          </w:tcPr>
          <w:p w14:paraId="308CE4DF" w14:textId="77777777" w:rsidR="00D024A4" w:rsidRPr="00D024A4" w:rsidRDefault="00D024A4" w:rsidP="00D024A4">
            <w:pPr>
              <w:pStyle w:val="TableText"/>
              <w:jc w:val="center"/>
              <w:rPr>
                <w:b/>
              </w:rPr>
            </w:pPr>
            <w:r w:rsidRPr="00D024A4">
              <w:rPr>
                <w:b/>
              </w:rPr>
              <w:t>NZGG; NZFGICS*</w:t>
            </w:r>
          </w:p>
        </w:tc>
        <w:tc>
          <w:tcPr>
            <w:tcW w:w="1042" w:type="dxa"/>
            <w:tcBorders>
              <w:top w:val="single" w:sz="4" w:space="0" w:color="auto"/>
              <w:bottom w:val="single" w:sz="4" w:space="0" w:color="auto"/>
            </w:tcBorders>
            <w:shd w:val="clear" w:color="auto" w:fill="auto"/>
          </w:tcPr>
          <w:p w14:paraId="283514E2" w14:textId="77777777" w:rsidR="00D024A4" w:rsidRPr="00D024A4" w:rsidRDefault="00D024A4" w:rsidP="00D024A4">
            <w:pPr>
              <w:pStyle w:val="TableText"/>
              <w:jc w:val="center"/>
              <w:rPr>
                <w:b/>
              </w:rPr>
            </w:pPr>
            <w:r w:rsidRPr="00D024A4">
              <w:rPr>
                <w:b/>
              </w:rPr>
              <w:t>EC guidelines</w:t>
            </w:r>
          </w:p>
        </w:tc>
        <w:tc>
          <w:tcPr>
            <w:tcW w:w="1044" w:type="dxa"/>
            <w:tcBorders>
              <w:top w:val="single" w:sz="4" w:space="0" w:color="auto"/>
              <w:bottom w:val="single" w:sz="4" w:space="0" w:color="auto"/>
            </w:tcBorders>
            <w:shd w:val="clear" w:color="auto" w:fill="auto"/>
          </w:tcPr>
          <w:p w14:paraId="176EDBB9" w14:textId="77777777" w:rsidR="00D024A4" w:rsidRPr="00D024A4" w:rsidRDefault="00D024A4" w:rsidP="00FB1574">
            <w:pPr>
              <w:pStyle w:val="TableText"/>
              <w:jc w:val="center"/>
              <w:rPr>
                <w:b/>
              </w:rPr>
            </w:pPr>
            <w:r w:rsidRPr="00D024A4">
              <w:rPr>
                <w:b/>
              </w:rPr>
              <w:t>BSG</w:t>
            </w:r>
            <w:r w:rsidR="00FB1574">
              <w:rPr>
                <w:b/>
              </w:rPr>
              <w:br/>
            </w:r>
            <w:r w:rsidRPr="00D024A4">
              <w:rPr>
                <w:b/>
              </w:rPr>
              <w:t>2017</w:t>
            </w:r>
          </w:p>
        </w:tc>
        <w:tc>
          <w:tcPr>
            <w:tcW w:w="1247" w:type="dxa"/>
            <w:tcBorders>
              <w:top w:val="single" w:sz="4" w:space="0" w:color="auto"/>
              <w:bottom w:val="single" w:sz="4" w:space="0" w:color="auto"/>
            </w:tcBorders>
            <w:shd w:val="clear" w:color="auto" w:fill="auto"/>
          </w:tcPr>
          <w:p w14:paraId="12F015D6" w14:textId="77777777" w:rsidR="00D024A4" w:rsidRPr="00D024A4" w:rsidRDefault="00D024A4" w:rsidP="00D024A4">
            <w:pPr>
              <w:pStyle w:val="TableText"/>
              <w:jc w:val="center"/>
              <w:rPr>
                <w:b/>
              </w:rPr>
            </w:pPr>
            <w:r w:rsidRPr="00D024A4">
              <w:rPr>
                <w:b/>
              </w:rPr>
              <w:t>NICE; ESGE; NHSBCSP; AGSE; AGA;</w:t>
            </w:r>
            <w:r>
              <w:rPr>
                <w:b/>
              </w:rPr>
              <w:t xml:space="preserve"> </w:t>
            </w:r>
            <w:r w:rsidRPr="00D024A4">
              <w:rPr>
                <w:b/>
              </w:rPr>
              <w:t>(GRADE)</w:t>
            </w:r>
          </w:p>
        </w:tc>
        <w:tc>
          <w:tcPr>
            <w:tcW w:w="1242" w:type="dxa"/>
            <w:tcBorders>
              <w:top w:val="single" w:sz="4" w:space="0" w:color="auto"/>
              <w:bottom w:val="single" w:sz="4" w:space="0" w:color="auto"/>
            </w:tcBorders>
            <w:shd w:val="clear" w:color="auto" w:fill="auto"/>
          </w:tcPr>
          <w:p w14:paraId="1F826D1D" w14:textId="77777777" w:rsidR="00D024A4" w:rsidRPr="00D024A4" w:rsidRDefault="00D024A4" w:rsidP="00D024A4">
            <w:pPr>
              <w:pStyle w:val="TableText"/>
              <w:jc w:val="center"/>
              <w:rPr>
                <w:b/>
              </w:rPr>
            </w:pPr>
            <w:r w:rsidRPr="00D024A4">
              <w:rPr>
                <w:b/>
              </w:rPr>
              <w:t>#EGGNZ; RANZCR; NZNO; NCSPI; ACR</w:t>
            </w:r>
          </w:p>
        </w:tc>
      </w:tr>
      <w:tr w:rsidR="00D024A4" w:rsidRPr="00631717" w14:paraId="6A53720D" w14:textId="77777777" w:rsidTr="00FB1574">
        <w:trPr>
          <w:cantSplit/>
        </w:trPr>
        <w:tc>
          <w:tcPr>
            <w:tcW w:w="2690" w:type="dxa"/>
            <w:tcBorders>
              <w:top w:val="single" w:sz="4" w:space="0" w:color="auto"/>
            </w:tcBorders>
            <w:shd w:val="clear" w:color="auto" w:fill="auto"/>
          </w:tcPr>
          <w:p w14:paraId="55C434C8" w14:textId="77777777" w:rsidR="00D024A4" w:rsidRPr="004E1462" w:rsidRDefault="00D024A4" w:rsidP="00D024A4">
            <w:pPr>
              <w:pStyle w:val="TableText"/>
            </w:pPr>
            <w:r w:rsidRPr="004E1462">
              <w:t>The recommendation is supported by good evidence (based on a number of studies that are valid, consistent, applicable and clinically relevant)</w:t>
            </w:r>
          </w:p>
        </w:tc>
        <w:tc>
          <w:tcPr>
            <w:tcW w:w="983" w:type="dxa"/>
            <w:tcBorders>
              <w:top w:val="single" w:sz="4" w:space="0" w:color="auto"/>
            </w:tcBorders>
            <w:shd w:val="clear" w:color="auto" w:fill="F2F2F2" w:themeFill="background1" w:themeFillShade="F2"/>
          </w:tcPr>
          <w:p w14:paraId="6329CD59" w14:textId="77777777" w:rsidR="00D024A4" w:rsidRPr="004E1462" w:rsidRDefault="00D024A4" w:rsidP="00D024A4">
            <w:pPr>
              <w:pStyle w:val="TableText"/>
              <w:jc w:val="center"/>
            </w:pPr>
            <w:r w:rsidRPr="004E1462">
              <w:t>Evidence based</w:t>
            </w:r>
          </w:p>
        </w:tc>
        <w:tc>
          <w:tcPr>
            <w:tcW w:w="1108" w:type="dxa"/>
            <w:tcBorders>
              <w:top w:val="single" w:sz="4" w:space="0" w:color="auto"/>
            </w:tcBorders>
            <w:shd w:val="clear" w:color="auto" w:fill="D9D9D9"/>
          </w:tcPr>
          <w:p w14:paraId="55B7B05D" w14:textId="77777777" w:rsidR="00D024A4" w:rsidRPr="004E1462" w:rsidRDefault="00D024A4" w:rsidP="00D024A4">
            <w:pPr>
              <w:pStyle w:val="TableText"/>
              <w:jc w:val="center"/>
            </w:pPr>
            <w:r w:rsidRPr="004E1462">
              <w:t>A</w:t>
            </w:r>
          </w:p>
        </w:tc>
        <w:tc>
          <w:tcPr>
            <w:tcW w:w="1042" w:type="dxa"/>
            <w:tcBorders>
              <w:top w:val="single" w:sz="4" w:space="0" w:color="auto"/>
            </w:tcBorders>
            <w:shd w:val="clear" w:color="auto" w:fill="D9D9D9"/>
          </w:tcPr>
          <w:p w14:paraId="02F5C23F" w14:textId="77777777" w:rsidR="00D024A4" w:rsidRPr="004E1462" w:rsidRDefault="00D024A4" w:rsidP="00D024A4">
            <w:pPr>
              <w:pStyle w:val="TableText"/>
              <w:jc w:val="center"/>
            </w:pPr>
            <w:r w:rsidRPr="004E1462">
              <w:t>I-II</w:t>
            </w:r>
          </w:p>
        </w:tc>
        <w:tc>
          <w:tcPr>
            <w:tcW w:w="1044" w:type="dxa"/>
            <w:tcBorders>
              <w:top w:val="single" w:sz="4" w:space="0" w:color="auto"/>
            </w:tcBorders>
            <w:shd w:val="clear" w:color="auto" w:fill="D9D9D9"/>
          </w:tcPr>
          <w:p w14:paraId="292991ED" w14:textId="77777777" w:rsidR="00D024A4" w:rsidRPr="004E1462" w:rsidRDefault="00D024A4" w:rsidP="00D024A4">
            <w:pPr>
              <w:pStyle w:val="TableText"/>
              <w:jc w:val="center"/>
            </w:pPr>
            <w:r w:rsidRPr="004E1462">
              <w:t>High quality evidence</w:t>
            </w:r>
          </w:p>
        </w:tc>
        <w:tc>
          <w:tcPr>
            <w:tcW w:w="1247" w:type="dxa"/>
            <w:tcBorders>
              <w:top w:val="single" w:sz="4" w:space="0" w:color="auto"/>
            </w:tcBorders>
            <w:shd w:val="clear" w:color="auto" w:fill="D9D9D9"/>
          </w:tcPr>
          <w:p w14:paraId="3ACFFCEE" w14:textId="77777777" w:rsidR="00D024A4" w:rsidRPr="00631717" w:rsidRDefault="00D024A4" w:rsidP="00D024A4">
            <w:pPr>
              <w:pStyle w:val="TableText"/>
              <w:jc w:val="center"/>
            </w:pPr>
            <w:r w:rsidRPr="00631717">
              <w:t>High quality</w:t>
            </w:r>
          </w:p>
        </w:tc>
        <w:tc>
          <w:tcPr>
            <w:tcW w:w="1242" w:type="dxa"/>
            <w:tcBorders>
              <w:top w:val="single" w:sz="4" w:space="0" w:color="auto"/>
            </w:tcBorders>
            <w:shd w:val="clear" w:color="auto" w:fill="D9D9D9"/>
          </w:tcPr>
          <w:p w14:paraId="5826FA0C" w14:textId="77777777" w:rsidR="00D024A4" w:rsidRPr="00631717" w:rsidRDefault="00D024A4" w:rsidP="00D024A4">
            <w:pPr>
              <w:pStyle w:val="TableText"/>
              <w:jc w:val="center"/>
            </w:pPr>
          </w:p>
        </w:tc>
      </w:tr>
      <w:tr w:rsidR="00D024A4" w:rsidRPr="00631717" w14:paraId="62EDC913" w14:textId="77777777" w:rsidTr="00FB1574">
        <w:trPr>
          <w:cantSplit/>
        </w:trPr>
        <w:tc>
          <w:tcPr>
            <w:tcW w:w="2690" w:type="dxa"/>
            <w:shd w:val="clear" w:color="auto" w:fill="auto"/>
          </w:tcPr>
          <w:p w14:paraId="1E4B58CE" w14:textId="77777777" w:rsidR="00D024A4" w:rsidRPr="004E1462" w:rsidRDefault="00D024A4" w:rsidP="00D024A4">
            <w:pPr>
              <w:pStyle w:val="TableText"/>
            </w:pPr>
            <w:r w:rsidRPr="004E1462">
              <w:t>The recommendation is supported by fair evidence (based on studies that are valid, but there are some concerns about the volume, consistency, applicability and clinical relevance of the evidence that may cause some uncertainty but are not likely to be overturned by other evidence)</w:t>
            </w:r>
          </w:p>
        </w:tc>
        <w:tc>
          <w:tcPr>
            <w:tcW w:w="983" w:type="dxa"/>
            <w:shd w:val="clear" w:color="auto" w:fill="F2F2F2" w:themeFill="background1" w:themeFillShade="F2"/>
          </w:tcPr>
          <w:p w14:paraId="4B9AA8E2" w14:textId="77777777" w:rsidR="00D024A4" w:rsidRPr="004E1462" w:rsidRDefault="00D024A4" w:rsidP="00D024A4">
            <w:pPr>
              <w:pStyle w:val="TableText"/>
              <w:jc w:val="center"/>
            </w:pPr>
            <w:r w:rsidRPr="004E1462">
              <w:t>Census based</w:t>
            </w:r>
          </w:p>
        </w:tc>
        <w:tc>
          <w:tcPr>
            <w:tcW w:w="1108" w:type="dxa"/>
            <w:shd w:val="clear" w:color="auto" w:fill="D9D9D9"/>
          </w:tcPr>
          <w:p w14:paraId="074DBBF9" w14:textId="77777777" w:rsidR="00D024A4" w:rsidRPr="004E1462" w:rsidRDefault="00D024A4" w:rsidP="00D024A4">
            <w:pPr>
              <w:pStyle w:val="TableText"/>
              <w:jc w:val="center"/>
            </w:pPr>
            <w:r w:rsidRPr="004E1462">
              <w:t>B</w:t>
            </w:r>
          </w:p>
        </w:tc>
        <w:tc>
          <w:tcPr>
            <w:tcW w:w="1042" w:type="dxa"/>
            <w:shd w:val="clear" w:color="auto" w:fill="D9D9D9"/>
          </w:tcPr>
          <w:p w14:paraId="4C30F914" w14:textId="77777777" w:rsidR="00D024A4" w:rsidRPr="004E1462" w:rsidRDefault="00D024A4" w:rsidP="00D024A4">
            <w:pPr>
              <w:pStyle w:val="TableText"/>
              <w:jc w:val="center"/>
            </w:pPr>
            <w:r w:rsidRPr="004E1462">
              <w:t>III-V</w:t>
            </w:r>
          </w:p>
        </w:tc>
        <w:tc>
          <w:tcPr>
            <w:tcW w:w="1044" w:type="dxa"/>
            <w:shd w:val="clear" w:color="auto" w:fill="D9D9D9"/>
          </w:tcPr>
          <w:p w14:paraId="0DD041E5" w14:textId="77777777" w:rsidR="00D024A4" w:rsidRPr="004E1462" w:rsidRDefault="00D024A4" w:rsidP="00D024A4">
            <w:pPr>
              <w:pStyle w:val="TableText"/>
              <w:jc w:val="center"/>
            </w:pPr>
            <w:r w:rsidRPr="004E1462">
              <w:t>Moderate quality evidence</w:t>
            </w:r>
          </w:p>
        </w:tc>
        <w:tc>
          <w:tcPr>
            <w:tcW w:w="1247" w:type="dxa"/>
            <w:shd w:val="clear" w:color="auto" w:fill="D9D9D9"/>
          </w:tcPr>
          <w:p w14:paraId="097CA890" w14:textId="77777777" w:rsidR="00D024A4" w:rsidRPr="00631717" w:rsidRDefault="00D024A4" w:rsidP="00D024A4">
            <w:pPr>
              <w:pStyle w:val="TableText"/>
              <w:jc w:val="center"/>
            </w:pPr>
            <w:r w:rsidRPr="00631717">
              <w:t>Moderate quality</w:t>
            </w:r>
          </w:p>
        </w:tc>
        <w:tc>
          <w:tcPr>
            <w:tcW w:w="1242" w:type="dxa"/>
            <w:shd w:val="clear" w:color="auto" w:fill="D9D9D9"/>
          </w:tcPr>
          <w:p w14:paraId="0E5B62E6" w14:textId="77777777" w:rsidR="00D024A4" w:rsidRPr="00631717" w:rsidRDefault="00D024A4" w:rsidP="00D024A4">
            <w:pPr>
              <w:pStyle w:val="TableText"/>
              <w:jc w:val="center"/>
            </w:pPr>
          </w:p>
        </w:tc>
      </w:tr>
      <w:tr w:rsidR="00D024A4" w:rsidRPr="00631717" w14:paraId="6FC0E67A" w14:textId="77777777" w:rsidTr="00FB1574">
        <w:trPr>
          <w:cantSplit/>
        </w:trPr>
        <w:tc>
          <w:tcPr>
            <w:tcW w:w="2690" w:type="dxa"/>
            <w:shd w:val="clear" w:color="auto" w:fill="auto"/>
          </w:tcPr>
          <w:p w14:paraId="5747CE98" w14:textId="77777777" w:rsidR="00D024A4" w:rsidRPr="004E1462" w:rsidRDefault="00D024A4" w:rsidP="00D024A4">
            <w:pPr>
              <w:pStyle w:val="TableText"/>
            </w:pPr>
            <w:r w:rsidRPr="004E1462">
              <w:t>The recommendation is supported by international expert opinion</w:t>
            </w:r>
          </w:p>
        </w:tc>
        <w:tc>
          <w:tcPr>
            <w:tcW w:w="983" w:type="dxa"/>
            <w:shd w:val="clear" w:color="auto" w:fill="F2F2F2" w:themeFill="background1" w:themeFillShade="F2"/>
          </w:tcPr>
          <w:p w14:paraId="78CD7E3F" w14:textId="77777777" w:rsidR="00D024A4" w:rsidRPr="004E1462" w:rsidRDefault="00D024A4" w:rsidP="00D024A4">
            <w:pPr>
              <w:pStyle w:val="TableText"/>
              <w:jc w:val="center"/>
            </w:pPr>
            <w:r w:rsidRPr="004E1462">
              <w:t>Census based</w:t>
            </w:r>
          </w:p>
        </w:tc>
        <w:tc>
          <w:tcPr>
            <w:tcW w:w="1108" w:type="dxa"/>
            <w:shd w:val="clear" w:color="auto" w:fill="D9D9D9"/>
          </w:tcPr>
          <w:p w14:paraId="7E713FB4" w14:textId="77777777" w:rsidR="00D024A4" w:rsidRPr="004E1462" w:rsidRDefault="00D024A4" w:rsidP="00D024A4">
            <w:pPr>
              <w:pStyle w:val="TableText"/>
              <w:jc w:val="center"/>
            </w:pPr>
            <w:r w:rsidRPr="004E1462">
              <w:t>C</w:t>
            </w:r>
          </w:p>
        </w:tc>
        <w:tc>
          <w:tcPr>
            <w:tcW w:w="1042" w:type="dxa"/>
            <w:shd w:val="clear" w:color="auto" w:fill="D9D9D9"/>
          </w:tcPr>
          <w:p w14:paraId="59A5D04E" w14:textId="77777777" w:rsidR="00D024A4" w:rsidRPr="004E1462" w:rsidRDefault="00D024A4" w:rsidP="00D024A4">
            <w:pPr>
              <w:pStyle w:val="TableText"/>
              <w:jc w:val="center"/>
            </w:pPr>
            <w:r w:rsidRPr="004E1462">
              <w:t>VI</w:t>
            </w:r>
          </w:p>
        </w:tc>
        <w:tc>
          <w:tcPr>
            <w:tcW w:w="1044" w:type="dxa"/>
            <w:shd w:val="clear" w:color="auto" w:fill="D9D9D9"/>
          </w:tcPr>
          <w:p w14:paraId="49351A2D" w14:textId="77777777" w:rsidR="00D024A4" w:rsidRPr="004E1462" w:rsidRDefault="00D024A4" w:rsidP="00D024A4">
            <w:pPr>
              <w:pStyle w:val="TableText"/>
              <w:jc w:val="center"/>
            </w:pPr>
            <w:r w:rsidRPr="00631717">
              <w:t>Low quality evidence</w:t>
            </w:r>
          </w:p>
        </w:tc>
        <w:tc>
          <w:tcPr>
            <w:tcW w:w="1247" w:type="dxa"/>
            <w:shd w:val="clear" w:color="auto" w:fill="D9D9D9"/>
          </w:tcPr>
          <w:p w14:paraId="153A0206" w14:textId="77777777" w:rsidR="00D024A4" w:rsidRPr="00631717" w:rsidRDefault="00D024A4" w:rsidP="00D024A4">
            <w:pPr>
              <w:pStyle w:val="TableText"/>
              <w:jc w:val="center"/>
            </w:pPr>
            <w:r w:rsidRPr="00631717">
              <w:t>Low quality</w:t>
            </w:r>
          </w:p>
        </w:tc>
        <w:tc>
          <w:tcPr>
            <w:tcW w:w="1242" w:type="dxa"/>
            <w:shd w:val="clear" w:color="auto" w:fill="D9D9D9"/>
          </w:tcPr>
          <w:p w14:paraId="6D6C5334" w14:textId="77777777" w:rsidR="00D024A4" w:rsidRPr="00631717" w:rsidRDefault="00D024A4" w:rsidP="00D024A4">
            <w:pPr>
              <w:pStyle w:val="TableText"/>
              <w:jc w:val="center"/>
            </w:pPr>
          </w:p>
        </w:tc>
      </w:tr>
      <w:tr w:rsidR="00D024A4" w:rsidRPr="00631717" w14:paraId="41679D1A" w14:textId="77777777" w:rsidTr="00FB1574">
        <w:trPr>
          <w:cantSplit/>
        </w:trPr>
        <w:tc>
          <w:tcPr>
            <w:tcW w:w="2690" w:type="dxa"/>
            <w:shd w:val="clear" w:color="auto" w:fill="auto"/>
          </w:tcPr>
          <w:p w14:paraId="5656C86F" w14:textId="77777777" w:rsidR="00D024A4" w:rsidRPr="004E1462" w:rsidRDefault="00D024A4" w:rsidP="00D024A4">
            <w:pPr>
              <w:pStyle w:val="TableText"/>
            </w:pPr>
            <w:r w:rsidRPr="004E1462">
              <w:t>The evidence is insufficient, evidence is lacking, of poor quality or opinions conflicting, the balance of benefits and harms cannot be determined</w:t>
            </w:r>
          </w:p>
        </w:tc>
        <w:tc>
          <w:tcPr>
            <w:tcW w:w="983" w:type="dxa"/>
            <w:shd w:val="clear" w:color="auto" w:fill="F2F2F2" w:themeFill="background1" w:themeFillShade="F2"/>
          </w:tcPr>
          <w:p w14:paraId="5A543CBD" w14:textId="77777777" w:rsidR="00D024A4" w:rsidRPr="004E1462" w:rsidRDefault="00D024A4" w:rsidP="00D024A4">
            <w:pPr>
              <w:pStyle w:val="TableText"/>
              <w:jc w:val="center"/>
            </w:pPr>
            <w:r>
              <w:t>-</w:t>
            </w:r>
          </w:p>
        </w:tc>
        <w:tc>
          <w:tcPr>
            <w:tcW w:w="1108" w:type="dxa"/>
            <w:shd w:val="clear" w:color="auto" w:fill="D9D9D9"/>
          </w:tcPr>
          <w:p w14:paraId="6CAB0682" w14:textId="77777777" w:rsidR="00D024A4" w:rsidRPr="004E1462" w:rsidRDefault="00D024A4" w:rsidP="00D024A4">
            <w:pPr>
              <w:pStyle w:val="TableText"/>
              <w:jc w:val="center"/>
            </w:pPr>
            <w:r w:rsidRPr="004E1462">
              <w:t>I</w:t>
            </w:r>
          </w:p>
        </w:tc>
        <w:tc>
          <w:tcPr>
            <w:tcW w:w="1042" w:type="dxa"/>
            <w:shd w:val="clear" w:color="auto" w:fill="D9D9D9"/>
          </w:tcPr>
          <w:p w14:paraId="78259FFC" w14:textId="77777777" w:rsidR="00D024A4" w:rsidRPr="004E1462" w:rsidRDefault="00D024A4" w:rsidP="00D024A4">
            <w:pPr>
              <w:pStyle w:val="TableText"/>
              <w:jc w:val="center"/>
            </w:pPr>
          </w:p>
        </w:tc>
        <w:tc>
          <w:tcPr>
            <w:tcW w:w="1044" w:type="dxa"/>
            <w:shd w:val="clear" w:color="auto" w:fill="D9D9D9"/>
          </w:tcPr>
          <w:p w14:paraId="56778300" w14:textId="77777777" w:rsidR="00D024A4" w:rsidRPr="004E1462" w:rsidRDefault="00D024A4" w:rsidP="00D024A4">
            <w:pPr>
              <w:pStyle w:val="TableText"/>
              <w:jc w:val="center"/>
            </w:pPr>
          </w:p>
        </w:tc>
        <w:tc>
          <w:tcPr>
            <w:tcW w:w="1247" w:type="dxa"/>
            <w:shd w:val="clear" w:color="auto" w:fill="D9D9D9"/>
          </w:tcPr>
          <w:p w14:paraId="41E98BF7" w14:textId="77777777" w:rsidR="00D024A4" w:rsidRPr="00631717" w:rsidRDefault="00D024A4" w:rsidP="00D024A4">
            <w:pPr>
              <w:pStyle w:val="TableText"/>
              <w:jc w:val="center"/>
            </w:pPr>
            <w:r w:rsidRPr="00631717">
              <w:t>Very low quality</w:t>
            </w:r>
          </w:p>
        </w:tc>
        <w:tc>
          <w:tcPr>
            <w:tcW w:w="1242" w:type="dxa"/>
            <w:shd w:val="clear" w:color="auto" w:fill="D9D9D9"/>
          </w:tcPr>
          <w:p w14:paraId="37AB4AF6" w14:textId="77777777" w:rsidR="00D024A4" w:rsidRPr="00631717" w:rsidRDefault="00D024A4" w:rsidP="00D024A4">
            <w:pPr>
              <w:pStyle w:val="TableText"/>
              <w:jc w:val="center"/>
            </w:pPr>
          </w:p>
        </w:tc>
      </w:tr>
      <w:tr w:rsidR="00D024A4" w:rsidRPr="00631717" w14:paraId="1E0ED473" w14:textId="77777777" w:rsidTr="00FB1574">
        <w:trPr>
          <w:cantSplit/>
        </w:trPr>
        <w:tc>
          <w:tcPr>
            <w:tcW w:w="2690" w:type="dxa"/>
            <w:shd w:val="clear" w:color="auto" w:fill="auto"/>
          </w:tcPr>
          <w:p w14:paraId="3F02D134" w14:textId="77777777" w:rsidR="00D024A4" w:rsidRPr="004E1462" w:rsidRDefault="00D024A4" w:rsidP="00D024A4">
            <w:pPr>
              <w:pStyle w:val="TableText"/>
            </w:pPr>
            <w:r w:rsidRPr="004E1462">
              <w:t>Good practice point – where no evidence is available, best practice recommendations are made based on the experience of the Guidance Revision Team, or feedback from consultation within New Zealand</w:t>
            </w:r>
          </w:p>
        </w:tc>
        <w:tc>
          <w:tcPr>
            <w:tcW w:w="983" w:type="dxa"/>
            <w:shd w:val="clear" w:color="auto" w:fill="F2F2F2" w:themeFill="background1" w:themeFillShade="F2"/>
          </w:tcPr>
          <w:p w14:paraId="6A207ACD" w14:textId="77777777" w:rsidR="00D024A4" w:rsidRPr="004E1462" w:rsidRDefault="00D024A4" w:rsidP="00D024A4">
            <w:pPr>
              <w:pStyle w:val="TableText"/>
              <w:jc w:val="center"/>
            </w:pPr>
            <w:r w:rsidRPr="004E1462">
              <w:t>Practice point</w:t>
            </w:r>
          </w:p>
        </w:tc>
        <w:tc>
          <w:tcPr>
            <w:tcW w:w="1108" w:type="dxa"/>
            <w:shd w:val="clear" w:color="auto" w:fill="D9D9D9"/>
          </w:tcPr>
          <w:p w14:paraId="7B13EC2D" w14:textId="77777777" w:rsidR="00D024A4" w:rsidRPr="004E1462" w:rsidRDefault="00D024A4" w:rsidP="00D024A4">
            <w:pPr>
              <w:pStyle w:val="TableText"/>
              <w:jc w:val="center"/>
            </w:pPr>
            <w:r w:rsidRPr="004E1462">
              <w:sym w:font="Wingdings" w:char="F0FC"/>
            </w:r>
          </w:p>
        </w:tc>
        <w:tc>
          <w:tcPr>
            <w:tcW w:w="1042" w:type="dxa"/>
            <w:shd w:val="clear" w:color="auto" w:fill="D9D9D9"/>
          </w:tcPr>
          <w:p w14:paraId="46587528" w14:textId="77777777" w:rsidR="00D024A4" w:rsidRPr="004E1462" w:rsidRDefault="00D024A4" w:rsidP="00D024A4">
            <w:pPr>
              <w:pStyle w:val="TableText"/>
              <w:jc w:val="center"/>
            </w:pPr>
          </w:p>
        </w:tc>
        <w:tc>
          <w:tcPr>
            <w:tcW w:w="1044" w:type="dxa"/>
            <w:shd w:val="clear" w:color="auto" w:fill="D9D9D9"/>
          </w:tcPr>
          <w:p w14:paraId="4A934E48" w14:textId="77777777" w:rsidR="00D024A4" w:rsidRPr="004E1462" w:rsidRDefault="00D024A4" w:rsidP="00D024A4">
            <w:pPr>
              <w:pStyle w:val="TableText"/>
              <w:jc w:val="center"/>
            </w:pPr>
          </w:p>
        </w:tc>
        <w:tc>
          <w:tcPr>
            <w:tcW w:w="1247" w:type="dxa"/>
            <w:shd w:val="clear" w:color="auto" w:fill="D9D9D9"/>
          </w:tcPr>
          <w:p w14:paraId="102EF654" w14:textId="77777777" w:rsidR="00D024A4" w:rsidRPr="00631717" w:rsidRDefault="00D024A4" w:rsidP="00D024A4">
            <w:pPr>
              <w:pStyle w:val="TableText"/>
              <w:jc w:val="center"/>
            </w:pPr>
          </w:p>
        </w:tc>
        <w:tc>
          <w:tcPr>
            <w:tcW w:w="1242" w:type="dxa"/>
            <w:shd w:val="clear" w:color="auto" w:fill="D9D9D9"/>
          </w:tcPr>
          <w:p w14:paraId="74ACA3A5" w14:textId="77777777" w:rsidR="00D024A4" w:rsidRPr="00631717" w:rsidRDefault="00D024A4" w:rsidP="00D024A4">
            <w:pPr>
              <w:pStyle w:val="TableText"/>
              <w:jc w:val="center"/>
            </w:pPr>
            <w:r>
              <w:t>Practice point</w:t>
            </w:r>
          </w:p>
        </w:tc>
      </w:tr>
    </w:tbl>
    <w:p w14:paraId="39F8FBA5" w14:textId="77777777" w:rsidR="00F301C7" w:rsidRDefault="009F787F" w:rsidP="009F787F">
      <w:pPr>
        <w:pStyle w:val="Note"/>
      </w:pPr>
      <w:r>
        <w:t>*</w:t>
      </w:r>
      <w:r>
        <w:tab/>
      </w:r>
      <w:r w:rsidR="00F301C7" w:rsidRPr="003C140B">
        <w:t>NZFGICS</w:t>
      </w:r>
      <w:r w:rsidR="00F301C7">
        <w:t xml:space="preserve"> guidelines link directly to NZGG 2011.</w:t>
      </w:r>
    </w:p>
    <w:p w14:paraId="1FDAC7CE" w14:textId="77777777" w:rsidR="00F301C7" w:rsidRDefault="00F301C7" w:rsidP="009F787F">
      <w:pPr>
        <w:pStyle w:val="Note"/>
      </w:pPr>
      <w:r>
        <w:t>#</w:t>
      </w:r>
      <w:r w:rsidR="009F787F">
        <w:tab/>
      </w:r>
      <w:r>
        <w:t>This group Indicated as at least equivalent to practice point because either a grading system has not been identified or has been identified as based on review of other guidelines/standards by the organisations revision team</w:t>
      </w:r>
      <w:r w:rsidR="009F787F">
        <w:t>.</w:t>
      </w:r>
    </w:p>
    <w:p w14:paraId="272FDBAA" w14:textId="77777777" w:rsidR="00F301C7" w:rsidRPr="00F301C7" w:rsidRDefault="00F301C7" w:rsidP="00FB1574"/>
    <w:sectPr w:rsidR="00F301C7" w:rsidRPr="00F301C7" w:rsidSect="009D5125">
      <w:headerReference w:type="default" r:id="rId51"/>
      <w:footerReference w:type="even" r:id="rId52"/>
      <w:footerReference w:type="default" r:id="rId53"/>
      <w:pgSz w:w="11907" w:h="16834" w:code="9"/>
      <w:pgMar w:top="851" w:right="1134" w:bottom="1134" w:left="1134" w:header="284" w:footer="567" w:gutter="28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E24452" w14:textId="77777777" w:rsidR="00AE19B5" w:rsidRDefault="00AE19B5">
      <w:pPr>
        <w:spacing w:line="240" w:lineRule="auto"/>
      </w:pPr>
      <w:r>
        <w:separator/>
      </w:r>
    </w:p>
    <w:p w14:paraId="1363D8AE" w14:textId="77777777" w:rsidR="00AE19B5" w:rsidRDefault="00AE19B5"/>
  </w:endnote>
  <w:endnote w:type="continuationSeparator" w:id="0">
    <w:p w14:paraId="536381C1" w14:textId="77777777" w:rsidR="00AE19B5" w:rsidRDefault="00AE19B5">
      <w:pPr>
        <w:spacing w:line="240" w:lineRule="auto"/>
      </w:pPr>
      <w:r>
        <w:continuationSeparator/>
      </w:r>
    </w:p>
    <w:p w14:paraId="2B759CA9" w14:textId="77777777" w:rsidR="00AE19B5" w:rsidRDefault="00AE19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Mäori">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DFKai-SB">
    <w:panose1 w:val="03000509000000000000"/>
    <w:charset w:val="88"/>
    <w:family w:val="script"/>
    <w:pitch w:val="fixed"/>
    <w:sig w:usb0="00000003" w:usb1="080E0000"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ourceSerifPro-Light">
    <w:panose1 w:val="00000000000000000000"/>
    <w:charset w:val="00"/>
    <w:family w:val="roman"/>
    <w:notTrueType/>
    <w:pitch w:val="default"/>
    <w:sig w:usb0="00000003" w:usb1="00000000" w:usb2="00000000" w:usb3="00000000" w:csb0="00000001" w:csb1="00000000"/>
  </w:font>
  <w:font w:name="Tahoma-Bold">
    <w:panose1 w:val="00000000000000000000"/>
    <w:charset w:val="00"/>
    <w:family w:val="swiss"/>
    <w:notTrueType/>
    <w:pitch w:val="default"/>
    <w:sig w:usb0="00000003" w:usb1="00000000" w:usb2="00000000" w:usb3="00000000" w:csb0="00000001" w:csb1="00000000"/>
  </w:font>
  <w:font w:name="Gotham Rounded Book">
    <w:altName w:val="Times New Roman"/>
    <w:charset w:val="00"/>
    <w:family w:val="roman"/>
    <w:pitch w:val="default"/>
  </w:font>
  <w:font w:name="FranklinGothic-Demi">
    <w:panose1 w:val="00000000000000000000"/>
    <w:charset w:val="00"/>
    <w:family w:val="swiss"/>
    <w:notTrueType/>
    <w:pitch w:val="default"/>
    <w:sig w:usb0="00000003" w:usb1="00000000" w:usb2="00000000" w:usb3="00000000" w:csb0="00000001" w:csb1="00000000"/>
  </w:font>
  <w:font w:name="FranklinGothic-Book">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Rotisse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dvOTdc5ff126">
    <w:panose1 w:val="00000000000000000000"/>
    <w:charset w:val="00"/>
    <w:family w:val="swiss"/>
    <w:notTrueType/>
    <w:pitch w:val="default"/>
    <w:sig w:usb0="00000003" w:usb1="00000000" w:usb2="00000000" w:usb3="00000000" w:csb0="00000001" w:csb1="00000000"/>
  </w:font>
  <w:font w:name="AdvOT6520a694">
    <w:panose1 w:val="00000000000000000000"/>
    <w:charset w:val="00"/>
    <w:family w:val="swiss"/>
    <w:notTrueType/>
    <w:pitch w:val="default"/>
    <w:sig w:usb0="00000003" w:usb1="00000000" w:usb2="00000000" w:usb3="00000000" w:csb0="00000001" w:csb1="00000000"/>
  </w:font>
  <w:font w:name="AdvOT0231c847">
    <w:panose1 w:val="00000000000000000000"/>
    <w:charset w:val="00"/>
    <w:family w:val="swiss"/>
    <w:notTrueType/>
    <w:pitch w:val="default"/>
    <w:sig w:usb0="00000003" w:usb1="00000000" w:usb2="00000000" w:usb3="00000000" w:csb0="00000001" w:csb1="00000000"/>
  </w:font>
  <w:font w:name="AdvOTbe4cb9cb">
    <w:panose1 w:val="00000000000000000000"/>
    <w:charset w:val="00"/>
    <w:family w:val="swiss"/>
    <w:notTrueType/>
    <w:pitch w:val="default"/>
    <w:sig w:usb0="00000003" w:usb1="00000000" w:usb2="00000000" w:usb3="00000000" w:csb0="00000001" w:csb1="00000000"/>
  </w:font>
  <w:font w:name="AdvOTc9c0ed35.B">
    <w:panose1 w:val="00000000000000000000"/>
    <w:charset w:val="00"/>
    <w:family w:val="swiss"/>
    <w:notTrueType/>
    <w:pitch w:val="default"/>
    <w:sig w:usb0="00000003" w:usb1="00000000" w:usb2="00000000" w:usb3="00000000" w:csb0="00000001" w:csb1="00000000"/>
  </w:font>
  <w:font w:name="AdvOT0231c847+20">
    <w:panose1 w:val="00000000000000000000"/>
    <w:charset w:val="00"/>
    <w:family w:val="swiss"/>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AdvTT31ea7dbe">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elveticaNeueLTPro-Roman">
    <w:altName w:val="MS Gothic"/>
    <w:panose1 w:val="00000000000000000000"/>
    <w:charset w:val="80"/>
    <w:family w:val="swiss"/>
    <w:notTrueType/>
    <w:pitch w:val="default"/>
    <w:sig w:usb0="00000001" w:usb1="08070000" w:usb2="00000010" w:usb3="00000000" w:csb0="00020000" w:csb1="00000000"/>
  </w:font>
  <w:font w:name="HelveticaNeueLTPro-Md">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MyriadPro-Regular">
    <w:panose1 w:val="00000000000000000000"/>
    <w:charset w:val="00"/>
    <w:family w:val="swiss"/>
    <w:notTrueType/>
    <w:pitch w:val="default"/>
    <w:sig w:usb0="00000003" w:usb1="00000000" w:usb2="00000000" w:usb3="00000000" w:csb0="00000001" w:csb1="00000000"/>
  </w:font>
  <w:font w:name="UniversLTStd-LightCn">
    <w:altName w:val="MS Gothic"/>
    <w:panose1 w:val="00000000000000000000"/>
    <w:charset w:val="80"/>
    <w:family w:val="swiss"/>
    <w:notTrueType/>
    <w:pitch w:val="default"/>
    <w:sig w:usb0="00000000" w:usb1="08070000" w:usb2="00000010" w:usb3="00000000" w:csb0="00020000" w:csb1="00000000"/>
  </w:font>
  <w:font w:name="UniversLTStd-UltraCn">
    <w:panose1 w:val="00000000000000000000"/>
    <w:charset w:val="00"/>
    <w:family w:val="swiss"/>
    <w:notTrueType/>
    <w:pitch w:val="default"/>
    <w:sig w:usb0="00000003" w:usb1="00000000" w:usb2="00000000" w:usb3="00000000" w:csb0="00000001" w:csb1="00000000"/>
  </w:font>
  <w:font w:name="AdvOT15e8cdec">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ato">
    <w:charset w:val="00"/>
    <w:family w:val="auto"/>
    <w:pitch w:val="default"/>
    <w:sig w:usb0="00000003" w:usb1="00000000" w:usb2="00000000" w:usb3="00000000" w:csb0="00000001" w:csb1="00000000"/>
  </w:font>
  <w:font w:name="MyriadMM.400.wt.600.w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4BE0F" w14:textId="77777777" w:rsidR="00AE19B5" w:rsidRPr="00581136" w:rsidRDefault="00AE19B5" w:rsidP="00F9366A">
    <w:pPr>
      <w:pStyle w:val="Footer"/>
      <w:pBdr>
        <w:bottom w:val="single" w:sz="4" w:space="1" w:color="auto"/>
      </w:pBdr>
      <w:tabs>
        <w:tab w:val="right" w:pos="8504"/>
      </w:tabs>
      <w:ind w:left="-1559"/>
      <w:rPr>
        <w:b/>
      </w:rPr>
    </w:pPr>
    <w:r w:rsidRPr="00581136">
      <w:rPr>
        <w:b/>
      </w:rPr>
      <w:t>Released 201</w:t>
    </w:r>
    <w:r>
      <w:rPr>
        <w:b/>
      </w:rPr>
      <w:t>8</w:t>
    </w:r>
    <w:r w:rsidRPr="00581136">
      <w:rPr>
        <w:b/>
      </w:rPr>
      <w:tab/>
      <w:t>health.govt.nz</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68C00" w14:textId="77777777" w:rsidR="00AE19B5" w:rsidRDefault="00AE19B5" w:rsidP="004D6689">
    <w:pPr>
      <w:pStyle w:val="Footer"/>
      <w:pBdr>
        <w:bottom w:val="none" w:sz="0" w:space="0" w:color="auto"/>
      </w:pBd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EB11D" w14:textId="77777777" w:rsidR="00C010D6" w:rsidRPr="00F25A09" w:rsidRDefault="00C010D6" w:rsidP="00C010D6">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C62BAF">
      <w:rPr>
        <w:rStyle w:val="PageNumber"/>
        <w:noProof/>
      </w:rPr>
      <w:t>v</w:t>
    </w:r>
    <w:r w:rsidRPr="00FC46E7">
      <w:rPr>
        <w:rStyle w:val="PageNumber"/>
      </w:rPr>
      <w:fldChar w:fldCharType="end"/>
    </w:r>
    <w:r>
      <w:tab/>
      <w:t>Guidance for Best Practice Management in the National Bowel Screening Programme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EC9EA" w14:textId="77777777" w:rsidR="00AE19B5" w:rsidRPr="00BB09DA" w:rsidRDefault="00AE19B5" w:rsidP="00BB09DA">
    <w:pPr>
      <w:pStyle w:val="Footer"/>
      <w:pBdr>
        <w:bottom w:val="none" w:sz="0" w:space="0" w:color="auto"/>
      </w:pBd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65300" w14:textId="7C59892E" w:rsidR="00AE19B5" w:rsidRPr="00F25A09" w:rsidRDefault="00AE19B5" w:rsidP="00C010D6">
    <w:pPr>
      <w:pStyle w:val="VersoFooter"/>
      <w:jc w:val="right"/>
      <w:rPr>
        <w:b/>
      </w:rPr>
    </w:pPr>
    <w:r>
      <w:t>Guidance for Best Practice Management in the National Bowel Screening Programme</w:t>
    </w:r>
    <w:r w:rsidR="00C010D6">
      <w:tab/>
    </w:r>
    <w:r w:rsidR="00C010D6" w:rsidRPr="00FC46E7">
      <w:rPr>
        <w:rStyle w:val="PageNumber"/>
      </w:rPr>
      <w:fldChar w:fldCharType="begin"/>
    </w:r>
    <w:r w:rsidR="00C010D6" w:rsidRPr="00FC46E7">
      <w:rPr>
        <w:rStyle w:val="PageNumber"/>
      </w:rPr>
      <w:instrText xml:space="preserve"> PAGE </w:instrText>
    </w:r>
    <w:r w:rsidR="00C010D6" w:rsidRPr="00FC46E7">
      <w:rPr>
        <w:rStyle w:val="PageNumber"/>
      </w:rPr>
      <w:fldChar w:fldCharType="separate"/>
    </w:r>
    <w:r w:rsidR="00C62BAF">
      <w:rPr>
        <w:rStyle w:val="PageNumber"/>
        <w:noProof/>
      </w:rPr>
      <w:t>iv</w:t>
    </w:r>
    <w:r w:rsidR="00C010D6" w:rsidRPr="00FC46E7">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74082" w14:textId="77777777" w:rsidR="00AE19B5" w:rsidRPr="00275D08" w:rsidRDefault="00AE19B5"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C62BAF">
      <w:rPr>
        <w:rStyle w:val="PageNumber"/>
        <w:noProof/>
      </w:rPr>
      <w:t>16</w:t>
    </w:r>
    <w:r w:rsidRPr="00FC46E7">
      <w:rPr>
        <w:rStyle w:val="PageNumber"/>
      </w:rPr>
      <w:fldChar w:fldCharType="end"/>
    </w:r>
    <w:r>
      <w:tab/>
      <w:t>Guidance for Best Practice Management in the National Bowel Screening Programme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43132" w14:textId="77777777" w:rsidR="00AE19B5" w:rsidRDefault="00AE19B5" w:rsidP="009E3C8C">
    <w:pPr>
      <w:pStyle w:val="RectoFooter"/>
    </w:pPr>
    <w:r>
      <w:tab/>
      <w:t>Guidance for Best Practice Management in the National Bowel Screening Programme</w:t>
    </w:r>
    <w:r>
      <w:tab/>
    </w:r>
    <w:r>
      <w:rPr>
        <w:rStyle w:val="PageNumber"/>
      </w:rPr>
      <w:fldChar w:fldCharType="begin"/>
    </w:r>
    <w:r>
      <w:rPr>
        <w:rStyle w:val="PageNumber"/>
      </w:rPr>
      <w:instrText xml:space="preserve"> PAGE </w:instrText>
    </w:r>
    <w:r>
      <w:rPr>
        <w:rStyle w:val="PageNumber"/>
      </w:rPr>
      <w:fldChar w:fldCharType="separate"/>
    </w:r>
    <w:r w:rsidR="00C62BAF">
      <w:rPr>
        <w:rStyle w:val="PageNumber"/>
        <w:noProof/>
      </w:rPr>
      <w:t>15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DCAB51" w14:textId="77777777" w:rsidR="00AE19B5" w:rsidRPr="00A26E6B" w:rsidRDefault="00AE19B5" w:rsidP="00A26E6B"/>
  </w:footnote>
  <w:footnote w:type="continuationSeparator" w:id="0">
    <w:p w14:paraId="1242CDFD" w14:textId="77777777" w:rsidR="00AE19B5" w:rsidRDefault="00AE19B5">
      <w:pPr>
        <w:spacing w:line="240" w:lineRule="auto"/>
      </w:pPr>
      <w:r>
        <w:continuationSeparator/>
      </w:r>
    </w:p>
    <w:p w14:paraId="27E52FF0" w14:textId="77777777" w:rsidR="00AE19B5" w:rsidRDefault="00AE19B5"/>
  </w:footnote>
  <w:footnote w:id="1">
    <w:p w14:paraId="507434CC" w14:textId="4E19893D" w:rsidR="00AE19B5" w:rsidRPr="00E07995" w:rsidRDefault="00AE19B5" w:rsidP="00D923A0">
      <w:pPr>
        <w:pStyle w:val="FootnoteText"/>
        <w:rPr>
          <w:szCs w:val="18"/>
        </w:rPr>
      </w:pPr>
      <w:r w:rsidRPr="00D923A0">
        <w:rPr>
          <w:rStyle w:val="FootnoteReference"/>
        </w:rPr>
        <w:footnoteRef/>
      </w:r>
      <w:r>
        <w:tab/>
      </w:r>
      <w:r w:rsidRPr="00B76DD2">
        <w:rPr>
          <w:rFonts w:cs="Arial"/>
        </w:rPr>
        <w:t xml:space="preserve">OECD (2017), "Colorectal cancer mortality, 2005 and 2015 (or nearest years)", in </w:t>
      </w:r>
      <w:r w:rsidRPr="00B76DD2">
        <w:rPr>
          <w:rFonts w:cs="Arial"/>
          <w:i/>
          <w:iCs/>
        </w:rPr>
        <w:t>Quality and outcomes of care</w:t>
      </w:r>
      <w:r w:rsidRPr="00B76DD2">
        <w:rPr>
          <w:rFonts w:cs="Arial"/>
        </w:rPr>
        <w:t xml:space="preserve">, OECD Publishing, Paris, </w:t>
      </w:r>
      <w:hyperlink r:id="rId1" w:history="1">
        <w:r w:rsidRPr="00B76DD2">
          <w:rPr>
            <w:rStyle w:val="Hyperlink"/>
            <w:rFonts w:cs="Arial"/>
          </w:rPr>
          <w:t>https://doi.org/10.1787/health_glance-2017-graph103-en</w:t>
        </w:r>
      </w:hyperlink>
      <w:r>
        <w:rPr>
          <w:rFonts w:cs="Arial"/>
          <w:szCs w:val="18"/>
        </w:rPr>
        <w:t xml:space="preserve"> </w:t>
      </w:r>
      <w:r w:rsidRPr="00E07995">
        <w:rPr>
          <w:rFonts w:cs="Arial"/>
          <w:szCs w:val="18"/>
        </w:rPr>
        <w:t>and</w:t>
      </w:r>
      <w:r w:rsidRPr="00E07995">
        <w:rPr>
          <w:rFonts w:cs="Tms Rmn"/>
          <w:szCs w:val="18"/>
        </w:rPr>
        <w:t xml:space="preserve"> </w:t>
      </w:r>
      <w:r w:rsidRPr="00B76DD2">
        <w:rPr>
          <w:lang w:val="en"/>
        </w:rPr>
        <w:t xml:space="preserve">OECD (2017), "Survival and mortality for colorectal cancer", in </w:t>
      </w:r>
      <w:r w:rsidRPr="00B76DD2">
        <w:rPr>
          <w:i/>
          <w:iCs/>
          <w:lang w:val="en"/>
        </w:rPr>
        <w:t>Health at a Glance 2017: OECD Indicators</w:t>
      </w:r>
      <w:r w:rsidRPr="00B76DD2">
        <w:rPr>
          <w:lang w:val="en"/>
        </w:rPr>
        <w:t xml:space="preserve">, OECD Publishing, Paris, </w:t>
      </w:r>
      <w:hyperlink r:id="rId2" w:history="1">
        <w:r w:rsidRPr="00B76DD2">
          <w:rPr>
            <w:rStyle w:val="Hyperlink"/>
            <w:lang w:val="en"/>
          </w:rPr>
          <w:t>https://doi.org/10.1787/health_glance-2017-41-en</w:t>
        </w:r>
      </w:hyperlink>
      <w:r w:rsidRPr="00B76DD2">
        <w:rPr>
          <w:lang w:val="en"/>
        </w:rPr>
        <w:t>.</w:t>
      </w:r>
    </w:p>
  </w:footnote>
  <w:footnote w:id="2">
    <w:p w14:paraId="151A5BA4" w14:textId="77777777" w:rsidR="00AE19B5" w:rsidRPr="00AC35C9" w:rsidRDefault="00AE19B5" w:rsidP="00F301C7">
      <w:pPr>
        <w:pStyle w:val="FootnoteText"/>
        <w:rPr>
          <w:szCs w:val="18"/>
        </w:rPr>
      </w:pPr>
      <w:r w:rsidRPr="00D923A0">
        <w:rPr>
          <w:rStyle w:val="FootnoteReference"/>
        </w:rPr>
        <w:footnoteRef/>
      </w:r>
      <w:r>
        <w:rPr>
          <w:rFonts w:ascii="Calibri" w:eastAsia="DFKai-SB" w:hAnsi="Calibri"/>
          <w:bCs/>
        </w:rPr>
        <w:tab/>
      </w:r>
      <w:r w:rsidRPr="00D923A0">
        <w:rPr>
          <w:rFonts w:eastAsia="DFKai-SB"/>
          <w:i/>
        </w:rPr>
        <w:t xml:space="preserve">Guidelines for the Surveillance of Groups at </w:t>
      </w:r>
      <w:r>
        <w:rPr>
          <w:rFonts w:eastAsia="DFKai-SB"/>
          <w:i/>
        </w:rPr>
        <w:t>I</w:t>
      </w:r>
      <w:r w:rsidRPr="00D923A0">
        <w:rPr>
          <w:rFonts w:eastAsia="DFKai-SB"/>
          <w:i/>
        </w:rPr>
        <w:t xml:space="preserve">ncreased </w:t>
      </w:r>
      <w:r>
        <w:rPr>
          <w:rFonts w:eastAsia="DFKai-SB"/>
          <w:i/>
        </w:rPr>
        <w:t>R</w:t>
      </w:r>
      <w:r w:rsidRPr="00D923A0">
        <w:rPr>
          <w:rFonts w:eastAsia="DFKai-SB"/>
          <w:i/>
        </w:rPr>
        <w:t xml:space="preserve">isk of </w:t>
      </w:r>
      <w:r>
        <w:rPr>
          <w:rFonts w:eastAsia="DFKai-SB"/>
          <w:i/>
        </w:rPr>
        <w:t>C</w:t>
      </w:r>
      <w:r w:rsidRPr="00D923A0">
        <w:rPr>
          <w:rFonts w:eastAsia="DFKai-SB"/>
          <w:i/>
        </w:rPr>
        <w:t xml:space="preserve">olorectal </w:t>
      </w:r>
      <w:r>
        <w:rPr>
          <w:rFonts w:eastAsia="DFKai-SB"/>
          <w:i/>
        </w:rPr>
        <w:t>C</w:t>
      </w:r>
      <w:r w:rsidRPr="00D923A0">
        <w:rPr>
          <w:rFonts w:eastAsia="DFKai-SB"/>
          <w:i/>
        </w:rPr>
        <w:t>ancer</w:t>
      </w:r>
      <w:r w:rsidRPr="00D923A0">
        <w:rPr>
          <w:rFonts w:eastAsia="DFKai-SB"/>
        </w:rPr>
        <w:t xml:space="preserve">. </w:t>
      </w:r>
      <w:r w:rsidRPr="00D923A0">
        <w:t>Published</w:t>
      </w:r>
      <w:r w:rsidRPr="007D4E1B">
        <w:rPr>
          <w:rFonts w:cs="Arial"/>
          <w:color w:val="002639"/>
          <w:lang w:val="en"/>
        </w:rPr>
        <w:t xml:space="preserve"> by the New Zealand Guidelines Group for the Ministry of Health PO Box 10 665, Wellington 6143, New Zealand</w:t>
      </w:r>
      <w:r w:rsidRPr="007D4E1B">
        <w:t xml:space="preserve"> </w:t>
      </w:r>
      <w:hyperlink r:id="rId3" w:history="1">
        <w:r w:rsidRPr="005820C5">
          <w:rPr>
            <w:rStyle w:val="Hyperlink"/>
            <w:szCs w:val="18"/>
          </w:rPr>
          <w:t>https://www.health.govt.nz/publication/guidance-surveillance-people-increased-risk-colorectal-cancer</w:t>
        </w:r>
      </w:hyperlink>
      <w:r>
        <w:t xml:space="preserve">. </w:t>
      </w:r>
      <w:r w:rsidRPr="00AC35C9">
        <w:rPr>
          <w:szCs w:val="18"/>
        </w:rPr>
        <w:t xml:space="preserve">Updated 2011 </w:t>
      </w:r>
      <w:hyperlink r:id="rId4" w:history="1">
        <w:r w:rsidRPr="00AC35C9">
          <w:rPr>
            <w:rStyle w:val="Hyperlink"/>
            <w:szCs w:val="18"/>
          </w:rPr>
          <w:t>https://www.health.govt.nz/system/files/documents/publications/colorectal-cancer-surveillance-guidance.pdf</w:t>
        </w:r>
      </w:hyperlink>
      <w:r>
        <w:rPr>
          <w:rStyle w:val="Hyperlink"/>
          <w:szCs w:val="18"/>
        </w:rPr>
        <w:t>.</w:t>
      </w:r>
    </w:p>
  </w:footnote>
  <w:footnote w:id="3">
    <w:p w14:paraId="2F3A5AC7" w14:textId="77777777" w:rsidR="00AE19B5" w:rsidRPr="0031344D" w:rsidRDefault="00AE19B5" w:rsidP="00D923A0">
      <w:pPr>
        <w:pStyle w:val="FootnoteText"/>
      </w:pPr>
      <w:r w:rsidRPr="00D923A0">
        <w:rPr>
          <w:rStyle w:val="FootnoteReference"/>
        </w:rPr>
        <w:footnoteRef/>
      </w:r>
      <w:r>
        <w:rPr>
          <w:rFonts w:cs="Arial"/>
          <w:color w:val="002639"/>
          <w:lang w:val="en"/>
        </w:rPr>
        <w:tab/>
      </w:r>
      <w:r w:rsidRPr="0031344D">
        <w:rPr>
          <w:rFonts w:cs="Arial"/>
          <w:color w:val="002639"/>
          <w:lang w:val="en"/>
        </w:rPr>
        <w:t xml:space="preserve">Age Range </w:t>
      </w:r>
      <w:r w:rsidRPr="00D923A0">
        <w:t xml:space="preserve">and Positivity Threshold, </w:t>
      </w:r>
      <w:proofErr w:type="spellStart"/>
      <w:r w:rsidRPr="00D923A0">
        <w:t>MoH</w:t>
      </w:r>
      <w:proofErr w:type="spellEnd"/>
      <w:r w:rsidRPr="00D923A0">
        <w:t xml:space="preserve">, March 2017, </w:t>
      </w:r>
      <w:r w:rsidRPr="0031344D">
        <w:t>https://www.health.govt.nz/our-work/preventative-health-wellness/screening/national-bowel-screening-programme/key-documents-national-bowel-screening-programme</w:t>
      </w:r>
    </w:p>
  </w:footnote>
  <w:footnote w:id="4">
    <w:p w14:paraId="6CB9409C" w14:textId="77777777" w:rsidR="00AE19B5" w:rsidRPr="00E70084" w:rsidRDefault="00AE19B5" w:rsidP="002D56F4">
      <w:pPr>
        <w:pStyle w:val="FootnoteText"/>
      </w:pPr>
      <w:r w:rsidRPr="002D56F4">
        <w:rPr>
          <w:rStyle w:val="FootnoteReference"/>
        </w:rPr>
        <w:footnoteRef/>
      </w:r>
      <w:r>
        <w:tab/>
      </w:r>
      <w:r w:rsidRPr="00E70084">
        <w:t>Will need to insert webpage link here when available.</w:t>
      </w:r>
    </w:p>
  </w:footnote>
  <w:footnote w:id="5">
    <w:p w14:paraId="19F082FB" w14:textId="77777777" w:rsidR="00AE19B5" w:rsidRPr="00844813" w:rsidRDefault="00AE19B5" w:rsidP="00F301C7">
      <w:pPr>
        <w:pStyle w:val="FootnoteText"/>
      </w:pPr>
      <w:r w:rsidRPr="002D56F4">
        <w:rPr>
          <w:rStyle w:val="FootnoteReference"/>
        </w:rPr>
        <w:footnoteRef/>
      </w:r>
      <w:r>
        <w:tab/>
      </w:r>
      <w:r w:rsidRPr="00D0179C">
        <w:t>Available from https://www.health.govt.nz/our-work/diseases-and-conditions/cancer-programme/bowel-cancer</w:t>
      </w:r>
      <w:r>
        <w:t>-programme/background-reports</w:t>
      </w:r>
    </w:p>
  </w:footnote>
  <w:footnote w:id="6">
    <w:p w14:paraId="3ADD96A6" w14:textId="77777777" w:rsidR="00AE19B5" w:rsidRPr="007965CA" w:rsidRDefault="00AE19B5" w:rsidP="007965CA">
      <w:pPr>
        <w:pStyle w:val="FootnoteText"/>
      </w:pPr>
      <w:r w:rsidRPr="007965CA">
        <w:rPr>
          <w:rStyle w:val="FootnoteReference"/>
        </w:rPr>
        <w:footnoteRef/>
      </w:r>
      <w:r>
        <w:tab/>
      </w:r>
      <w:r w:rsidRPr="007965CA">
        <w:t xml:space="preserve">Bowel Screening Pilot Results. </w:t>
      </w:r>
      <w:hyperlink r:id="rId5" w:history="1">
        <w:r w:rsidRPr="007965CA">
          <w:t>http://www.health.govt.nz/our-work/diseases-and-conditions/cancer-programme/bowel-cancer-programme/bowel-screening-pilot/bowel-screening-pilot-results</w:t>
        </w:r>
      </w:hyperlink>
      <w:r w:rsidRPr="007965CA">
        <w:t>. Updated 16 June 2017</w:t>
      </w:r>
    </w:p>
  </w:footnote>
  <w:footnote w:id="7">
    <w:p w14:paraId="5BF1669C" w14:textId="6BA38559" w:rsidR="00AE19B5" w:rsidRPr="00696925" w:rsidRDefault="00AE19B5">
      <w:pPr>
        <w:pStyle w:val="FootnoteText"/>
      </w:pPr>
      <w:r>
        <w:rPr>
          <w:rStyle w:val="FootnoteReference"/>
        </w:rPr>
        <w:footnoteRef/>
      </w:r>
      <w:r>
        <w:t xml:space="preserve"> </w:t>
      </w:r>
      <w:r w:rsidRPr="00696925">
        <w:t xml:space="preserve">Modified from Surveillance and Management of Groups at increased Risk of Colorectal Cancer 2004. </w:t>
      </w:r>
      <w:r>
        <w:t xml:space="preserve">Evidence-based best practice guideline. </w:t>
      </w:r>
      <w:r w:rsidRPr="00696925">
        <w:t>The New Zealand Guidelines Group</w:t>
      </w:r>
    </w:p>
  </w:footnote>
  <w:footnote w:id="8">
    <w:p w14:paraId="61E9325F" w14:textId="77777777" w:rsidR="00AE19B5" w:rsidRPr="008E10E6" w:rsidRDefault="00AE19B5" w:rsidP="007965CA">
      <w:pPr>
        <w:pStyle w:val="FootnoteText"/>
      </w:pPr>
      <w:r w:rsidRPr="007965CA">
        <w:rPr>
          <w:rStyle w:val="FootnoteReference"/>
        </w:rPr>
        <w:footnoteRef/>
      </w:r>
      <w:r>
        <w:tab/>
      </w:r>
      <w:r w:rsidRPr="005D72D7">
        <w:t>Final Evaluation Report of the</w:t>
      </w:r>
      <w:r>
        <w:t xml:space="preserve"> </w:t>
      </w:r>
      <w:r w:rsidRPr="005D72D7">
        <w:t>Bowel Screening Pilot Screening Rounds One and Two. 5.0 Equity https://www.health.govt.nz/system/files/documents/publications/bowel-screening-pilot-final-evaluation-report-redacted-january2017.pdf</w:t>
      </w:r>
    </w:p>
  </w:footnote>
  <w:footnote w:id="9">
    <w:p w14:paraId="4A3E5F12" w14:textId="77777777" w:rsidR="00AE19B5" w:rsidRPr="00F83881" w:rsidRDefault="00AE19B5" w:rsidP="00B4045B">
      <w:pPr>
        <w:pStyle w:val="FootnoteText"/>
      </w:pPr>
      <w:r w:rsidRPr="00B4045B">
        <w:rPr>
          <w:rStyle w:val="FootnoteReference"/>
        </w:rPr>
        <w:footnoteRef/>
      </w:r>
      <w:r>
        <w:tab/>
      </w:r>
      <w:hyperlink r:id="rId6" w:history="1">
        <w:r w:rsidRPr="00F64CE2">
          <w:rPr>
            <w:rStyle w:val="Hyperlink"/>
            <w:lang w:eastAsia="en-AU"/>
          </w:rPr>
          <w:t>www.health.govt.nz/our-work/populations/maori-health/he-korowai-oranga/strengthening-he-korowai-oranga/treaty-waitangi-principles</w:t>
        </w:r>
      </w:hyperlink>
    </w:p>
  </w:footnote>
  <w:footnote w:id="10">
    <w:p w14:paraId="55D21958" w14:textId="77777777" w:rsidR="00AE19B5" w:rsidRPr="005D72D7" w:rsidRDefault="00AE19B5" w:rsidP="00B4045B">
      <w:pPr>
        <w:pStyle w:val="FootnoteText"/>
      </w:pPr>
      <w:r w:rsidRPr="00B4045B">
        <w:rPr>
          <w:rStyle w:val="FootnoteReference"/>
        </w:rPr>
        <w:footnoteRef/>
      </w:r>
      <w:r>
        <w:tab/>
      </w:r>
      <w:r w:rsidRPr="005D72D7">
        <w:t>Final Evaluation Report of the</w:t>
      </w:r>
      <w:r>
        <w:t xml:space="preserve"> </w:t>
      </w:r>
      <w:r w:rsidRPr="005D72D7">
        <w:t>Bowel Screening Pilot Screening Rounds One and Two. 5.0 Equity https://www.health.govt.nz/system/files/documents/publications/bowel-screening-pilot-final-evaluation-report-redacted-january2017.pdf</w:t>
      </w:r>
    </w:p>
  </w:footnote>
  <w:footnote w:id="11">
    <w:p w14:paraId="78231CB5" w14:textId="77777777" w:rsidR="00AE19B5" w:rsidRPr="007A60DA" w:rsidRDefault="00AE19B5" w:rsidP="00B4045B">
      <w:pPr>
        <w:pStyle w:val="FootnoteText"/>
      </w:pPr>
      <w:r w:rsidRPr="00B4045B">
        <w:rPr>
          <w:rStyle w:val="FootnoteReference"/>
        </w:rPr>
        <w:footnoteRef/>
      </w:r>
      <w:r>
        <w:tab/>
      </w:r>
      <w:r w:rsidRPr="007A60DA">
        <w:t>Minister of Health. 2016. New Zealand Health Strategy: Future direction. Wellington: Ministry of Health.</w:t>
      </w:r>
      <w:r>
        <w:t xml:space="preserve"> </w:t>
      </w:r>
      <w:r w:rsidRPr="007A60DA">
        <w:t>https://www.health.govt.nz/publication/new-zealand-health-strategy-2016</w:t>
      </w:r>
    </w:p>
  </w:footnote>
  <w:footnote w:id="12">
    <w:p w14:paraId="7611407D" w14:textId="77777777" w:rsidR="00AE19B5" w:rsidRPr="00B4045B" w:rsidRDefault="00AE19B5" w:rsidP="00B4045B">
      <w:pPr>
        <w:pStyle w:val="FootnoteText"/>
      </w:pPr>
      <w:r w:rsidRPr="00B4045B">
        <w:rPr>
          <w:rStyle w:val="FootnoteReference"/>
        </w:rPr>
        <w:footnoteRef/>
      </w:r>
      <w:r>
        <w:tab/>
      </w:r>
      <w:proofErr w:type="spellStart"/>
      <w:r w:rsidRPr="00817439">
        <w:t>MoH</w:t>
      </w:r>
      <w:proofErr w:type="spellEnd"/>
      <w:r w:rsidRPr="00817439">
        <w:t xml:space="preserve"> National Bowel Cancer Working Group Maori Equity Statement 2017 </w:t>
      </w:r>
      <w:hyperlink r:id="rId7" w:history="1">
        <w:r w:rsidRPr="00817439">
          <w:rPr>
            <w:rStyle w:val="Hyperlink"/>
            <w:szCs w:val="18"/>
          </w:rPr>
          <w:t>http://www.health.govt.nz/system/files/documents/pages/nbswg-maori-equity-statement-updated2017.docx</w:t>
        </w:r>
      </w:hyperlink>
      <w:r w:rsidRPr="00817439">
        <w:rPr>
          <w:rStyle w:val="Hyperlink"/>
          <w:szCs w:val="18"/>
        </w:rPr>
        <w:t xml:space="preserve"> (</w:t>
      </w:r>
      <w:r>
        <w:rPr>
          <w:rStyle w:val="Hyperlink"/>
          <w:szCs w:val="18"/>
        </w:rPr>
        <w:t>n</w:t>
      </w:r>
      <w:r w:rsidRPr="00817439">
        <w:rPr>
          <w:rStyle w:val="Hyperlink"/>
          <w:szCs w:val="18"/>
        </w:rPr>
        <w:t>ote this was developed for symptomatic participants, but also has relevance for screen-detected bowel cancers)</w:t>
      </w:r>
    </w:p>
  </w:footnote>
  <w:footnote w:id="13">
    <w:p w14:paraId="0EE3FB9E" w14:textId="77777777" w:rsidR="00AE19B5" w:rsidRPr="001C75AA" w:rsidRDefault="00AE19B5" w:rsidP="00B4045B">
      <w:pPr>
        <w:pStyle w:val="FootnoteText"/>
      </w:pPr>
      <w:r w:rsidRPr="00B4045B">
        <w:rPr>
          <w:rStyle w:val="FootnoteReference"/>
        </w:rPr>
        <w:footnoteRef/>
      </w:r>
      <w:r>
        <w:tab/>
      </w:r>
      <w:r w:rsidRPr="00E233D3">
        <w:t xml:space="preserve">FIT is a non-invasive screening test (home based self-sampling) with a better participation rate compared to invasive screening tests such as flexible sigmoidoscopy. </w:t>
      </w:r>
      <w:r w:rsidRPr="00E233D3">
        <w:rPr>
          <w:color w:val="2F2F2F"/>
        </w:rPr>
        <w:t xml:space="preserve">FIT has a substantially higher yield of CRCs and is predicted to have a greater impact on CRC mortality than either </w:t>
      </w:r>
      <w:proofErr w:type="spellStart"/>
      <w:r w:rsidRPr="00E233D3">
        <w:rPr>
          <w:color w:val="2F2F2F"/>
        </w:rPr>
        <w:t>gFOBT</w:t>
      </w:r>
      <w:proofErr w:type="spellEnd"/>
      <w:r w:rsidRPr="00E233D3">
        <w:rPr>
          <w:color w:val="2F2F2F"/>
        </w:rPr>
        <w:t xml:space="preserve"> or one-off sigmoidoscopy (</w:t>
      </w:r>
      <w:proofErr w:type="spellStart"/>
      <w:r w:rsidRPr="00E233D3">
        <w:rPr>
          <w:color w:val="2F2F2F"/>
        </w:rPr>
        <w:t>Sarfati</w:t>
      </w:r>
      <w:proofErr w:type="spellEnd"/>
      <w:r w:rsidRPr="00E233D3">
        <w:rPr>
          <w:color w:val="2F2F2F"/>
        </w:rPr>
        <w:t xml:space="preserve"> D</w:t>
      </w:r>
      <w:r>
        <w:rPr>
          <w:color w:val="2F2F2F"/>
        </w:rPr>
        <w:t>,</w:t>
      </w:r>
      <w:r w:rsidRPr="00E233D3">
        <w:rPr>
          <w:color w:val="2F2F2F"/>
        </w:rPr>
        <w:t xml:space="preserve"> et al </w:t>
      </w:r>
      <w:r w:rsidRPr="00E233D3">
        <w:rPr>
          <w:rFonts w:cs="SourceSerifPro-Light"/>
        </w:rPr>
        <w:t>NZMJ 19 August 2016, Vol 129 No 1440 https://www.nzma.org.nz/__data/assets/pdf_file/0009/50949/Sarfati-Final.pdf)</w:t>
      </w:r>
    </w:p>
  </w:footnote>
  <w:footnote w:id="14">
    <w:p w14:paraId="5B3887C8" w14:textId="77777777" w:rsidR="00AE19B5" w:rsidRPr="00D12BEC" w:rsidRDefault="00AE19B5" w:rsidP="00FD04B3">
      <w:pPr>
        <w:pStyle w:val="FootnoteText"/>
      </w:pPr>
      <w:r w:rsidRPr="00FD04B3">
        <w:rPr>
          <w:rStyle w:val="FootnoteReference"/>
        </w:rPr>
        <w:footnoteRef/>
      </w:r>
      <w:r>
        <w:rPr>
          <w:rFonts w:eastAsia="Calibri"/>
        </w:rPr>
        <w:tab/>
      </w:r>
      <w:r w:rsidRPr="00D12BEC">
        <w:rPr>
          <w:rFonts w:eastAsia="Calibri"/>
        </w:rPr>
        <w:t>New Zealand Familial Gastrointestinal Cancer Service (</w:t>
      </w:r>
      <w:r w:rsidRPr="00D12BEC">
        <w:t>NZFGICS) http://www.nzfgcs.co.nz/home</w:t>
      </w:r>
    </w:p>
  </w:footnote>
  <w:footnote w:id="15">
    <w:p w14:paraId="22BDE404" w14:textId="77777777" w:rsidR="00AE19B5" w:rsidRDefault="00AE19B5" w:rsidP="00FD04B3">
      <w:pPr>
        <w:pStyle w:val="FootnoteText"/>
        <w:rPr>
          <w:rFonts w:asciiTheme="minorHAnsi" w:eastAsia="Arial Unicode MS" w:hAnsiTheme="minorHAnsi"/>
          <w:szCs w:val="18"/>
        </w:rPr>
      </w:pPr>
      <w:r w:rsidRPr="00FD04B3">
        <w:rPr>
          <w:rStyle w:val="FootnoteReference"/>
        </w:rPr>
        <w:footnoteRef/>
      </w:r>
      <w:r>
        <w:rPr>
          <w:rFonts w:asciiTheme="minorHAnsi" w:eastAsia="Arial Unicode MS" w:hAnsiTheme="minorHAnsi"/>
          <w:szCs w:val="18"/>
        </w:rPr>
        <w:tab/>
      </w:r>
      <w:r w:rsidRPr="00FD04B3">
        <w:rPr>
          <w:rFonts w:eastAsia="Arial Unicode MS"/>
        </w:rPr>
        <w:t xml:space="preserve">NBSP Interim Quality Standards </w:t>
      </w:r>
      <w:hyperlink r:id="rId8" w:history="1">
        <w:r w:rsidRPr="00FD04B3">
          <w:rPr>
            <w:rFonts w:eastAsia="Arial Unicode MS"/>
          </w:rPr>
          <w:t>https://www.nsu.govt.nz/system/files/resources/national-bowel-screening-programme interim-quality-standards-jul17v2.pdf</w:t>
        </w:r>
      </w:hyperlink>
    </w:p>
    <w:p w14:paraId="69E1378E" w14:textId="77777777" w:rsidR="00AE19B5" w:rsidRPr="00FD04B3" w:rsidRDefault="00AE19B5" w:rsidP="00FD04B3">
      <w:pPr>
        <w:pStyle w:val="Bullet"/>
        <w:tabs>
          <w:tab w:val="clear" w:pos="284"/>
          <w:tab w:val="num" w:pos="568"/>
        </w:tabs>
        <w:spacing w:before="30"/>
        <w:ind w:left="568"/>
        <w:rPr>
          <w:sz w:val="18"/>
          <w:szCs w:val="18"/>
        </w:rPr>
      </w:pPr>
      <w:r w:rsidRPr="00FD04B3">
        <w:rPr>
          <w:sz w:val="18"/>
          <w:szCs w:val="18"/>
        </w:rPr>
        <w:t>complications and safety: Perforation rate &lt;1:1</w:t>
      </w:r>
      <w:r>
        <w:rPr>
          <w:sz w:val="18"/>
          <w:szCs w:val="18"/>
        </w:rPr>
        <w:t>,</w:t>
      </w:r>
      <w:r w:rsidRPr="00FD04B3">
        <w:rPr>
          <w:sz w:val="18"/>
          <w:szCs w:val="18"/>
        </w:rPr>
        <w:t>000 colonoscopies</w:t>
      </w:r>
    </w:p>
    <w:p w14:paraId="001D3515" w14:textId="77777777" w:rsidR="00AE19B5" w:rsidRPr="00FD04B3" w:rsidRDefault="00AE19B5" w:rsidP="00FD04B3">
      <w:pPr>
        <w:pStyle w:val="Bullet"/>
        <w:spacing w:before="30"/>
        <w:ind w:left="568"/>
        <w:rPr>
          <w:sz w:val="18"/>
          <w:szCs w:val="18"/>
        </w:rPr>
      </w:pPr>
      <w:r w:rsidRPr="00FD04B3">
        <w:rPr>
          <w:sz w:val="18"/>
          <w:szCs w:val="18"/>
        </w:rPr>
        <w:t>post-polypectomy perforation rate &lt;1:500 colonoscopies where polypectomy is performed</w:t>
      </w:r>
    </w:p>
    <w:p w14:paraId="7B8A08B8" w14:textId="77777777" w:rsidR="00AE19B5" w:rsidRPr="00FD04B3" w:rsidRDefault="00AE19B5" w:rsidP="00FD04B3">
      <w:pPr>
        <w:pStyle w:val="Bullet"/>
        <w:spacing w:before="30"/>
        <w:ind w:left="568"/>
        <w:rPr>
          <w:sz w:val="18"/>
          <w:szCs w:val="18"/>
        </w:rPr>
      </w:pPr>
      <w:r w:rsidRPr="00FD04B3">
        <w:rPr>
          <w:sz w:val="18"/>
          <w:szCs w:val="18"/>
        </w:rPr>
        <w:t>post-polypectomy bleeding &lt;1:100 colonoscopies where polypectomy is performed (this includes EMR (</w:t>
      </w:r>
      <w:r w:rsidRPr="00FD04B3">
        <w:rPr>
          <w:bCs/>
          <w:color w:val="222222"/>
          <w:sz w:val="18"/>
          <w:szCs w:val="18"/>
        </w:rPr>
        <w:t>endoscopic mucosal resection</w:t>
      </w:r>
      <w:r w:rsidRPr="00FD04B3">
        <w:rPr>
          <w:sz w:val="18"/>
          <w:szCs w:val="18"/>
        </w:rPr>
        <w:t>), endoscopic submucosal dissection and all other polypectomies at colonoscopy)</w:t>
      </w:r>
    </w:p>
    <w:p w14:paraId="797D6D7B" w14:textId="77777777" w:rsidR="00AE19B5" w:rsidRPr="00FD04B3" w:rsidRDefault="00AE19B5" w:rsidP="00FD04B3">
      <w:pPr>
        <w:pStyle w:val="Bullet"/>
        <w:spacing w:before="30"/>
        <w:ind w:left="568"/>
        <w:rPr>
          <w:sz w:val="18"/>
          <w:szCs w:val="18"/>
        </w:rPr>
      </w:pPr>
      <w:r w:rsidRPr="00FD04B3">
        <w:rPr>
          <w:sz w:val="18"/>
          <w:szCs w:val="18"/>
        </w:rPr>
        <w:t xml:space="preserve">rate of intermediate or serious </w:t>
      </w:r>
      <w:proofErr w:type="spellStart"/>
      <w:r w:rsidRPr="00FD04B3">
        <w:rPr>
          <w:sz w:val="18"/>
          <w:szCs w:val="18"/>
        </w:rPr>
        <w:t>colonoscopic</w:t>
      </w:r>
      <w:proofErr w:type="spellEnd"/>
      <w:r w:rsidRPr="00FD04B3">
        <w:rPr>
          <w:sz w:val="18"/>
          <w:szCs w:val="18"/>
        </w:rPr>
        <w:t xml:space="preserve"> complications relating to perforation or bleeding requiring hospital admission within 30 days of performance of colonoscopy within the NBSP &lt;10:1</w:t>
      </w:r>
      <w:r>
        <w:rPr>
          <w:sz w:val="18"/>
          <w:szCs w:val="18"/>
        </w:rPr>
        <w:t>,</w:t>
      </w:r>
      <w:r w:rsidRPr="00FD04B3">
        <w:rPr>
          <w:sz w:val="18"/>
          <w:szCs w:val="18"/>
        </w:rPr>
        <w:t>000 colonoscopies (</w:t>
      </w:r>
      <w:r>
        <w:rPr>
          <w:sz w:val="18"/>
          <w:szCs w:val="18"/>
        </w:rPr>
        <w:t>n</w:t>
      </w:r>
      <w:r w:rsidRPr="00FD04B3">
        <w:rPr>
          <w:sz w:val="18"/>
          <w:szCs w:val="18"/>
        </w:rPr>
        <w:t xml:space="preserve">ote: </w:t>
      </w:r>
      <w:r>
        <w:rPr>
          <w:sz w:val="18"/>
          <w:szCs w:val="18"/>
        </w:rPr>
        <w:t>t</w:t>
      </w:r>
      <w:r w:rsidRPr="00FD04B3">
        <w:rPr>
          <w:sz w:val="18"/>
          <w:szCs w:val="18"/>
        </w:rPr>
        <w:t>his number is based on the fact that 70% of participants proceeding to colonoscopy in the WDHB pilot have a lesion detected)</w:t>
      </w:r>
      <w:r>
        <w:rPr>
          <w:sz w:val="18"/>
          <w:szCs w:val="18"/>
        </w:rPr>
        <w:t>.</w:t>
      </w:r>
    </w:p>
  </w:footnote>
  <w:footnote w:id="16">
    <w:p w14:paraId="5BDE12D3" w14:textId="77777777" w:rsidR="00AE19B5" w:rsidRPr="00F8451B" w:rsidRDefault="00AE19B5" w:rsidP="00FD04B3">
      <w:pPr>
        <w:pStyle w:val="FootnoteText"/>
        <w:rPr>
          <w:rFonts w:ascii="Arial" w:hAnsi="Arial"/>
          <w:sz w:val="17"/>
          <w:szCs w:val="17"/>
        </w:rPr>
      </w:pPr>
      <w:r w:rsidRPr="00FD04B3">
        <w:rPr>
          <w:rStyle w:val="FootnoteReference"/>
        </w:rPr>
        <w:footnoteRef/>
      </w:r>
      <w:r>
        <w:tab/>
      </w:r>
      <w:r w:rsidRPr="00F8451B">
        <w:t>Bowel screening Pilot Monitoring Standards /our-work/diseases-and-conditions/cancer-programme/bowel-cancer-programme/bowel-screening-pilot/bowel-screening-pilotmonitoring-indicators</w:t>
      </w:r>
    </w:p>
  </w:footnote>
  <w:footnote w:id="17">
    <w:p w14:paraId="71850E54" w14:textId="77777777" w:rsidR="00AE19B5" w:rsidRPr="00E64B4D" w:rsidRDefault="00AE19B5" w:rsidP="00FD04B3">
      <w:pPr>
        <w:pStyle w:val="FootnoteText"/>
      </w:pPr>
      <w:r w:rsidRPr="00FD04B3">
        <w:rPr>
          <w:rStyle w:val="FootnoteReference"/>
        </w:rPr>
        <w:footnoteRef/>
      </w:r>
      <w:r>
        <w:tab/>
      </w:r>
      <w:hyperlink r:id="rId9" w:history="1">
        <w:r w:rsidRPr="00E64B4D">
          <w:rPr>
            <w:rStyle w:val="Hyperlink"/>
            <w:rFonts w:cs="Arial"/>
            <w:szCs w:val="18"/>
            <w:lang w:val="en"/>
          </w:rPr>
          <w:t>Guidance on open disclosure policies. Health and Disability Commissioner December 2009 https://www.hdc.org.nz/resources-publications/search-resources/leaflets/guidance-on-open-disclosure-policies/</w:t>
        </w:r>
      </w:hyperlink>
    </w:p>
  </w:footnote>
  <w:footnote w:id="18">
    <w:p w14:paraId="18839904" w14:textId="77777777" w:rsidR="00AE19B5" w:rsidRPr="008E7825" w:rsidRDefault="00AE19B5" w:rsidP="00FD04B3">
      <w:pPr>
        <w:pStyle w:val="FootnoteText"/>
      </w:pPr>
      <w:r w:rsidRPr="00FD04B3">
        <w:rPr>
          <w:rStyle w:val="FootnoteReference"/>
        </w:rPr>
        <w:footnoteRef/>
      </w:r>
      <w:r>
        <w:tab/>
        <w:t xml:space="preserve">Health Quality and Safety Commission New Zealand. Guidance on open disclosure 20 February 2012. </w:t>
      </w:r>
      <w:r w:rsidRPr="008E7825">
        <w:t>https://www.hqsc.govt.nz/our-programmes/adverse-events/publications-and-resources/publication/328/</w:t>
      </w:r>
      <w:r>
        <w:t xml:space="preserve"> updated 26/03/2018</w:t>
      </w:r>
    </w:p>
  </w:footnote>
  <w:footnote w:id="19">
    <w:p w14:paraId="0B91E288" w14:textId="77777777" w:rsidR="00AE19B5" w:rsidRPr="008E7825" w:rsidRDefault="00AE19B5" w:rsidP="00FD04B3">
      <w:pPr>
        <w:pStyle w:val="FootnoteText"/>
        <w:rPr>
          <w:rFonts w:ascii="Arial" w:hAnsi="Arial"/>
        </w:rPr>
      </w:pPr>
      <w:r w:rsidRPr="00FD04B3">
        <w:rPr>
          <w:rStyle w:val="FootnoteReference"/>
        </w:rPr>
        <w:footnoteRef/>
      </w:r>
      <w:r>
        <w:tab/>
      </w:r>
      <w:r w:rsidRPr="008E7825">
        <w:t>NHS Screening Programmes: Guidance on applying Duty of Candour and disclosing audit results. Version 1/</w:t>
      </w:r>
      <w:r>
        <w:t xml:space="preserve"> </w:t>
      </w:r>
      <w:r w:rsidRPr="008E7825">
        <w:t>September 2016. https://www.gov.uk/government/publications/nhs-screening-programmes-duty-of-candour</w:t>
      </w:r>
    </w:p>
  </w:footnote>
  <w:footnote w:id="20">
    <w:p w14:paraId="76AC3818" w14:textId="77777777" w:rsidR="00AE19B5" w:rsidRPr="008E7825" w:rsidRDefault="00AE19B5" w:rsidP="00FD04B3">
      <w:pPr>
        <w:pStyle w:val="FootnoteText"/>
        <w:rPr>
          <w:szCs w:val="18"/>
        </w:rPr>
      </w:pPr>
      <w:r w:rsidRPr="00FD04B3">
        <w:rPr>
          <w:rStyle w:val="FootnoteReference"/>
        </w:rPr>
        <w:footnoteRef/>
      </w:r>
      <w:r>
        <w:rPr>
          <w:rFonts w:cs="Arial"/>
          <w:bCs/>
          <w:szCs w:val="18"/>
        </w:rPr>
        <w:tab/>
      </w:r>
      <w:r w:rsidRPr="008E7825">
        <w:rPr>
          <w:rFonts w:cs="Arial"/>
          <w:bCs/>
          <w:szCs w:val="18"/>
        </w:rPr>
        <w:t xml:space="preserve">NHS Screening Programmes: </w:t>
      </w:r>
      <w:hyperlink r:id="rId10" w:history="1">
        <w:r w:rsidRPr="008E7825">
          <w:rPr>
            <w:rStyle w:val="Hyperlink"/>
            <w:szCs w:val="18"/>
            <w:lang w:val="en"/>
          </w:rPr>
          <w:t>Managing safety incidents in NHS screening programmes</w:t>
        </w:r>
      </w:hyperlink>
      <w:r>
        <w:rPr>
          <w:szCs w:val="18"/>
          <w:lang w:val="en"/>
        </w:rPr>
        <w:t xml:space="preserve">. October 2015, updated August 2017. </w:t>
      </w:r>
      <w:r w:rsidRPr="008E7825">
        <w:rPr>
          <w:szCs w:val="18"/>
          <w:lang w:val="en"/>
        </w:rPr>
        <w:t>https://www.gov.uk/government/publications/managing-safety-incidents-in-nhs-screening-programmes</w:t>
      </w:r>
    </w:p>
  </w:footnote>
  <w:footnote w:id="21">
    <w:p w14:paraId="47F0F5DE" w14:textId="77777777" w:rsidR="00AE19B5" w:rsidRPr="0083744E" w:rsidRDefault="00AE19B5" w:rsidP="00A72CFF">
      <w:pPr>
        <w:pStyle w:val="FootnoteText"/>
      </w:pPr>
      <w:r w:rsidRPr="00A72CFF">
        <w:rPr>
          <w:rStyle w:val="FootnoteReference"/>
        </w:rPr>
        <w:footnoteRef/>
      </w:r>
      <w:r>
        <w:tab/>
      </w:r>
      <w:r w:rsidRPr="0083744E">
        <w:t>All about bowel screening. The National Bowel Screening Programme.</w:t>
      </w:r>
      <w:r>
        <w:t xml:space="preserve"> HE1202 March 2018</w:t>
      </w:r>
      <w:r w:rsidRPr="0083744E">
        <w:t xml:space="preserve"> www.timetoscreen.nz</w:t>
      </w:r>
    </w:p>
  </w:footnote>
  <w:footnote w:id="22">
    <w:p w14:paraId="021516F3" w14:textId="77777777" w:rsidR="00AE19B5" w:rsidRDefault="00AE19B5" w:rsidP="00271641">
      <w:pPr>
        <w:pStyle w:val="FootnoteText"/>
      </w:pPr>
      <w:r w:rsidRPr="00271641">
        <w:rPr>
          <w:rStyle w:val="FootnoteReference"/>
        </w:rPr>
        <w:footnoteRef/>
      </w:r>
      <w:r>
        <w:tab/>
      </w:r>
      <w:hyperlink r:id="rId11" w:history="1">
        <w:r w:rsidRPr="00743C3F">
          <w:rPr>
            <w:rStyle w:val="Hyperlink"/>
            <w:sz w:val="16"/>
            <w:szCs w:val="16"/>
          </w:rPr>
          <w:t>The</w:t>
        </w:r>
      </w:hyperlink>
      <w:r w:rsidRPr="001D77CF">
        <w:rPr>
          <w:sz w:val="16"/>
          <w:szCs w:val="16"/>
        </w:rPr>
        <w:t xml:space="preserve"> </w:t>
      </w:r>
      <w:r>
        <w:rPr>
          <w:sz w:val="16"/>
          <w:szCs w:val="16"/>
        </w:rPr>
        <w:t>Code is available online on the website of the Health &amp; Disability Commissioner</w:t>
      </w:r>
      <w:r w:rsidRPr="001D77CF">
        <w:rPr>
          <w:sz w:val="16"/>
          <w:szCs w:val="16"/>
        </w:rPr>
        <w:t xml:space="preserve">: </w:t>
      </w:r>
      <w:hyperlink r:id="rId12" w:history="1">
        <w:r w:rsidRPr="00A5586E">
          <w:rPr>
            <w:rStyle w:val="Hyperlink"/>
            <w:sz w:val="16"/>
            <w:szCs w:val="16"/>
          </w:rPr>
          <w:t>www.hdc.org.nz/the-act-code/the-code-of-rights</w:t>
        </w:r>
      </w:hyperlink>
    </w:p>
  </w:footnote>
  <w:footnote w:id="23">
    <w:p w14:paraId="7E1E1ED2" w14:textId="77777777" w:rsidR="00AE19B5" w:rsidRDefault="00AE19B5" w:rsidP="00271641">
      <w:pPr>
        <w:pStyle w:val="FootnoteText"/>
      </w:pPr>
      <w:r w:rsidRPr="00271641">
        <w:rPr>
          <w:rStyle w:val="FootnoteReference"/>
        </w:rPr>
        <w:footnoteRef/>
      </w:r>
      <w:r>
        <w:tab/>
      </w:r>
      <w:hyperlink r:id="rId13" w:history="1">
        <w:r w:rsidRPr="00743C3F">
          <w:rPr>
            <w:rStyle w:val="Hyperlink"/>
            <w:sz w:val="16"/>
            <w:szCs w:val="16"/>
          </w:rPr>
          <w:t>The</w:t>
        </w:r>
      </w:hyperlink>
      <w:r w:rsidRPr="001D77CF">
        <w:rPr>
          <w:sz w:val="16"/>
          <w:szCs w:val="16"/>
        </w:rPr>
        <w:t xml:space="preserve"> </w:t>
      </w:r>
      <w:r>
        <w:rPr>
          <w:sz w:val="16"/>
          <w:szCs w:val="16"/>
        </w:rPr>
        <w:t>Code is available online on the website of the Health &amp; Disability Commissioner</w:t>
      </w:r>
      <w:r w:rsidRPr="001D77CF">
        <w:rPr>
          <w:sz w:val="16"/>
          <w:szCs w:val="16"/>
        </w:rPr>
        <w:t xml:space="preserve">: </w:t>
      </w:r>
      <w:hyperlink r:id="rId14" w:history="1">
        <w:r w:rsidRPr="00A5586E">
          <w:rPr>
            <w:rStyle w:val="Hyperlink"/>
            <w:sz w:val="16"/>
            <w:szCs w:val="16"/>
          </w:rPr>
          <w:t>www.hdc.org.nz/the-act-code/the-code-of-rights</w:t>
        </w:r>
      </w:hyperlink>
    </w:p>
  </w:footnote>
  <w:footnote w:id="24">
    <w:p w14:paraId="6491677C" w14:textId="77777777" w:rsidR="00AE19B5" w:rsidRPr="006D6D3C" w:rsidRDefault="00AE19B5" w:rsidP="00175121">
      <w:pPr>
        <w:pStyle w:val="FootnoteText"/>
      </w:pPr>
      <w:r w:rsidRPr="00175121">
        <w:rPr>
          <w:rStyle w:val="FootnoteReference"/>
        </w:rPr>
        <w:footnoteRef/>
      </w:r>
      <w:r>
        <w:tab/>
      </w:r>
      <w:r w:rsidRPr="006D6D3C">
        <w:t>National Bowel Screening Programme: Why regular bowel screening is important https://www.nsu.govt.nz/national-bowel-screening-programme/why-regular-bowel-screening-important</w:t>
      </w:r>
    </w:p>
  </w:footnote>
  <w:footnote w:id="25">
    <w:p w14:paraId="393BE0EE" w14:textId="77777777" w:rsidR="00AE19B5" w:rsidRPr="006D6D3C" w:rsidRDefault="00AE19B5" w:rsidP="00175121">
      <w:pPr>
        <w:pStyle w:val="FootnoteText"/>
      </w:pPr>
      <w:r w:rsidRPr="00175121">
        <w:rPr>
          <w:rStyle w:val="FootnoteReference"/>
        </w:rPr>
        <w:footnoteRef/>
      </w:r>
      <w:r>
        <w:tab/>
      </w:r>
      <w:r w:rsidRPr="006D6D3C">
        <w:t>All about bowel screening. The National Bowel Screening Programme. HE1202 March 2018 www.timetoscreen.nz</w:t>
      </w:r>
    </w:p>
  </w:footnote>
  <w:footnote w:id="26">
    <w:p w14:paraId="4930DEFB" w14:textId="77777777" w:rsidR="00AE19B5" w:rsidRDefault="00AE19B5" w:rsidP="00175121">
      <w:pPr>
        <w:pStyle w:val="FootnoteText"/>
      </w:pPr>
      <w:r w:rsidRPr="00175121">
        <w:rPr>
          <w:rStyle w:val="FootnoteReference"/>
        </w:rPr>
        <w:footnoteRef/>
      </w:r>
      <w:r>
        <w:tab/>
      </w:r>
      <w:r w:rsidRPr="006D6D3C">
        <w:t>A screening test is undertaken when a participant who has no symptoms, whereas a diagnostic test is usually performed when a participant has symptoms and requires a diagnosis.</w:t>
      </w:r>
    </w:p>
  </w:footnote>
  <w:footnote w:id="27">
    <w:p w14:paraId="72E718D3" w14:textId="77777777" w:rsidR="00AE19B5" w:rsidRPr="00113DE7" w:rsidRDefault="00AE19B5" w:rsidP="003725AF">
      <w:pPr>
        <w:pStyle w:val="FootnoteText"/>
        <w:rPr>
          <w:rFonts w:cs="FranklinGothic-Demi"/>
          <w:sz w:val="20"/>
        </w:rPr>
      </w:pPr>
      <w:r w:rsidRPr="00D30AB2">
        <w:rPr>
          <w:rStyle w:val="FootnoteReference"/>
        </w:rPr>
        <w:footnoteRef/>
      </w:r>
      <w:r>
        <w:tab/>
        <w:t xml:space="preserve">Allison </w:t>
      </w:r>
      <w:r w:rsidRPr="00D30AB2">
        <w:rPr>
          <w:rFonts w:cs="FranklinGothic-Book"/>
        </w:rPr>
        <w:t>JE</w:t>
      </w:r>
      <w:r w:rsidRPr="001B53F6">
        <w:rPr>
          <w:rFonts w:cs="FranklinGothic-Book"/>
        </w:rPr>
        <w:t>*</w:t>
      </w:r>
      <w:proofErr w:type="gramStart"/>
      <w:r w:rsidRPr="00D30AB2">
        <w:rPr>
          <w:rFonts w:cs="FranklinGothic-Book"/>
          <w:vertAlign w:val="superscript"/>
        </w:rPr>
        <w:t>,</w:t>
      </w:r>
      <w:r w:rsidRPr="001B53F6">
        <w:rPr>
          <w:rFonts w:cs="FranklinGothic-Book"/>
        </w:rPr>
        <w:t>†</w:t>
      </w:r>
      <w:proofErr w:type="gramEnd"/>
      <w:r w:rsidRPr="001B53F6">
        <w:rPr>
          <w:rFonts w:cs="FranklinGothic-Book"/>
        </w:rPr>
        <w:t xml:space="preserve">, </w:t>
      </w:r>
      <w:r>
        <w:rPr>
          <w:rFonts w:cs="FranklinGothic-Book"/>
        </w:rPr>
        <w:t xml:space="preserve">Fraser </w:t>
      </w:r>
      <w:r w:rsidRPr="001B53F6">
        <w:rPr>
          <w:rFonts w:cs="FranklinGothic-Book"/>
        </w:rPr>
        <w:t xml:space="preserve">CG‡, </w:t>
      </w:r>
      <w:r>
        <w:rPr>
          <w:rFonts w:cs="FranklinGothic-Book"/>
        </w:rPr>
        <w:t xml:space="preserve">Halloran </w:t>
      </w:r>
      <w:r w:rsidRPr="001B53F6">
        <w:rPr>
          <w:rFonts w:cs="FranklinGothic-Book"/>
        </w:rPr>
        <w:t xml:space="preserve">SP§, and </w:t>
      </w:r>
      <w:r>
        <w:rPr>
          <w:rFonts w:cs="FranklinGothic-Book"/>
        </w:rPr>
        <w:t xml:space="preserve">Young </w:t>
      </w:r>
      <w:r w:rsidRPr="001B53F6">
        <w:rPr>
          <w:rFonts w:cs="FranklinGothic-Book"/>
        </w:rPr>
        <w:t>GP</w:t>
      </w:r>
      <w:r w:rsidRPr="001B53F6">
        <w:rPr>
          <w:rFonts w:ascii="Calibri" w:eastAsia="Batang" w:hAnsi="Calibri" w:cs="Calibri"/>
        </w:rPr>
        <w:t>􀓑</w:t>
      </w:r>
      <w:r w:rsidRPr="001B53F6">
        <w:rPr>
          <w:rFonts w:eastAsia="Batang" w:cs="Calibri"/>
        </w:rPr>
        <w:t xml:space="preserve">. </w:t>
      </w:r>
      <w:r>
        <w:rPr>
          <w:rFonts w:eastAsia="Batang" w:cs="Calibri"/>
        </w:rPr>
        <w:t xml:space="preserve">2014. </w:t>
      </w:r>
      <w:r w:rsidRPr="00D30AB2">
        <w:t xml:space="preserve">Population </w:t>
      </w:r>
      <w:r>
        <w:t>s</w:t>
      </w:r>
      <w:r w:rsidRPr="00D30AB2">
        <w:t xml:space="preserve">creening for </w:t>
      </w:r>
      <w:r>
        <w:t>c</w:t>
      </w:r>
      <w:r w:rsidRPr="00D30AB2">
        <w:t xml:space="preserve">olorectal </w:t>
      </w:r>
      <w:r>
        <w:t>c</w:t>
      </w:r>
      <w:r w:rsidRPr="00D30AB2">
        <w:t xml:space="preserve">ancer </w:t>
      </w:r>
      <w:r>
        <w:t>m</w:t>
      </w:r>
      <w:r w:rsidRPr="00D30AB2">
        <w:t xml:space="preserve">eans </w:t>
      </w:r>
      <w:r>
        <w:t>g</w:t>
      </w:r>
      <w:r w:rsidRPr="00D30AB2">
        <w:t xml:space="preserve">etting FIT: </w:t>
      </w:r>
      <w:r>
        <w:t>t</w:t>
      </w:r>
      <w:r w:rsidRPr="00D30AB2">
        <w:t xml:space="preserve">he </w:t>
      </w:r>
      <w:r>
        <w:t>p</w:t>
      </w:r>
      <w:r w:rsidRPr="00D30AB2">
        <w:t xml:space="preserve">ast, </w:t>
      </w:r>
      <w:r>
        <w:t>p</w:t>
      </w:r>
      <w:r w:rsidRPr="00D30AB2">
        <w:t xml:space="preserve">resent, and </w:t>
      </w:r>
      <w:r>
        <w:t>f</w:t>
      </w:r>
      <w:r w:rsidRPr="00D30AB2">
        <w:t xml:space="preserve">uture of </w:t>
      </w:r>
      <w:r>
        <w:t>c</w:t>
      </w:r>
      <w:r w:rsidRPr="00D30AB2">
        <w:t xml:space="preserve">olorectal </w:t>
      </w:r>
      <w:r>
        <w:t>c</w:t>
      </w:r>
      <w:r w:rsidRPr="00D30AB2">
        <w:t xml:space="preserve">ancer </w:t>
      </w:r>
      <w:r>
        <w:t>s</w:t>
      </w:r>
      <w:r w:rsidRPr="00D30AB2">
        <w:t xml:space="preserve">creening </w:t>
      </w:r>
      <w:r>
        <w:t>u</w:t>
      </w:r>
      <w:r w:rsidRPr="00D30AB2">
        <w:t xml:space="preserve">sing the </w:t>
      </w:r>
      <w:proofErr w:type="spellStart"/>
      <w:r>
        <w:t>f</w:t>
      </w:r>
      <w:r w:rsidRPr="00D30AB2">
        <w:t>ecal</w:t>
      </w:r>
      <w:proofErr w:type="spellEnd"/>
      <w:r w:rsidRPr="00D30AB2">
        <w:t xml:space="preserve"> </w:t>
      </w:r>
      <w:r>
        <w:t>i</w:t>
      </w:r>
      <w:r w:rsidRPr="00D30AB2">
        <w:t xml:space="preserve">mmunochemical </w:t>
      </w:r>
      <w:r>
        <w:t>t</w:t>
      </w:r>
      <w:r w:rsidRPr="00D30AB2">
        <w:t xml:space="preserve">est for </w:t>
      </w:r>
      <w:proofErr w:type="spellStart"/>
      <w:r>
        <w:t>h</w:t>
      </w:r>
      <w:r w:rsidRPr="00D30AB2">
        <w:t>emoglobin</w:t>
      </w:r>
      <w:proofErr w:type="spellEnd"/>
      <w:r w:rsidRPr="00D30AB2">
        <w:t xml:space="preserve"> (FIT). </w:t>
      </w:r>
      <w:r w:rsidRPr="00D30AB2">
        <w:rPr>
          <w:rFonts w:cs="Rotisser"/>
          <w:i/>
        </w:rPr>
        <w:t>Gut and Liver</w:t>
      </w:r>
      <w:r w:rsidRPr="001B53F6">
        <w:rPr>
          <w:rFonts w:cs="Rotisser"/>
        </w:rPr>
        <w:t xml:space="preserve"> </w:t>
      </w:r>
      <w:r>
        <w:rPr>
          <w:rFonts w:cs="Rotisser"/>
        </w:rPr>
        <w:t>8(</w:t>
      </w:r>
      <w:r w:rsidRPr="001B53F6">
        <w:rPr>
          <w:rFonts w:cs="Rotisser"/>
        </w:rPr>
        <w:t>2</w:t>
      </w:r>
      <w:r>
        <w:rPr>
          <w:rFonts w:cs="Rotisser"/>
        </w:rPr>
        <w:t>):</w:t>
      </w:r>
      <w:r w:rsidRPr="001B53F6">
        <w:rPr>
          <w:rFonts w:cs="Rotisser"/>
        </w:rPr>
        <w:t xml:space="preserve"> 117</w:t>
      </w:r>
      <w:r>
        <w:rPr>
          <w:rFonts w:cs="Rotisser"/>
        </w:rPr>
        <w:t>–</w:t>
      </w:r>
      <w:r w:rsidRPr="001B53F6">
        <w:rPr>
          <w:rFonts w:cs="Rotisser"/>
        </w:rPr>
        <w:t>130</w:t>
      </w:r>
      <w:r>
        <w:rPr>
          <w:rFonts w:cs="Rotisser"/>
        </w:rPr>
        <w:t xml:space="preserve">, March. </w:t>
      </w:r>
      <w:hyperlink r:id="rId15" w:history="1">
        <w:r w:rsidRPr="003725AF">
          <w:rPr>
            <w:rStyle w:val="Hyperlink"/>
          </w:rPr>
          <w:t>https://www.ncbi.nlm.nih.gov/pmc/articles/PMC3964261/</w:t>
        </w:r>
      </w:hyperlink>
    </w:p>
  </w:footnote>
  <w:footnote w:id="28">
    <w:p w14:paraId="26B04818" w14:textId="77777777" w:rsidR="00AE19B5" w:rsidRPr="00917232" w:rsidRDefault="00AE19B5" w:rsidP="003725AF">
      <w:pPr>
        <w:pStyle w:val="FootnoteText"/>
      </w:pPr>
      <w:r w:rsidRPr="003725AF">
        <w:rPr>
          <w:rStyle w:val="FootnoteReference"/>
        </w:rPr>
        <w:footnoteRef/>
      </w:r>
      <w:r>
        <w:rPr>
          <w:rFonts w:eastAsia="Calibri Light"/>
          <w:u w:color="323E4F"/>
        </w:rPr>
        <w:tab/>
      </w:r>
      <w:r w:rsidRPr="00917232">
        <w:rPr>
          <w:rFonts w:eastAsia="Calibri Light"/>
          <w:u w:color="323E4F"/>
        </w:rPr>
        <w:t xml:space="preserve">Age Range and Positivity Threshold for the </w:t>
      </w:r>
      <w:r w:rsidRPr="00917232">
        <w:rPr>
          <w:rFonts w:eastAsia="Calibri Light"/>
        </w:rPr>
        <w:t>National</w:t>
      </w:r>
      <w:r w:rsidRPr="00917232">
        <w:rPr>
          <w:rFonts w:eastAsia="Calibri Light"/>
          <w:u w:color="323E4F"/>
        </w:rPr>
        <w:t xml:space="preserve"> Bowel Screening </w:t>
      </w:r>
      <w:r w:rsidRPr="00917232">
        <w:rPr>
          <w:rFonts w:eastAsia="Calibri Light"/>
        </w:rPr>
        <w:t xml:space="preserve">Programme 2017. </w:t>
      </w:r>
      <w:r w:rsidRPr="00917232">
        <w:t>https://www.health.govt.nz/our-work/diseases-and-conditions/cancer-programme/bowel-cancer-programme/national-bowel-screening-programme/key-documents-national-bowel-screening-programme</w:t>
      </w:r>
    </w:p>
  </w:footnote>
  <w:footnote w:id="29">
    <w:p w14:paraId="53CA9ADB" w14:textId="77777777" w:rsidR="00AE19B5" w:rsidRPr="00113DE7" w:rsidRDefault="00AE19B5" w:rsidP="003725AF">
      <w:pPr>
        <w:pStyle w:val="FootnoteText"/>
        <w:rPr>
          <w:rFonts w:cs="AdvOTdc5ff126"/>
        </w:rPr>
      </w:pPr>
      <w:r w:rsidRPr="003725AF">
        <w:rPr>
          <w:rStyle w:val="FootnoteReference"/>
        </w:rPr>
        <w:footnoteRef/>
      </w:r>
      <w:r w:rsidRPr="003725AF">
        <w:tab/>
      </w:r>
      <w:hyperlink r:id="rId16" w:history="1">
        <w:r w:rsidRPr="00483D70">
          <w:rPr>
            <w:color w:val="2F4A8B"/>
            <w:u w:val="single"/>
            <w:lang w:eastAsia="en-NZ"/>
          </w:rPr>
          <w:t>Robertson DJ</w:t>
        </w:r>
      </w:hyperlink>
      <w:r w:rsidRPr="00483D70">
        <w:rPr>
          <w:vertAlign w:val="superscript"/>
          <w:lang w:eastAsia="en-NZ"/>
        </w:rPr>
        <w:t>1</w:t>
      </w:r>
      <w:r w:rsidRPr="00483D70">
        <w:rPr>
          <w:lang w:eastAsia="en-NZ"/>
        </w:rPr>
        <w:t xml:space="preserve">, </w:t>
      </w:r>
      <w:hyperlink r:id="rId17" w:history="1">
        <w:r w:rsidRPr="00483D70">
          <w:rPr>
            <w:color w:val="2F4A8B"/>
            <w:u w:val="single"/>
            <w:lang w:eastAsia="en-NZ"/>
          </w:rPr>
          <w:t>Lee JK</w:t>
        </w:r>
      </w:hyperlink>
      <w:r w:rsidRPr="00483D70">
        <w:rPr>
          <w:vertAlign w:val="superscript"/>
          <w:lang w:eastAsia="en-NZ"/>
        </w:rPr>
        <w:t>2</w:t>
      </w:r>
      <w:r w:rsidRPr="00483D70">
        <w:rPr>
          <w:lang w:eastAsia="en-NZ"/>
        </w:rPr>
        <w:t xml:space="preserve">, </w:t>
      </w:r>
      <w:hyperlink r:id="rId18" w:history="1">
        <w:r w:rsidRPr="00483D70">
          <w:rPr>
            <w:color w:val="2F4A8B"/>
            <w:u w:val="single"/>
            <w:lang w:eastAsia="en-NZ"/>
          </w:rPr>
          <w:t>Boland CR</w:t>
        </w:r>
      </w:hyperlink>
      <w:r w:rsidRPr="00483D70">
        <w:rPr>
          <w:vertAlign w:val="superscript"/>
          <w:lang w:eastAsia="en-NZ"/>
        </w:rPr>
        <w:t>3</w:t>
      </w:r>
      <w:r w:rsidRPr="00483D70">
        <w:rPr>
          <w:lang w:eastAsia="en-NZ"/>
        </w:rPr>
        <w:t xml:space="preserve">, </w:t>
      </w:r>
      <w:hyperlink r:id="rId19" w:history="1">
        <w:r w:rsidRPr="00483D70">
          <w:rPr>
            <w:color w:val="2F4A8B"/>
            <w:u w:val="single"/>
            <w:lang w:eastAsia="en-NZ"/>
          </w:rPr>
          <w:t>Dominitz JA</w:t>
        </w:r>
      </w:hyperlink>
      <w:r w:rsidRPr="00483D70">
        <w:rPr>
          <w:vertAlign w:val="superscript"/>
          <w:lang w:eastAsia="en-NZ"/>
        </w:rPr>
        <w:t>4</w:t>
      </w:r>
      <w:r w:rsidRPr="00483D70">
        <w:rPr>
          <w:lang w:eastAsia="en-NZ"/>
        </w:rPr>
        <w:t xml:space="preserve">, </w:t>
      </w:r>
      <w:hyperlink r:id="rId20" w:history="1">
        <w:r w:rsidRPr="00483D70">
          <w:rPr>
            <w:color w:val="2F4A8B"/>
            <w:u w:val="single"/>
            <w:lang w:eastAsia="en-NZ"/>
          </w:rPr>
          <w:t>Giardiello FM</w:t>
        </w:r>
      </w:hyperlink>
      <w:r w:rsidRPr="00483D70">
        <w:rPr>
          <w:vertAlign w:val="superscript"/>
          <w:lang w:eastAsia="en-NZ"/>
        </w:rPr>
        <w:t>5</w:t>
      </w:r>
      <w:r w:rsidRPr="00483D70">
        <w:rPr>
          <w:lang w:eastAsia="en-NZ"/>
        </w:rPr>
        <w:t xml:space="preserve">, </w:t>
      </w:r>
      <w:hyperlink r:id="rId21" w:history="1">
        <w:r w:rsidRPr="00483D70">
          <w:rPr>
            <w:color w:val="2F4A8B"/>
            <w:u w:val="single"/>
            <w:lang w:eastAsia="en-NZ"/>
          </w:rPr>
          <w:t>Johnson DA</w:t>
        </w:r>
      </w:hyperlink>
      <w:r w:rsidRPr="00483D70">
        <w:rPr>
          <w:vertAlign w:val="superscript"/>
          <w:lang w:eastAsia="en-NZ"/>
        </w:rPr>
        <w:t>6</w:t>
      </w:r>
      <w:r w:rsidRPr="00483D70">
        <w:rPr>
          <w:lang w:eastAsia="en-NZ"/>
        </w:rPr>
        <w:t xml:space="preserve">, </w:t>
      </w:r>
      <w:hyperlink r:id="rId22" w:history="1">
        <w:r w:rsidRPr="00483D70">
          <w:rPr>
            <w:color w:val="2F4A8B"/>
            <w:u w:val="single"/>
            <w:lang w:eastAsia="en-NZ"/>
          </w:rPr>
          <w:t>Kaltenbach T</w:t>
        </w:r>
      </w:hyperlink>
      <w:r w:rsidRPr="00483D70">
        <w:rPr>
          <w:vertAlign w:val="superscript"/>
          <w:lang w:eastAsia="en-NZ"/>
        </w:rPr>
        <w:t>7</w:t>
      </w:r>
      <w:r w:rsidRPr="00483D70">
        <w:rPr>
          <w:lang w:eastAsia="en-NZ"/>
        </w:rPr>
        <w:t xml:space="preserve">, </w:t>
      </w:r>
      <w:hyperlink r:id="rId23" w:history="1">
        <w:r w:rsidRPr="00483D70">
          <w:rPr>
            <w:color w:val="2F4A8B"/>
            <w:u w:val="single"/>
            <w:lang w:eastAsia="en-NZ"/>
          </w:rPr>
          <w:t>Lieberman D</w:t>
        </w:r>
      </w:hyperlink>
      <w:r w:rsidRPr="00483D70">
        <w:rPr>
          <w:vertAlign w:val="superscript"/>
          <w:lang w:eastAsia="en-NZ"/>
        </w:rPr>
        <w:t>8</w:t>
      </w:r>
      <w:r w:rsidRPr="00483D70">
        <w:rPr>
          <w:lang w:eastAsia="en-NZ"/>
        </w:rPr>
        <w:t xml:space="preserve">, </w:t>
      </w:r>
      <w:hyperlink r:id="rId24" w:history="1">
        <w:r w:rsidRPr="00483D70">
          <w:rPr>
            <w:color w:val="2F4A8B"/>
            <w:u w:val="single"/>
            <w:lang w:eastAsia="en-NZ"/>
          </w:rPr>
          <w:t>Levin TR</w:t>
        </w:r>
      </w:hyperlink>
      <w:r w:rsidRPr="00483D70">
        <w:rPr>
          <w:vertAlign w:val="superscript"/>
          <w:lang w:eastAsia="en-NZ"/>
        </w:rPr>
        <w:t>9</w:t>
      </w:r>
      <w:r w:rsidRPr="00483D70">
        <w:rPr>
          <w:lang w:eastAsia="en-NZ"/>
        </w:rPr>
        <w:t xml:space="preserve">, </w:t>
      </w:r>
      <w:hyperlink r:id="rId25" w:history="1">
        <w:r w:rsidRPr="00483D70">
          <w:rPr>
            <w:color w:val="2F4A8B"/>
            <w:u w:val="single"/>
            <w:lang w:eastAsia="en-NZ"/>
          </w:rPr>
          <w:t>Rex DK</w:t>
        </w:r>
      </w:hyperlink>
      <w:r w:rsidRPr="00483D70">
        <w:rPr>
          <w:vertAlign w:val="superscript"/>
          <w:lang w:eastAsia="en-NZ"/>
        </w:rPr>
        <w:t>10</w:t>
      </w:r>
      <w:r>
        <w:t xml:space="preserve">. </w:t>
      </w:r>
      <w:r w:rsidRPr="003725AF">
        <w:rPr>
          <w:i/>
          <w:lang w:eastAsia="en-NZ"/>
        </w:rPr>
        <w:t xml:space="preserve">Recommendations on </w:t>
      </w:r>
      <w:proofErr w:type="spellStart"/>
      <w:r>
        <w:rPr>
          <w:i/>
          <w:lang w:eastAsia="en-NZ"/>
        </w:rPr>
        <w:t>F</w:t>
      </w:r>
      <w:r w:rsidRPr="003725AF">
        <w:rPr>
          <w:i/>
          <w:lang w:eastAsia="en-NZ"/>
        </w:rPr>
        <w:t>ecal</w:t>
      </w:r>
      <w:proofErr w:type="spellEnd"/>
      <w:r w:rsidRPr="003725AF">
        <w:rPr>
          <w:i/>
          <w:lang w:eastAsia="en-NZ"/>
        </w:rPr>
        <w:t xml:space="preserve"> </w:t>
      </w:r>
      <w:r>
        <w:rPr>
          <w:i/>
          <w:lang w:eastAsia="en-NZ"/>
        </w:rPr>
        <w:t>I</w:t>
      </w:r>
      <w:r w:rsidRPr="003725AF">
        <w:rPr>
          <w:i/>
          <w:lang w:eastAsia="en-NZ"/>
        </w:rPr>
        <w:t xml:space="preserve">mmunochemical </w:t>
      </w:r>
      <w:r>
        <w:rPr>
          <w:i/>
          <w:lang w:eastAsia="en-NZ"/>
        </w:rPr>
        <w:t>T</w:t>
      </w:r>
      <w:r w:rsidRPr="003725AF">
        <w:rPr>
          <w:i/>
          <w:lang w:eastAsia="en-NZ"/>
        </w:rPr>
        <w:t xml:space="preserve">esting to </w:t>
      </w:r>
      <w:r>
        <w:rPr>
          <w:i/>
          <w:lang w:eastAsia="en-NZ"/>
        </w:rPr>
        <w:t>S</w:t>
      </w:r>
      <w:r w:rsidRPr="003725AF">
        <w:rPr>
          <w:i/>
          <w:lang w:eastAsia="en-NZ"/>
        </w:rPr>
        <w:t xml:space="preserve">creen for </w:t>
      </w:r>
      <w:r>
        <w:rPr>
          <w:i/>
          <w:lang w:eastAsia="en-NZ"/>
        </w:rPr>
        <w:t>C</w:t>
      </w:r>
      <w:r w:rsidRPr="003725AF">
        <w:rPr>
          <w:i/>
          <w:lang w:eastAsia="en-NZ"/>
        </w:rPr>
        <w:t xml:space="preserve">olorectal </w:t>
      </w:r>
      <w:r>
        <w:rPr>
          <w:i/>
          <w:lang w:eastAsia="en-NZ"/>
        </w:rPr>
        <w:t>N</w:t>
      </w:r>
      <w:r w:rsidRPr="003725AF">
        <w:rPr>
          <w:i/>
          <w:lang w:eastAsia="en-NZ"/>
        </w:rPr>
        <w:t xml:space="preserve">eoplasia: </w:t>
      </w:r>
      <w:r>
        <w:rPr>
          <w:i/>
          <w:lang w:eastAsia="en-NZ"/>
        </w:rPr>
        <w:t>A </w:t>
      </w:r>
      <w:r w:rsidRPr="003725AF">
        <w:rPr>
          <w:i/>
          <w:lang w:eastAsia="en-NZ"/>
        </w:rPr>
        <w:t>consensus statement by the US Multi-Society Task Force on colorectal cancer</w:t>
      </w:r>
      <w:r w:rsidRPr="00113DE7">
        <w:rPr>
          <w:lang w:eastAsia="en-NZ"/>
        </w:rPr>
        <w:t>.</w:t>
      </w:r>
      <w:r>
        <w:rPr>
          <w:rFonts w:cs="AdvOTdc5ff126"/>
        </w:rPr>
        <w:t xml:space="preserve"> </w:t>
      </w:r>
      <w:hyperlink r:id="rId26" w:history="1">
        <w:r w:rsidRPr="003725AF">
          <w:rPr>
            <w:rStyle w:val="Hyperlink"/>
          </w:rPr>
          <w:t>http://www.giejournal.org/article/S0016-5107(16)30625-3/pdf</w:t>
        </w:r>
      </w:hyperlink>
    </w:p>
  </w:footnote>
  <w:footnote w:id="30">
    <w:p w14:paraId="1EA3B11B" w14:textId="77777777" w:rsidR="00AE19B5" w:rsidRPr="00814799" w:rsidRDefault="00AE19B5" w:rsidP="00CF30A3">
      <w:pPr>
        <w:pStyle w:val="FootnoteText"/>
      </w:pPr>
      <w:r w:rsidRPr="00CF30A3">
        <w:rPr>
          <w:rStyle w:val="FootnoteReference"/>
        </w:rPr>
        <w:footnoteRef/>
      </w:r>
      <w:r>
        <w:tab/>
      </w:r>
      <w:r w:rsidRPr="00814799">
        <w:t>Quick reference guide for primary health care teams March 2018 https://www.nsu.govt.nz/system/files/resources/hp6836-nbsp-quick-reference_guide_for_primary_healthcare_teams_mar18.pdf</w:t>
      </w:r>
    </w:p>
  </w:footnote>
  <w:footnote w:id="31">
    <w:p w14:paraId="08CE21B8" w14:textId="1FB26AF5" w:rsidR="00AE19B5" w:rsidRPr="00814799" w:rsidRDefault="00AE19B5" w:rsidP="00CF30A3">
      <w:pPr>
        <w:pStyle w:val="FootnoteText"/>
      </w:pPr>
      <w:r w:rsidRPr="00CF30A3">
        <w:rPr>
          <w:rStyle w:val="FootnoteReference"/>
        </w:rPr>
        <w:footnoteRef/>
      </w:r>
      <w:r>
        <w:tab/>
      </w:r>
      <w:r w:rsidRPr="00814799">
        <w:t xml:space="preserve">Ministry of Health. 2015. </w:t>
      </w:r>
      <w:r w:rsidRPr="00CF30A3">
        <w:rPr>
          <w:rFonts w:eastAsia="MS Gothic" w:cs="Arial"/>
          <w:i/>
        </w:rPr>
        <w:t xml:space="preserve">Referral Criteria for Direct Access Outpatient Colonoscopy or CT </w:t>
      </w:r>
      <w:proofErr w:type="spellStart"/>
      <w:r w:rsidRPr="00CF30A3">
        <w:rPr>
          <w:rFonts w:eastAsia="MS Gothic" w:cs="Arial"/>
          <w:i/>
        </w:rPr>
        <w:t>Colonography</w:t>
      </w:r>
      <w:proofErr w:type="spellEnd"/>
      <w:r w:rsidRPr="00814799">
        <w:rPr>
          <w:rFonts w:eastAsia="MS Gothic" w:cs="Arial"/>
        </w:rPr>
        <w:t>. Wellington: Ministry of Health. URL:</w:t>
      </w:r>
      <w:r w:rsidRPr="00814799">
        <w:rPr>
          <w:b/>
        </w:rPr>
        <w:t xml:space="preserve"> </w:t>
      </w:r>
      <w:hyperlink r:id="rId27" w:history="1">
        <w:r w:rsidRPr="00814799">
          <w:rPr>
            <w:rStyle w:val="Hyperlink"/>
            <w:szCs w:val="18"/>
          </w:rPr>
          <w:t>https://www.health.govt.nz/system/files/documents/pages/referral-criteria-direct-access-outpatient-colonoscopy-ct-colonography-nov15.doc</w:t>
        </w:r>
      </w:hyperlink>
      <w:r w:rsidRPr="00814799">
        <w:t xml:space="preserve"> (accessed 11 December 2017).</w:t>
      </w:r>
    </w:p>
  </w:footnote>
  <w:footnote w:id="32">
    <w:p w14:paraId="66F03934" w14:textId="77777777" w:rsidR="00AE19B5" w:rsidRPr="005673E5" w:rsidRDefault="00AE19B5" w:rsidP="00CF30A3">
      <w:pPr>
        <w:pStyle w:val="FootnoteText"/>
      </w:pPr>
      <w:r w:rsidRPr="00CF30A3">
        <w:rPr>
          <w:rStyle w:val="FootnoteReference"/>
        </w:rPr>
        <w:footnoteRef/>
      </w:r>
      <w:r>
        <w:tab/>
        <w:t xml:space="preserve">National Bowel Screening Programme: Why regular bowel screening is important </w:t>
      </w:r>
      <w:r w:rsidRPr="005673E5">
        <w:t>https://www.nsu.govt.nz/national-bowel-screening-programme/why-regular-bowel-screening-important</w:t>
      </w:r>
    </w:p>
  </w:footnote>
  <w:footnote w:id="33">
    <w:p w14:paraId="28CF63EC" w14:textId="77777777" w:rsidR="00AE19B5" w:rsidRPr="0083744E" w:rsidRDefault="00AE19B5" w:rsidP="00CF30A3">
      <w:pPr>
        <w:pStyle w:val="FootnoteText"/>
      </w:pPr>
      <w:r w:rsidRPr="00CF30A3">
        <w:rPr>
          <w:rStyle w:val="FootnoteReference"/>
        </w:rPr>
        <w:footnoteRef/>
      </w:r>
      <w:r>
        <w:tab/>
      </w:r>
      <w:r w:rsidRPr="0083744E">
        <w:t>All about bowel screening. The National Bowel Screening Programme.</w:t>
      </w:r>
      <w:r>
        <w:t xml:space="preserve"> HE1202 March 2018</w:t>
      </w:r>
      <w:r w:rsidRPr="0083744E">
        <w:t xml:space="preserve"> www.timetoscreen.nz</w:t>
      </w:r>
    </w:p>
  </w:footnote>
  <w:footnote w:id="34">
    <w:p w14:paraId="37391B05" w14:textId="77777777" w:rsidR="00AE19B5" w:rsidRPr="00CF30A3" w:rsidRDefault="00AE19B5" w:rsidP="00CF30A3">
      <w:pPr>
        <w:pStyle w:val="FootnoteText"/>
      </w:pPr>
      <w:r w:rsidRPr="00CF30A3">
        <w:rPr>
          <w:rStyle w:val="FootnoteReference"/>
        </w:rPr>
        <w:footnoteRef/>
      </w:r>
      <w:r>
        <w:rPr>
          <w:rFonts w:asciiTheme="minorHAnsi" w:hAnsiTheme="minorHAnsi"/>
          <w:sz w:val="20"/>
        </w:rPr>
        <w:tab/>
      </w:r>
      <w:r w:rsidRPr="00CF30A3">
        <w:t xml:space="preserve">NZFGICS Who is Referred </w:t>
      </w:r>
      <w:hyperlink r:id="rId28" w:history="1">
        <w:r w:rsidRPr="00CF30A3">
          <w:t>http://www.nzfgcs.co.nz/services/who-is-referred</w:t>
        </w:r>
      </w:hyperlink>
      <w:r w:rsidRPr="00CF30A3">
        <w:t xml:space="preserve"> and </w:t>
      </w:r>
      <w:hyperlink r:id="rId29" w:anchor="page=44" w:history="1">
        <w:r w:rsidRPr="00CF30A3">
          <w:t>http://www.nzfgcs.co.nz/Portals/4/NZ%20CRC%20guidelines%202012.pdf#page=44</w:t>
        </w:r>
      </w:hyperlink>
    </w:p>
  </w:footnote>
  <w:footnote w:id="35">
    <w:p w14:paraId="24CE50D5" w14:textId="77777777" w:rsidR="00AE19B5" w:rsidRPr="008273A6" w:rsidRDefault="00AE19B5" w:rsidP="00CF30A3">
      <w:pPr>
        <w:pStyle w:val="FootnoteText"/>
      </w:pPr>
      <w:r w:rsidRPr="00CF30A3">
        <w:rPr>
          <w:rStyle w:val="FootnoteReference"/>
        </w:rPr>
        <w:footnoteRef/>
      </w:r>
      <w:r>
        <w:tab/>
      </w:r>
      <w:r w:rsidRPr="00FA04AF">
        <w:t>N</w:t>
      </w:r>
      <w:r>
        <w:t xml:space="preserve">ew </w:t>
      </w:r>
      <w:r w:rsidRPr="00FA04AF">
        <w:t>Z</w:t>
      </w:r>
      <w:r>
        <w:t>ealand</w:t>
      </w:r>
      <w:r w:rsidRPr="00FA04AF">
        <w:t xml:space="preserve"> Guidelines Group</w:t>
      </w:r>
      <w:r>
        <w:t xml:space="preserve">. 2011. </w:t>
      </w:r>
      <w:r>
        <w:rPr>
          <w:i/>
        </w:rPr>
        <w:t xml:space="preserve">Surveillance for People at Risk of Colorectal Cancer. </w:t>
      </w:r>
      <w:r>
        <w:t xml:space="preserve">Wellington: Ministry of Health. URL: </w:t>
      </w:r>
      <w:hyperlink r:id="rId30" w:history="1">
        <w:r w:rsidRPr="0021697F">
          <w:rPr>
            <w:rStyle w:val="Hyperlink"/>
          </w:rPr>
          <w:t>www.health.govt.nz/publication/guidance-surveillance-people-increased-risk-colorectal-cancer</w:t>
        </w:r>
      </w:hyperlink>
    </w:p>
  </w:footnote>
  <w:footnote w:id="36">
    <w:p w14:paraId="19FFAFD5" w14:textId="77777777" w:rsidR="00AE19B5" w:rsidRPr="00AB7600" w:rsidRDefault="00AE19B5" w:rsidP="00F301C7">
      <w:pPr>
        <w:pStyle w:val="FootnoteText"/>
      </w:pPr>
      <w:r w:rsidRPr="00AB7600">
        <w:rPr>
          <w:rStyle w:val="FootnoteReference"/>
        </w:rPr>
        <w:footnoteRef/>
      </w:r>
      <w:r>
        <w:tab/>
      </w:r>
      <w:r w:rsidRPr="00AB7600">
        <w:t>All about Bowel Screening. National Screening Unit https://www.nsu.govt.nz/resources/all-about-bowel-screening</w:t>
      </w:r>
    </w:p>
  </w:footnote>
  <w:footnote w:id="37">
    <w:p w14:paraId="0109378E" w14:textId="77777777" w:rsidR="00AE19B5" w:rsidRPr="00AB7600" w:rsidRDefault="00AE19B5" w:rsidP="00AB7600">
      <w:pPr>
        <w:pStyle w:val="FootnoteText"/>
      </w:pPr>
      <w:r w:rsidRPr="00AB7600">
        <w:rPr>
          <w:rStyle w:val="FootnoteReference"/>
        </w:rPr>
        <w:footnoteRef/>
      </w:r>
      <w:r>
        <w:rPr>
          <w:rFonts w:cs="Arial"/>
        </w:rPr>
        <w:tab/>
      </w:r>
      <w:r w:rsidRPr="00A9199E">
        <w:rPr>
          <w:rFonts w:cs="Arial"/>
        </w:rPr>
        <w:t>EGGNZ 2017 (</w:t>
      </w:r>
      <w:r w:rsidRPr="00A9199E">
        <w:rPr>
          <w:bCs/>
        </w:rPr>
        <w:t xml:space="preserve">Endoscopy Standards for Individual </w:t>
      </w:r>
      <w:proofErr w:type="spellStart"/>
      <w:r w:rsidRPr="00A9199E">
        <w:rPr>
          <w:bCs/>
        </w:rPr>
        <w:t>Colonoscopists</w:t>
      </w:r>
      <w:proofErr w:type="spellEnd"/>
      <w:r w:rsidRPr="00A9199E">
        <w:rPr>
          <w:bCs/>
        </w:rPr>
        <w:t xml:space="preserve"> Performing Bowel Cancer Screening in New Zealand</w:t>
      </w:r>
      <w:r w:rsidRPr="00A9199E">
        <w:t xml:space="preserve"> and </w:t>
      </w:r>
      <w:r w:rsidRPr="00A9199E">
        <w:rPr>
          <w:iCs/>
        </w:rPr>
        <w:t>Endoscopy Unit Standards for Performing Bowel Cancer Screening in New Zealand)</w:t>
      </w:r>
      <w:r>
        <w:rPr>
          <w:iCs/>
        </w:rPr>
        <w:t>.</w:t>
      </w:r>
    </w:p>
  </w:footnote>
  <w:footnote w:id="38">
    <w:p w14:paraId="2B7E592D" w14:textId="77777777" w:rsidR="00AE19B5" w:rsidRPr="00F868BE" w:rsidRDefault="00AE19B5" w:rsidP="00672487">
      <w:pPr>
        <w:autoSpaceDE w:val="0"/>
        <w:autoSpaceDN w:val="0"/>
        <w:adjustRightInd w:val="0"/>
        <w:spacing w:line="240" w:lineRule="auto"/>
        <w:rPr>
          <w:rFonts w:cs="AdvOT6520a694"/>
          <w:sz w:val="18"/>
          <w:szCs w:val="18"/>
          <w:lang w:eastAsia="en-NZ"/>
        </w:rPr>
      </w:pPr>
      <w:r>
        <w:rPr>
          <w:rStyle w:val="FootnoteReference"/>
        </w:rPr>
        <w:footnoteRef/>
      </w:r>
      <w:r>
        <w:t xml:space="preserve"> </w:t>
      </w:r>
      <w:r w:rsidRPr="00F868BE">
        <w:rPr>
          <w:rFonts w:cs="AdvOT6520a694"/>
          <w:sz w:val="18"/>
          <w:szCs w:val="18"/>
          <w:lang w:eastAsia="en-NZ"/>
        </w:rPr>
        <w:t xml:space="preserve">Endoscopy in patients on antiplatelet or anticoagulant therapy, including direct oral anticoagulants: British Society of Gastroenterology (BSG) and European Society of Gastrointestinal Endoscopy (ESGE) guidelines. 2016. </w:t>
      </w:r>
      <w:r w:rsidRPr="00F868BE">
        <w:rPr>
          <w:rFonts w:cs="AdvOT0231c847"/>
          <w:sz w:val="18"/>
          <w:szCs w:val="18"/>
          <w:lang w:eastAsia="en-NZ"/>
        </w:rPr>
        <w:t xml:space="preserve">Veitch AM, </w:t>
      </w:r>
      <w:r w:rsidRPr="00F868BE">
        <w:rPr>
          <w:rFonts w:cs="AdvOTbe4cb9cb"/>
          <w:sz w:val="18"/>
          <w:szCs w:val="18"/>
          <w:lang w:eastAsia="en-NZ"/>
        </w:rPr>
        <w:t>et al</w:t>
      </w:r>
      <w:r w:rsidRPr="00F868BE">
        <w:rPr>
          <w:rFonts w:cs="AdvOT0231c847"/>
          <w:sz w:val="18"/>
          <w:szCs w:val="18"/>
          <w:lang w:eastAsia="en-NZ"/>
        </w:rPr>
        <w:t xml:space="preserve">. </w:t>
      </w:r>
      <w:r w:rsidRPr="00F868BE">
        <w:rPr>
          <w:rFonts w:cs="AdvOTbe4cb9cb"/>
          <w:sz w:val="18"/>
          <w:szCs w:val="18"/>
          <w:lang w:eastAsia="en-NZ"/>
        </w:rPr>
        <w:t xml:space="preserve">Gut </w:t>
      </w:r>
      <w:r w:rsidRPr="00F868BE">
        <w:rPr>
          <w:rFonts w:cs="AdvOT0231c847"/>
          <w:sz w:val="18"/>
          <w:szCs w:val="18"/>
          <w:lang w:eastAsia="en-NZ"/>
        </w:rPr>
        <w:t>2016</w:t>
      </w:r>
      <w:proofErr w:type="gramStart"/>
      <w:r w:rsidRPr="00F868BE">
        <w:rPr>
          <w:rFonts w:cs="AdvOT0231c847"/>
          <w:sz w:val="18"/>
          <w:szCs w:val="18"/>
          <w:lang w:eastAsia="en-NZ"/>
        </w:rPr>
        <w:t>;</w:t>
      </w:r>
      <w:r w:rsidRPr="00F868BE">
        <w:rPr>
          <w:rFonts w:cs="AdvOTc9c0ed35.B"/>
          <w:sz w:val="18"/>
          <w:szCs w:val="18"/>
          <w:lang w:eastAsia="en-NZ"/>
        </w:rPr>
        <w:t>65</w:t>
      </w:r>
      <w:r w:rsidRPr="00F868BE">
        <w:rPr>
          <w:rFonts w:cs="AdvOT0231c847"/>
          <w:sz w:val="18"/>
          <w:szCs w:val="18"/>
          <w:lang w:eastAsia="en-NZ"/>
        </w:rPr>
        <w:t>:374</w:t>
      </w:r>
      <w:proofErr w:type="gramEnd"/>
      <w:r w:rsidRPr="00F868BE">
        <w:rPr>
          <w:rFonts w:cs="AdvOT0231c847+20"/>
          <w:sz w:val="18"/>
          <w:szCs w:val="18"/>
          <w:lang w:eastAsia="en-NZ"/>
        </w:rPr>
        <w:t>–</w:t>
      </w:r>
      <w:r w:rsidRPr="00F868BE">
        <w:rPr>
          <w:rFonts w:cs="AdvOT0231c847"/>
          <w:sz w:val="18"/>
          <w:szCs w:val="18"/>
          <w:lang w:eastAsia="en-NZ"/>
        </w:rPr>
        <w:t xml:space="preserve">389. </w:t>
      </w:r>
      <w:proofErr w:type="gramStart"/>
      <w:r w:rsidRPr="00F868BE">
        <w:rPr>
          <w:rFonts w:cs="AdvOT0231c847"/>
          <w:sz w:val="18"/>
          <w:szCs w:val="18"/>
          <w:lang w:eastAsia="en-NZ"/>
        </w:rPr>
        <w:t>doi:</w:t>
      </w:r>
      <w:proofErr w:type="gramEnd"/>
      <w:r w:rsidRPr="00F868BE">
        <w:rPr>
          <w:rFonts w:cs="AdvOT0231c847"/>
          <w:sz w:val="18"/>
          <w:szCs w:val="18"/>
          <w:lang w:eastAsia="en-NZ"/>
        </w:rPr>
        <w:t>10.1136/gutjnl-2015-311110</w:t>
      </w:r>
      <w:r>
        <w:rPr>
          <w:rFonts w:cs="AdvOT0231c847"/>
          <w:sz w:val="18"/>
          <w:szCs w:val="18"/>
          <w:lang w:eastAsia="en-NZ"/>
        </w:rPr>
        <w:t xml:space="preserve">. </w:t>
      </w:r>
      <w:r w:rsidRPr="003A4EB2">
        <w:rPr>
          <w:rFonts w:cs="AdvOT0231c847"/>
          <w:sz w:val="18"/>
          <w:szCs w:val="18"/>
          <w:lang w:eastAsia="en-NZ"/>
        </w:rPr>
        <w:t>https://gut.bmj.com/content/gutjnl/65/3/374.full.pdf</w:t>
      </w:r>
    </w:p>
  </w:footnote>
  <w:footnote w:id="39">
    <w:p w14:paraId="55C57D0E" w14:textId="48779E49" w:rsidR="00AE19B5" w:rsidRPr="00F868BE" w:rsidRDefault="00AE19B5" w:rsidP="00F868BE">
      <w:pPr>
        <w:autoSpaceDE w:val="0"/>
        <w:autoSpaceDN w:val="0"/>
        <w:adjustRightInd w:val="0"/>
        <w:spacing w:line="240" w:lineRule="auto"/>
        <w:rPr>
          <w:rFonts w:cs="AdvOT6520a694"/>
          <w:sz w:val="18"/>
          <w:szCs w:val="18"/>
          <w:lang w:eastAsia="en-NZ"/>
        </w:rPr>
      </w:pPr>
      <w:r>
        <w:rPr>
          <w:rStyle w:val="FootnoteReference"/>
        </w:rPr>
        <w:footnoteRef/>
      </w:r>
      <w:r>
        <w:t xml:space="preserve"> </w:t>
      </w:r>
      <w:r w:rsidRPr="00F868BE">
        <w:rPr>
          <w:rFonts w:cs="AdvOT6520a694"/>
          <w:sz w:val="18"/>
          <w:szCs w:val="18"/>
          <w:lang w:eastAsia="en-NZ"/>
        </w:rPr>
        <w:t xml:space="preserve">Endoscopy in patients on antiplatelet or anticoagulant therapy, including direct oral anticoagulants: British Society of Gastroenterology (BSG) and European Society of Gastrointestinal Endoscopy (ESGE) guidelines. 2016. </w:t>
      </w:r>
      <w:r w:rsidRPr="00F868BE">
        <w:rPr>
          <w:rFonts w:cs="AdvOT0231c847"/>
          <w:sz w:val="18"/>
          <w:szCs w:val="18"/>
          <w:lang w:eastAsia="en-NZ"/>
        </w:rPr>
        <w:t xml:space="preserve">Veitch AM, </w:t>
      </w:r>
      <w:r w:rsidRPr="00F868BE">
        <w:rPr>
          <w:rFonts w:cs="AdvOTbe4cb9cb"/>
          <w:sz w:val="18"/>
          <w:szCs w:val="18"/>
          <w:lang w:eastAsia="en-NZ"/>
        </w:rPr>
        <w:t>et al</w:t>
      </w:r>
      <w:r w:rsidRPr="00F868BE">
        <w:rPr>
          <w:rFonts w:cs="AdvOT0231c847"/>
          <w:sz w:val="18"/>
          <w:szCs w:val="18"/>
          <w:lang w:eastAsia="en-NZ"/>
        </w:rPr>
        <w:t xml:space="preserve">. </w:t>
      </w:r>
      <w:r w:rsidRPr="00F868BE">
        <w:rPr>
          <w:rFonts w:cs="AdvOTbe4cb9cb"/>
          <w:sz w:val="18"/>
          <w:szCs w:val="18"/>
          <w:lang w:eastAsia="en-NZ"/>
        </w:rPr>
        <w:t xml:space="preserve">Gut </w:t>
      </w:r>
      <w:r w:rsidRPr="00F868BE">
        <w:rPr>
          <w:rFonts w:cs="AdvOT0231c847"/>
          <w:sz w:val="18"/>
          <w:szCs w:val="18"/>
          <w:lang w:eastAsia="en-NZ"/>
        </w:rPr>
        <w:t>2016</w:t>
      </w:r>
      <w:proofErr w:type="gramStart"/>
      <w:r w:rsidRPr="00F868BE">
        <w:rPr>
          <w:rFonts w:cs="AdvOT0231c847"/>
          <w:sz w:val="18"/>
          <w:szCs w:val="18"/>
          <w:lang w:eastAsia="en-NZ"/>
        </w:rPr>
        <w:t>;</w:t>
      </w:r>
      <w:r w:rsidRPr="00F868BE">
        <w:rPr>
          <w:rFonts w:cs="AdvOTc9c0ed35.B"/>
          <w:sz w:val="18"/>
          <w:szCs w:val="18"/>
          <w:lang w:eastAsia="en-NZ"/>
        </w:rPr>
        <w:t>65</w:t>
      </w:r>
      <w:r w:rsidRPr="00F868BE">
        <w:rPr>
          <w:rFonts w:cs="AdvOT0231c847"/>
          <w:sz w:val="18"/>
          <w:szCs w:val="18"/>
          <w:lang w:eastAsia="en-NZ"/>
        </w:rPr>
        <w:t>:374</w:t>
      </w:r>
      <w:proofErr w:type="gramEnd"/>
      <w:r w:rsidRPr="00F868BE">
        <w:rPr>
          <w:rFonts w:cs="AdvOT0231c847+20"/>
          <w:sz w:val="18"/>
          <w:szCs w:val="18"/>
          <w:lang w:eastAsia="en-NZ"/>
        </w:rPr>
        <w:t>–</w:t>
      </w:r>
      <w:r w:rsidRPr="00F868BE">
        <w:rPr>
          <w:rFonts w:cs="AdvOT0231c847"/>
          <w:sz w:val="18"/>
          <w:szCs w:val="18"/>
          <w:lang w:eastAsia="en-NZ"/>
        </w:rPr>
        <w:t xml:space="preserve">389. </w:t>
      </w:r>
      <w:proofErr w:type="gramStart"/>
      <w:r w:rsidRPr="00F868BE">
        <w:rPr>
          <w:rFonts w:cs="AdvOT0231c847"/>
          <w:sz w:val="18"/>
          <w:szCs w:val="18"/>
          <w:lang w:eastAsia="en-NZ"/>
        </w:rPr>
        <w:t>doi:</w:t>
      </w:r>
      <w:proofErr w:type="gramEnd"/>
      <w:r w:rsidRPr="00F868BE">
        <w:rPr>
          <w:rFonts w:cs="AdvOT0231c847"/>
          <w:sz w:val="18"/>
          <w:szCs w:val="18"/>
          <w:lang w:eastAsia="en-NZ"/>
        </w:rPr>
        <w:t>10.1136/gutjnl-2015-311110</w:t>
      </w:r>
      <w:r>
        <w:rPr>
          <w:rFonts w:cs="AdvOT0231c847"/>
          <w:sz w:val="18"/>
          <w:szCs w:val="18"/>
          <w:lang w:eastAsia="en-NZ"/>
        </w:rPr>
        <w:t xml:space="preserve">. </w:t>
      </w:r>
      <w:r w:rsidRPr="003A4EB2">
        <w:rPr>
          <w:rFonts w:cs="AdvOT0231c847"/>
          <w:sz w:val="18"/>
          <w:szCs w:val="18"/>
          <w:lang w:eastAsia="en-NZ"/>
        </w:rPr>
        <w:t>https://gut.bmj.com/content/gutjnl/65/3/374.full.pdf</w:t>
      </w:r>
    </w:p>
  </w:footnote>
  <w:footnote w:id="40">
    <w:p w14:paraId="59A4E667" w14:textId="77777777" w:rsidR="00AE19B5" w:rsidRPr="00EF1F77" w:rsidRDefault="00AE19B5" w:rsidP="00AB7600">
      <w:pPr>
        <w:pStyle w:val="FootnoteText"/>
        <w:rPr>
          <w:rFonts w:cs="Arial"/>
        </w:rPr>
      </w:pPr>
      <w:r w:rsidRPr="00AB7600">
        <w:rPr>
          <w:rStyle w:val="FootnoteReference"/>
        </w:rPr>
        <w:footnoteRef/>
      </w:r>
      <w:r>
        <w:rPr>
          <w:rFonts w:cs="Arial"/>
        </w:rPr>
        <w:tab/>
      </w:r>
      <w:r w:rsidRPr="00EF1F77">
        <w:rPr>
          <w:rFonts w:cs="Arial"/>
        </w:rPr>
        <w:t>R</w:t>
      </w:r>
      <w:r>
        <w:rPr>
          <w:rFonts w:cs="Arial"/>
        </w:rPr>
        <w:t>ANZCR</w:t>
      </w:r>
      <w:r w:rsidRPr="00EF1F77">
        <w:rPr>
          <w:rFonts w:cs="Arial"/>
        </w:rPr>
        <w:t xml:space="preserve"> requirements for the practice of computed Tomography </w:t>
      </w:r>
      <w:proofErr w:type="spellStart"/>
      <w:r w:rsidRPr="00EF1F77">
        <w:rPr>
          <w:rFonts w:cs="Arial"/>
        </w:rPr>
        <w:t>colonography</w:t>
      </w:r>
      <w:proofErr w:type="spellEnd"/>
      <w:r>
        <w:rPr>
          <w:rFonts w:cs="Arial"/>
        </w:rPr>
        <w:t xml:space="preserve"> 2013.</w:t>
      </w:r>
      <w:r w:rsidRPr="00EF1F77">
        <w:t xml:space="preserve"> https://www.ranzcr.com/fellows/clinical-radiology/quality-assurance-and-accreditation/ctc</w:t>
      </w:r>
    </w:p>
  </w:footnote>
  <w:footnote w:id="41">
    <w:p w14:paraId="2627D084" w14:textId="77777777" w:rsidR="00AE19B5" w:rsidRPr="00195A72" w:rsidRDefault="00AE19B5" w:rsidP="00E15BE7">
      <w:pPr>
        <w:pStyle w:val="FootnoteText"/>
        <w:rPr>
          <w:rFonts w:cs="Arial"/>
          <w:bCs/>
        </w:rPr>
      </w:pPr>
      <w:r w:rsidRPr="00E15BE7">
        <w:rPr>
          <w:rStyle w:val="FootnoteReference"/>
        </w:rPr>
        <w:footnoteRef/>
      </w:r>
      <w:r>
        <w:tab/>
      </w:r>
      <w:r w:rsidRPr="00195A72">
        <w:t>Lai E</w:t>
      </w:r>
      <w:r>
        <w:t>,</w:t>
      </w:r>
      <w:r w:rsidRPr="00195A72">
        <w:t xml:space="preserve"> et al</w:t>
      </w:r>
      <w:r>
        <w:t>. 2009.</w:t>
      </w:r>
      <w:r w:rsidRPr="00195A72">
        <w:t xml:space="preserve"> </w:t>
      </w:r>
      <w:r w:rsidRPr="00195A72">
        <w:rPr>
          <w:rFonts w:cs="Arial"/>
          <w:bCs/>
        </w:rPr>
        <w:t xml:space="preserve">The Boston Bowel Preparation Scale: A valid and reliable instrument for colonoscopy-oriented research. </w:t>
      </w:r>
      <w:proofErr w:type="spellStart"/>
      <w:r w:rsidRPr="007B34FD">
        <w:rPr>
          <w:i/>
          <w:iCs/>
        </w:rPr>
        <w:t>Gastrointest</w:t>
      </w:r>
      <w:proofErr w:type="spellEnd"/>
      <w:r w:rsidRPr="007B34FD">
        <w:rPr>
          <w:i/>
          <w:iCs/>
        </w:rPr>
        <w:t xml:space="preserve"> </w:t>
      </w:r>
      <w:proofErr w:type="spellStart"/>
      <w:r w:rsidRPr="007B34FD">
        <w:rPr>
          <w:i/>
          <w:iCs/>
        </w:rPr>
        <w:t>Endosc</w:t>
      </w:r>
      <w:proofErr w:type="spellEnd"/>
      <w:r w:rsidRPr="007B34FD">
        <w:t xml:space="preserve"> 69(3 Pt 2): 620–5</w:t>
      </w:r>
      <w:r>
        <w:t>, March</w:t>
      </w:r>
      <w:r w:rsidRPr="007B34FD">
        <w:t>. doi:10.1016/j.gie.2008.05.057. https://www.ncbi.nlm.nih.gov/pmc/articles/PMC27639</w:t>
      </w:r>
      <w:r w:rsidRPr="00195A72">
        <w:t>22/pdf/nihms-148874.pdf</w:t>
      </w:r>
    </w:p>
  </w:footnote>
  <w:footnote w:id="42">
    <w:p w14:paraId="607727C0" w14:textId="77777777" w:rsidR="00AE19B5" w:rsidRPr="00D910E8" w:rsidRDefault="00AE19B5" w:rsidP="00E15BE7">
      <w:pPr>
        <w:pStyle w:val="FootnoteText"/>
      </w:pPr>
      <w:r w:rsidRPr="00E15BE7">
        <w:rPr>
          <w:rStyle w:val="FootnoteReference"/>
        </w:rPr>
        <w:footnoteRef/>
      </w:r>
      <w:r>
        <w:tab/>
      </w:r>
      <w:proofErr w:type="spellStart"/>
      <w:r w:rsidRPr="00D910E8">
        <w:t>Harewood</w:t>
      </w:r>
      <w:proofErr w:type="spellEnd"/>
      <w:r w:rsidRPr="00D910E8">
        <w:t xml:space="preserve"> GC</w:t>
      </w:r>
      <w:r>
        <w:t>,</w:t>
      </w:r>
      <w:r w:rsidRPr="00D910E8">
        <w:t xml:space="preserve"> Sharma VK, de </w:t>
      </w:r>
      <w:proofErr w:type="spellStart"/>
      <w:r w:rsidRPr="00D910E8">
        <w:t>Garmo</w:t>
      </w:r>
      <w:proofErr w:type="spellEnd"/>
      <w:r w:rsidRPr="00D910E8">
        <w:t xml:space="preserve"> P.</w:t>
      </w:r>
      <w:r>
        <w:t xml:space="preserve"> 2003. </w:t>
      </w:r>
      <w:r w:rsidRPr="00E15BE7">
        <w:t>Impact of colonoscopy preparation quality on detection of suspected colonic neoplasia.</w:t>
      </w:r>
      <w:r>
        <w:t xml:space="preserve"> </w:t>
      </w:r>
      <w:proofErr w:type="spellStart"/>
      <w:r w:rsidRPr="00E15BE7">
        <w:rPr>
          <w:i/>
        </w:rPr>
        <w:t>Gastrointest</w:t>
      </w:r>
      <w:proofErr w:type="spellEnd"/>
      <w:r w:rsidRPr="00E15BE7">
        <w:rPr>
          <w:i/>
        </w:rPr>
        <w:t xml:space="preserve"> </w:t>
      </w:r>
      <w:proofErr w:type="spellStart"/>
      <w:r w:rsidRPr="00E15BE7">
        <w:rPr>
          <w:i/>
        </w:rPr>
        <w:t>Endosc</w:t>
      </w:r>
      <w:proofErr w:type="spellEnd"/>
      <w:r w:rsidRPr="00D910E8">
        <w:t xml:space="preserve"> 58(1): 76</w:t>
      </w:r>
      <w:r>
        <w:t>–</w:t>
      </w:r>
      <w:r w:rsidRPr="00D910E8">
        <w:t>9.</w:t>
      </w:r>
    </w:p>
  </w:footnote>
  <w:footnote w:id="43">
    <w:p w14:paraId="563CDBBF" w14:textId="77777777" w:rsidR="00AE19B5" w:rsidRPr="00033871" w:rsidRDefault="00AE19B5" w:rsidP="00E15BE7">
      <w:pPr>
        <w:pStyle w:val="FootnoteText"/>
      </w:pPr>
      <w:r w:rsidRPr="00E15BE7">
        <w:rPr>
          <w:rStyle w:val="FootnoteReference"/>
        </w:rPr>
        <w:footnoteRef/>
      </w:r>
      <w:r>
        <w:tab/>
      </w:r>
      <w:r w:rsidRPr="00D910E8">
        <w:t>American Society for Gastrointestinal Endoscopy: Bowel preparation before colonoscopy (guidelines) 2015. https://www.asge.org/docs/default-source/education/practice_guidelines/doc-bowel_prep_before_colonoscopy.pdf?sfvrsn=14</w:t>
      </w:r>
    </w:p>
  </w:footnote>
  <w:footnote w:id="44">
    <w:p w14:paraId="77C716E9" w14:textId="77777777" w:rsidR="00AE19B5" w:rsidRPr="00A251B8" w:rsidRDefault="00AE19B5" w:rsidP="00E15BE7">
      <w:pPr>
        <w:pStyle w:val="FootnoteText"/>
      </w:pPr>
      <w:r w:rsidRPr="00E15BE7">
        <w:rPr>
          <w:rStyle w:val="FootnoteReference"/>
        </w:rPr>
        <w:footnoteRef/>
      </w:r>
      <w:r>
        <w:tab/>
      </w:r>
      <w:r w:rsidRPr="00A251B8">
        <w:t>New Zealand Nurses Organisation, Gastroenterology Nurses College, 2000. https://www.nzno.org.nz/groups/colleges_sections/colleges/nzno_gastroenterology_nurses_college/nzgns_standards</w:t>
      </w:r>
    </w:p>
  </w:footnote>
  <w:footnote w:id="45">
    <w:p w14:paraId="2BC6D165" w14:textId="77777777" w:rsidR="00AE19B5" w:rsidRPr="004B23A3" w:rsidRDefault="00AE19B5" w:rsidP="00E15BE7">
      <w:pPr>
        <w:pStyle w:val="FootnoteText"/>
      </w:pPr>
      <w:r w:rsidRPr="00E15BE7">
        <w:rPr>
          <w:rStyle w:val="FootnoteReference"/>
        </w:rPr>
        <w:footnoteRef/>
      </w:r>
      <w:r>
        <w:tab/>
      </w:r>
      <w:r w:rsidRPr="004B23A3">
        <w:t>National Endoscopy Quality Improvement Programme, Joint Advisory Group on GI Endoscopy (JAG), https://nz.jagaccreditation.org/</w:t>
      </w:r>
    </w:p>
  </w:footnote>
  <w:footnote w:id="46">
    <w:p w14:paraId="52C5146F" w14:textId="77777777" w:rsidR="00AE19B5" w:rsidRPr="00662588" w:rsidRDefault="00AE19B5" w:rsidP="00BF7809">
      <w:pPr>
        <w:pStyle w:val="FootnoteText"/>
      </w:pPr>
      <w:r>
        <w:rPr>
          <w:rStyle w:val="FootnoteReference"/>
        </w:rPr>
        <w:footnoteRef/>
      </w:r>
      <w:r>
        <w:t xml:space="preserve"> </w:t>
      </w:r>
      <w:r w:rsidRPr="00A251B8">
        <w:t xml:space="preserve">Colorectal polypectomy and endoscopic mucosal resection (EMR): European Society of Gastrointestinal Endoscopy (ESGE) clinical guideline (2013). </w:t>
      </w:r>
      <w:hyperlink r:id="rId31" w:history="1">
        <w:r w:rsidRPr="00A251B8">
          <w:rPr>
            <w:rStyle w:val="Hyperlink"/>
          </w:rPr>
          <w:t>http://www.esge.com/colorectal-polypectomy-and-endoscopic-mucosal-resection-emr-esge.html</w:t>
        </w:r>
      </w:hyperlink>
    </w:p>
    <w:p w14:paraId="0AB1BF3B" w14:textId="4849D033" w:rsidR="00AE19B5" w:rsidRDefault="00AE19B5">
      <w:pPr>
        <w:pStyle w:val="FootnoteText"/>
      </w:pPr>
    </w:p>
  </w:footnote>
  <w:footnote w:id="47">
    <w:p w14:paraId="02131428" w14:textId="77777777" w:rsidR="00AE19B5" w:rsidRPr="00F47FDA" w:rsidRDefault="00AE19B5" w:rsidP="0016219F">
      <w:pPr>
        <w:pStyle w:val="FootnoteText"/>
      </w:pPr>
      <w:r w:rsidRPr="0016219F">
        <w:rPr>
          <w:rStyle w:val="FootnoteReference"/>
        </w:rPr>
        <w:footnoteRef/>
      </w:r>
      <w:r>
        <w:rPr>
          <w:rFonts w:eastAsia="Arial Unicode MS"/>
        </w:rPr>
        <w:tab/>
        <w:t>The exception being if they have had a polypectomy as part of the failed colonoscopy and would therefore need to delay the CTC for &gt;30 days.</w:t>
      </w:r>
    </w:p>
  </w:footnote>
  <w:footnote w:id="48">
    <w:p w14:paraId="30F904C5" w14:textId="77777777" w:rsidR="00AE19B5" w:rsidRPr="00735335" w:rsidRDefault="00AE19B5" w:rsidP="0016219F">
      <w:pPr>
        <w:pStyle w:val="FootnoteText"/>
      </w:pPr>
      <w:r w:rsidRPr="0016219F">
        <w:rPr>
          <w:rStyle w:val="FootnoteReference"/>
        </w:rPr>
        <w:footnoteRef/>
      </w:r>
      <w:r>
        <w:tab/>
      </w:r>
      <w:hyperlink r:id="rId32" w:history="1">
        <w:r w:rsidRPr="00BD48DA">
          <w:rPr>
            <w:rStyle w:val="Hyperlink"/>
            <w:rFonts w:cs="Courier"/>
          </w:rPr>
          <w:t>http://www.health.govt.nz/publication/guidance-surveillance-people-increased-risk-colorectal-cancer</w:t>
        </w:r>
      </w:hyperlink>
    </w:p>
  </w:footnote>
  <w:footnote w:id="49">
    <w:p w14:paraId="5C38C2EC" w14:textId="77777777" w:rsidR="00AE19B5" w:rsidRPr="00F9021E" w:rsidRDefault="00AE19B5" w:rsidP="00C70E2B">
      <w:pPr>
        <w:pStyle w:val="FootnoteText"/>
      </w:pPr>
      <w:r w:rsidRPr="00C70E2B">
        <w:rPr>
          <w:rStyle w:val="FootnoteReference"/>
        </w:rPr>
        <w:footnoteRef/>
      </w:r>
      <w:r>
        <w:rPr>
          <w:rFonts w:eastAsia="Calibri Light"/>
        </w:rPr>
        <w:tab/>
      </w:r>
      <w:r w:rsidRPr="00F9021E">
        <w:rPr>
          <w:rFonts w:eastAsia="Calibri Light"/>
        </w:rPr>
        <w:t>Parry</w:t>
      </w:r>
      <w:r>
        <w:rPr>
          <w:rFonts w:eastAsia="Calibri Light"/>
        </w:rPr>
        <w:t xml:space="preserve"> S</w:t>
      </w:r>
      <w:r w:rsidRPr="00F9021E">
        <w:rPr>
          <w:rFonts w:eastAsia="Calibri Light"/>
        </w:rPr>
        <w:t>, Burt</w:t>
      </w:r>
      <w:r>
        <w:rPr>
          <w:rFonts w:eastAsia="Calibri Light"/>
        </w:rPr>
        <w:t xml:space="preserve"> RW</w:t>
      </w:r>
      <w:r w:rsidRPr="00F9021E">
        <w:rPr>
          <w:rFonts w:eastAsia="Calibri Light"/>
        </w:rPr>
        <w:t xml:space="preserve">, Win </w:t>
      </w:r>
      <w:r>
        <w:rPr>
          <w:rFonts w:eastAsia="Calibri Light"/>
        </w:rPr>
        <w:t xml:space="preserve">AK, </w:t>
      </w:r>
      <w:r w:rsidRPr="00F9021E">
        <w:rPr>
          <w:rFonts w:eastAsia="Calibri Light"/>
        </w:rPr>
        <w:t xml:space="preserve">et al. </w:t>
      </w:r>
      <w:r>
        <w:rPr>
          <w:rFonts w:eastAsia="Calibri Light"/>
        </w:rPr>
        <w:t xml:space="preserve">2017. </w:t>
      </w:r>
      <w:r w:rsidRPr="00F9021E">
        <w:rPr>
          <w:rFonts w:eastAsia="Calibri Light"/>
        </w:rPr>
        <w:t xml:space="preserve">Reducing the polyp burden in serrated polyposis by serial colonoscopy: the impact of nationally coordinated community surveillance. </w:t>
      </w:r>
      <w:r w:rsidRPr="00C70E2B">
        <w:rPr>
          <w:rFonts w:eastAsia="Calibri Light"/>
          <w:i/>
        </w:rPr>
        <w:t>NZMJ</w:t>
      </w:r>
      <w:r w:rsidRPr="00F9021E">
        <w:rPr>
          <w:rFonts w:eastAsia="Calibri Light"/>
        </w:rPr>
        <w:t xml:space="preserve"> 130</w:t>
      </w:r>
      <w:r>
        <w:rPr>
          <w:rFonts w:eastAsia="Calibri Light"/>
        </w:rPr>
        <w:t>(</w:t>
      </w:r>
      <w:r w:rsidRPr="00F9021E">
        <w:rPr>
          <w:rFonts w:eastAsia="Calibri Light"/>
        </w:rPr>
        <w:t>1451</w:t>
      </w:r>
      <w:r>
        <w:rPr>
          <w:rFonts w:eastAsia="Calibri Light"/>
        </w:rPr>
        <w:t>), 3 March.</w:t>
      </w:r>
    </w:p>
  </w:footnote>
  <w:footnote w:id="50">
    <w:p w14:paraId="089AC1E9" w14:textId="77777777" w:rsidR="00AE19B5" w:rsidRPr="00F9021E" w:rsidRDefault="00AE19B5" w:rsidP="00C70E2B">
      <w:pPr>
        <w:pStyle w:val="FootnoteText"/>
      </w:pPr>
      <w:r w:rsidRPr="00C70E2B">
        <w:rPr>
          <w:rStyle w:val="FootnoteReference"/>
        </w:rPr>
        <w:footnoteRef/>
      </w:r>
      <w:r>
        <w:rPr>
          <w:rFonts w:eastAsia="Calibri Light"/>
        </w:rPr>
        <w:tab/>
      </w:r>
      <w:r w:rsidRPr="00F9021E">
        <w:rPr>
          <w:rFonts w:eastAsia="Calibri Light"/>
        </w:rPr>
        <w:t>Hassan C,</w:t>
      </w:r>
      <w:r>
        <w:rPr>
          <w:rFonts w:eastAsia="Calibri Light"/>
        </w:rPr>
        <w:t xml:space="preserve"> </w:t>
      </w:r>
      <w:proofErr w:type="spellStart"/>
      <w:r w:rsidRPr="00F9021E">
        <w:rPr>
          <w:rFonts w:eastAsia="Calibri Light"/>
        </w:rPr>
        <w:t>Repici</w:t>
      </w:r>
      <w:proofErr w:type="spellEnd"/>
      <w:r w:rsidRPr="00F9021E">
        <w:rPr>
          <w:rFonts w:eastAsia="Calibri Light"/>
        </w:rPr>
        <w:t xml:space="preserve"> A, Rex DK. 2016</w:t>
      </w:r>
      <w:r>
        <w:rPr>
          <w:rFonts w:eastAsia="Calibri Light"/>
        </w:rPr>
        <w:t>.</w:t>
      </w:r>
      <w:r w:rsidRPr="00F9021E">
        <w:rPr>
          <w:rFonts w:eastAsia="Calibri Light"/>
        </w:rPr>
        <w:t xml:space="preserve"> Serrated polyposis syndrome: risk stratification or reduction. </w:t>
      </w:r>
      <w:r w:rsidRPr="00C70E2B">
        <w:rPr>
          <w:rFonts w:eastAsia="Calibri Light"/>
          <w:i/>
        </w:rPr>
        <w:t>Gut</w:t>
      </w:r>
      <w:r>
        <w:rPr>
          <w:rFonts w:eastAsia="Calibri Light"/>
        </w:rPr>
        <w:t xml:space="preserve"> </w:t>
      </w:r>
      <w:r w:rsidRPr="00F9021E">
        <w:rPr>
          <w:rFonts w:eastAsia="Calibri Light"/>
        </w:rPr>
        <w:t>65(7):</w:t>
      </w:r>
      <w:r>
        <w:rPr>
          <w:rFonts w:eastAsia="Calibri Light"/>
        </w:rPr>
        <w:br/>
      </w:r>
      <w:r w:rsidRPr="00F9021E">
        <w:rPr>
          <w:rFonts w:eastAsia="Calibri Light"/>
        </w:rPr>
        <w:t>1070</w:t>
      </w:r>
      <w:r>
        <w:rPr>
          <w:rFonts w:eastAsia="Calibri Light"/>
        </w:rPr>
        <w:t>–</w:t>
      </w:r>
      <w:r w:rsidRPr="00F9021E">
        <w:rPr>
          <w:rFonts w:eastAsia="Calibri Light"/>
        </w:rPr>
        <w:t>2</w:t>
      </w:r>
      <w:r>
        <w:rPr>
          <w:rFonts w:eastAsia="Calibri Light"/>
        </w:rPr>
        <w:t>, July</w:t>
      </w:r>
      <w:r w:rsidRPr="00F9021E">
        <w:rPr>
          <w:rFonts w:eastAsia="Calibri Light"/>
        </w:rPr>
        <w:t>.</w:t>
      </w:r>
    </w:p>
  </w:footnote>
  <w:footnote w:id="51">
    <w:p w14:paraId="340DC9E2" w14:textId="77777777" w:rsidR="00AE19B5" w:rsidRPr="00195A72" w:rsidRDefault="00AE19B5" w:rsidP="00C70E2B">
      <w:pPr>
        <w:pStyle w:val="FootnoteText"/>
        <w:rPr>
          <w:rFonts w:eastAsia="Calibri Light"/>
        </w:rPr>
      </w:pPr>
      <w:r w:rsidRPr="00C70E2B">
        <w:rPr>
          <w:rStyle w:val="FootnoteReference"/>
        </w:rPr>
        <w:footnoteRef/>
      </w:r>
      <w:r>
        <w:rPr>
          <w:rFonts w:eastAsia="Calibri Light"/>
        </w:rPr>
        <w:tab/>
      </w:r>
      <w:proofErr w:type="spellStart"/>
      <w:r w:rsidRPr="00195A72">
        <w:rPr>
          <w:rFonts w:eastAsia="Calibri Light"/>
        </w:rPr>
        <w:t>Carballal</w:t>
      </w:r>
      <w:proofErr w:type="spellEnd"/>
      <w:r w:rsidRPr="00195A72">
        <w:rPr>
          <w:rFonts w:eastAsia="Calibri Light"/>
        </w:rPr>
        <w:t xml:space="preserve"> S, Rodríguez-</w:t>
      </w:r>
      <w:proofErr w:type="spellStart"/>
      <w:r w:rsidRPr="00195A72">
        <w:rPr>
          <w:rFonts w:eastAsia="Calibri Light"/>
        </w:rPr>
        <w:t>Alcalde</w:t>
      </w:r>
      <w:proofErr w:type="spellEnd"/>
      <w:r w:rsidRPr="00195A72">
        <w:rPr>
          <w:rFonts w:eastAsia="Calibri Light"/>
        </w:rPr>
        <w:t xml:space="preserve"> D, Moreira L</w:t>
      </w:r>
      <w:r>
        <w:rPr>
          <w:rFonts w:eastAsia="Calibri Light"/>
        </w:rPr>
        <w:t>,</w:t>
      </w:r>
      <w:r w:rsidRPr="00195A72">
        <w:rPr>
          <w:rFonts w:eastAsia="Calibri Light"/>
        </w:rPr>
        <w:t xml:space="preserve"> et al. </w:t>
      </w:r>
      <w:r>
        <w:rPr>
          <w:rFonts w:eastAsia="Calibri Light"/>
        </w:rPr>
        <w:t xml:space="preserve">2016. </w:t>
      </w:r>
      <w:r w:rsidRPr="00195A72">
        <w:rPr>
          <w:rFonts w:eastAsia="Calibri Light"/>
        </w:rPr>
        <w:t>Colorectal cancer risk factors in patients with serrated polyposis syndrome: a large multicentre study.</w:t>
      </w:r>
      <w:r>
        <w:rPr>
          <w:rFonts w:eastAsia="Calibri Light"/>
        </w:rPr>
        <w:t xml:space="preserve"> </w:t>
      </w:r>
      <w:r w:rsidRPr="00164D3F">
        <w:rPr>
          <w:rFonts w:eastAsia="Calibri Light"/>
          <w:i/>
        </w:rPr>
        <w:t>Gut</w:t>
      </w:r>
      <w:r w:rsidRPr="00195A72">
        <w:rPr>
          <w:rFonts w:eastAsia="Calibri Light"/>
        </w:rPr>
        <w:t xml:space="preserve"> 65(11):</w:t>
      </w:r>
      <w:r>
        <w:rPr>
          <w:rFonts w:eastAsia="Calibri Light"/>
        </w:rPr>
        <w:t xml:space="preserve"> </w:t>
      </w:r>
      <w:r w:rsidRPr="00195A72">
        <w:rPr>
          <w:rFonts w:eastAsia="Calibri Light"/>
        </w:rPr>
        <w:t>1829</w:t>
      </w:r>
      <w:r>
        <w:rPr>
          <w:rFonts w:eastAsia="Calibri Light"/>
        </w:rPr>
        <w:t>–</w:t>
      </w:r>
      <w:r w:rsidRPr="00195A72">
        <w:rPr>
          <w:rFonts w:eastAsia="Calibri Light"/>
        </w:rPr>
        <w:t>37</w:t>
      </w:r>
      <w:r>
        <w:rPr>
          <w:rFonts w:eastAsia="Calibri Light"/>
        </w:rPr>
        <w:t>, November.</w:t>
      </w:r>
    </w:p>
  </w:footnote>
  <w:footnote w:id="52">
    <w:p w14:paraId="1006AC76" w14:textId="77777777" w:rsidR="00AE19B5" w:rsidRPr="00F24590" w:rsidRDefault="00AE19B5" w:rsidP="00164D3F">
      <w:pPr>
        <w:pStyle w:val="FootnoteText"/>
      </w:pPr>
      <w:r w:rsidRPr="00164D3F">
        <w:rPr>
          <w:rStyle w:val="FootnoteReference"/>
        </w:rPr>
        <w:footnoteRef/>
      </w:r>
      <w:r>
        <w:rPr>
          <w:rFonts w:eastAsia="Calibri Light"/>
        </w:rPr>
        <w:tab/>
      </w:r>
      <w:proofErr w:type="spellStart"/>
      <w:r w:rsidRPr="00195A72">
        <w:rPr>
          <w:rFonts w:eastAsia="Calibri Light"/>
        </w:rPr>
        <w:t>IJspeert</w:t>
      </w:r>
      <w:proofErr w:type="spellEnd"/>
      <w:r w:rsidRPr="00195A72">
        <w:rPr>
          <w:rFonts w:eastAsia="Calibri Light"/>
        </w:rPr>
        <w:t xml:space="preserve"> J</w:t>
      </w:r>
      <w:r>
        <w:rPr>
          <w:rFonts w:eastAsia="Calibri Light"/>
        </w:rPr>
        <w:t>E</w:t>
      </w:r>
      <w:r w:rsidRPr="00195A72">
        <w:rPr>
          <w:rFonts w:eastAsia="Calibri Light"/>
        </w:rPr>
        <w:t>, Rana SA, Atkinson NS</w:t>
      </w:r>
      <w:r>
        <w:rPr>
          <w:rFonts w:eastAsia="Calibri Light"/>
        </w:rPr>
        <w:t>,</w:t>
      </w:r>
      <w:r w:rsidRPr="00195A72">
        <w:rPr>
          <w:rFonts w:eastAsia="Calibri Light"/>
        </w:rPr>
        <w:t xml:space="preserve"> et al</w:t>
      </w:r>
      <w:r>
        <w:rPr>
          <w:rFonts w:eastAsia="Calibri Light"/>
        </w:rPr>
        <w:t xml:space="preserve">. 2017. </w:t>
      </w:r>
      <w:r w:rsidRPr="00195A72">
        <w:rPr>
          <w:rFonts w:eastAsia="Calibri Light"/>
        </w:rPr>
        <w:t>Clinical risk factors of colorectal cancer in serrated polyposis: a</w:t>
      </w:r>
      <w:r>
        <w:rPr>
          <w:rFonts w:eastAsia="Calibri Light"/>
        </w:rPr>
        <w:t> </w:t>
      </w:r>
      <w:r w:rsidRPr="00195A72">
        <w:rPr>
          <w:rFonts w:eastAsia="Calibri Light"/>
        </w:rPr>
        <w:t>multicentre cohort analysis.</w:t>
      </w:r>
      <w:r>
        <w:rPr>
          <w:rFonts w:eastAsia="Calibri Light"/>
        </w:rPr>
        <w:t xml:space="preserve"> </w:t>
      </w:r>
      <w:r w:rsidRPr="00164D3F">
        <w:rPr>
          <w:rFonts w:eastAsia="Calibri Light"/>
          <w:i/>
        </w:rPr>
        <w:t>Gut</w:t>
      </w:r>
      <w:r w:rsidRPr="00195A72">
        <w:rPr>
          <w:rFonts w:eastAsia="Calibri Light"/>
        </w:rPr>
        <w:t xml:space="preserve"> 66(2):</w:t>
      </w:r>
      <w:r>
        <w:rPr>
          <w:rFonts w:eastAsia="Calibri Light"/>
        </w:rPr>
        <w:t xml:space="preserve"> </w:t>
      </w:r>
      <w:r w:rsidRPr="00195A72">
        <w:rPr>
          <w:rFonts w:eastAsia="Calibri Light"/>
        </w:rPr>
        <w:t>278</w:t>
      </w:r>
      <w:r>
        <w:rPr>
          <w:rFonts w:eastAsia="Calibri Light"/>
        </w:rPr>
        <w:t>–</w:t>
      </w:r>
      <w:r w:rsidRPr="00195A72">
        <w:rPr>
          <w:rFonts w:eastAsia="Calibri Light"/>
        </w:rPr>
        <w:t>84</w:t>
      </w:r>
      <w:r>
        <w:rPr>
          <w:rFonts w:eastAsia="Calibri Light"/>
        </w:rPr>
        <w:t>, February</w:t>
      </w:r>
      <w:r w:rsidRPr="00195A72">
        <w:rPr>
          <w:rFonts w:eastAsia="Calibri Light"/>
        </w:rPr>
        <w:t>.</w:t>
      </w:r>
    </w:p>
  </w:footnote>
  <w:footnote w:id="53">
    <w:p w14:paraId="6648BBFD" w14:textId="47A448BD" w:rsidR="00AE19B5" w:rsidRPr="00153721" w:rsidRDefault="00AE19B5" w:rsidP="00153721">
      <w:pPr>
        <w:pStyle w:val="FootnoteText"/>
        <w:ind w:left="0" w:firstLine="0"/>
        <w:rPr>
          <w:szCs w:val="18"/>
          <w:lang w:val="en"/>
        </w:rPr>
      </w:pPr>
      <w:r>
        <w:rPr>
          <w:rStyle w:val="FootnoteReference"/>
        </w:rPr>
        <w:footnoteRef/>
      </w:r>
      <w:r>
        <w:rPr>
          <w:szCs w:val="18"/>
          <w:lang w:val="en"/>
        </w:rPr>
        <w:t xml:space="preserve"> </w:t>
      </w:r>
      <w:r w:rsidRPr="00E9206B">
        <w:rPr>
          <w:szCs w:val="18"/>
          <w:lang w:val="en"/>
        </w:rPr>
        <w:t xml:space="preserve">Risk of advanced lesions at first follow-up colonoscopy in high-risk groups as defined by the United Kingdom post-polypectomy surveillance guideline: data from a single U.S. center. </w:t>
      </w:r>
      <w:hyperlink r:id="rId33" w:history="1">
        <w:proofErr w:type="spellStart"/>
        <w:r w:rsidRPr="00E9206B">
          <w:rPr>
            <w:szCs w:val="18"/>
            <w:u w:val="single"/>
            <w:lang w:val="en"/>
          </w:rPr>
          <w:t>Vemulapalli</w:t>
        </w:r>
        <w:proofErr w:type="spellEnd"/>
        <w:r w:rsidRPr="00E9206B">
          <w:rPr>
            <w:szCs w:val="18"/>
            <w:u w:val="single"/>
            <w:lang w:val="en"/>
          </w:rPr>
          <w:t xml:space="preserve"> KC</w:t>
        </w:r>
      </w:hyperlink>
      <w:r w:rsidRPr="00E9206B">
        <w:rPr>
          <w:szCs w:val="18"/>
          <w:lang w:val="en"/>
        </w:rPr>
        <w:t xml:space="preserve">, </w:t>
      </w:r>
      <w:hyperlink r:id="rId34" w:history="1">
        <w:r w:rsidRPr="00E9206B">
          <w:rPr>
            <w:szCs w:val="18"/>
            <w:u w:val="single"/>
            <w:lang w:val="en"/>
          </w:rPr>
          <w:t>Rex DK</w:t>
        </w:r>
      </w:hyperlink>
      <w:r w:rsidRPr="00E9206B">
        <w:rPr>
          <w:szCs w:val="18"/>
          <w:lang w:val="en"/>
        </w:rPr>
        <w:t xml:space="preserve">. </w:t>
      </w:r>
      <w:hyperlink r:id="rId35" w:tooltip="Gastrointestinal endoscopy." w:history="1">
        <w:proofErr w:type="spellStart"/>
        <w:r w:rsidRPr="00E9206B">
          <w:rPr>
            <w:color w:val="2F4A8B"/>
            <w:szCs w:val="18"/>
            <w:u w:val="single"/>
            <w:lang w:val="en"/>
          </w:rPr>
          <w:t>Gastrointest</w:t>
        </w:r>
        <w:proofErr w:type="spellEnd"/>
        <w:r w:rsidRPr="00E9206B">
          <w:rPr>
            <w:color w:val="2F4A8B"/>
            <w:szCs w:val="18"/>
            <w:u w:val="single"/>
            <w:lang w:val="en"/>
          </w:rPr>
          <w:t xml:space="preserve"> </w:t>
        </w:r>
        <w:proofErr w:type="spellStart"/>
        <w:r w:rsidRPr="00E9206B">
          <w:rPr>
            <w:color w:val="2F4A8B"/>
            <w:szCs w:val="18"/>
            <w:u w:val="single"/>
            <w:lang w:val="en"/>
          </w:rPr>
          <w:t>Endosc</w:t>
        </w:r>
        <w:proofErr w:type="spellEnd"/>
        <w:r w:rsidRPr="00E9206B">
          <w:rPr>
            <w:color w:val="2F4A8B"/>
            <w:szCs w:val="18"/>
            <w:u w:val="single"/>
            <w:lang w:val="en"/>
          </w:rPr>
          <w:t>.</w:t>
        </w:r>
      </w:hyperlink>
      <w:r w:rsidRPr="00E9206B">
        <w:rPr>
          <w:szCs w:val="18"/>
          <w:lang w:val="en"/>
        </w:rPr>
        <w:t xml:space="preserve"> 2014 Aug</w:t>
      </w:r>
      <w:proofErr w:type="gramStart"/>
      <w:r w:rsidRPr="00E9206B">
        <w:rPr>
          <w:szCs w:val="18"/>
          <w:lang w:val="en"/>
        </w:rPr>
        <w:t>;80</w:t>
      </w:r>
      <w:proofErr w:type="gramEnd"/>
      <w:r w:rsidRPr="00E9206B">
        <w:rPr>
          <w:szCs w:val="18"/>
          <w:lang w:val="en"/>
        </w:rPr>
        <w:t xml:space="preserve">(2):299-306. </w:t>
      </w:r>
      <w:proofErr w:type="spellStart"/>
      <w:proofErr w:type="gramStart"/>
      <w:r w:rsidRPr="00E9206B">
        <w:rPr>
          <w:szCs w:val="18"/>
          <w:lang w:val="en"/>
        </w:rPr>
        <w:t>doi</w:t>
      </w:r>
      <w:proofErr w:type="spellEnd"/>
      <w:proofErr w:type="gramEnd"/>
      <w:r w:rsidRPr="00E9206B">
        <w:rPr>
          <w:szCs w:val="18"/>
          <w:lang w:val="en"/>
        </w:rPr>
        <w:t>: 10.1016/j.gie.2014.02.1029.</w:t>
      </w:r>
    </w:p>
  </w:footnote>
  <w:footnote w:id="54">
    <w:p w14:paraId="3AF5C956" w14:textId="77777777" w:rsidR="00AE19B5" w:rsidRPr="00E9206B" w:rsidRDefault="00AE19B5" w:rsidP="00153721">
      <w:pPr>
        <w:rPr>
          <w:sz w:val="18"/>
          <w:szCs w:val="18"/>
          <w:lang w:val="en"/>
        </w:rPr>
      </w:pPr>
      <w:r w:rsidRPr="00D75970">
        <w:rPr>
          <w:rStyle w:val="FootnoteReference"/>
          <w:sz w:val="18"/>
          <w:szCs w:val="18"/>
        </w:rPr>
        <w:footnoteRef/>
      </w:r>
      <w:r w:rsidRPr="00D75970">
        <w:rPr>
          <w:sz w:val="18"/>
          <w:szCs w:val="18"/>
        </w:rPr>
        <w:t xml:space="preserve"> </w:t>
      </w:r>
      <w:r w:rsidRPr="00E9206B">
        <w:rPr>
          <w:sz w:val="18"/>
          <w:szCs w:val="18"/>
          <w:lang w:val="en"/>
        </w:rPr>
        <w:t xml:space="preserve">Adenoma surveillance and colorectal cancer incidence; a retrospective </w:t>
      </w:r>
      <w:proofErr w:type="spellStart"/>
      <w:r w:rsidRPr="00E9206B">
        <w:rPr>
          <w:sz w:val="18"/>
          <w:szCs w:val="18"/>
          <w:lang w:val="en"/>
        </w:rPr>
        <w:t>multicentre</w:t>
      </w:r>
      <w:proofErr w:type="spellEnd"/>
      <w:r w:rsidRPr="00E9206B">
        <w:rPr>
          <w:sz w:val="18"/>
          <w:szCs w:val="18"/>
          <w:lang w:val="en"/>
        </w:rPr>
        <w:t xml:space="preserve"> cohort study.</w:t>
      </w:r>
    </w:p>
    <w:p w14:paraId="0239CADA" w14:textId="77777777" w:rsidR="00AE19B5" w:rsidRPr="00E9206B" w:rsidRDefault="00C62BAF" w:rsidP="00153721">
      <w:pPr>
        <w:rPr>
          <w:sz w:val="18"/>
          <w:szCs w:val="18"/>
          <w:lang w:val="en"/>
        </w:rPr>
      </w:pPr>
      <w:hyperlink r:id="rId36" w:history="1">
        <w:r w:rsidR="00AE19B5" w:rsidRPr="00E9206B">
          <w:rPr>
            <w:sz w:val="18"/>
            <w:szCs w:val="18"/>
            <w:u w:val="single"/>
            <w:lang w:val="en"/>
          </w:rPr>
          <w:t>Atkin W</w:t>
        </w:r>
      </w:hyperlink>
      <w:r w:rsidR="00AE19B5" w:rsidRPr="00E9206B">
        <w:rPr>
          <w:sz w:val="18"/>
          <w:szCs w:val="18"/>
          <w:u w:val="single"/>
          <w:lang w:val="en"/>
        </w:rPr>
        <w:t xml:space="preserve">, </w:t>
      </w:r>
      <w:hyperlink r:id="rId37" w:history="1">
        <w:proofErr w:type="spellStart"/>
        <w:r w:rsidR="00AE19B5" w:rsidRPr="00E9206B">
          <w:rPr>
            <w:sz w:val="18"/>
            <w:szCs w:val="18"/>
            <w:u w:val="single"/>
            <w:lang w:val="en"/>
          </w:rPr>
          <w:t>Wooldrage</w:t>
        </w:r>
        <w:proofErr w:type="spellEnd"/>
        <w:r w:rsidR="00AE19B5" w:rsidRPr="00E9206B">
          <w:rPr>
            <w:sz w:val="18"/>
            <w:szCs w:val="18"/>
            <w:u w:val="single"/>
            <w:lang w:val="en"/>
          </w:rPr>
          <w:t xml:space="preserve"> K</w:t>
        </w:r>
      </w:hyperlink>
      <w:r w:rsidR="00AE19B5" w:rsidRPr="00E9206B">
        <w:rPr>
          <w:sz w:val="18"/>
          <w:szCs w:val="18"/>
          <w:u w:val="single"/>
          <w:lang w:val="en"/>
        </w:rPr>
        <w:t xml:space="preserve">, </w:t>
      </w:r>
      <w:hyperlink r:id="rId38" w:history="1">
        <w:r w:rsidR="00AE19B5" w:rsidRPr="00E9206B">
          <w:rPr>
            <w:sz w:val="18"/>
            <w:szCs w:val="18"/>
            <w:u w:val="single"/>
            <w:lang w:val="en"/>
          </w:rPr>
          <w:t>Brenner A</w:t>
        </w:r>
      </w:hyperlink>
      <w:r w:rsidR="00AE19B5" w:rsidRPr="00E9206B">
        <w:rPr>
          <w:sz w:val="18"/>
          <w:szCs w:val="18"/>
          <w:u w:val="single"/>
          <w:lang w:val="en"/>
        </w:rPr>
        <w:t xml:space="preserve">, et al. </w:t>
      </w:r>
      <w:hyperlink r:id="rId39" w:tooltip="The Lancet. Oncology." w:history="1">
        <w:r w:rsidR="00AE19B5" w:rsidRPr="00E9206B">
          <w:rPr>
            <w:sz w:val="18"/>
            <w:szCs w:val="18"/>
            <w:u w:val="single"/>
            <w:lang w:val="en"/>
          </w:rPr>
          <w:t xml:space="preserve">Lancet </w:t>
        </w:r>
        <w:proofErr w:type="spellStart"/>
        <w:r w:rsidR="00AE19B5" w:rsidRPr="00E9206B">
          <w:rPr>
            <w:sz w:val="18"/>
            <w:szCs w:val="18"/>
            <w:u w:val="single"/>
            <w:lang w:val="en"/>
          </w:rPr>
          <w:t>Oncol</w:t>
        </w:r>
        <w:proofErr w:type="spellEnd"/>
        <w:r w:rsidR="00AE19B5" w:rsidRPr="00E9206B">
          <w:rPr>
            <w:sz w:val="18"/>
            <w:szCs w:val="18"/>
            <w:u w:val="single"/>
            <w:lang w:val="en"/>
          </w:rPr>
          <w:t>.</w:t>
        </w:r>
      </w:hyperlink>
      <w:r w:rsidR="00AE19B5" w:rsidRPr="00E9206B">
        <w:rPr>
          <w:sz w:val="18"/>
          <w:szCs w:val="18"/>
          <w:lang w:val="en"/>
        </w:rPr>
        <w:t xml:space="preserve"> 2017 Jun</w:t>
      </w:r>
      <w:proofErr w:type="gramStart"/>
      <w:r w:rsidR="00AE19B5" w:rsidRPr="00E9206B">
        <w:rPr>
          <w:sz w:val="18"/>
          <w:szCs w:val="18"/>
          <w:lang w:val="en"/>
        </w:rPr>
        <w:t>;18</w:t>
      </w:r>
      <w:proofErr w:type="gramEnd"/>
      <w:r w:rsidR="00AE19B5" w:rsidRPr="00E9206B">
        <w:rPr>
          <w:sz w:val="18"/>
          <w:szCs w:val="18"/>
          <w:lang w:val="en"/>
        </w:rPr>
        <w:t xml:space="preserve">(6):823-834. </w:t>
      </w:r>
      <w:proofErr w:type="spellStart"/>
      <w:r w:rsidR="00AE19B5" w:rsidRPr="00E9206B">
        <w:rPr>
          <w:sz w:val="18"/>
          <w:szCs w:val="18"/>
          <w:lang w:val="en"/>
        </w:rPr>
        <w:t>doi</w:t>
      </w:r>
      <w:proofErr w:type="spellEnd"/>
      <w:r w:rsidR="00AE19B5" w:rsidRPr="00E9206B">
        <w:rPr>
          <w:sz w:val="18"/>
          <w:szCs w:val="18"/>
          <w:lang w:val="en"/>
        </w:rPr>
        <w:t>: 10.1016/S1470-2045(17)30187-0</w:t>
      </w:r>
    </w:p>
    <w:p w14:paraId="6D027B36" w14:textId="43380117" w:rsidR="00AE19B5" w:rsidRDefault="00AE19B5">
      <w:pPr>
        <w:pStyle w:val="FootnoteText"/>
      </w:pPr>
    </w:p>
  </w:footnote>
  <w:footnote w:id="55">
    <w:p w14:paraId="6B12D7AC" w14:textId="77777777" w:rsidR="00AE19B5" w:rsidRPr="00E55971" w:rsidRDefault="00AE19B5" w:rsidP="00507AE5">
      <w:pPr>
        <w:pStyle w:val="FootnoteText"/>
      </w:pPr>
      <w:r w:rsidRPr="00507AE5">
        <w:rPr>
          <w:rStyle w:val="FootnoteReference"/>
        </w:rPr>
        <w:footnoteRef/>
      </w:r>
      <w:r>
        <w:tab/>
      </w:r>
      <w:r w:rsidRPr="00E55971">
        <w:t xml:space="preserve">Faster Cancer Treatment Programme, </w:t>
      </w:r>
      <w:proofErr w:type="spellStart"/>
      <w:r w:rsidRPr="00E55971">
        <w:t>MoH</w:t>
      </w:r>
      <w:proofErr w:type="spellEnd"/>
      <w:r w:rsidRPr="00E55971">
        <w:t xml:space="preserve">, </w:t>
      </w:r>
      <w:hyperlink r:id="rId40" w:history="1">
        <w:r w:rsidRPr="00E55971">
          <w:rPr>
            <w:rStyle w:val="Hyperlink"/>
          </w:rPr>
          <w:t>https://www.health.govt.nz/our-work/diseases-and-conditions/cancer-programme/faster-cancer-treatment-programme</w:t>
        </w:r>
      </w:hyperlink>
      <w:r w:rsidRPr="00E55971">
        <w:t xml:space="preserve"> updated 30 August 2016</w:t>
      </w:r>
    </w:p>
  </w:footnote>
  <w:footnote w:id="56">
    <w:p w14:paraId="4CE8D326" w14:textId="77777777" w:rsidR="00AE19B5" w:rsidRPr="00E77EB6" w:rsidRDefault="00AE19B5" w:rsidP="00450F04">
      <w:pPr>
        <w:pStyle w:val="FootnoteText"/>
      </w:pPr>
      <w:r w:rsidRPr="00450F04">
        <w:rPr>
          <w:rStyle w:val="FootnoteReference"/>
        </w:rPr>
        <w:footnoteRef/>
      </w:r>
      <w:r>
        <w:tab/>
      </w:r>
      <w:r w:rsidRPr="005F0638">
        <w:rPr>
          <w:color w:val="000000"/>
        </w:rPr>
        <w:t>Improving Quality:</w:t>
      </w:r>
      <w:r w:rsidRPr="005F0638">
        <w:rPr>
          <w:color w:val="FFFFFF"/>
        </w:rPr>
        <w:t xml:space="preserve"> </w:t>
      </w:r>
      <w:r>
        <w:t xml:space="preserve">A Framework for Screening </w:t>
      </w:r>
      <w:r w:rsidRPr="005F0638">
        <w:t>Programmes in New Zealand</w:t>
      </w:r>
      <w:r>
        <w:t xml:space="preserve"> 2005 </w:t>
      </w:r>
      <w:r w:rsidRPr="00E77EB6">
        <w:t>https://www.nsu.govt.nz/system/files/resources/quality-framework.pdf</w:t>
      </w:r>
    </w:p>
  </w:footnote>
  <w:footnote w:id="57">
    <w:p w14:paraId="1AF947C7" w14:textId="77777777" w:rsidR="00AE19B5" w:rsidRPr="00E77EB6" w:rsidRDefault="00AE19B5" w:rsidP="00450F04">
      <w:pPr>
        <w:pStyle w:val="FootnoteText"/>
      </w:pPr>
      <w:r w:rsidRPr="00450F04">
        <w:rPr>
          <w:rStyle w:val="FootnoteReference"/>
        </w:rPr>
        <w:footnoteRef/>
      </w:r>
      <w:r>
        <w:tab/>
      </w:r>
      <w:r w:rsidRPr="00E77EB6">
        <w:t>National Screening Unit Quality Principles</w:t>
      </w:r>
      <w:r>
        <w:t xml:space="preserve"> 2014 </w:t>
      </w:r>
      <w:r w:rsidRPr="00E77EB6">
        <w:t>https://www.nsu.govt.nz/system/files/page/qualityprinciples25june14.pdf</w:t>
      </w:r>
    </w:p>
  </w:footnote>
  <w:footnote w:id="58">
    <w:p w14:paraId="68435124" w14:textId="77777777" w:rsidR="00AE19B5" w:rsidRPr="00824F4F" w:rsidRDefault="00AE19B5" w:rsidP="00450F04">
      <w:pPr>
        <w:pStyle w:val="FootnoteText"/>
      </w:pPr>
      <w:r w:rsidRPr="00450F04">
        <w:rPr>
          <w:rStyle w:val="FootnoteReference"/>
        </w:rPr>
        <w:footnoteRef/>
      </w:r>
      <w:r>
        <w:tab/>
        <w:t xml:space="preserve">Bowel Screening Pilot Monitoring Indicators, </w:t>
      </w:r>
      <w:proofErr w:type="spellStart"/>
      <w:r>
        <w:t>MoH</w:t>
      </w:r>
      <w:proofErr w:type="spellEnd"/>
      <w:r>
        <w:t xml:space="preserve"> </w:t>
      </w:r>
      <w:hyperlink r:id="rId41" w:history="1">
        <w:r w:rsidRPr="00C4106E">
          <w:rPr>
            <w:rStyle w:val="Hyperlink"/>
          </w:rPr>
          <w:t>https://www.health.govt.nz/our-work/diseases-and-conditions/cancer-programme/bowel-cancer-programme/bowel-screening-pilot/bowel-screening-pilot-monitoring-indicators</w:t>
        </w:r>
      </w:hyperlink>
      <w:r>
        <w:t>. Updated 16 June 2017</w:t>
      </w:r>
    </w:p>
  </w:footnote>
  <w:footnote w:id="59">
    <w:p w14:paraId="798CC697" w14:textId="77777777" w:rsidR="00AE19B5" w:rsidRPr="00824F4F" w:rsidRDefault="00AE19B5" w:rsidP="00450F04">
      <w:pPr>
        <w:pStyle w:val="FootnoteText"/>
        <w:rPr>
          <w:rFonts w:eastAsia="HelveticaNeueLTPro-Roman"/>
          <w:sz w:val="20"/>
        </w:rPr>
      </w:pPr>
      <w:r w:rsidRPr="00450F04">
        <w:rPr>
          <w:rStyle w:val="FootnoteReference"/>
        </w:rPr>
        <w:footnoteRef/>
      </w:r>
      <w:r>
        <w:rPr>
          <w:rFonts w:cs="HelveticaNeueLTPro-Md"/>
        </w:rPr>
        <w:tab/>
      </w:r>
      <w:r w:rsidRPr="00824F4F">
        <w:rPr>
          <w:rFonts w:cs="HelveticaNeueLTPro-Md"/>
        </w:rPr>
        <w:t xml:space="preserve">Quality Assurance Guidelines for Colonoscopy </w:t>
      </w:r>
      <w:r w:rsidRPr="00824F4F">
        <w:rPr>
          <w:rFonts w:eastAsia="HelveticaNeueLTPro-Roman"/>
        </w:rPr>
        <w:t>NHS BCSP Publication No 6February 2011 NHS BCSP Publication No 6</w:t>
      </w:r>
      <w:r>
        <w:rPr>
          <w:rFonts w:eastAsia="HelveticaNeueLTPro-Roman"/>
        </w:rPr>
        <w:t xml:space="preserve"> </w:t>
      </w:r>
      <w:r w:rsidRPr="00824F4F">
        <w:rPr>
          <w:rFonts w:eastAsia="HelveticaNeueLTPro-Roman"/>
        </w:rPr>
        <w:t>February 2011</w:t>
      </w:r>
      <w:r>
        <w:rPr>
          <w:rFonts w:eastAsia="HelveticaNeueLTPro-Roman"/>
        </w:rPr>
        <w:t>.</w:t>
      </w:r>
    </w:p>
  </w:footnote>
  <w:footnote w:id="60">
    <w:p w14:paraId="28AB7A01" w14:textId="77777777" w:rsidR="00AE19B5" w:rsidRPr="00195A72" w:rsidRDefault="00AE19B5" w:rsidP="00450F04">
      <w:pPr>
        <w:pStyle w:val="FootnoteText"/>
      </w:pPr>
      <w:r w:rsidRPr="00450F04">
        <w:rPr>
          <w:rStyle w:val="FootnoteReference"/>
        </w:rPr>
        <w:footnoteRef/>
      </w:r>
      <w:r>
        <w:tab/>
      </w:r>
      <w:r w:rsidRPr="003F2283">
        <w:t>Managing Adverse Events in New Zealand Screening Programmes</w:t>
      </w:r>
      <w:r>
        <w:t xml:space="preserve"> in conjunction with NSU Adverse Event Management Toolkit</w:t>
      </w:r>
      <w:r w:rsidRPr="003F2283">
        <w:t>. National Screening Unit April 2017</w:t>
      </w:r>
      <w:r>
        <w:t>.</w:t>
      </w:r>
    </w:p>
  </w:footnote>
  <w:footnote w:id="61">
    <w:p w14:paraId="5574489C" w14:textId="77777777" w:rsidR="00AE19B5" w:rsidRPr="00576DA9" w:rsidRDefault="00AE19B5" w:rsidP="00215A98">
      <w:pPr>
        <w:pStyle w:val="FootnoteText"/>
      </w:pPr>
      <w:r w:rsidRPr="00215A98">
        <w:rPr>
          <w:rStyle w:val="FootnoteReference"/>
        </w:rPr>
        <w:footnoteRef/>
      </w:r>
      <w:r>
        <w:rPr>
          <w:lang w:val="en"/>
        </w:rPr>
        <w:tab/>
      </w:r>
      <w:r w:rsidRPr="00576DA9">
        <w:rPr>
          <w:lang w:val="en"/>
        </w:rPr>
        <w:t>Molecular Testing of Colorectal Cancers in New Zealand: Minimum standards for molecular testing of newly diagnosed colorectal cancers</w:t>
      </w:r>
      <w:r>
        <w:rPr>
          <w:lang w:val="en"/>
        </w:rPr>
        <w:t xml:space="preserve">. Ministry of Health 2018 </w:t>
      </w:r>
      <w:hyperlink r:id="rId42" w:history="1">
        <w:r w:rsidRPr="003877DF">
          <w:rPr>
            <w:rStyle w:val="Hyperlink"/>
            <w:rFonts w:cs="Arial"/>
            <w:szCs w:val="18"/>
            <w:lang w:val="en"/>
          </w:rPr>
          <w:t>https://www.health.govt.nz/publication/molecular-testing-colorectal-cancers-new-zealand-minimum-standards-molecular-testing-newly-diagnosed</w:t>
        </w:r>
      </w:hyperlink>
      <w:r>
        <w:rPr>
          <w:lang w:val="en"/>
        </w:rPr>
        <w:t xml:space="preserve"> Published 20 June 2018</w:t>
      </w:r>
    </w:p>
  </w:footnote>
  <w:footnote w:id="62">
    <w:p w14:paraId="6912771D" w14:textId="77777777" w:rsidR="00AE19B5" w:rsidRPr="00D56702" w:rsidRDefault="00AE19B5" w:rsidP="00215A98">
      <w:pPr>
        <w:pStyle w:val="FootnoteText"/>
      </w:pPr>
      <w:r w:rsidRPr="00215A98">
        <w:rPr>
          <w:rStyle w:val="FootnoteReference"/>
        </w:rPr>
        <w:footnoteRef/>
      </w:r>
      <w:r>
        <w:tab/>
        <w:t xml:space="preserve">NICE 2017 </w:t>
      </w:r>
      <w:r w:rsidRPr="003B6490">
        <w:t>Molecular testing strategies for Lynch syndrome in people with colorectal cancer</w:t>
      </w:r>
      <w:r w:rsidRPr="00D56702">
        <w:t xml:space="preserve"> https://www.nice.org.uk/guidance/dg27/resources/molecular-testing-strategies-for-lynch-syndrome-in-people-with-colorectal-cancer-pdf-1053695294917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E0E7F" w14:textId="77777777" w:rsidR="00AE19B5" w:rsidRDefault="00AE19B5" w:rsidP="009216CC">
    <w:pPr>
      <w:pStyle w:val="Header"/>
      <w:ind w:left="-1559"/>
    </w:pPr>
    <w:r>
      <w:rPr>
        <w:noProof/>
        <w:lang w:eastAsia="en-NZ"/>
      </w:rPr>
      <w:drawing>
        <wp:inline distT="0" distB="0" distL="0" distR="0" wp14:anchorId="2EC93BB9" wp14:editId="1F826FC7">
          <wp:extent cx="6467302" cy="534632"/>
          <wp:effectExtent l="0" t="0" r="0" b="0"/>
          <wp:docPr id="10" name="Picture 10" descr="Ministry of Health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banner-final.jpg"/>
                  <pic:cNvPicPr/>
                </pic:nvPicPr>
                <pic:blipFill>
                  <a:blip r:embed="rId1">
                    <a:extLst>
                      <a:ext uri="{28A0092B-C50C-407E-A947-70E740481C1C}">
                        <a14:useLocalDpi xmlns:a14="http://schemas.microsoft.com/office/drawing/2010/main" val="0"/>
                      </a:ext>
                    </a:extLst>
                  </a:blip>
                  <a:stretch>
                    <a:fillRect/>
                  </a:stretch>
                </pic:blipFill>
                <pic:spPr>
                  <a:xfrm>
                    <a:off x="0" y="0"/>
                    <a:ext cx="6465795" cy="534507"/>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0F632" w14:textId="77777777" w:rsidR="00AE19B5" w:rsidRDefault="00AE19B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C7C11"/>
    <w:multiLevelType w:val="hybridMultilevel"/>
    <w:tmpl w:val="E946C762"/>
    <w:lvl w:ilvl="0" w:tplc="F49EE05C">
      <w:start w:val="1"/>
      <w:numFmt w:val="bullet"/>
      <w:lvlText w:val="•"/>
      <w:lvlJc w:val="left"/>
      <w:pPr>
        <w:ind w:left="360"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01670C73"/>
    <w:multiLevelType w:val="hybridMultilevel"/>
    <w:tmpl w:val="883E42F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2BF141D"/>
    <w:multiLevelType w:val="hybridMultilevel"/>
    <w:tmpl w:val="46B28FC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4" w15:restartNumberingAfterBreak="0">
    <w:nsid w:val="05996ED5"/>
    <w:multiLevelType w:val="hybridMultilevel"/>
    <w:tmpl w:val="B8BA2D9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07A735C3"/>
    <w:multiLevelType w:val="hybridMultilevel"/>
    <w:tmpl w:val="589838E0"/>
    <w:lvl w:ilvl="0" w:tplc="49FE02F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6AC17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714152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B08817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098815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7E898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DFC0370">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84C58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40D1A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9006CBC"/>
    <w:multiLevelType w:val="hybridMultilevel"/>
    <w:tmpl w:val="89C23934"/>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BCA0331"/>
    <w:multiLevelType w:val="hybridMultilevel"/>
    <w:tmpl w:val="F05A36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E421B6C"/>
    <w:multiLevelType w:val="hybridMultilevel"/>
    <w:tmpl w:val="AC7A321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0E5F147B"/>
    <w:multiLevelType w:val="hybridMultilevel"/>
    <w:tmpl w:val="C21E8760"/>
    <w:lvl w:ilvl="0" w:tplc="03F2A3CE">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93F22BC0">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2" w:tplc="F2E4A216">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3" w:tplc="A1FA73C4">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4" w:tplc="A32694C4">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5" w:tplc="C3A065A4">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6" w:tplc="C12677EA">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7" w:tplc="BF501B30">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8" w:tplc="43D2255E">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abstractNum>
  <w:abstractNum w:abstractNumId="10" w15:restartNumberingAfterBreak="0">
    <w:nsid w:val="115A628F"/>
    <w:multiLevelType w:val="hybridMultilevel"/>
    <w:tmpl w:val="904C4190"/>
    <w:lvl w:ilvl="0" w:tplc="14090003">
      <w:start w:val="1"/>
      <w:numFmt w:val="bullet"/>
      <w:lvlText w:val="o"/>
      <w:lvlJc w:val="left"/>
      <w:pPr>
        <w:ind w:left="1080" w:hanging="360"/>
      </w:pPr>
      <w:rPr>
        <w:rFonts w:ascii="Courier New" w:hAnsi="Courier New" w:cs="Courier New"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1" w15:restartNumberingAfterBreak="0">
    <w:nsid w:val="133C12AC"/>
    <w:multiLevelType w:val="hybridMultilevel"/>
    <w:tmpl w:val="E6249898"/>
    <w:lvl w:ilvl="0" w:tplc="14090003">
      <w:start w:val="1"/>
      <w:numFmt w:val="bullet"/>
      <w:lvlText w:val="o"/>
      <w:lvlJc w:val="left"/>
      <w:pPr>
        <w:ind w:left="360" w:hanging="360"/>
      </w:pPr>
      <w:rPr>
        <w:rFonts w:ascii="Courier New" w:hAnsi="Courier New" w:cs="Courier New"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38F78A5"/>
    <w:multiLevelType w:val="hybridMultilevel"/>
    <w:tmpl w:val="59A0C77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149A1660"/>
    <w:multiLevelType w:val="hybridMultilevel"/>
    <w:tmpl w:val="1026FF50"/>
    <w:lvl w:ilvl="0" w:tplc="5C6ADA92">
      <w:start w:val="1"/>
      <w:numFmt w:val="bullet"/>
      <w:lvlText w:val=""/>
      <w:lvlJc w:val="left"/>
      <w:pPr>
        <w:ind w:left="720" w:hanging="360"/>
      </w:pPr>
      <w:rPr>
        <w:rFonts w:ascii="Symbol" w:hAnsi="Symbol" w:hint="default"/>
        <w:b w:val="0"/>
        <w:bCs w:val="0"/>
        <w:i w:val="0"/>
        <w:iCs w:val="0"/>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266C5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1A9A2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D45D8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2CE77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9C500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8A7ED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95A85D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876B94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153D7658"/>
    <w:multiLevelType w:val="hybridMultilevel"/>
    <w:tmpl w:val="9A1457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15504D5B"/>
    <w:multiLevelType w:val="hybridMultilevel"/>
    <w:tmpl w:val="DAC68D78"/>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6" w15:restartNumberingAfterBreak="0">
    <w:nsid w:val="17152759"/>
    <w:multiLevelType w:val="hybridMultilevel"/>
    <w:tmpl w:val="98E87796"/>
    <w:lvl w:ilvl="0" w:tplc="14090003">
      <w:start w:val="1"/>
      <w:numFmt w:val="bullet"/>
      <w:lvlText w:val="o"/>
      <w:lvlJc w:val="left"/>
      <w:pPr>
        <w:ind w:left="1080" w:hanging="360"/>
      </w:pPr>
      <w:rPr>
        <w:rFonts w:ascii="Courier New" w:hAnsi="Courier New" w:cs="Courier New"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7" w15:restartNumberingAfterBreak="0">
    <w:nsid w:val="18DB42D9"/>
    <w:multiLevelType w:val="multilevel"/>
    <w:tmpl w:val="919203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1C940BF7"/>
    <w:multiLevelType w:val="hybridMultilevel"/>
    <w:tmpl w:val="4ACE3224"/>
    <w:lvl w:ilvl="0" w:tplc="14090003">
      <w:start w:val="1"/>
      <w:numFmt w:val="bullet"/>
      <w:lvlText w:val="o"/>
      <w:lvlJc w:val="left"/>
      <w:pPr>
        <w:ind w:left="1080" w:hanging="360"/>
      </w:pPr>
      <w:rPr>
        <w:rFonts w:ascii="Courier New" w:hAnsi="Courier New" w:cs="Courier New"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9" w15:restartNumberingAfterBreak="0">
    <w:nsid w:val="1CB918C0"/>
    <w:multiLevelType w:val="multilevel"/>
    <w:tmpl w:val="ABCC414A"/>
    <w:lvl w:ilvl="0">
      <w:start w:val="1"/>
      <w:numFmt w:val="bullet"/>
      <w:lvlText w:val=""/>
      <w:lvlJc w:val="left"/>
      <w:pPr>
        <w:ind w:left="435" w:hanging="435"/>
      </w:pPr>
      <w:rPr>
        <w:rFonts w:ascii="Symbol" w:hAnsi="Symbol"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CE94A01"/>
    <w:multiLevelType w:val="hybridMultilevel"/>
    <w:tmpl w:val="2A2AE64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1DD22A05"/>
    <w:multiLevelType w:val="multilevel"/>
    <w:tmpl w:val="FDEE22BC"/>
    <w:lvl w:ilvl="0">
      <w:start w:val="1"/>
      <w:numFmt w:val="bullet"/>
      <w:lvlText w:val=""/>
      <w:lvlJc w:val="left"/>
      <w:pPr>
        <w:ind w:left="435" w:hanging="435"/>
      </w:pPr>
      <w:rPr>
        <w:rFonts w:ascii="Symbol" w:hAnsi="Symbol" w:hint="default"/>
      </w:rPr>
    </w:lvl>
    <w:lvl w:ilvl="1">
      <w:start w:val="1"/>
      <w:numFmt w:val="bullet"/>
      <w:lvlText w:val="o"/>
      <w:lvlJc w:val="left"/>
      <w:pPr>
        <w:ind w:left="860" w:hanging="435"/>
      </w:pPr>
      <w:rPr>
        <w:rFonts w:ascii="Courier New" w:hAnsi="Courier New" w:cs="Courier New" w:hint="default"/>
      </w:rPr>
    </w:lvl>
    <w:lvl w:ilvl="2">
      <w:start w:val="1"/>
      <w:numFmt w:val="decimal"/>
      <w:lvlText w:val="%1.%2.%3"/>
      <w:lvlJc w:val="left"/>
      <w:pPr>
        <w:ind w:left="720" w:hanging="720"/>
      </w:pPr>
      <w:rPr>
        <w:rFonts w:hint="default"/>
        <w:b w:val="0"/>
      </w:rPr>
    </w:lvl>
    <w:lvl w:ilvl="3">
      <w:start w:val="1"/>
      <w:numFmt w:val="bullet"/>
      <w:lvlText w:val="o"/>
      <w:lvlJc w:val="left"/>
      <w:pPr>
        <w:ind w:left="1145" w:hanging="720"/>
      </w:pPr>
      <w:rPr>
        <w:rFonts w:ascii="Courier New" w:hAnsi="Courier New" w:cs="Courier New"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E1414F1"/>
    <w:multiLevelType w:val="hybridMultilevel"/>
    <w:tmpl w:val="2B2455BC"/>
    <w:lvl w:ilvl="0" w:tplc="F49EE05C">
      <w:start w:val="1"/>
      <w:numFmt w:val="bullet"/>
      <w:lvlText w:val="•"/>
      <w:lvlJc w:val="left"/>
      <w:pPr>
        <w:ind w:left="720"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1F677A50"/>
    <w:multiLevelType w:val="multilevel"/>
    <w:tmpl w:val="F0EC4D00"/>
    <w:lvl w:ilvl="0">
      <w:start w:val="1"/>
      <w:numFmt w:val="bullet"/>
      <w:lvlText w:val=""/>
      <w:lvlJc w:val="left"/>
      <w:pPr>
        <w:ind w:left="435" w:hanging="435"/>
      </w:pPr>
      <w:rPr>
        <w:rFonts w:ascii="Symbol" w:hAnsi="Symbol" w:hint="default"/>
        <w:color w:val="auto"/>
      </w:rPr>
    </w:lvl>
    <w:lvl w:ilvl="1">
      <w:start w:val="1"/>
      <w:numFmt w:val="bullet"/>
      <w:lvlText w:val=""/>
      <w:lvlJc w:val="left"/>
      <w:pPr>
        <w:ind w:left="435" w:hanging="435"/>
      </w:pPr>
      <w:rPr>
        <w:rFonts w:ascii="Symbol" w:hAnsi="Symbol" w:hint="default"/>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3DC7796"/>
    <w:multiLevelType w:val="multilevel"/>
    <w:tmpl w:val="E54AE3EC"/>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24650046"/>
    <w:multiLevelType w:val="hybridMultilevel"/>
    <w:tmpl w:val="DEBEA398"/>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24B1576A"/>
    <w:multiLevelType w:val="hybridMultilevel"/>
    <w:tmpl w:val="EB9A228A"/>
    <w:lvl w:ilvl="0" w:tplc="14090001">
      <w:start w:val="1"/>
      <w:numFmt w:val="bullet"/>
      <w:lvlText w:val=""/>
      <w:lvlJc w:val="left"/>
      <w:pPr>
        <w:ind w:left="360" w:hanging="360"/>
      </w:pPr>
      <w:rPr>
        <w:rFonts w:ascii="Symbol" w:hAnsi="Symbol" w:hint="default"/>
      </w:rPr>
    </w:lvl>
    <w:lvl w:ilvl="1" w:tplc="743A66E0">
      <w:start w:val="1"/>
      <w:numFmt w:val="bullet"/>
      <w:lvlText w:val="o"/>
      <w:lvlJc w:val="left"/>
      <w:pPr>
        <w:ind w:left="1080" w:hanging="360"/>
      </w:pPr>
      <w:rPr>
        <w:rFonts w:ascii="Courier New" w:hAnsi="Courier New" w:cs="Courier New" w:hint="default"/>
        <w:color w:val="auto"/>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15:restartNumberingAfterBreak="0">
    <w:nsid w:val="258930E3"/>
    <w:multiLevelType w:val="hybridMultilevel"/>
    <w:tmpl w:val="4C526C0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15:restartNumberingAfterBreak="0">
    <w:nsid w:val="271214A3"/>
    <w:multiLevelType w:val="hybridMultilevel"/>
    <w:tmpl w:val="D04440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28754B13"/>
    <w:multiLevelType w:val="multilevel"/>
    <w:tmpl w:val="69762EC0"/>
    <w:lvl w:ilvl="0">
      <w:start w:val="1"/>
      <w:numFmt w:val="bullet"/>
      <w:lvlText w:val=""/>
      <w:lvlJc w:val="left"/>
      <w:pPr>
        <w:ind w:left="435" w:hanging="435"/>
      </w:pPr>
      <w:rPr>
        <w:rFonts w:ascii="Symbol" w:hAnsi="Symbol" w:hint="default"/>
      </w:rPr>
    </w:lvl>
    <w:lvl w:ilvl="1">
      <w:start w:val="1"/>
      <w:numFmt w:val="bullet"/>
      <w:lvlText w:val="o"/>
      <w:lvlJc w:val="left"/>
      <w:pPr>
        <w:ind w:left="860" w:hanging="435"/>
      </w:pPr>
      <w:rPr>
        <w:rFonts w:ascii="Courier New" w:hAnsi="Courier New" w:cs="Courier New" w:hint="default"/>
      </w:rPr>
    </w:lvl>
    <w:lvl w:ilvl="2">
      <w:start w:val="1"/>
      <w:numFmt w:val="decimal"/>
      <w:lvlText w:val="%1.%2.%3"/>
      <w:lvlJc w:val="left"/>
      <w:pPr>
        <w:ind w:left="720" w:hanging="720"/>
      </w:pPr>
      <w:rPr>
        <w:rFonts w:hint="default"/>
        <w:b w:val="0"/>
      </w:rPr>
    </w:lvl>
    <w:lvl w:ilvl="3">
      <w:start w:val="1"/>
      <w:numFmt w:val="bullet"/>
      <w:lvlText w:val="o"/>
      <w:lvlJc w:val="left"/>
      <w:pPr>
        <w:ind w:left="1145" w:hanging="720"/>
      </w:pPr>
      <w:rPr>
        <w:rFonts w:ascii="Courier New" w:hAnsi="Courier New" w:cs="Courier New"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A3209FC"/>
    <w:multiLevelType w:val="hybridMultilevel"/>
    <w:tmpl w:val="93E434E8"/>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2AF77CA3"/>
    <w:multiLevelType w:val="hybridMultilevel"/>
    <w:tmpl w:val="AC6C5A0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15:restartNumberingAfterBreak="0">
    <w:nsid w:val="2BC27801"/>
    <w:multiLevelType w:val="hybridMultilevel"/>
    <w:tmpl w:val="BA46B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D153FE0"/>
    <w:multiLevelType w:val="multilevel"/>
    <w:tmpl w:val="55728AAE"/>
    <w:lvl w:ilvl="0">
      <w:start w:val="1"/>
      <w:numFmt w:val="bullet"/>
      <w:lvlText w:val="o"/>
      <w:lvlJc w:val="left"/>
      <w:pPr>
        <w:ind w:left="860" w:hanging="435"/>
      </w:pPr>
      <w:rPr>
        <w:rFonts w:ascii="Courier New" w:hAnsi="Courier New" w:cs="Courier New" w:hint="default"/>
      </w:rPr>
    </w:lvl>
    <w:lvl w:ilvl="1">
      <w:start w:val="1"/>
      <w:numFmt w:val="decimal"/>
      <w:lvlText w:val="%1.%2"/>
      <w:lvlJc w:val="left"/>
      <w:pPr>
        <w:ind w:left="860" w:hanging="435"/>
      </w:pPr>
      <w:rPr>
        <w:rFonts w:hint="default"/>
      </w:rPr>
    </w:lvl>
    <w:lvl w:ilvl="2">
      <w:start w:val="1"/>
      <w:numFmt w:val="decimal"/>
      <w:lvlText w:val="%1.%2.%3"/>
      <w:lvlJc w:val="left"/>
      <w:pPr>
        <w:ind w:left="1145" w:hanging="720"/>
      </w:pPr>
      <w:rPr>
        <w:rFonts w:hint="default"/>
        <w:b w:val="0"/>
      </w:rPr>
    </w:lvl>
    <w:lvl w:ilvl="3">
      <w:start w:val="1"/>
      <w:numFmt w:val="decimal"/>
      <w:lvlText w:val="%1.%2.%3.%4"/>
      <w:lvlJc w:val="left"/>
      <w:pPr>
        <w:ind w:left="1145" w:hanging="720"/>
      </w:pPr>
      <w:rPr>
        <w:rFonts w:hint="default"/>
      </w:rPr>
    </w:lvl>
    <w:lvl w:ilvl="4">
      <w:start w:val="1"/>
      <w:numFmt w:val="decimal"/>
      <w:lvlText w:val="%1.%2.%3.%4.%5"/>
      <w:lvlJc w:val="left"/>
      <w:pPr>
        <w:ind w:left="1505" w:hanging="108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865" w:hanging="1440"/>
      </w:pPr>
      <w:rPr>
        <w:rFonts w:hint="default"/>
      </w:rPr>
    </w:lvl>
    <w:lvl w:ilvl="7">
      <w:start w:val="1"/>
      <w:numFmt w:val="decimal"/>
      <w:lvlText w:val="%1.%2.%3.%4.%5.%6.%7.%8"/>
      <w:lvlJc w:val="left"/>
      <w:pPr>
        <w:ind w:left="1865" w:hanging="1440"/>
      </w:pPr>
      <w:rPr>
        <w:rFonts w:hint="default"/>
      </w:rPr>
    </w:lvl>
    <w:lvl w:ilvl="8">
      <w:start w:val="1"/>
      <w:numFmt w:val="decimal"/>
      <w:lvlText w:val="%1.%2.%3.%4.%5.%6.%7.%8.%9"/>
      <w:lvlJc w:val="left"/>
      <w:pPr>
        <w:ind w:left="2225" w:hanging="1800"/>
      </w:pPr>
      <w:rPr>
        <w:rFonts w:hint="default"/>
      </w:rPr>
    </w:lvl>
  </w:abstractNum>
  <w:abstractNum w:abstractNumId="34" w15:restartNumberingAfterBreak="0">
    <w:nsid w:val="2F9776AF"/>
    <w:multiLevelType w:val="multilevel"/>
    <w:tmpl w:val="EC123434"/>
    <w:lvl w:ilvl="0">
      <w:start w:val="1"/>
      <w:numFmt w:val="none"/>
      <w:pStyle w:val="Heading1"/>
      <w:suff w:val="nothing"/>
      <w:lvlText w:val=""/>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Restart w:val="1"/>
      <w:pStyle w:val="Number"/>
      <w:lvlText w:val="%4."/>
      <w:lvlJc w:val="left"/>
      <w:pPr>
        <w:ind w:left="567" w:hanging="567"/>
      </w:pPr>
      <w:rPr>
        <w:rFonts w:hint="default"/>
      </w:rPr>
    </w:lvl>
    <w:lvl w:ilvl="4">
      <w:start w:val="1"/>
      <w:numFmt w:val="lowerLetter"/>
      <w:pStyle w:val="Letter"/>
      <w:lvlText w:val="%5."/>
      <w:lvlJc w:val="left"/>
      <w:pPr>
        <w:tabs>
          <w:tab w:val="num" w:pos="1134"/>
        </w:tabs>
        <w:ind w:left="1134" w:hanging="567"/>
      </w:pPr>
      <w:rPr>
        <w:rFonts w:hint="default"/>
      </w:rPr>
    </w:lvl>
    <w:lvl w:ilvl="5">
      <w:start w:val="1"/>
      <w:numFmt w:val="lowerRoman"/>
      <w:lvlText w:val="%6."/>
      <w:lvlJc w:val="left"/>
      <w:pPr>
        <w:tabs>
          <w:tab w:val="num" w:pos="1701"/>
        </w:tabs>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3047401E"/>
    <w:multiLevelType w:val="hybridMultilevel"/>
    <w:tmpl w:val="5E681388"/>
    <w:lvl w:ilvl="0" w:tplc="C47C46C0">
      <w:numFmt w:val="bullet"/>
      <w:lvlText w:val="-"/>
      <w:lvlJc w:val="left"/>
      <w:pPr>
        <w:ind w:left="672" w:hanging="360"/>
      </w:pPr>
      <w:rPr>
        <w:rFonts w:ascii="Calibri" w:eastAsiaTheme="minorHAnsi" w:hAnsi="Calibri" w:cstheme="minorBidi" w:hint="default"/>
      </w:rPr>
    </w:lvl>
    <w:lvl w:ilvl="1" w:tplc="14090003" w:tentative="1">
      <w:start w:val="1"/>
      <w:numFmt w:val="bullet"/>
      <w:lvlText w:val="o"/>
      <w:lvlJc w:val="left"/>
      <w:pPr>
        <w:ind w:left="1392" w:hanging="360"/>
      </w:pPr>
      <w:rPr>
        <w:rFonts w:ascii="Courier New" w:hAnsi="Courier New" w:cs="Courier New" w:hint="default"/>
      </w:rPr>
    </w:lvl>
    <w:lvl w:ilvl="2" w:tplc="14090005" w:tentative="1">
      <w:start w:val="1"/>
      <w:numFmt w:val="bullet"/>
      <w:lvlText w:val=""/>
      <w:lvlJc w:val="left"/>
      <w:pPr>
        <w:ind w:left="2112" w:hanging="360"/>
      </w:pPr>
      <w:rPr>
        <w:rFonts w:ascii="Wingdings" w:hAnsi="Wingdings" w:hint="default"/>
      </w:rPr>
    </w:lvl>
    <w:lvl w:ilvl="3" w:tplc="14090001" w:tentative="1">
      <w:start w:val="1"/>
      <w:numFmt w:val="bullet"/>
      <w:lvlText w:val=""/>
      <w:lvlJc w:val="left"/>
      <w:pPr>
        <w:ind w:left="2832" w:hanging="360"/>
      </w:pPr>
      <w:rPr>
        <w:rFonts w:ascii="Symbol" w:hAnsi="Symbol" w:hint="default"/>
      </w:rPr>
    </w:lvl>
    <w:lvl w:ilvl="4" w:tplc="14090003" w:tentative="1">
      <w:start w:val="1"/>
      <w:numFmt w:val="bullet"/>
      <w:lvlText w:val="o"/>
      <w:lvlJc w:val="left"/>
      <w:pPr>
        <w:ind w:left="3552" w:hanging="360"/>
      </w:pPr>
      <w:rPr>
        <w:rFonts w:ascii="Courier New" w:hAnsi="Courier New" w:cs="Courier New" w:hint="default"/>
      </w:rPr>
    </w:lvl>
    <w:lvl w:ilvl="5" w:tplc="14090005" w:tentative="1">
      <w:start w:val="1"/>
      <w:numFmt w:val="bullet"/>
      <w:lvlText w:val=""/>
      <w:lvlJc w:val="left"/>
      <w:pPr>
        <w:ind w:left="4272" w:hanging="360"/>
      </w:pPr>
      <w:rPr>
        <w:rFonts w:ascii="Wingdings" w:hAnsi="Wingdings" w:hint="default"/>
      </w:rPr>
    </w:lvl>
    <w:lvl w:ilvl="6" w:tplc="14090001" w:tentative="1">
      <w:start w:val="1"/>
      <w:numFmt w:val="bullet"/>
      <w:lvlText w:val=""/>
      <w:lvlJc w:val="left"/>
      <w:pPr>
        <w:ind w:left="4992" w:hanging="360"/>
      </w:pPr>
      <w:rPr>
        <w:rFonts w:ascii="Symbol" w:hAnsi="Symbol" w:hint="default"/>
      </w:rPr>
    </w:lvl>
    <w:lvl w:ilvl="7" w:tplc="14090003" w:tentative="1">
      <w:start w:val="1"/>
      <w:numFmt w:val="bullet"/>
      <w:lvlText w:val="o"/>
      <w:lvlJc w:val="left"/>
      <w:pPr>
        <w:ind w:left="5712" w:hanging="360"/>
      </w:pPr>
      <w:rPr>
        <w:rFonts w:ascii="Courier New" w:hAnsi="Courier New" w:cs="Courier New" w:hint="default"/>
      </w:rPr>
    </w:lvl>
    <w:lvl w:ilvl="8" w:tplc="14090005" w:tentative="1">
      <w:start w:val="1"/>
      <w:numFmt w:val="bullet"/>
      <w:lvlText w:val=""/>
      <w:lvlJc w:val="left"/>
      <w:pPr>
        <w:ind w:left="6432" w:hanging="360"/>
      </w:pPr>
      <w:rPr>
        <w:rFonts w:ascii="Wingdings" w:hAnsi="Wingdings" w:hint="default"/>
      </w:rPr>
    </w:lvl>
  </w:abstractNum>
  <w:abstractNum w:abstractNumId="36" w15:restartNumberingAfterBreak="0">
    <w:nsid w:val="3137394F"/>
    <w:multiLevelType w:val="hybridMultilevel"/>
    <w:tmpl w:val="3D368EE6"/>
    <w:lvl w:ilvl="0" w:tplc="14090003">
      <w:start w:val="1"/>
      <w:numFmt w:val="bullet"/>
      <w:lvlText w:val="o"/>
      <w:lvlJc w:val="left"/>
      <w:pPr>
        <w:ind w:left="781" w:hanging="360"/>
      </w:pPr>
      <w:rPr>
        <w:rFonts w:ascii="Courier New" w:hAnsi="Courier New" w:cs="Courier New" w:hint="default"/>
      </w:rPr>
    </w:lvl>
    <w:lvl w:ilvl="1" w:tplc="14090003" w:tentative="1">
      <w:start w:val="1"/>
      <w:numFmt w:val="bullet"/>
      <w:lvlText w:val="o"/>
      <w:lvlJc w:val="left"/>
      <w:pPr>
        <w:ind w:left="1501" w:hanging="360"/>
      </w:pPr>
      <w:rPr>
        <w:rFonts w:ascii="Courier New" w:hAnsi="Courier New" w:cs="Courier New" w:hint="default"/>
      </w:rPr>
    </w:lvl>
    <w:lvl w:ilvl="2" w:tplc="14090005" w:tentative="1">
      <w:start w:val="1"/>
      <w:numFmt w:val="bullet"/>
      <w:lvlText w:val=""/>
      <w:lvlJc w:val="left"/>
      <w:pPr>
        <w:ind w:left="2221" w:hanging="360"/>
      </w:pPr>
      <w:rPr>
        <w:rFonts w:ascii="Wingdings" w:hAnsi="Wingdings" w:hint="default"/>
      </w:rPr>
    </w:lvl>
    <w:lvl w:ilvl="3" w:tplc="14090001" w:tentative="1">
      <w:start w:val="1"/>
      <w:numFmt w:val="bullet"/>
      <w:lvlText w:val=""/>
      <w:lvlJc w:val="left"/>
      <w:pPr>
        <w:ind w:left="2941" w:hanging="360"/>
      </w:pPr>
      <w:rPr>
        <w:rFonts w:ascii="Symbol" w:hAnsi="Symbol" w:hint="default"/>
      </w:rPr>
    </w:lvl>
    <w:lvl w:ilvl="4" w:tplc="14090003" w:tentative="1">
      <w:start w:val="1"/>
      <w:numFmt w:val="bullet"/>
      <w:lvlText w:val="o"/>
      <w:lvlJc w:val="left"/>
      <w:pPr>
        <w:ind w:left="3661" w:hanging="360"/>
      </w:pPr>
      <w:rPr>
        <w:rFonts w:ascii="Courier New" w:hAnsi="Courier New" w:cs="Courier New" w:hint="default"/>
      </w:rPr>
    </w:lvl>
    <w:lvl w:ilvl="5" w:tplc="14090005" w:tentative="1">
      <w:start w:val="1"/>
      <w:numFmt w:val="bullet"/>
      <w:lvlText w:val=""/>
      <w:lvlJc w:val="left"/>
      <w:pPr>
        <w:ind w:left="4381" w:hanging="360"/>
      </w:pPr>
      <w:rPr>
        <w:rFonts w:ascii="Wingdings" w:hAnsi="Wingdings" w:hint="default"/>
      </w:rPr>
    </w:lvl>
    <w:lvl w:ilvl="6" w:tplc="14090001" w:tentative="1">
      <w:start w:val="1"/>
      <w:numFmt w:val="bullet"/>
      <w:lvlText w:val=""/>
      <w:lvlJc w:val="left"/>
      <w:pPr>
        <w:ind w:left="5101" w:hanging="360"/>
      </w:pPr>
      <w:rPr>
        <w:rFonts w:ascii="Symbol" w:hAnsi="Symbol" w:hint="default"/>
      </w:rPr>
    </w:lvl>
    <w:lvl w:ilvl="7" w:tplc="14090003" w:tentative="1">
      <w:start w:val="1"/>
      <w:numFmt w:val="bullet"/>
      <w:lvlText w:val="o"/>
      <w:lvlJc w:val="left"/>
      <w:pPr>
        <w:ind w:left="5821" w:hanging="360"/>
      </w:pPr>
      <w:rPr>
        <w:rFonts w:ascii="Courier New" w:hAnsi="Courier New" w:cs="Courier New" w:hint="default"/>
      </w:rPr>
    </w:lvl>
    <w:lvl w:ilvl="8" w:tplc="14090005" w:tentative="1">
      <w:start w:val="1"/>
      <w:numFmt w:val="bullet"/>
      <w:lvlText w:val=""/>
      <w:lvlJc w:val="left"/>
      <w:pPr>
        <w:ind w:left="6541" w:hanging="360"/>
      </w:pPr>
      <w:rPr>
        <w:rFonts w:ascii="Wingdings" w:hAnsi="Wingdings" w:hint="default"/>
      </w:rPr>
    </w:lvl>
  </w:abstractNum>
  <w:abstractNum w:abstractNumId="37" w15:restartNumberingAfterBreak="0">
    <w:nsid w:val="31750BEF"/>
    <w:multiLevelType w:val="hybridMultilevel"/>
    <w:tmpl w:val="F9C8F462"/>
    <w:lvl w:ilvl="0" w:tplc="14090003">
      <w:start w:val="1"/>
      <w:numFmt w:val="bullet"/>
      <w:lvlText w:val="o"/>
      <w:lvlJc w:val="left"/>
      <w:pPr>
        <w:ind w:left="1080" w:hanging="360"/>
      </w:pPr>
      <w:rPr>
        <w:rFonts w:ascii="Courier New" w:hAnsi="Courier New" w:cs="Courier New"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8" w15:restartNumberingAfterBreak="0">
    <w:nsid w:val="391A4821"/>
    <w:multiLevelType w:val="hybridMultilevel"/>
    <w:tmpl w:val="08FE6748"/>
    <w:lvl w:ilvl="0" w:tplc="C3E2475C">
      <w:start w:val="1"/>
      <w:numFmt w:val="decimal"/>
      <w:lvlText w:val="%1."/>
      <w:lvlJc w:val="left"/>
      <w:pPr>
        <w:ind w:left="720" w:hanging="360"/>
      </w:pPr>
      <w:rPr>
        <w:rFonts w:eastAsia="Cambria" w:cs="Cambria"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3AAD3E99"/>
    <w:multiLevelType w:val="hybridMultilevel"/>
    <w:tmpl w:val="0BB2FB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3B667910"/>
    <w:multiLevelType w:val="hybridMultilevel"/>
    <w:tmpl w:val="2452D14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1"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FE44724"/>
    <w:multiLevelType w:val="hybridMultilevel"/>
    <w:tmpl w:val="3F9EDB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3943730"/>
    <w:multiLevelType w:val="hybridMultilevel"/>
    <w:tmpl w:val="85BACD22"/>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43B95F07"/>
    <w:multiLevelType w:val="hybridMultilevel"/>
    <w:tmpl w:val="A4C6BF6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6" w15:restartNumberingAfterBreak="0">
    <w:nsid w:val="43F72E89"/>
    <w:multiLevelType w:val="hybridMultilevel"/>
    <w:tmpl w:val="D91ED5DA"/>
    <w:lvl w:ilvl="0" w:tplc="14090005">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7" w15:restartNumberingAfterBreak="0">
    <w:nsid w:val="4505131A"/>
    <w:multiLevelType w:val="hybridMultilevel"/>
    <w:tmpl w:val="C8CCD8E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8" w15:restartNumberingAfterBreak="0">
    <w:nsid w:val="476A617C"/>
    <w:multiLevelType w:val="hybridMultilevel"/>
    <w:tmpl w:val="CD222038"/>
    <w:lvl w:ilvl="0" w:tplc="5CB85926">
      <w:start w:val="1"/>
      <w:numFmt w:val="bullet"/>
      <w:lvlText w:val=""/>
      <w:lvlJc w:val="left"/>
      <w:pPr>
        <w:ind w:left="360" w:hanging="360"/>
      </w:pPr>
      <w:rPr>
        <w:rFonts w:ascii="Symbol" w:hAnsi="Symbol" w:hint="default"/>
        <w:color w:val="auto"/>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9" w15:restartNumberingAfterBreak="0">
    <w:nsid w:val="4A724DD6"/>
    <w:multiLevelType w:val="hybridMultilevel"/>
    <w:tmpl w:val="269816D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0" w15:restartNumberingAfterBreak="0">
    <w:nsid w:val="4A8472F4"/>
    <w:multiLevelType w:val="hybridMultilevel"/>
    <w:tmpl w:val="1A42D61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1" w15:restartNumberingAfterBreak="0">
    <w:nsid w:val="4B00162D"/>
    <w:multiLevelType w:val="hybridMultilevel"/>
    <w:tmpl w:val="C37E6BB6"/>
    <w:lvl w:ilvl="0" w:tplc="14090003">
      <w:start w:val="1"/>
      <w:numFmt w:val="bullet"/>
      <w:lvlText w:val="o"/>
      <w:lvlJc w:val="left"/>
      <w:pPr>
        <w:ind w:left="360" w:hanging="360"/>
      </w:pPr>
      <w:rPr>
        <w:rFonts w:ascii="Courier New" w:hAnsi="Courier New" w:cs="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2" w15:restartNumberingAfterBreak="0">
    <w:nsid w:val="4DD66359"/>
    <w:multiLevelType w:val="hybridMultilevel"/>
    <w:tmpl w:val="3A7AAD3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3" w15:restartNumberingAfterBreak="0">
    <w:nsid w:val="4F040FCA"/>
    <w:multiLevelType w:val="hybridMultilevel"/>
    <w:tmpl w:val="E0663F5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4" w15:restartNumberingAfterBreak="0">
    <w:nsid w:val="506E4F02"/>
    <w:multiLevelType w:val="hybridMultilevel"/>
    <w:tmpl w:val="9D6E0BEC"/>
    <w:lvl w:ilvl="0" w:tplc="F49EE05C">
      <w:start w:val="1"/>
      <w:numFmt w:val="bullet"/>
      <w:lvlText w:val="•"/>
      <w:lvlJc w:val="left"/>
      <w:pPr>
        <w:ind w:left="1155"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4090003" w:tentative="1">
      <w:start w:val="1"/>
      <w:numFmt w:val="bullet"/>
      <w:lvlText w:val="o"/>
      <w:lvlJc w:val="left"/>
      <w:pPr>
        <w:ind w:left="1875" w:hanging="360"/>
      </w:pPr>
      <w:rPr>
        <w:rFonts w:ascii="Courier New" w:hAnsi="Courier New" w:cs="Courier New" w:hint="default"/>
      </w:rPr>
    </w:lvl>
    <w:lvl w:ilvl="2" w:tplc="14090005" w:tentative="1">
      <w:start w:val="1"/>
      <w:numFmt w:val="bullet"/>
      <w:lvlText w:val=""/>
      <w:lvlJc w:val="left"/>
      <w:pPr>
        <w:ind w:left="2595" w:hanging="360"/>
      </w:pPr>
      <w:rPr>
        <w:rFonts w:ascii="Wingdings" w:hAnsi="Wingdings" w:hint="default"/>
      </w:rPr>
    </w:lvl>
    <w:lvl w:ilvl="3" w:tplc="14090001" w:tentative="1">
      <w:start w:val="1"/>
      <w:numFmt w:val="bullet"/>
      <w:lvlText w:val=""/>
      <w:lvlJc w:val="left"/>
      <w:pPr>
        <w:ind w:left="3315" w:hanging="360"/>
      </w:pPr>
      <w:rPr>
        <w:rFonts w:ascii="Symbol" w:hAnsi="Symbol" w:hint="default"/>
      </w:rPr>
    </w:lvl>
    <w:lvl w:ilvl="4" w:tplc="14090003" w:tentative="1">
      <w:start w:val="1"/>
      <w:numFmt w:val="bullet"/>
      <w:lvlText w:val="o"/>
      <w:lvlJc w:val="left"/>
      <w:pPr>
        <w:ind w:left="4035" w:hanging="360"/>
      </w:pPr>
      <w:rPr>
        <w:rFonts w:ascii="Courier New" w:hAnsi="Courier New" w:cs="Courier New" w:hint="default"/>
      </w:rPr>
    </w:lvl>
    <w:lvl w:ilvl="5" w:tplc="14090005" w:tentative="1">
      <w:start w:val="1"/>
      <w:numFmt w:val="bullet"/>
      <w:lvlText w:val=""/>
      <w:lvlJc w:val="left"/>
      <w:pPr>
        <w:ind w:left="4755" w:hanging="360"/>
      </w:pPr>
      <w:rPr>
        <w:rFonts w:ascii="Wingdings" w:hAnsi="Wingdings" w:hint="default"/>
      </w:rPr>
    </w:lvl>
    <w:lvl w:ilvl="6" w:tplc="14090001" w:tentative="1">
      <w:start w:val="1"/>
      <w:numFmt w:val="bullet"/>
      <w:lvlText w:val=""/>
      <w:lvlJc w:val="left"/>
      <w:pPr>
        <w:ind w:left="5475" w:hanging="360"/>
      </w:pPr>
      <w:rPr>
        <w:rFonts w:ascii="Symbol" w:hAnsi="Symbol" w:hint="default"/>
      </w:rPr>
    </w:lvl>
    <w:lvl w:ilvl="7" w:tplc="14090003" w:tentative="1">
      <w:start w:val="1"/>
      <w:numFmt w:val="bullet"/>
      <w:lvlText w:val="o"/>
      <w:lvlJc w:val="left"/>
      <w:pPr>
        <w:ind w:left="6195" w:hanging="360"/>
      </w:pPr>
      <w:rPr>
        <w:rFonts w:ascii="Courier New" w:hAnsi="Courier New" w:cs="Courier New" w:hint="default"/>
      </w:rPr>
    </w:lvl>
    <w:lvl w:ilvl="8" w:tplc="14090005" w:tentative="1">
      <w:start w:val="1"/>
      <w:numFmt w:val="bullet"/>
      <w:lvlText w:val=""/>
      <w:lvlJc w:val="left"/>
      <w:pPr>
        <w:ind w:left="6915" w:hanging="360"/>
      </w:pPr>
      <w:rPr>
        <w:rFonts w:ascii="Wingdings" w:hAnsi="Wingdings" w:hint="default"/>
      </w:rPr>
    </w:lvl>
  </w:abstractNum>
  <w:abstractNum w:abstractNumId="55" w15:restartNumberingAfterBreak="0">
    <w:nsid w:val="50BA3697"/>
    <w:multiLevelType w:val="hybridMultilevel"/>
    <w:tmpl w:val="CF92A2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6" w15:restartNumberingAfterBreak="0">
    <w:nsid w:val="5158512F"/>
    <w:multiLevelType w:val="hybridMultilevel"/>
    <w:tmpl w:val="8B1409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7" w15:restartNumberingAfterBreak="0">
    <w:nsid w:val="521A7C75"/>
    <w:multiLevelType w:val="hybridMultilevel"/>
    <w:tmpl w:val="6B343D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8" w15:restartNumberingAfterBreak="0">
    <w:nsid w:val="52F140E9"/>
    <w:multiLevelType w:val="hybridMultilevel"/>
    <w:tmpl w:val="62189A18"/>
    <w:lvl w:ilvl="0" w:tplc="5CB85926">
      <w:start w:val="1"/>
      <w:numFmt w:val="bullet"/>
      <w:lvlText w:val=""/>
      <w:lvlJc w:val="left"/>
      <w:pPr>
        <w:ind w:left="36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9" w15:restartNumberingAfterBreak="0">
    <w:nsid w:val="552F2131"/>
    <w:multiLevelType w:val="hybridMultilevel"/>
    <w:tmpl w:val="B1FE006E"/>
    <w:lvl w:ilvl="0" w:tplc="2462115E">
      <w:start w:val="10"/>
      <w:numFmt w:val="bullet"/>
      <w:lvlText w:val="-"/>
      <w:lvlJc w:val="left"/>
      <w:pPr>
        <w:ind w:left="1080" w:hanging="360"/>
      </w:pPr>
      <w:rPr>
        <w:rFonts w:ascii="Arial" w:eastAsia="Times New Roman" w:hAnsi="Arial" w:cs="Aria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0" w15:restartNumberingAfterBreak="0">
    <w:nsid w:val="556F4A57"/>
    <w:multiLevelType w:val="hybridMultilevel"/>
    <w:tmpl w:val="5AF4DB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1" w15:restartNumberingAfterBreak="0">
    <w:nsid w:val="566B1E08"/>
    <w:multiLevelType w:val="hybridMultilevel"/>
    <w:tmpl w:val="8C5889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2" w15:restartNumberingAfterBreak="0">
    <w:nsid w:val="56A0079A"/>
    <w:multiLevelType w:val="hybridMultilevel"/>
    <w:tmpl w:val="92BCD30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3" w15:restartNumberingAfterBreak="0">
    <w:nsid w:val="56F838F2"/>
    <w:multiLevelType w:val="hybridMultilevel"/>
    <w:tmpl w:val="2800142A"/>
    <w:lvl w:ilvl="0" w:tplc="04090001">
      <w:start w:val="1"/>
      <w:numFmt w:val="bullet"/>
      <w:lvlText w:val=""/>
      <w:lvlJc w:val="left"/>
      <w:pPr>
        <w:ind w:left="720" w:hanging="360"/>
      </w:pPr>
      <w:rPr>
        <w:rFonts w:ascii="Symbol" w:hAnsi="Symbol" w:hint="default"/>
      </w:rPr>
    </w:lvl>
    <w:lvl w:ilvl="1" w:tplc="950693DC">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784289B"/>
    <w:multiLevelType w:val="hybridMultilevel"/>
    <w:tmpl w:val="397236E8"/>
    <w:lvl w:ilvl="0" w:tplc="CF3AA456">
      <w:start w:val="1"/>
      <w:numFmt w:val="lowerRoman"/>
      <w:lvlText w:val="%1."/>
      <w:lvlJc w:val="left"/>
      <w:pPr>
        <w:ind w:left="720" w:hanging="360"/>
      </w:pPr>
      <w:rPr>
        <w:rFonts w:asciiTheme="minorHAnsi" w:eastAsia="Times New Roman" w:hAnsiTheme="minorHAnsi" w:cs="Times New Roman"/>
      </w:rPr>
    </w:lvl>
    <w:lvl w:ilvl="1" w:tplc="14090019">
      <w:start w:val="1"/>
      <w:numFmt w:val="lowerLetter"/>
      <w:lvlText w:val="%2."/>
      <w:lvlJc w:val="left"/>
      <w:pPr>
        <w:ind w:left="1440" w:hanging="360"/>
      </w:pPr>
    </w:lvl>
    <w:lvl w:ilvl="2" w:tplc="D9BA2ED4">
      <w:start w:val="6"/>
      <w:numFmt w:val="decimal"/>
      <w:lvlText w:val="%3"/>
      <w:lvlJc w:val="left"/>
      <w:pPr>
        <w:ind w:left="2340" w:hanging="360"/>
      </w:pPr>
      <w:rPr>
        <w:rFonts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5" w15:restartNumberingAfterBreak="0">
    <w:nsid w:val="57C27ADF"/>
    <w:multiLevelType w:val="hybridMultilevel"/>
    <w:tmpl w:val="093ECDB6"/>
    <w:lvl w:ilvl="0" w:tplc="5550513A">
      <w:start w:val="1"/>
      <w:numFmt w:val="bullet"/>
      <w:lvlText w:val="•"/>
      <w:lvlJc w:val="left"/>
      <w:pPr>
        <w:ind w:left="116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0C3BBE">
      <w:start w:val="1"/>
      <w:numFmt w:val="bullet"/>
      <w:lvlText w:val="o"/>
      <w:lvlJc w:val="left"/>
      <w:pPr>
        <w:ind w:left="188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2489CC0">
      <w:start w:val="1"/>
      <w:numFmt w:val="bullet"/>
      <w:lvlText w:val="▪"/>
      <w:lvlJc w:val="left"/>
      <w:pPr>
        <w:ind w:left="260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38FF2A">
      <w:start w:val="1"/>
      <w:numFmt w:val="bullet"/>
      <w:lvlText w:val="•"/>
      <w:lvlJc w:val="left"/>
      <w:pPr>
        <w:ind w:left="332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367610">
      <w:start w:val="1"/>
      <w:numFmt w:val="bullet"/>
      <w:lvlText w:val="o"/>
      <w:lvlJc w:val="left"/>
      <w:pPr>
        <w:ind w:left="404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F66CC6">
      <w:start w:val="1"/>
      <w:numFmt w:val="bullet"/>
      <w:lvlText w:val="▪"/>
      <w:lvlJc w:val="left"/>
      <w:pPr>
        <w:ind w:left="476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8E47F56">
      <w:start w:val="1"/>
      <w:numFmt w:val="bullet"/>
      <w:lvlText w:val="•"/>
      <w:lvlJc w:val="left"/>
      <w:pPr>
        <w:ind w:left="548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54F894">
      <w:start w:val="1"/>
      <w:numFmt w:val="bullet"/>
      <w:lvlText w:val="o"/>
      <w:lvlJc w:val="left"/>
      <w:pPr>
        <w:ind w:left="620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E4078C">
      <w:start w:val="1"/>
      <w:numFmt w:val="bullet"/>
      <w:lvlText w:val="▪"/>
      <w:lvlJc w:val="left"/>
      <w:pPr>
        <w:ind w:left="692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15:restartNumberingAfterBreak="0">
    <w:nsid w:val="5ACC0674"/>
    <w:multiLevelType w:val="hybridMultilevel"/>
    <w:tmpl w:val="76E81D84"/>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7" w15:restartNumberingAfterBreak="0">
    <w:nsid w:val="5C2427FE"/>
    <w:multiLevelType w:val="hybridMultilevel"/>
    <w:tmpl w:val="071C15C4"/>
    <w:lvl w:ilvl="0" w:tplc="14090003">
      <w:start w:val="1"/>
      <w:numFmt w:val="bullet"/>
      <w:lvlText w:val="o"/>
      <w:lvlJc w:val="left"/>
      <w:pPr>
        <w:ind w:left="720" w:hanging="360"/>
      </w:pPr>
      <w:rPr>
        <w:rFonts w:ascii="Courier New" w:hAnsi="Courier New" w:cs="Courier New" w:hint="default"/>
      </w:rPr>
    </w:lvl>
    <w:lvl w:ilvl="1" w:tplc="950693DC">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CCB1906"/>
    <w:multiLevelType w:val="hybridMultilevel"/>
    <w:tmpl w:val="5568E094"/>
    <w:lvl w:ilvl="0" w:tplc="F49EE05C">
      <w:start w:val="1"/>
      <w:numFmt w:val="bullet"/>
      <w:lvlText w:val="•"/>
      <w:lvlJc w:val="left"/>
      <w:pPr>
        <w:ind w:left="360"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4090003">
      <w:start w:val="1"/>
      <w:numFmt w:val="bullet"/>
      <w:lvlText w:val="o"/>
      <w:lvlJc w:val="left"/>
      <w:pPr>
        <w:ind w:left="1080" w:hanging="360"/>
      </w:pPr>
      <w:rPr>
        <w:rFonts w:ascii="Courier New" w:hAnsi="Courier New" w:cs="Courier New" w:hint="default"/>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9" w15:restartNumberingAfterBreak="0">
    <w:nsid w:val="5D901D76"/>
    <w:multiLevelType w:val="hybridMultilevel"/>
    <w:tmpl w:val="F6B891A2"/>
    <w:lvl w:ilvl="0" w:tplc="14090003">
      <w:start w:val="1"/>
      <w:numFmt w:val="bullet"/>
      <w:lvlText w:val="o"/>
      <w:lvlJc w:val="left"/>
      <w:pPr>
        <w:ind w:left="720" w:hanging="360"/>
      </w:pPr>
      <w:rPr>
        <w:rFonts w:ascii="Courier New" w:hAnsi="Courier New" w:cs="Courier New" w:hint="default"/>
      </w:rPr>
    </w:lvl>
    <w:lvl w:ilvl="1" w:tplc="950693DC">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ECC7037"/>
    <w:multiLevelType w:val="multilevel"/>
    <w:tmpl w:val="6F3CD87E"/>
    <w:lvl w:ilvl="0">
      <w:start w:val="1"/>
      <w:numFmt w:val="bullet"/>
      <w:lvlText w:val="o"/>
      <w:lvlJc w:val="left"/>
      <w:pPr>
        <w:ind w:left="435" w:hanging="435"/>
      </w:pPr>
      <w:rPr>
        <w:rFonts w:ascii="Courier New" w:hAnsi="Courier New" w:cs="Courier New"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5F533D3B"/>
    <w:multiLevelType w:val="hybridMultilevel"/>
    <w:tmpl w:val="8B9A25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2" w15:restartNumberingAfterBreak="0">
    <w:nsid w:val="608E75C9"/>
    <w:multiLevelType w:val="hybridMultilevel"/>
    <w:tmpl w:val="C44C31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3" w15:restartNumberingAfterBreak="0">
    <w:nsid w:val="618E3D39"/>
    <w:multiLevelType w:val="hybridMultilevel"/>
    <w:tmpl w:val="DAF6A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4" w15:restartNumberingAfterBreak="0">
    <w:nsid w:val="65845356"/>
    <w:multiLevelType w:val="multilevel"/>
    <w:tmpl w:val="ABCC414A"/>
    <w:lvl w:ilvl="0">
      <w:start w:val="1"/>
      <w:numFmt w:val="bullet"/>
      <w:lvlText w:val=""/>
      <w:lvlJc w:val="left"/>
      <w:pPr>
        <w:ind w:left="435" w:hanging="435"/>
      </w:pPr>
      <w:rPr>
        <w:rFonts w:ascii="Symbol" w:hAnsi="Symbol"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83C19EC"/>
    <w:multiLevelType w:val="hybridMultilevel"/>
    <w:tmpl w:val="54B07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77" w15:restartNumberingAfterBreak="0">
    <w:nsid w:val="6B2363DE"/>
    <w:multiLevelType w:val="hybridMultilevel"/>
    <w:tmpl w:val="18F4AA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8" w15:restartNumberingAfterBreak="0">
    <w:nsid w:val="6BB959D7"/>
    <w:multiLevelType w:val="hybridMultilevel"/>
    <w:tmpl w:val="A7F4D08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9" w15:restartNumberingAfterBreak="0">
    <w:nsid w:val="705A770D"/>
    <w:multiLevelType w:val="hybridMultilevel"/>
    <w:tmpl w:val="01E29A12"/>
    <w:lvl w:ilvl="0" w:tplc="14090003">
      <w:start w:val="1"/>
      <w:numFmt w:val="bullet"/>
      <w:lvlText w:val="o"/>
      <w:lvlJc w:val="left"/>
      <w:pPr>
        <w:ind w:left="360" w:hanging="360"/>
      </w:pPr>
      <w:rPr>
        <w:rFonts w:ascii="Courier New" w:hAnsi="Courier New" w:cs="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0" w15:restartNumberingAfterBreak="0">
    <w:nsid w:val="71B154D9"/>
    <w:multiLevelType w:val="multilevel"/>
    <w:tmpl w:val="99BADC54"/>
    <w:lvl w:ilvl="0">
      <w:start w:val="1"/>
      <w:numFmt w:val="bullet"/>
      <w:lvlText w:val=""/>
      <w:lvlJc w:val="left"/>
      <w:pPr>
        <w:ind w:left="435" w:hanging="435"/>
      </w:pPr>
      <w:rPr>
        <w:rFonts w:ascii="Symbol" w:hAnsi="Symbol"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72E74F3A"/>
    <w:multiLevelType w:val="hybridMultilevel"/>
    <w:tmpl w:val="39F254D8"/>
    <w:lvl w:ilvl="0" w:tplc="61E27CE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7C8A77A">
      <w:start w:val="1"/>
      <w:numFmt w:val="bullet"/>
      <w:lvlText w:val="o"/>
      <w:lvlJc w:val="left"/>
      <w:pPr>
        <w:ind w:left="103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E78169A">
      <w:start w:val="1"/>
      <w:numFmt w:val="bullet"/>
      <w:lvlText w:val="▪"/>
      <w:lvlJc w:val="left"/>
      <w:pPr>
        <w:ind w:left="175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02A92A8">
      <w:start w:val="1"/>
      <w:numFmt w:val="bullet"/>
      <w:lvlText w:val="·"/>
      <w:lvlJc w:val="left"/>
      <w:pPr>
        <w:ind w:left="2472"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A484EE">
      <w:start w:val="1"/>
      <w:numFmt w:val="bullet"/>
      <w:lvlText w:val="o"/>
      <w:lvlJc w:val="left"/>
      <w:pPr>
        <w:ind w:left="319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680884">
      <w:start w:val="1"/>
      <w:numFmt w:val="bullet"/>
      <w:lvlText w:val="▪"/>
      <w:lvlJc w:val="left"/>
      <w:pPr>
        <w:ind w:left="391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46D62E">
      <w:start w:val="1"/>
      <w:numFmt w:val="bullet"/>
      <w:lvlText w:val="·"/>
      <w:lvlJc w:val="left"/>
      <w:pPr>
        <w:ind w:left="4632"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D68CBF8">
      <w:start w:val="1"/>
      <w:numFmt w:val="bullet"/>
      <w:lvlText w:val="o"/>
      <w:lvlJc w:val="left"/>
      <w:pPr>
        <w:ind w:left="535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DADC82">
      <w:start w:val="1"/>
      <w:numFmt w:val="bullet"/>
      <w:lvlText w:val="▪"/>
      <w:lvlJc w:val="left"/>
      <w:pPr>
        <w:ind w:left="607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2" w15:restartNumberingAfterBreak="0">
    <w:nsid w:val="765E5740"/>
    <w:multiLevelType w:val="hybridMultilevel"/>
    <w:tmpl w:val="D5D4DF48"/>
    <w:lvl w:ilvl="0" w:tplc="14090005">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3" w15:restartNumberingAfterBreak="0">
    <w:nsid w:val="7AA14163"/>
    <w:multiLevelType w:val="hybridMultilevel"/>
    <w:tmpl w:val="5BFC6B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4" w15:restartNumberingAfterBreak="0">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abstractNum w:abstractNumId="85" w15:restartNumberingAfterBreak="0">
    <w:nsid w:val="7CCC018E"/>
    <w:multiLevelType w:val="hybridMultilevel"/>
    <w:tmpl w:val="C734AB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6" w15:restartNumberingAfterBreak="0">
    <w:nsid w:val="7FD61AB1"/>
    <w:multiLevelType w:val="hybridMultilevel"/>
    <w:tmpl w:val="3CAC161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84"/>
  </w:num>
  <w:num w:numId="2">
    <w:abstractNumId w:val="76"/>
  </w:num>
  <w:num w:numId="3">
    <w:abstractNumId w:val="41"/>
  </w:num>
  <w:num w:numId="4">
    <w:abstractNumId w:val="43"/>
  </w:num>
  <w:num w:numId="5">
    <w:abstractNumId w:val="3"/>
  </w:num>
  <w:num w:numId="6">
    <w:abstractNumId w:val="24"/>
  </w:num>
  <w:num w:numId="7">
    <w:abstractNumId w:val="19"/>
  </w:num>
  <w:num w:numId="8">
    <w:abstractNumId w:val="29"/>
  </w:num>
  <w:num w:numId="9">
    <w:abstractNumId w:val="23"/>
  </w:num>
  <w:num w:numId="10">
    <w:abstractNumId w:val="49"/>
  </w:num>
  <w:num w:numId="11">
    <w:abstractNumId w:val="45"/>
  </w:num>
  <w:num w:numId="12">
    <w:abstractNumId w:val="12"/>
  </w:num>
  <w:num w:numId="13">
    <w:abstractNumId w:val="44"/>
  </w:num>
  <w:num w:numId="14">
    <w:abstractNumId w:val="48"/>
  </w:num>
  <w:num w:numId="15">
    <w:abstractNumId w:val="82"/>
  </w:num>
  <w:num w:numId="16">
    <w:abstractNumId w:val="46"/>
  </w:num>
  <w:num w:numId="17">
    <w:abstractNumId w:val="58"/>
  </w:num>
  <w:num w:numId="18">
    <w:abstractNumId w:val="4"/>
  </w:num>
  <w:num w:numId="19">
    <w:abstractNumId w:val="6"/>
  </w:num>
  <w:num w:numId="20">
    <w:abstractNumId w:val="30"/>
  </w:num>
  <w:num w:numId="21">
    <w:abstractNumId w:val="63"/>
  </w:num>
  <w:num w:numId="22">
    <w:abstractNumId w:val="8"/>
  </w:num>
  <w:num w:numId="23">
    <w:abstractNumId w:val="51"/>
  </w:num>
  <w:num w:numId="24">
    <w:abstractNumId w:val="21"/>
  </w:num>
  <w:num w:numId="25">
    <w:abstractNumId w:val="50"/>
  </w:num>
  <w:num w:numId="26">
    <w:abstractNumId w:val="26"/>
  </w:num>
  <w:num w:numId="27">
    <w:abstractNumId w:val="10"/>
  </w:num>
  <w:num w:numId="28">
    <w:abstractNumId w:val="74"/>
  </w:num>
  <w:num w:numId="29">
    <w:abstractNumId w:val="18"/>
  </w:num>
  <w:num w:numId="30">
    <w:abstractNumId w:val="16"/>
  </w:num>
  <w:num w:numId="31">
    <w:abstractNumId w:val="47"/>
  </w:num>
  <w:num w:numId="32">
    <w:abstractNumId w:val="39"/>
  </w:num>
  <w:num w:numId="33">
    <w:abstractNumId w:val="38"/>
  </w:num>
  <w:num w:numId="34">
    <w:abstractNumId w:val="80"/>
  </w:num>
  <w:num w:numId="35">
    <w:abstractNumId w:val="28"/>
  </w:num>
  <w:num w:numId="36">
    <w:abstractNumId w:val="77"/>
  </w:num>
  <w:num w:numId="37">
    <w:abstractNumId w:val="11"/>
  </w:num>
  <w:num w:numId="38">
    <w:abstractNumId w:val="42"/>
  </w:num>
  <w:num w:numId="39">
    <w:abstractNumId w:val="73"/>
  </w:num>
  <w:num w:numId="40">
    <w:abstractNumId w:val="70"/>
  </w:num>
  <w:num w:numId="41">
    <w:abstractNumId w:val="69"/>
  </w:num>
  <w:num w:numId="42">
    <w:abstractNumId w:val="67"/>
  </w:num>
  <w:num w:numId="43">
    <w:abstractNumId w:val="54"/>
  </w:num>
  <w:num w:numId="44">
    <w:abstractNumId w:val="64"/>
  </w:num>
  <w:num w:numId="45">
    <w:abstractNumId w:val="68"/>
  </w:num>
  <w:num w:numId="46">
    <w:abstractNumId w:val="0"/>
  </w:num>
  <w:num w:numId="47">
    <w:abstractNumId w:val="52"/>
  </w:num>
  <w:num w:numId="48">
    <w:abstractNumId w:val="33"/>
  </w:num>
  <w:num w:numId="49">
    <w:abstractNumId w:val="15"/>
  </w:num>
  <w:num w:numId="50">
    <w:abstractNumId w:val="59"/>
  </w:num>
  <w:num w:numId="51">
    <w:abstractNumId w:val="57"/>
  </w:num>
  <w:num w:numId="52">
    <w:abstractNumId w:val="35"/>
  </w:num>
  <w:num w:numId="53">
    <w:abstractNumId w:val="60"/>
  </w:num>
  <w:num w:numId="54">
    <w:abstractNumId w:val="7"/>
  </w:num>
  <w:num w:numId="55">
    <w:abstractNumId w:val="36"/>
  </w:num>
  <w:num w:numId="56">
    <w:abstractNumId w:val="25"/>
  </w:num>
  <w:num w:numId="57">
    <w:abstractNumId w:val="40"/>
  </w:num>
  <w:num w:numId="58">
    <w:abstractNumId w:val="62"/>
  </w:num>
  <w:num w:numId="59">
    <w:abstractNumId w:val="53"/>
  </w:num>
  <w:num w:numId="60">
    <w:abstractNumId w:val="31"/>
  </w:num>
  <w:num w:numId="61">
    <w:abstractNumId w:val="20"/>
  </w:num>
  <w:num w:numId="62">
    <w:abstractNumId w:val="61"/>
  </w:num>
  <w:num w:numId="63">
    <w:abstractNumId w:val="79"/>
  </w:num>
  <w:num w:numId="64">
    <w:abstractNumId w:val="37"/>
  </w:num>
  <w:num w:numId="65">
    <w:abstractNumId w:val="1"/>
  </w:num>
  <w:num w:numId="66">
    <w:abstractNumId w:val="72"/>
  </w:num>
  <w:num w:numId="67">
    <w:abstractNumId w:val="78"/>
  </w:num>
  <w:num w:numId="68">
    <w:abstractNumId w:val="55"/>
  </w:num>
  <w:num w:numId="69">
    <w:abstractNumId w:val="2"/>
  </w:num>
  <w:num w:numId="70">
    <w:abstractNumId w:val="27"/>
  </w:num>
  <w:num w:numId="71">
    <w:abstractNumId w:val="5"/>
  </w:num>
  <w:num w:numId="72">
    <w:abstractNumId w:val="81"/>
  </w:num>
  <w:num w:numId="73">
    <w:abstractNumId w:val="13"/>
  </w:num>
  <w:num w:numId="74">
    <w:abstractNumId w:val="65"/>
  </w:num>
  <w:num w:numId="75">
    <w:abstractNumId w:val="83"/>
  </w:num>
  <w:num w:numId="76">
    <w:abstractNumId w:val="22"/>
  </w:num>
  <w:num w:numId="77">
    <w:abstractNumId w:val="56"/>
  </w:num>
  <w:num w:numId="78">
    <w:abstractNumId w:val="71"/>
  </w:num>
  <w:num w:numId="79">
    <w:abstractNumId w:val="85"/>
  </w:num>
  <w:num w:numId="80">
    <w:abstractNumId w:val="32"/>
  </w:num>
  <w:num w:numId="81">
    <w:abstractNumId w:val="75"/>
  </w:num>
  <w:num w:numId="82">
    <w:abstractNumId w:val="66"/>
  </w:num>
  <w:num w:numId="83">
    <w:abstractNumId w:val="17"/>
  </w:num>
  <w:num w:numId="8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4"/>
  </w:num>
  <w:num w:numId="87">
    <w:abstractNumId w:val="86"/>
  </w:num>
  <w:num w:numId="88">
    <w:abstractNumId w:val="9"/>
  </w:num>
  <w:num w:numId="89">
    <w:abstractNumId w:val="14"/>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EB"/>
    <w:rsid w:val="00013C3B"/>
    <w:rsid w:val="00025A6F"/>
    <w:rsid w:val="00030B26"/>
    <w:rsid w:val="00032C0A"/>
    <w:rsid w:val="00035257"/>
    <w:rsid w:val="0006228D"/>
    <w:rsid w:val="00072BD6"/>
    <w:rsid w:val="00075B78"/>
    <w:rsid w:val="00082CD6"/>
    <w:rsid w:val="00085AFE"/>
    <w:rsid w:val="00094800"/>
    <w:rsid w:val="000A0EE0"/>
    <w:rsid w:val="000A182A"/>
    <w:rsid w:val="000B0730"/>
    <w:rsid w:val="000F2AE2"/>
    <w:rsid w:val="00102063"/>
    <w:rsid w:val="0010541C"/>
    <w:rsid w:val="001065A4"/>
    <w:rsid w:val="00106F93"/>
    <w:rsid w:val="00111D50"/>
    <w:rsid w:val="00112A48"/>
    <w:rsid w:val="00113B8E"/>
    <w:rsid w:val="00122363"/>
    <w:rsid w:val="001342C7"/>
    <w:rsid w:val="0013585C"/>
    <w:rsid w:val="00137199"/>
    <w:rsid w:val="00142954"/>
    <w:rsid w:val="00143568"/>
    <w:rsid w:val="001460E0"/>
    <w:rsid w:val="00147F71"/>
    <w:rsid w:val="00150A6E"/>
    <w:rsid w:val="00153721"/>
    <w:rsid w:val="0016219F"/>
    <w:rsid w:val="0016468A"/>
    <w:rsid w:val="00164D3F"/>
    <w:rsid w:val="00175121"/>
    <w:rsid w:val="00176CBA"/>
    <w:rsid w:val="001A21B4"/>
    <w:rsid w:val="001A5CF5"/>
    <w:rsid w:val="001B39D2"/>
    <w:rsid w:val="001B4BF8"/>
    <w:rsid w:val="001C167B"/>
    <w:rsid w:val="001C4326"/>
    <w:rsid w:val="001D3541"/>
    <w:rsid w:val="001E04B4"/>
    <w:rsid w:val="001E1922"/>
    <w:rsid w:val="001F45A7"/>
    <w:rsid w:val="001F6880"/>
    <w:rsid w:val="00201A01"/>
    <w:rsid w:val="002104D3"/>
    <w:rsid w:val="00213A33"/>
    <w:rsid w:val="00215A98"/>
    <w:rsid w:val="0021763B"/>
    <w:rsid w:val="0023455E"/>
    <w:rsid w:val="00246DB1"/>
    <w:rsid w:val="002476B5"/>
    <w:rsid w:val="00253ECF"/>
    <w:rsid w:val="002546A1"/>
    <w:rsid w:val="00271641"/>
    <w:rsid w:val="00275D08"/>
    <w:rsid w:val="002858E3"/>
    <w:rsid w:val="0029190A"/>
    <w:rsid w:val="00292C5A"/>
    <w:rsid w:val="00295241"/>
    <w:rsid w:val="002959F7"/>
    <w:rsid w:val="002A4DFC"/>
    <w:rsid w:val="002A77C0"/>
    <w:rsid w:val="002B047D"/>
    <w:rsid w:val="002B26E2"/>
    <w:rsid w:val="002B732B"/>
    <w:rsid w:val="002C0493"/>
    <w:rsid w:val="002C2219"/>
    <w:rsid w:val="002D0DF2"/>
    <w:rsid w:val="002D23BD"/>
    <w:rsid w:val="002D56F4"/>
    <w:rsid w:val="002E0B47"/>
    <w:rsid w:val="002E3B92"/>
    <w:rsid w:val="002E642C"/>
    <w:rsid w:val="002F2A0B"/>
    <w:rsid w:val="002F7213"/>
    <w:rsid w:val="0030382F"/>
    <w:rsid w:val="0030408D"/>
    <w:rsid w:val="003060E4"/>
    <w:rsid w:val="003148C9"/>
    <w:rsid w:val="003160E7"/>
    <w:rsid w:val="0031739E"/>
    <w:rsid w:val="003325AB"/>
    <w:rsid w:val="003332D1"/>
    <w:rsid w:val="0033412B"/>
    <w:rsid w:val="00343365"/>
    <w:rsid w:val="00353501"/>
    <w:rsid w:val="0035492F"/>
    <w:rsid w:val="003606F8"/>
    <w:rsid w:val="003648EF"/>
    <w:rsid w:val="003673E6"/>
    <w:rsid w:val="003725AF"/>
    <w:rsid w:val="003728CC"/>
    <w:rsid w:val="00372E45"/>
    <w:rsid w:val="00377264"/>
    <w:rsid w:val="003779D2"/>
    <w:rsid w:val="003858DB"/>
    <w:rsid w:val="003A26A5"/>
    <w:rsid w:val="003A3367"/>
    <w:rsid w:val="003A3761"/>
    <w:rsid w:val="003A4EB2"/>
    <w:rsid w:val="003A5FEA"/>
    <w:rsid w:val="003B1019"/>
    <w:rsid w:val="003B1D10"/>
    <w:rsid w:val="003B6490"/>
    <w:rsid w:val="003C76D4"/>
    <w:rsid w:val="003D137D"/>
    <w:rsid w:val="003D2CC5"/>
    <w:rsid w:val="003E7C46"/>
    <w:rsid w:val="003F0BBC"/>
    <w:rsid w:val="003F2106"/>
    <w:rsid w:val="003F52A7"/>
    <w:rsid w:val="0040240C"/>
    <w:rsid w:val="0041007B"/>
    <w:rsid w:val="00413021"/>
    <w:rsid w:val="00422196"/>
    <w:rsid w:val="00440BE0"/>
    <w:rsid w:val="00442C1C"/>
    <w:rsid w:val="004444AC"/>
    <w:rsid w:val="0044584B"/>
    <w:rsid w:val="00447CB7"/>
    <w:rsid w:val="00450F04"/>
    <w:rsid w:val="00455CC9"/>
    <w:rsid w:val="00460826"/>
    <w:rsid w:val="00460EA7"/>
    <w:rsid w:val="0046195B"/>
    <w:rsid w:val="004628E8"/>
    <w:rsid w:val="004636BE"/>
    <w:rsid w:val="0046596D"/>
    <w:rsid w:val="0047699F"/>
    <w:rsid w:val="0048067B"/>
    <w:rsid w:val="00487C04"/>
    <w:rsid w:val="004907E1"/>
    <w:rsid w:val="004A035B"/>
    <w:rsid w:val="004A2108"/>
    <w:rsid w:val="004A38D7"/>
    <w:rsid w:val="004A778C"/>
    <w:rsid w:val="004B3572"/>
    <w:rsid w:val="004B7A1C"/>
    <w:rsid w:val="004C2E6A"/>
    <w:rsid w:val="004C64B8"/>
    <w:rsid w:val="004C7FED"/>
    <w:rsid w:val="004D2770"/>
    <w:rsid w:val="004D2A2D"/>
    <w:rsid w:val="004D662D"/>
    <w:rsid w:val="004D6689"/>
    <w:rsid w:val="004E1D1D"/>
    <w:rsid w:val="004E527A"/>
    <w:rsid w:val="004E7AC8"/>
    <w:rsid w:val="004F0C94"/>
    <w:rsid w:val="005019AE"/>
    <w:rsid w:val="00503749"/>
    <w:rsid w:val="00504CF4"/>
    <w:rsid w:val="0050635B"/>
    <w:rsid w:val="00507AE5"/>
    <w:rsid w:val="005151C2"/>
    <w:rsid w:val="00521173"/>
    <w:rsid w:val="00521F2B"/>
    <w:rsid w:val="0053199F"/>
    <w:rsid w:val="00533B90"/>
    <w:rsid w:val="005410F8"/>
    <w:rsid w:val="005448EC"/>
    <w:rsid w:val="00545963"/>
    <w:rsid w:val="00550256"/>
    <w:rsid w:val="005519FA"/>
    <w:rsid w:val="00553958"/>
    <w:rsid w:val="0055763D"/>
    <w:rsid w:val="0056170D"/>
    <w:rsid w:val="005621F2"/>
    <w:rsid w:val="00564D98"/>
    <w:rsid w:val="005669C5"/>
    <w:rsid w:val="00567B58"/>
    <w:rsid w:val="005744BC"/>
    <w:rsid w:val="005763E0"/>
    <w:rsid w:val="00581136"/>
    <w:rsid w:val="0058787A"/>
    <w:rsid w:val="005A27CA"/>
    <w:rsid w:val="005A43BD"/>
    <w:rsid w:val="005B01C5"/>
    <w:rsid w:val="005B551E"/>
    <w:rsid w:val="005E226E"/>
    <w:rsid w:val="005E2636"/>
    <w:rsid w:val="005E5121"/>
    <w:rsid w:val="005E52A5"/>
    <w:rsid w:val="005F4DF8"/>
    <w:rsid w:val="005F7303"/>
    <w:rsid w:val="006015D7"/>
    <w:rsid w:val="00601B21"/>
    <w:rsid w:val="006041F0"/>
    <w:rsid w:val="00624174"/>
    <w:rsid w:val="006263FD"/>
    <w:rsid w:val="00626CF8"/>
    <w:rsid w:val="00634ED8"/>
    <w:rsid w:val="00636D7D"/>
    <w:rsid w:val="00637408"/>
    <w:rsid w:val="00642868"/>
    <w:rsid w:val="00647AFE"/>
    <w:rsid w:val="006512BC"/>
    <w:rsid w:val="00651C43"/>
    <w:rsid w:val="006531C3"/>
    <w:rsid w:val="00653A5A"/>
    <w:rsid w:val="006575F4"/>
    <w:rsid w:val="006579E6"/>
    <w:rsid w:val="00663EDC"/>
    <w:rsid w:val="00671078"/>
    <w:rsid w:val="00672487"/>
    <w:rsid w:val="00675369"/>
    <w:rsid w:val="006758CA"/>
    <w:rsid w:val="0068063D"/>
    <w:rsid w:val="00680889"/>
    <w:rsid w:val="00680A04"/>
    <w:rsid w:val="00686D80"/>
    <w:rsid w:val="00694895"/>
    <w:rsid w:val="00696925"/>
    <w:rsid w:val="0069764A"/>
    <w:rsid w:val="00697E2E"/>
    <w:rsid w:val="006A25A2"/>
    <w:rsid w:val="006B0E73"/>
    <w:rsid w:val="006B4384"/>
    <w:rsid w:val="006B4A4D"/>
    <w:rsid w:val="006B5695"/>
    <w:rsid w:val="006C78EB"/>
    <w:rsid w:val="006D1660"/>
    <w:rsid w:val="006D5E67"/>
    <w:rsid w:val="006F1B67"/>
    <w:rsid w:val="0070091D"/>
    <w:rsid w:val="00702854"/>
    <w:rsid w:val="0071741C"/>
    <w:rsid w:val="0074189F"/>
    <w:rsid w:val="00742B90"/>
    <w:rsid w:val="0074434D"/>
    <w:rsid w:val="007547B3"/>
    <w:rsid w:val="00771B1E"/>
    <w:rsid w:val="00773C95"/>
    <w:rsid w:val="0078171E"/>
    <w:rsid w:val="0079566E"/>
    <w:rsid w:val="00795B34"/>
    <w:rsid w:val="007965CA"/>
    <w:rsid w:val="007B1770"/>
    <w:rsid w:val="007B4D3E"/>
    <w:rsid w:val="007B7C70"/>
    <w:rsid w:val="007D2151"/>
    <w:rsid w:val="007D3B90"/>
    <w:rsid w:val="007D42CC"/>
    <w:rsid w:val="007D5DE4"/>
    <w:rsid w:val="007E0777"/>
    <w:rsid w:val="007E0C10"/>
    <w:rsid w:val="007E1341"/>
    <w:rsid w:val="007E1B41"/>
    <w:rsid w:val="007E1EC4"/>
    <w:rsid w:val="007E30B9"/>
    <w:rsid w:val="007E74F1"/>
    <w:rsid w:val="007F0F0C"/>
    <w:rsid w:val="007F1288"/>
    <w:rsid w:val="00800A8A"/>
    <w:rsid w:val="0080155C"/>
    <w:rsid w:val="008052E1"/>
    <w:rsid w:val="0081339C"/>
    <w:rsid w:val="00822F2C"/>
    <w:rsid w:val="00827638"/>
    <w:rsid w:val="00827D88"/>
    <w:rsid w:val="008305E8"/>
    <w:rsid w:val="00833DA5"/>
    <w:rsid w:val="00844114"/>
    <w:rsid w:val="00850524"/>
    <w:rsid w:val="00856D1B"/>
    <w:rsid w:val="00860826"/>
    <w:rsid w:val="00860E21"/>
    <w:rsid w:val="00863117"/>
    <w:rsid w:val="0086388B"/>
    <w:rsid w:val="008642E5"/>
    <w:rsid w:val="0086470A"/>
    <w:rsid w:val="00872482"/>
    <w:rsid w:val="00872D93"/>
    <w:rsid w:val="00880470"/>
    <w:rsid w:val="00880D94"/>
    <w:rsid w:val="008924DE"/>
    <w:rsid w:val="008939AB"/>
    <w:rsid w:val="008A3755"/>
    <w:rsid w:val="008B19DC"/>
    <w:rsid w:val="008B264F"/>
    <w:rsid w:val="008B6F83"/>
    <w:rsid w:val="008B7FD8"/>
    <w:rsid w:val="008C2973"/>
    <w:rsid w:val="008C6324"/>
    <w:rsid w:val="008C64C4"/>
    <w:rsid w:val="008C6D04"/>
    <w:rsid w:val="008D74D5"/>
    <w:rsid w:val="008E3A07"/>
    <w:rsid w:val="008F2373"/>
    <w:rsid w:val="008F29BE"/>
    <w:rsid w:val="008F40AA"/>
    <w:rsid w:val="008F4AE5"/>
    <w:rsid w:val="008F51EB"/>
    <w:rsid w:val="00900197"/>
    <w:rsid w:val="00902F55"/>
    <w:rsid w:val="0090582B"/>
    <w:rsid w:val="009060C0"/>
    <w:rsid w:val="009133F5"/>
    <w:rsid w:val="0091756F"/>
    <w:rsid w:val="00920A27"/>
    <w:rsid w:val="00921216"/>
    <w:rsid w:val="009216CC"/>
    <w:rsid w:val="00930D08"/>
    <w:rsid w:val="00932D69"/>
    <w:rsid w:val="00944647"/>
    <w:rsid w:val="009521D9"/>
    <w:rsid w:val="00966F9A"/>
    <w:rsid w:val="00977B8A"/>
    <w:rsid w:val="0098219E"/>
    <w:rsid w:val="00982971"/>
    <w:rsid w:val="009845AD"/>
    <w:rsid w:val="00986011"/>
    <w:rsid w:val="009933EF"/>
    <w:rsid w:val="00995BA0"/>
    <w:rsid w:val="009A418B"/>
    <w:rsid w:val="009A426F"/>
    <w:rsid w:val="009A4473"/>
    <w:rsid w:val="009B05C9"/>
    <w:rsid w:val="009B286C"/>
    <w:rsid w:val="009B5A35"/>
    <w:rsid w:val="009C151C"/>
    <w:rsid w:val="009C4CC6"/>
    <w:rsid w:val="009D5125"/>
    <w:rsid w:val="009D60B8"/>
    <w:rsid w:val="009D7D4B"/>
    <w:rsid w:val="009E36ED"/>
    <w:rsid w:val="009E3C8C"/>
    <w:rsid w:val="009E62F6"/>
    <w:rsid w:val="009E6B77"/>
    <w:rsid w:val="009F460A"/>
    <w:rsid w:val="009F787F"/>
    <w:rsid w:val="00A043FB"/>
    <w:rsid w:val="00A04FC5"/>
    <w:rsid w:val="00A0729C"/>
    <w:rsid w:val="00A07779"/>
    <w:rsid w:val="00A11486"/>
    <w:rsid w:val="00A13E3D"/>
    <w:rsid w:val="00A20B2E"/>
    <w:rsid w:val="00A25069"/>
    <w:rsid w:val="00A26E6B"/>
    <w:rsid w:val="00A3068F"/>
    <w:rsid w:val="00A3145B"/>
    <w:rsid w:val="00A339D0"/>
    <w:rsid w:val="00A41002"/>
    <w:rsid w:val="00A4201A"/>
    <w:rsid w:val="00A42B10"/>
    <w:rsid w:val="00A553CE"/>
    <w:rsid w:val="00A5677A"/>
    <w:rsid w:val="00A625E8"/>
    <w:rsid w:val="00A6490D"/>
    <w:rsid w:val="00A72CFF"/>
    <w:rsid w:val="00A74B14"/>
    <w:rsid w:val="00A80363"/>
    <w:rsid w:val="00A83E9D"/>
    <w:rsid w:val="00A842E9"/>
    <w:rsid w:val="00A9169D"/>
    <w:rsid w:val="00AA0E6F"/>
    <w:rsid w:val="00AA1A7A"/>
    <w:rsid w:val="00AA240C"/>
    <w:rsid w:val="00AA6BD0"/>
    <w:rsid w:val="00AB7600"/>
    <w:rsid w:val="00AC101C"/>
    <w:rsid w:val="00AD4CF1"/>
    <w:rsid w:val="00AD5988"/>
    <w:rsid w:val="00AE19B5"/>
    <w:rsid w:val="00AF4A8F"/>
    <w:rsid w:val="00AF7800"/>
    <w:rsid w:val="00B04901"/>
    <w:rsid w:val="00B072E0"/>
    <w:rsid w:val="00B253F6"/>
    <w:rsid w:val="00B305DB"/>
    <w:rsid w:val="00B30F1A"/>
    <w:rsid w:val="00B332F8"/>
    <w:rsid w:val="00B33BD8"/>
    <w:rsid w:val="00B3492B"/>
    <w:rsid w:val="00B4045B"/>
    <w:rsid w:val="00B4646F"/>
    <w:rsid w:val="00B55C7D"/>
    <w:rsid w:val="00B63038"/>
    <w:rsid w:val="00B64BD8"/>
    <w:rsid w:val="00B66CF1"/>
    <w:rsid w:val="00B701D1"/>
    <w:rsid w:val="00B73AF2"/>
    <w:rsid w:val="00B7551A"/>
    <w:rsid w:val="00B76DD2"/>
    <w:rsid w:val="00B773F1"/>
    <w:rsid w:val="00B86AB1"/>
    <w:rsid w:val="00BA38B5"/>
    <w:rsid w:val="00BB09DA"/>
    <w:rsid w:val="00BB1C72"/>
    <w:rsid w:val="00BB2CBB"/>
    <w:rsid w:val="00BC03EE"/>
    <w:rsid w:val="00BC59F1"/>
    <w:rsid w:val="00BF3DE1"/>
    <w:rsid w:val="00BF4843"/>
    <w:rsid w:val="00BF5205"/>
    <w:rsid w:val="00BF7809"/>
    <w:rsid w:val="00C010D6"/>
    <w:rsid w:val="00C12508"/>
    <w:rsid w:val="00C17159"/>
    <w:rsid w:val="00C23728"/>
    <w:rsid w:val="00C45AA2"/>
    <w:rsid w:val="00C55BEF"/>
    <w:rsid w:val="00C57D06"/>
    <w:rsid w:val="00C62BAF"/>
    <w:rsid w:val="00C652E7"/>
    <w:rsid w:val="00C66296"/>
    <w:rsid w:val="00C70E2B"/>
    <w:rsid w:val="00C77282"/>
    <w:rsid w:val="00C84DE5"/>
    <w:rsid w:val="00C86248"/>
    <w:rsid w:val="00C90B2A"/>
    <w:rsid w:val="00CA4C33"/>
    <w:rsid w:val="00CA6F4A"/>
    <w:rsid w:val="00CA7955"/>
    <w:rsid w:val="00CC1A08"/>
    <w:rsid w:val="00CC58FF"/>
    <w:rsid w:val="00CD2119"/>
    <w:rsid w:val="00CD237A"/>
    <w:rsid w:val="00CD36AC"/>
    <w:rsid w:val="00CE0DB7"/>
    <w:rsid w:val="00CE1223"/>
    <w:rsid w:val="00CE13A3"/>
    <w:rsid w:val="00CF1747"/>
    <w:rsid w:val="00CF30A3"/>
    <w:rsid w:val="00D024A4"/>
    <w:rsid w:val="00D030C9"/>
    <w:rsid w:val="00D03D4C"/>
    <w:rsid w:val="00D1792C"/>
    <w:rsid w:val="00D23323"/>
    <w:rsid w:val="00D2392A"/>
    <w:rsid w:val="00D25FFE"/>
    <w:rsid w:val="00D30AB2"/>
    <w:rsid w:val="00D318E9"/>
    <w:rsid w:val="00D4476F"/>
    <w:rsid w:val="00D54D50"/>
    <w:rsid w:val="00D66797"/>
    <w:rsid w:val="00D7087C"/>
    <w:rsid w:val="00D70C3C"/>
    <w:rsid w:val="00D71DF7"/>
    <w:rsid w:val="00D72BE5"/>
    <w:rsid w:val="00D75970"/>
    <w:rsid w:val="00D82F26"/>
    <w:rsid w:val="00D863D0"/>
    <w:rsid w:val="00D87C87"/>
    <w:rsid w:val="00D90E07"/>
    <w:rsid w:val="00D923A0"/>
    <w:rsid w:val="00D923FE"/>
    <w:rsid w:val="00D97FCD"/>
    <w:rsid w:val="00DB39CF"/>
    <w:rsid w:val="00DD0BCD"/>
    <w:rsid w:val="00DD447A"/>
    <w:rsid w:val="00DD6017"/>
    <w:rsid w:val="00DE3B20"/>
    <w:rsid w:val="00DE6C94"/>
    <w:rsid w:val="00DE6FD7"/>
    <w:rsid w:val="00DF2983"/>
    <w:rsid w:val="00E005C0"/>
    <w:rsid w:val="00E07927"/>
    <w:rsid w:val="00E15BE7"/>
    <w:rsid w:val="00E23271"/>
    <w:rsid w:val="00E24F80"/>
    <w:rsid w:val="00E2518B"/>
    <w:rsid w:val="00E259E5"/>
    <w:rsid w:val="00E259F3"/>
    <w:rsid w:val="00E3277C"/>
    <w:rsid w:val="00E33238"/>
    <w:rsid w:val="00E4486C"/>
    <w:rsid w:val="00E460B6"/>
    <w:rsid w:val="00E511D5"/>
    <w:rsid w:val="00E57A7C"/>
    <w:rsid w:val="00E60249"/>
    <w:rsid w:val="00E65269"/>
    <w:rsid w:val="00E76D66"/>
    <w:rsid w:val="00E853DD"/>
    <w:rsid w:val="00EA06A1"/>
    <w:rsid w:val="00EA463E"/>
    <w:rsid w:val="00EA796A"/>
    <w:rsid w:val="00EB1856"/>
    <w:rsid w:val="00EB3558"/>
    <w:rsid w:val="00EC50CE"/>
    <w:rsid w:val="00EC5B34"/>
    <w:rsid w:val="00EC60A8"/>
    <w:rsid w:val="00ED323C"/>
    <w:rsid w:val="00EE0884"/>
    <w:rsid w:val="00EE2D5C"/>
    <w:rsid w:val="00EE4ADE"/>
    <w:rsid w:val="00EE5CB7"/>
    <w:rsid w:val="00EF5B27"/>
    <w:rsid w:val="00EF7283"/>
    <w:rsid w:val="00F024FE"/>
    <w:rsid w:val="00F04F63"/>
    <w:rsid w:val="00F05AD4"/>
    <w:rsid w:val="00F111C1"/>
    <w:rsid w:val="00F140B2"/>
    <w:rsid w:val="00F25970"/>
    <w:rsid w:val="00F25A09"/>
    <w:rsid w:val="00F301C7"/>
    <w:rsid w:val="00F31A8F"/>
    <w:rsid w:val="00F5180D"/>
    <w:rsid w:val="00F575C6"/>
    <w:rsid w:val="00F63781"/>
    <w:rsid w:val="00F67496"/>
    <w:rsid w:val="00F801BA"/>
    <w:rsid w:val="00F868BE"/>
    <w:rsid w:val="00F87F9D"/>
    <w:rsid w:val="00F9005B"/>
    <w:rsid w:val="00F9366A"/>
    <w:rsid w:val="00F946C9"/>
    <w:rsid w:val="00FA74EE"/>
    <w:rsid w:val="00FB1574"/>
    <w:rsid w:val="00FC3711"/>
    <w:rsid w:val="00FC46E7"/>
    <w:rsid w:val="00FC5D25"/>
    <w:rsid w:val="00FC7A87"/>
    <w:rsid w:val="00FD04B3"/>
    <w:rsid w:val="00FD0D7E"/>
    <w:rsid w:val="00FD75BD"/>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4337"/>
    <o:shapelayout v:ext="edit">
      <o:idmap v:ext="edit" data="1"/>
    </o:shapelayout>
  </w:shapeDefaults>
  <w:decimalSymbol w:val="."/>
  <w:listSeparator w:val=","/>
  <w14:docId w14:val="2172A7EC"/>
  <w15:docId w15:val="{A9F5420B-8D85-4222-902D-CBADD86C2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363"/>
    <w:pPr>
      <w:spacing w:line="264" w:lineRule="auto"/>
    </w:pPr>
    <w:rPr>
      <w:rFonts w:ascii="Georgia" w:hAnsi="Georgia"/>
      <w:sz w:val="22"/>
      <w:lang w:eastAsia="en-GB"/>
    </w:rPr>
  </w:style>
  <w:style w:type="paragraph" w:styleId="Heading1">
    <w:name w:val="heading 1"/>
    <w:basedOn w:val="Normal"/>
    <w:next w:val="Normal"/>
    <w:link w:val="Heading1Char"/>
    <w:uiPriority w:val="9"/>
    <w:qFormat/>
    <w:rsid w:val="008E3A07"/>
    <w:pPr>
      <w:pageBreakBefore/>
      <w:numPr>
        <w:numId w:val="86"/>
      </w:numPr>
      <w:pBdr>
        <w:top w:val="single" w:sz="48" w:space="16" w:color="auto"/>
      </w:pBdr>
      <w:spacing w:after="360"/>
      <w:outlineLvl w:val="0"/>
    </w:pPr>
    <w:rPr>
      <w:b/>
      <w:sz w:val="60"/>
    </w:rPr>
  </w:style>
  <w:style w:type="paragraph" w:styleId="Heading2">
    <w:name w:val="heading 2"/>
    <w:basedOn w:val="Normal"/>
    <w:next w:val="Normal"/>
    <w:link w:val="Heading2Char"/>
    <w:uiPriority w:val="9"/>
    <w:qFormat/>
    <w:rsid w:val="00FD04B3"/>
    <w:pPr>
      <w:keepNext/>
      <w:numPr>
        <w:ilvl w:val="1"/>
        <w:numId w:val="86"/>
      </w:numPr>
      <w:spacing w:before="360" w:after="120"/>
      <w:ind w:left="851" w:hanging="851"/>
      <w:outlineLvl w:val="1"/>
    </w:pPr>
    <w:rPr>
      <w:b/>
      <w:sz w:val="40"/>
    </w:rPr>
  </w:style>
  <w:style w:type="paragraph" w:styleId="Heading3">
    <w:name w:val="heading 3"/>
    <w:basedOn w:val="Normal"/>
    <w:next w:val="Normal"/>
    <w:link w:val="Heading3Char"/>
    <w:uiPriority w:val="9"/>
    <w:qFormat/>
    <w:rsid w:val="008E3A07"/>
    <w:pPr>
      <w:keepNext/>
      <w:numPr>
        <w:ilvl w:val="2"/>
        <w:numId w:val="86"/>
      </w:numPr>
      <w:spacing w:before="240" w:after="180"/>
      <w:outlineLvl w:val="2"/>
    </w:pPr>
    <w:rPr>
      <w:b/>
      <w:sz w:val="28"/>
    </w:rPr>
  </w:style>
  <w:style w:type="paragraph" w:styleId="Heading4">
    <w:name w:val="heading 4"/>
    <w:basedOn w:val="Normal"/>
    <w:next w:val="Normal"/>
    <w:link w:val="Heading4Char"/>
    <w:uiPriority w:val="9"/>
    <w:qFormat/>
    <w:rsid w:val="007D5DE4"/>
    <w:pPr>
      <w:keepNext/>
      <w:spacing w:before="120" w:after="120"/>
      <w:outlineLvl w:val="3"/>
    </w:pPr>
    <w:rPr>
      <w:b/>
    </w:rPr>
  </w:style>
  <w:style w:type="paragraph" w:styleId="Heading5">
    <w:name w:val="heading 5"/>
    <w:basedOn w:val="Normal"/>
    <w:next w:val="Normal"/>
    <w:link w:val="Heading5Char"/>
    <w:uiPriority w:val="9"/>
    <w:qFormat/>
    <w:rsid w:val="0013585C"/>
    <w:pPr>
      <w:keepNext/>
      <w:spacing w:before="120" w:after="120"/>
      <w:outlineLvl w:val="4"/>
    </w:pPr>
    <w:rPr>
      <w:u w:val="single"/>
    </w:rPr>
  </w:style>
  <w:style w:type="paragraph" w:styleId="Heading6">
    <w:name w:val="heading 6"/>
    <w:basedOn w:val="Normal"/>
    <w:next w:val="Normal"/>
    <w:link w:val="Heading6Char"/>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nhideWhenUsed/>
    <w:qFormat/>
    <w:rsid w:val="00122363"/>
    <w:pPr>
      <w:keepNext/>
      <w:keepLines/>
      <w:spacing w:before="200" w:after="120" w:line="276" w:lineRule="auto"/>
      <w:ind w:left="1440" w:hanging="1440"/>
      <w:outlineLvl w:val="7"/>
    </w:pPr>
    <w:rPr>
      <w:rFonts w:ascii="Calibri" w:eastAsia="MS Gothic" w:hAnsi="Calibri"/>
      <w:color w:val="404040"/>
      <w:szCs w:val="24"/>
      <w:lang w:val="en-GB" w:eastAsia="en-US"/>
    </w:rPr>
  </w:style>
  <w:style w:type="paragraph" w:styleId="Heading9">
    <w:name w:val="heading 9"/>
    <w:basedOn w:val="Normal"/>
    <w:next w:val="Normal"/>
    <w:link w:val="Heading9Char"/>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06228D"/>
    <w:pPr>
      <w:tabs>
        <w:tab w:val="right" w:pos="9356"/>
      </w:tabs>
      <w:spacing w:before="300"/>
      <w:ind w:right="567"/>
    </w:pPr>
    <w:rPr>
      <w:b/>
    </w:rPr>
  </w:style>
  <w:style w:type="paragraph" w:styleId="TOC2">
    <w:name w:val="toc 2"/>
    <w:basedOn w:val="Normal"/>
    <w:next w:val="Normal"/>
    <w:uiPriority w:val="39"/>
    <w:qFormat/>
    <w:rsid w:val="0006228D"/>
    <w:pPr>
      <w:tabs>
        <w:tab w:val="left" w:pos="284"/>
        <w:tab w:val="right" w:pos="9356"/>
      </w:tabs>
      <w:spacing w:before="60"/>
      <w:ind w:left="284" w:right="567"/>
    </w:pPr>
  </w:style>
  <w:style w:type="paragraph" w:styleId="TOC3">
    <w:name w:val="toc 3"/>
    <w:basedOn w:val="Normal"/>
    <w:next w:val="Normal"/>
    <w:rsid w:val="00A5677A"/>
    <w:pPr>
      <w:tabs>
        <w:tab w:val="right" w:pos="9356"/>
      </w:tabs>
      <w:spacing w:before="120"/>
      <w:ind w:left="1276" w:right="567" w:hanging="1276"/>
    </w:pPr>
  </w:style>
  <w:style w:type="paragraph" w:customStyle="1" w:styleId="Bullet">
    <w:name w:val="Bullet"/>
    <w:basedOn w:val="Normal"/>
    <w:qFormat/>
    <w:rsid w:val="00D923A0"/>
    <w:pPr>
      <w:numPr>
        <w:numId w:val="1"/>
      </w:numPr>
      <w:spacing w:before="120"/>
    </w:pPr>
  </w:style>
  <w:style w:type="paragraph" w:styleId="Quote">
    <w:name w:val="Quote"/>
    <w:basedOn w:val="Normal"/>
    <w:next w:val="Normal"/>
    <w:link w:val="QuoteChar"/>
    <w:qFormat/>
    <w:pPr>
      <w:spacing w:before="120"/>
      <w:ind w:left="284" w:right="284"/>
    </w:pPr>
  </w:style>
  <w:style w:type="paragraph" w:styleId="FootnoteText">
    <w:name w:val="footnote text"/>
    <w:basedOn w:val="Normal"/>
    <w:link w:val="FootnoteTextChar"/>
    <w:uiPriority w:val="99"/>
    <w:rsid w:val="003060E4"/>
    <w:pPr>
      <w:spacing w:before="60"/>
      <w:ind w:left="284" w:hanging="284"/>
    </w:pPr>
    <w:rPr>
      <w:sz w:val="18"/>
    </w:rPr>
  </w:style>
  <w:style w:type="paragraph" w:styleId="Header">
    <w:name w:val="header"/>
    <w:basedOn w:val="Normal"/>
    <w:link w:val="HeaderChar"/>
    <w:uiPriority w:val="99"/>
    <w:qFormat/>
    <w:rsid w:val="00D25FFE"/>
  </w:style>
  <w:style w:type="paragraph" w:styleId="Title">
    <w:name w:val="Title"/>
    <w:basedOn w:val="Normal"/>
    <w:next w:val="Normal"/>
    <w:link w:val="TitleChar"/>
    <w:qFormat/>
    <w:rsid w:val="00DF2983"/>
    <w:pPr>
      <w:pBdr>
        <w:bottom w:val="single" w:sz="48" w:space="6" w:color="auto"/>
      </w:pBdr>
      <w:ind w:right="1418"/>
    </w:pPr>
    <w:rPr>
      <w:b/>
      <w:sz w:val="60"/>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link w:val="TableTextChar"/>
    <w:qFormat/>
    <w:rsid w:val="007B7C70"/>
    <w:pPr>
      <w:spacing w:before="60" w:after="60" w:line="240" w:lineRule="auto"/>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2D56F4"/>
    <w:pPr>
      <w:ind w:left="0" w:firstLine="0"/>
    </w:pPr>
  </w:style>
  <w:style w:type="paragraph" w:customStyle="1" w:styleId="Note">
    <w:name w:val="Note"/>
    <w:basedOn w:val="Normal"/>
    <w:next w:val="Normal"/>
    <w:link w:val="NoteChar"/>
    <w:qFormat/>
    <w:rsid w:val="00D923A0"/>
    <w:pPr>
      <w:spacing w:before="80"/>
      <w:ind w:left="284" w:hanging="284"/>
    </w:pPr>
    <w:rPr>
      <w:rFonts w:ascii="Arial" w:hAnsi="Arial"/>
      <w:sz w:val="18"/>
    </w:rPr>
  </w:style>
  <w:style w:type="paragraph" w:customStyle="1" w:styleId="Subhead">
    <w:name w:val="Subhead"/>
    <w:basedOn w:val="Normal"/>
    <w:next w:val="Normal"/>
    <w:qFormat/>
    <w:rsid w:val="008E3A07"/>
    <w:pP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character" w:customStyle="1" w:styleId="NoteChar">
    <w:name w:val="Note Char"/>
    <w:link w:val="Note"/>
    <w:rsid w:val="00D923A0"/>
    <w:rPr>
      <w:rFonts w:ascii="Arial" w:hAnsi="Arial"/>
      <w:sz w:val="18"/>
      <w:lang w:eastAsia="en-GB"/>
    </w:rPr>
  </w:style>
  <w:style w:type="character" w:customStyle="1" w:styleId="FootnoteTextChar">
    <w:name w:val="Footnote Text Char"/>
    <w:link w:val="FootnoteText"/>
    <w:uiPriority w:val="99"/>
    <w:rsid w:val="003060E4"/>
    <w:rPr>
      <w:rFonts w:ascii="Georgia" w:hAnsi="Georgia"/>
      <w:sz w:val="18"/>
      <w:lang w:eastAsia="en-GB"/>
    </w:rPr>
  </w:style>
  <w:style w:type="table" w:styleId="TableGrid">
    <w:name w:val="Table Grid"/>
    <w:basedOn w:val="TableNormal"/>
    <w:uiPriority w:val="3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86388B"/>
    <w:rPr>
      <w:rFonts w:ascii="Georgia" w:hAnsi="Georgia"/>
      <w:sz w:val="22"/>
      <w:lang w:eastAsia="en-GB"/>
    </w:rPr>
  </w:style>
  <w:style w:type="character" w:customStyle="1" w:styleId="Heading1Char">
    <w:name w:val="Heading 1 Char"/>
    <w:link w:val="Heading1"/>
    <w:uiPriority w:val="9"/>
    <w:rsid w:val="008E3A07"/>
    <w:rPr>
      <w:rFonts w:ascii="Georgia" w:hAnsi="Georgia"/>
      <w:b/>
      <w:sz w:val="60"/>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uiPriority w:val="9"/>
    <w:rsid w:val="00FD04B3"/>
    <w:rPr>
      <w:rFonts w:ascii="Georgia" w:hAnsi="Georgia"/>
      <w:b/>
      <w:sz w:val="40"/>
      <w:lang w:eastAsia="en-GB"/>
    </w:rPr>
  </w:style>
  <w:style w:type="character" w:customStyle="1" w:styleId="Heading3Char">
    <w:name w:val="Heading 3 Char"/>
    <w:link w:val="Heading3"/>
    <w:uiPriority w:val="9"/>
    <w:rsid w:val="008E3A07"/>
    <w:rPr>
      <w:rFonts w:ascii="Georgia" w:hAnsi="Georgia"/>
      <w:b/>
      <w:sz w:val="28"/>
      <w:lang w:eastAsia="en-GB"/>
    </w:rPr>
  </w:style>
  <w:style w:type="paragraph" w:customStyle="1" w:styleId="Year">
    <w:name w:val="Year"/>
    <w:basedOn w:val="Subhead"/>
    <w:next w:val="Subhead"/>
    <w:qFormat/>
    <w:rsid w:val="00DF2983"/>
    <w:pPr>
      <w:pBdr>
        <w:bottom w:val="single" w:sz="48" w:space="6" w:color="auto"/>
      </w:pBdr>
      <w:ind w:right="1418"/>
    </w:pPr>
    <w:rPr>
      <w:sz w:val="52"/>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rsid w:val="00122363"/>
    <w:rPr>
      <w:rFonts w:ascii="Calibri" w:eastAsia="MS Gothic" w:hAnsi="Calibri"/>
      <w:color w:val="404040"/>
      <w:sz w:val="22"/>
      <w:szCs w:val="24"/>
      <w:lang w:val="en-GB"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character" w:customStyle="1" w:styleId="Heading4Char">
    <w:name w:val="Heading 4 Char"/>
    <w:link w:val="Heading4"/>
    <w:uiPriority w:val="9"/>
    <w:rsid w:val="00122363"/>
    <w:rPr>
      <w:rFonts w:ascii="Georgia" w:hAnsi="Georgia"/>
      <w:b/>
      <w:sz w:val="22"/>
      <w:lang w:eastAsia="en-GB"/>
    </w:rPr>
  </w:style>
  <w:style w:type="character" w:customStyle="1" w:styleId="Heading5Char">
    <w:name w:val="Heading 5 Char"/>
    <w:link w:val="Heading5"/>
    <w:uiPriority w:val="9"/>
    <w:rsid w:val="00122363"/>
    <w:rPr>
      <w:rFonts w:ascii="Georgia" w:hAnsi="Georgia"/>
      <w:sz w:val="22"/>
      <w:u w:val="single"/>
      <w:lang w:eastAsia="en-GB"/>
    </w:rPr>
  </w:style>
  <w:style w:type="character" w:customStyle="1" w:styleId="QuoteChar">
    <w:name w:val="Quote Char"/>
    <w:link w:val="Quote"/>
    <w:rsid w:val="00122363"/>
    <w:rPr>
      <w:rFonts w:ascii="Georgia" w:hAnsi="Georgia"/>
      <w:sz w:val="22"/>
      <w:lang w:eastAsia="en-GB"/>
    </w:rPr>
  </w:style>
  <w:style w:type="character" w:customStyle="1" w:styleId="TitleChar">
    <w:name w:val="Title Char"/>
    <w:link w:val="Title"/>
    <w:rsid w:val="00DF2983"/>
    <w:rPr>
      <w:rFonts w:ascii="Georgia" w:hAnsi="Georgia"/>
      <w:b/>
      <w:sz w:val="60"/>
      <w:lang w:eastAsia="en-GB"/>
    </w:rPr>
  </w:style>
  <w:style w:type="paragraph" w:customStyle="1" w:styleId="Number">
    <w:name w:val="Number"/>
    <w:basedOn w:val="Normal"/>
    <w:qFormat/>
    <w:rsid w:val="00F140B2"/>
    <w:pPr>
      <w:numPr>
        <w:ilvl w:val="3"/>
        <w:numId w:val="86"/>
      </w:numPr>
      <w:spacing w:before="180"/>
    </w:pPr>
    <w:rPr>
      <w:szCs w:val="24"/>
    </w:rPr>
  </w:style>
  <w:style w:type="paragraph" w:customStyle="1" w:styleId="Letter">
    <w:name w:val="Letter"/>
    <w:basedOn w:val="Normal"/>
    <w:qFormat/>
    <w:rsid w:val="00F140B2"/>
    <w:pPr>
      <w:numPr>
        <w:ilvl w:val="4"/>
        <w:numId w:val="86"/>
      </w:numPr>
      <w:spacing w:before="120"/>
    </w:pPr>
  </w:style>
  <w:style w:type="character" w:customStyle="1" w:styleId="TableTextChar">
    <w:name w:val="TableText Char"/>
    <w:link w:val="TableText"/>
    <w:rsid w:val="00F301C7"/>
    <w:rPr>
      <w:rFonts w:ascii="Arial" w:hAnsi="Arial"/>
      <w:sz w:val="18"/>
      <w:lang w:eastAsia="en-GB"/>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rFonts w:ascii="Georgia" w:hAnsi="Georgia"/>
      <w:lang w:eastAsia="en-GB"/>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965CA"/>
    <w:rPr>
      <w:b/>
      <w:bCs/>
    </w:rPr>
  </w:style>
  <w:style w:type="character" w:customStyle="1" w:styleId="CommentSubjectChar">
    <w:name w:val="Comment Subject Char"/>
    <w:basedOn w:val="CommentTextChar"/>
    <w:link w:val="CommentSubject"/>
    <w:uiPriority w:val="99"/>
    <w:semiHidden/>
    <w:rsid w:val="007965CA"/>
    <w:rPr>
      <w:rFonts w:ascii="Georgia" w:hAnsi="Georgia"/>
      <w:b/>
      <w:bCs/>
      <w:lang w:eastAsia="en-GB"/>
    </w:rPr>
  </w:style>
  <w:style w:type="paragraph" w:styleId="BalloonText">
    <w:name w:val="Balloon Text"/>
    <w:basedOn w:val="Normal"/>
    <w:link w:val="BalloonTextChar"/>
    <w:uiPriority w:val="99"/>
    <w:semiHidden/>
    <w:unhideWhenUsed/>
    <w:rsid w:val="007965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5CA"/>
    <w:rPr>
      <w:rFonts w:ascii="Tahoma" w:hAnsi="Tahoma" w:cs="Tahoma"/>
      <w:sz w:val="16"/>
      <w:szCs w:val="16"/>
      <w:lang w:eastAsia="en-GB"/>
    </w:rPr>
  </w:style>
  <w:style w:type="character" w:customStyle="1" w:styleId="None">
    <w:name w:val="None"/>
    <w:rsid w:val="0098219E"/>
  </w:style>
  <w:style w:type="character" w:customStyle="1" w:styleId="Hyperlink0">
    <w:name w:val="Hyperlink.0"/>
    <w:basedOn w:val="None"/>
    <w:rsid w:val="0098219E"/>
    <w:rPr>
      <w:rFonts w:ascii="Arial" w:eastAsia="Arial" w:hAnsi="Arial" w:cs="Arial"/>
      <w:lang w:val="en-US"/>
    </w:rPr>
  </w:style>
  <w:style w:type="paragraph" w:customStyle="1" w:styleId="Body">
    <w:name w:val="Body"/>
    <w:rsid w:val="0047699F"/>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character" w:styleId="Emphasis">
    <w:name w:val="Emphasis"/>
    <w:basedOn w:val="DefaultParagraphFont"/>
    <w:uiPriority w:val="20"/>
    <w:qFormat/>
    <w:rsid w:val="00696925"/>
    <w:rPr>
      <w:b/>
      <w:bCs/>
      <w:i w:val="0"/>
      <w:iCs w:val="0"/>
    </w:rPr>
  </w:style>
  <w:style w:type="character" w:customStyle="1" w:styleId="st1">
    <w:name w:val="st1"/>
    <w:basedOn w:val="DefaultParagraphFont"/>
    <w:rsid w:val="00696925"/>
  </w:style>
  <w:style w:type="paragraph" w:styleId="NormalWeb">
    <w:name w:val="Normal (Web)"/>
    <w:basedOn w:val="Normal"/>
    <w:uiPriority w:val="99"/>
    <w:unhideWhenUsed/>
    <w:rsid w:val="002B26E2"/>
    <w:pPr>
      <w:spacing w:before="100" w:beforeAutospacing="1" w:after="100" w:afterAutospacing="1" w:line="240" w:lineRule="auto"/>
    </w:pPr>
    <w:rPr>
      <w:rFonts w:ascii="Times New Roman" w:hAnsi="Times New Roman"/>
      <w:sz w:val="24"/>
      <w:szCs w:val="24"/>
      <w:lang w:eastAsia="en-NZ"/>
    </w:rPr>
  </w:style>
  <w:style w:type="paragraph" w:styleId="ListParagraph">
    <w:name w:val="List Paragraph"/>
    <w:basedOn w:val="Normal"/>
    <w:uiPriority w:val="34"/>
    <w:qFormat/>
    <w:rsid w:val="008F40AA"/>
    <w:pPr>
      <w:ind w:left="720"/>
      <w:contextualSpacing/>
    </w:pPr>
  </w:style>
  <w:style w:type="paragraph" w:styleId="EndnoteText">
    <w:name w:val="endnote text"/>
    <w:basedOn w:val="Normal"/>
    <w:link w:val="EndnoteTextChar"/>
    <w:uiPriority w:val="99"/>
    <w:semiHidden/>
    <w:unhideWhenUsed/>
    <w:rsid w:val="00143568"/>
    <w:pPr>
      <w:spacing w:line="240" w:lineRule="auto"/>
    </w:pPr>
    <w:rPr>
      <w:sz w:val="20"/>
    </w:rPr>
  </w:style>
  <w:style w:type="character" w:customStyle="1" w:styleId="EndnoteTextChar">
    <w:name w:val="Endnote Text Char"/>
    <w:basedOn w:val="DefaultParagraphFont"/>
    <w:link w:val="EndnoteText"/>
    <w:uiPriority w:val="99"/>
    <w:semiHidden/>
    <w:rsid w:val="00143568"/>
    <w:rPr>
      <w:rFonts w:ascii="Georgia" w:hAnsi="Georgia"/>
      <w:lang w:eastAsia="en-GB"/>
    </w:rPr>
  </w:style>
  <w:style w:type="character" w:styleId="EndnoteReference">
    <w:name w:val="endnote reference"/>
    <w:basedOn w:val="DefaultParagraphFont"/>
    <w:uiPriority w:val="99"/>
    <w:semiHidden/>
    <w:unhideWhenUsed/>
    <w:rsid w:val="001435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641603">
      <w:bodyDiv w:val="1"/>
      <w:marLeft w:val="0"/>
      <w:marRight w:val="0"/>
      <w:marTop w:val="0"/>
      <w:marBottom w:val="0"/>
      <w:divBdr>
        <w:top w:val="none" w:sz="0" w:space="0" w:color="auto"/>
        <w:left w:val="none" w:sz="0" w:space="0" w:color="auto"/>
        <w:bottom w:val="none" w:sz="0" w:space="0" w:color="auto"/>
        <w:right w:val="none" w:sz="0" w:space="0" w:color="auto"/>
      </w:divBdr>
      <w:divsChild>
        <w:div w:id="1955556067">
          <w:marLeft w:val="0"/>
          <w:marRight w:val="0"/>
          <w:marTop w:val="0"/>
          <w:marBottom w:val="0"/>
          <w:divBdr>
            <w:top w:val="none" w:sz="0" w:space="0" w:color="auto"/>
            <w:left w:val="none" w:sz="0" w:space="0" w:color="auto"/>
            <w:bottom w:val="none" w:sz="0" w:space="0" w:color="auto"/>
            <w:right w:val="none" w:sz="0" w:space="0" w:color="auto"/>
          </w:divBdr>
          <w:divsChild>
            <w:div w:id="1174807564">
              <w:marLeft w:val="0"/>
              <w:marRight w:val="0"/>
              <w:marTop w:val="0"/>
              <w:marBottom w:val="0"/>
              <w:divBdr>
                <w:top w:val="none" w:sz="0" w:space="0" w:color="auto"/>
                <w:left w:val="none" w:sz="0" w:space="0" w:color="auto"/>
                <w:bottom w:val="none" w:sz="0" w:space="0" w:color="auto"/>
                <w:right w:val="none" w:sz="0" w:space="0" w:color="auto"/>
              </w:divBdr>
              <w:divsChild>
                <w:div w:id="16961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357767">
      <w:bodyDiv w:val="1"/>
      <w:marLeft w:val="0"/>
      <w:marRight w:val="0"/>
      <w:marTop w:val="0"/>
      <w:marBottom w:val="0"/>
      <w:divBdr>
        <w:top w:val="none" w:sz="0" w:space="0" w:color="auto"/>
        <w:left w:val="none" w:sz="0" w:space="0" w:color="auto"/>
        <w:bottom w:val="none" w:sz="0" w:space="0" w:color="auto"/>
        <w:right w:val="none" w:sz="0" w:space="0" w:color="auto"/>
      </w:divBdr>
      <w:divsChild>
        <w:div w:id="1324968081">
          <w:marLeft w:val="0"/>
          <w:marRight w:val="1"/>
          <w:marTop w:val="0"/>
          <w:marBottom w:val="0"/>
          <w:divBdr>
            <w:top w:val="none" w:sz="0" w:space="0" w:color="auto"/>
            <w:left w:val="none" w:sz="0" w:space="0" w:color="auto"/>
            <w:bottom w:val="none" w:sz="0" w:space="0" w:color="auto"/>
            <w:right w:val="none" w:sz="0" w:space="0" w:color="auto"/>
          </w:divBdr>
          <w:divsChild>
            <w:div w:id="713043696">
              <w:marLeft w:val="0"/>
              <w:marRight w:val="0"/>
              <w:marTop w:val="0"/>
              <w:marBottom w:val="0"/>
              <w:divBdr>
                <w:top w:val="none" w:sz="0" w:space="0" w:color="auto"/>
                <w:left w:val="none" w:sz="0" w:space="0" w:color="auto"/>
                <w:bottom w:val="none" w:sz="0" w:space="0" w:color="auto"/>
                <w:right w:val="none" w:sz="0" w:space="0" w:color="auto"/>
              </w:divBdr>
              <w:divsChild>
                <w:div w:id="762871431">
                  <w:marLeft w:val="0"/>
                  <w:marRight w:val="1"/>
                  <w:marTop w:val="0"/>
                  <w:marBottom w:val="0"/>
                  <w:divBdr>
                    <w:top w:val="none" w:sz="0" w:space="0" w:color="auto"/>
                    <w:left w:val="none" w:sz="0" w:space="0" w:color="auto"/>
                    <w:bottom w:val="none" w:sz="0" w:space="0" w:color="auto"/>
                    <w:right w:val="none" w:sz="0" w:space="0" w:color="auto"/>
                  </w:divBdr>
                  <w:divsChild>
                    <w:div w:id="148643226">
                      <w:marLeft w:val="0"/>
                      <w:marRight w:val="0"/>
                      <w:marTop w:val="0"/>
                      <w:marBottom w:val="0"/>
                      <w:divBdr>
                        <w:top w:val="none" w:sz="0" w:space="0" w:color="auto"/>
                        <w:left w:val="none" w:sz="0" w:space="0" w:color="auto"/>
                        <w:bottom w:val="none" w:sz="0" w:space="0" w:color="auto"/>
                        <w:right w:val="none" w:sz="0" w:space="0" w:color="auto"/>
                      </w:divBdr>
                      <w:divsChild>
                        <w:div w:id="100540775">
                          <w:marLeft w:val="0"/>
                          <w:marRight w:val="0"/>
                          <w:marTop w:val="0"/>
                          <w:marBottom w:val="0"/>
                          <w:divBdr>
                            <w:top w:val="none" w:sz="0" w:space="0" w:color="auto"/>
                            <w:left w:val="none" w:sz="0" w:space="0" w:color="auto"/>
                            <w:bottom w:val="none" w:sz="0" w:space="0" w:color="auto"/>
                            <w:right w:val="none" w:sz="0" w:space="0" w:color="auto"/>
                          </w:divBdr>
                          <w:divsChild>
                            <w:div w:id="1343623283">
                              <w:marLeft w:val="0"/>
                              <w:marRight w:val="0"/>
                              <w:marTop w:val="120"/>
                              <w:marBottom w:val="360"/>
                              <w:divBdr>
                                <w:top w:val="none" w:sz="0" w:space="0" w:color="auto"/>
                                <w:left w:val="none" w:sz="0" w:space="0" w:color="auto"/>
                                <w:bottom w:val="none" w:sz="0" w:space="0" w:color="auto"/>
                                <w:right w:val="none" w:sz="0" w:space="0" w:color="auto"/>
                              </w:divBdr>
                              <w:divsChild>
                                <w:div w:id="82057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2496566">
      <w:bodyDiv w:val="1"/>
      <w:marLeft w:val="0"/>
      <w:marRight w:val="0"/>
      <w:marTop w:val="0"/>
      <w:marBottom w:val="0"/>
      <w:divBdr>
        <w:top w:val="none" w:sz="0" w:space="0" w:color="auto"/>
        <w:left w:val="none" w:sz="0" w:space="0" w:color="auto"/>
        <w:bottom w:val="none" w:sz="0" w:space="0" w:color="auto"/>
        <w:right w:val="none" w:sz="0" w:space="0" w:color="auto"/>
      </w:divBdr>
      <w:divsChild>
        <w:div w:id="1619679203">
          <w:marLeft w:val="0"/>
          <w:marRight w:val="1"/>
          <w:marTop w:val="0"/>
          <w:marBottom w:val="0"/>
          <w:divBdr>
            <w:top w:val="none" w:sz="0" w:space="0" w:color="auto"/>
            <w:left w:val="none" w:sz="0" w:space="0" w:color="auto"/>
            <w:bottom w:val="none" w:sz="0" w:space="0" w:color="auto"/>
            <w:right w:val="none" w:sz="0" w:space="0" w:color="auto"/>
          </w:divBdr>
          <w:divsChild>
            <w:div w:id="1303197445">
              <w:marLeft w:val="0"/>
              <w:marRight w:val="0"/>
              <w:marTop w:val="0"/>
              <w:marBottom w:val="0"/>
              <w:divBdr>
                <w:top w:val="none" w:sz="0" w:space="0" w:color="auto"/>
                <w:left w:val="none" w:sz="0" w:space="0" w:color="auto"/>
                <w:bottom w:val="none" w:sz="0" w:space="0" w:color="auto"/>
                <w:right w:val="none" w:sz="0" w:space="0" w:color="auto"/>
              </w:divBdr>
              <w:divsChild>
                <w:div w:id="135270126">
                  <w:marLeft w:val="0"/>
                  <w:marRight w:val="1"/>
                  <w:marTop w:val="0"/>
                  <w:marBottom w:val="0"/>
                  <w:divBdr>
                    <w:top w:val="none" w:sz="0" w:space="0" w:color="auto"/>
                    <w:left w:val="none" w:sz="0" w:space="0" w:color="auto"/>
                    <w:bottom w:val="none" w:sz="0" w:space="0" w:color="auto"/>
                    <w:right w:val="none" w:sz="0" w:space="0" w:color="auto"/>
                  </w:divBdr>
                  <w:divsChild>
                    <w:div w:id="1154298987">
                      <w:marLeft w:val="0"/>
                      <w:marRight w:val="0"/>
                      <w:marTop w:val="0"/>
                      <w:marBottom w:val="0"/>
                      <w:divBdr>
                        <w:top w:val="none" w:sz="0" w:space="0" w:color="auto"/>
                        <w:left w:val="none" w:sz="0" w:space="0" w:color="auto"/>
                        <w:bottom w:val="none" w:sz="0" w:space="0" w:color="auto"/>
                        <w:right w:val="none" w:sz="0" w:space="0" w:color="auto"/>
                      </w:divBdr>
                      <w:divsChild>
                        <w:div w:id="1171527713">
                          <w:marLeft w:val="0"/>
                          <w:marRight w:val="0"/>
                          <w:marTop w:val="0"/>
                          <w:marBottom w:val="0"/>
                          <w:divBdr>
                            <w:top w:val="none" w:sz="0" w:space="0" w:color="auto"/>
                            <w:left w:val="none" w:sz="0" w:space="0" w:color="auto"/>
                            <w:bottom w:val="none" w:sz="0" w:space="0" w:color="auto"/>
                            <w:right w:val="none" w:sz="0" w:space="0" w:color="auto"/>
                          </w:divBdr>
                          <w:divsChild>
                            <w:div w:id="270094277">
                              <w:marLeft w:val="0"/>
                              <w:marRight w:val="0"/>
                              <w:marTop w:val="120"/>
                              <w:marBottom w:val="360"/>
                              <w:divBdr>
                                <w:top w:val="none" w:sz="0" w:space="0" w:color="auto"/>
                                <w:left w:val="none" w:sz="0" w:space="0" w:color="auto"/>
                                <w:bottom w:val="none" w:sz="0" w:space="0" w:color="auto"/>
                                <w:right w:val="none" w:sz="0" w:space="0" w:color="auto"/>
                              </w:divBdr>
                              <w:divsChild>
                                <w:div w:id="67811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0205550">
      <w:bodyDiv w:val="1"/>
      <w:marLeft w:val="0"/>
      <w:marRight w:val="0"/>
      <w:marTop w:val="0"/>
      <w:marBottom w:val="0"/>
      <w:divBdr>
        <w:top w:val="none" w:sz="0" w:space="0" w:color="auto"/>
        <w:left w:val="none" w:sz="0" w:space="0" w:color="auto"/>
        <w:bottom w:val="none" w:sz="0" w:space="0" w:color="auto"/>
        <w:right w:val="none" w:sz="0" w:space="0" w:color="auto"/>
      </w:divBdr>
      <w:divsChild>
        <w:div w:id="1408189363">
          <w:marLeft w:val="0"/>
          <w:marRight w:val="0"/>
          <w:marTop w:val="0"/>
          <w:marBottom w:val="0"/>
          <w:divBdr>
            <w:top w:val="none" w:sz="0" w:space="0" w:color="auto"/>
            <w:left w:val="none" w:sz="0" w:space="0" w:color="auto"/>
            <w:bottom w:val="none" w:sz="0" w:space="0" w:color="auto"/>
            <w:right w:val="none" w:sz="0" w:space="0" w:color="auto"/>
          </w:divBdr>
          <w:divsChild>
            <w:div w:id="1411269235">
              <w:marLeft w:val="0"/>
              <w:marRight w:val="0"/>
              <w:marTop w:val="0"/>
              <w:marBottom w:val="0"/>
              <w:divBdr>
                <w:top w:val="none" w:sz="0" w:space="0" w:color="auto"/>
                <w:left w:val="none" w:sz="0" w:space="0" w:color="auto"/>
                <w:bottom w:val="none" w:sz="0" w:space="0" w:color="auto"/>
                <w:right w:val="none" w:sz="0" w:space="0" w:color="auto"/>
              </w:divBdr>
              <w:divsChild>
                <w:div w:id="151303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042271">
      <w:bodyDiv w:val="1"/>
      <w:marLeft w:val="0"/>
      <w:marRight w:val="0"/>
      <w:marTop w:val="0"/>
      <w:marBottom w:val="0"/>
      <w:divBdr>
        <w:top w:val="none" w:sz="0" w:space="0" w:color="auto"/>
        <w:left w:val="none" w:sz="0" w:space="0" w:color="auto"/>
        <w:bottom w:val="none" w:sz="0" w:space="0" w:color="auto"/>
        <w:right w:val="none" w:sz="0" w:space="0" w:color="auto"/>
      </w:divBdr>
      <w:divsChild>
        <w:div w:id="1150832341">
          <w:marLeft w:val="0"/>
          <w:marRight w:val="1"/>
          <w:marTop w:val="0"/>
          <w:marBottom w:val="0"/>
          <w:divBdr>
            <w:top w:val="none" w:sz="0" w:space="0" w:color="auto"/>
            <w:left w:val="none" w:sz="0" w:space="0" w:color="auto"/>
            <w:bottom w:val="none" w:sz="0" w:space="0" w:color="auto"/>
            <w:right w:val="none" w:sz="0" w:space="0" w:color="auto"/>
          </w:divBdr>
          <w:divsChild>
            <w:div w:id="1249584576">
              <w:marLeft w:val="0"/>
              <w:marRight w:val="0"/>
              <w:marTop w:val="0"/>
              <w:marBottom w:val="0"/>
              <w:divBdr>
                <w:top w:val="none" w:sz="0" w:space="0" w:color="auto"/>
                <w:left w:val="none" w:sz="0" w:space="0" w:color="auto"/>
                <w:bottom w:val="none" w:sz="0" w:space="0" w:color="auto"/>
                <w:right w:val="none" w:sz="0" w:space="0" w:color="auto"/>
              </w:divBdr>
              <w:divsChild>
                <w:div w:id="517157109">
                  <w:marLeft w:val="0"/>
                  <w:marRight w:val="1"/>
                  <w:marTop w:val="0"/>
                  <w:marBottom w:val="0"/>
                  <w:divBdr>
                    <w:top w:val="none" w:sz="0" w:space="0" w:color="auto"/>
                    <w:left w:val="none" w:sz="0" w:space="0" w:color="auto"/>
                    <w:bottom w:val="none" w:sz="0" w:space="0" w:color="auto"/>
                    <w:right w:val="none" w:sz="0" w:space="0" w:color="auto"/>
                  </w:divBdr>
                  <w:divsChild>
                    <w:div w:id="88279562">
                      <w:marLeft w:val="0"/>
                      <w:marRight w:val="0"/>
                      <w:marTop w:val="0"/>
                      <w:marBottom w:val="0"/>
                      <w:divBdr>
                        <w:top w:val="none" w:sz="0" w:space="0" w:color="auto"/>
                        <w:left w:val="none" w:sz="0" w:space="0" w:color="auto"/>
                        <w:bottom w:val="none" w:sz="0" w:space="0" w:color="auto"/>
                        <w:right w:val="none" w:sz="0" w:space="0" w:color="auto"/>
                      </w:divBdr>
                      <w:divsChild>
                        <w:div w:id="157429153">
                          <w:marLeft w:val="0"/>
                          <w:marRight w:val="0"/>
                          <w:marTop w:val="0"/>
                          <w:marBottom w:val="0"/>
                          <w:divBdr>
                            <w:top w:val="none" w:sz="0" w:space="0" w:color="auto"/>
                            <w:left w:val="none" w:sz="0" w:space="0" w:color="auto"/>
                            <w:bottom w:val="none" w:sz="0" w:space="0" w:color="auto"/>
                            <w:right w:val="none" w:sz="0" w:space="0" w:color="auto"/>
                          </w:divBdr>
                          <w:divsChild>
                            <w:div w:id="1480880716">
                              <w:marLeft w:val="0"/>
                              <w:marRight w:val="0"/>
                              <w:marTop w:val="120"/>
                              <w:marBottom w:val="360"/>
                              <w:divBdr>
                                <w:top w:val="none" w:sz="0" w:space="0" w:color="auto"/>
                                <w:left w:val="none" w:sz="0" w:space="0" w:color="auto"/>
                                <w:bottom w:val="none" w:sz="0" w:space="0" w:color="auto"/>
                                <w:right w:val="none" w:sz="0" w:space="0" w:color="auto"/>
                              </w:divBdr>
                              <w:divsChild>
                                <w:div w:id="18140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925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6.png"/><Relationship Id="rId26" Type="http://schemas.openxmlformats.org/officeDocument/2006/relationships/hyperlink" Target="http://www.health.govt.nz/our-work/populations/maori-health/he-korowai-oranga/key-threads/equity" TargetMode="External"/><Relationship Id="rId39" Type="http://schemas.openxmlformats.org/officeDocument/2006/relationships/hyperlink" Target="https://www.health.govt.nz/system/files/documents/publications/guidance-implementing-high-quality-multidisciplinary-meetings-oct12-v3.pdf" TargetMode="External"/><Relationship Id="rId21" Type="http://schemas.openxmlformats.org/officeDocument/2006/relationships/hyperlink" Target="http://www.health.govt.nz/publication/guidance-surveillance-people-increased-risk-colorectal-cancer" TargetMode="External"/><Relationship Id="rId34" Type="http://schemas.openxmlformats.org/officeDocument/2006/relationships/hyperlink" Target="https://www.asge.org/docs/default-source/education/practice_guidelines/doc-bowel_prep_before_colonoscopy.pdf" TargetMode="External"/><Relationship Id="rId42" Type="http://schemas.openxmlformats.org/officeDocument/2006/relationships/hyperlink" Target="https://www.nsu.govt.nz/health-professionals/national-bowel-screening-programme" TargetMode="External"/><Relationship Id="rId47" Type="http://schemas.openxmlformats.org/officeDocument/2006/relationships/hyperlink" Target="http://www.health.govt.nz/search/results/NZGG" TargetMode="External"/><Relationship Id="rId50" Type="http://schemas.openxmlformats.org/officeDocument/2006/relationships/hyperlink" Target="http://apps.who.int/bookorders/WHP/detart1.jsp?sesslan=1&amp;codlan=1&amp;codcol=70&amp;codcch=4003"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5.png"/><Relationship Id="rId25" Type="http://schemas.openxmlformats.org/officeDocument/2006/relationships/image" Target="media/image10.png"/><Relationship Id="rId33" Type="http://schemas.openxmlformats.org/officeDocument/2006/relationships/hyperlink" Target="http://dx.doi.org/10.1016/j.gie.2014.09.048" TargetMode="External"/><Relationship Id="rId38" Type="http://schemas.openxmlformats.org/officeDocument/2006/relationships/hyperlink" Target="https://www.health.govt.nz/publication/guidance-implementing-high-quality-multidisciplinary-meetings" TargetMode="External"/><Relationship Id="rId46" Type="http://schemas.openxmlformats.org/officeDocument/2006/relationships/hyperlink" Target="http://www.nzfgcs.co.nz/home"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image" Target="media/image8.png"/><Relationship Id="rId29" Type="http://schemas.openxmlformats.org/officeDocument/2006/relationships/hyperlink" Target="http://www.gastro.org" TargetMode="External"/><Relationship Id="rId41" Type="http://schemas.openxmlformats.org/officeDocument/2006/relationships/hyperlink" Target="https://www.health.govt.nz/our-work/diseases-and-conditions/cancer-programme/bowel-cancer-programme"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health.govt.nz/our-work/diseases-and-conditions/cancer-programme/faster-cancer-treatment-programme/national-tumour-standards" TargetMode="External"/><Relationship Id="rId32" Type="http://schemas.openxmlformats.org/officeDocument/2006/relationships/hyperlink" Target="https://doi.org/10.1053/j.gastro.2017.05.013" TargetMode="External"/><Relationship Id="rId37" Type="http://schemas.openxmlformats.org/officeDocument/2006/relationships/hyperlink" Target="http://www.health.govt.nz/our-work/populations/maori-health/he-korowai-oranga/key-threads/equity" TargetMode="External"/><Relationship Id="rId40" Type="http://schemas.openxmlformats.org/officeDocument/2006/relationships/hyperlink" Target="https://www.health.govt.nz/system/files/documents/publications/new-zealand-health-strategy-futuredirection-2016-apr16.pdf" TargetMode="External"/><Relationship Id="rId45" Type="http://schemas.openxmlformats.org/officeDocument/2006/relationships/hyperlink" Target="https://www.nsu.govt.nz/" TargetMode="External"/><Relationship Id="rId53"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9.png"/><Relationship Id="rId28" Type="http://schemas.openxmlformats.org/officeDocument/2006/relationships/hyperlink" Target="https://doi.org/10.1053/j.gastro.2017.05.013" TargetMode="External"/><Relationship Id="rId36" Type="http://schemas.openxmlformats.org/officeDocument/2006/relationships/hyperlink" Target="http://scanmail.trustwave.com/?c=5305&amp;d=76yn2kLkE6MGhcdWWKbxjtLcflt3J_UVY4fZk6s8wQ&amp;u=http%3a%2f%2fwww%2eesge%2ecom%2fcolorectal-polypectomy-and-endoscopic-mucosal-resection-emr-esge%2ehtml" TargetMode="External"/><Relationship Id="rId49" Type="http://schemas.openxmlformats.org/officeDocument/2006/relationships/hyperlink" Target="https://www.ranzcr.com/fellows/clinical-radiology/quality-assurance-and-accreditation/ctc" TargetMode="External"/><Relationship Id="rId10" Type="http://schemas.openxmlformats.org/officeDocument/2006/relationships/footer" Target="footer1.xml"/><Relationship Id="rId19" Type="http://schemas.openxmlformats.org/officeDocument/2006/relationships/image" Target="media/image7.png"/><Relationship Id="rId31" Type="http://schemas.openxmlformats.org/officeDocument/2006/relationships/hyperlink" Target="http://campaigns.gastro.org/algorithms/crc/early-detection/150-027PNQ_14-3%20CRC%20Screening%20Algorithm_v1%5B1%5D.pdf" TargetMode="External"/><Relationship Id="rId44" Type="http://schemas.openxmlformats.org/officeDocument/2006/relationships/hyperlink" Target="https://www.nice.org.uk/guidance/cg131" TargetMode="External"/><Relationship Id="rId52"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health.govt.nz/our-work/diseases-and-conditions/cancer-programme/faster-cancer-treatment-programme/national-tumour-standards" TargetMode="External"/><Relationship Id="rId27" Type="http://schemas.openxmlformats.org/officeDocument/2006/relationships/hyperlink" Target="https://www.england.nhs.uk/wp-content/uploads/2017/04/service-spec-26.pdf" TargetMode="External"/><Relationship Id="rId30" Type="http://schemas.openxmlformats.org/officeDocument/2006/relationships/hyperlink" Target="http://www.gastro.org/guidelines" TargetMode="External"/><Relationship Id="rId35" Type="http://schemas.openxmlformats.org/officeDocument/2006/relationships/hyperlink" Target="http://gut.bmj.com/content/gutjnl/early/2017/04/27/gutjnl-2017-314005.full.pdf" TargetMode="External"/><Relationship Id="rId43" Type="http://schemas.openxmlformats.org/officeDocument/2006/relationships/hyperlink" Target="https://www.england.nhs.uk/wp-content/uploads/2017/04/service-spec-26.pdf" TargetMode="External"/><Relationship Id="rId48" Type="http://schemas.openxmlformats.org/officeDocument/2006/relationships/hyperlink" Target="https://www.ranzcr.com/college/document-library/" TargetMode="External"/><Relationship Id="rId8" Type="http://schemas.openxmlformats.org/officeDocument/2006/relationships/image" Target="media/image1.jpeg"/><Relationship Id="rId51" Type="http://schemas.openxmlformats.org/officeDocument/2006/relationships/header" Target="header2.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s://www.nsu.govt.nz/system/files/resources/national-bowel-screening-programme%20interim-quality-standards-jul17v2.pdf" TargetMode="External"/><Relationship Id="rId13" Type="http://schemas.openxmlformats.org/officeDocument/2006/relationships/hyperlink" Target="file:///C:\Users\hneal\AppData\Local\Temp\notes616021\The" TargetMode="External"/><Relationship Id="rId18" Type="http://schemas.openxmlformats.org/officeDocument/2006/relationships/hyperlink" Target="https://www.ncbi.nlm.nih.gov/pubmed/?term=Boland%20CR%5BAuthor%5D&amp;cauthor=true&amp;cauthor_uid=27769516" TargetMode="External"/><Relationship Id="rId26" Type="http://schemas.openxmlformats.org/officeDocument/2006/relationships/hyperlink" Target="http://www.giejournal.org/article/S0016-5107(16)30625-3/pdf" TargetMode="External"/><Relationship Id="rId39" Type="http://schemas.openxmlformats.org/officeDocument/2006/relationships/hyperlink" Target="https://www.ncbi.nlm.nih.gov/pubmed/28457708" TargetMode="External"/><Relationship Id="rId3" Type="http://schemas.openxmlformats.org/officeDocument/2006/relationships/hyperlink" Target="https://www.health.govt.nz/publication/guidance-surveillance-people-increased-risk-colorectal-cancer" TargetMode="External"/><Relationship Id="rId21" Type="http://schemas.openxmlformats.org/officeDocument/2006/relationships/hyperlink" Target="https://www.ncbi.nlm.nih.gov/pubmed/?term=Johnson%20DA%5BAuthor%5D&amp;cauthor=true&amp;cauthor_uid=27769516" TargetMode="External"/><Relationship Id="rId34" Type="http://schemas.openxmlformats.org/officeDocument/2006/relationships/hyperlink" Target="https://www.ncbi.nlm.nih.gov/pubmed/?term=Rex%20DK%5BAuthor%5D&amp;cauthor=true&amp;cauthor_uid=24796960" TargetMode="External"/><Relationship Id="rId42" Type="http://schemas.openxmlformats.org/officeDocument/2006/relationships/hyperlink" Target="https://www.health.govt.nz/publication/molecular-testing-colorectal-cancers-new-zealand-minimum-standards-molecular-testing-newly-diagnosed" TargetMode="External"/><Relationship Id="rId7" Type="http://schemas.openxmlformats.org/officeDocument/2006/relationships/hyperlink" Target="http://www.health.govt.nz/system/files/documents/pages/nbswg-maori-equity-statement-updated2017.docx" TargetMode="External"/><Relationship Id="rId12" Type="http://schemas.openxmlformats.org/officeDocument/2006/relationships/hyperlink" Target="http://www.hdc.org.nz/the-act-code/the-code-of-rights" TargetMode="External"/><Relationship Id="rId17" Type="http://schemas.openxmlformats.org/officeDocument/2006/relationships/hyperlink" Target="https://www.ncbi.nlm.nih.gov/pubmed/?term=Lee%20JK%5BAuthor%5D&amp;cauthor=true&amp;cauthor_uid=27769516" TargetMode="External"/><Relationship Id="rId25" Type="http://schemas.openxmlformats.org/officeDocument/2006/relationships/hyperlink" Target="https://www.ncbi.nlm.nih.gov/pubmed/?term=Rex%20DK%5BAuthor%5D&amp;cauthor=true&amp;cauthor_uid=27769516" TargetMode="External"/><Relationship Id="rId33" Type="http://schemas.openxmlformats.org/officeDocument/2006/relationships/hyperlink" Target="https://www.ncbi.nlm.nih.gov/pubmed/?term=Vemulapalli%20KC%5BAuthor%5D&amp;cauthor=true&amp;cauthor_uid=24796960" TargetMode="External"/><Relationship Id="rId38" Type="http://schemas.openxmlformats.org/officeDocument/2006/relationships/hyperlink" Target="https://www.ncbi.nlm.nih.gov/pubmed/?term=Brenner%20A%5BAuthor%5D&amp;cauthor=true&amp;cauthor_uid=28457708" TargetMode="External"/><Relationship Id="rId2" Type="http://schemas.openxmlformats.org/officeDocument/2006/relationships/hyperlink" Target="https://doi.org/10.1787/health_glance-2017-41-en" TargetMode="External"/><Relationship Id="rId16" Type="http://schemas.openxmlformats.org/officeDocument/2006/relationships/hyperlink" Target="https://www.ncbi.nlm.nih.gov/pubmed/?term=Robertson%20DJ%5BAuthor%5D&amp;cauthor=true&amp;cauthor_uid=27769516" TargetMode="External"/><Relationship Id="rId20" Type="http://schemas.openxmlformats.org/officeDocument/2006/relationships/hyperlink" Target="https://www.ncbi.nlm.nih.gov/pubmed/?term=Giardiello%20FM%5BAuthor%5D&amp;cauthor=true&amp;cauthor_uid=27769516" TargetMode="External"/><Relationship Id="rId29" Type="http://schemas.openxmlformats.org/officeDocument/2006/relationships/hyperlink" Target="http://www.nzfgcs.co.nz/Portals/4/NZ%20CRC%20guidelines%202012.pdf" TargetMode="External"/><Relationship Id="rId41" Type="http://schemas.openxmlformats.org/officeDocument/2006/relationships/hyperlink" Target="https://www.health.govt.nz/our-work/diseases-and-conditions/cancer-programme/bowel-cancer-programme/bowel-screening-pilot/bowel-screening-pilot-monitoring-indicators" TargetMode="External"/><Relationship Id="rId1" Type="http://schemas.openxmlformats.org/officeDocument/2006/relationships/hyperlink" Target="https://doi.org/10.1787/health_glance-2017-graph103-en" TargetMode="External"/><Relationship Id="rId6" Type="http://schemas.openxmlformats.org/officeDocument/2006/relationships/hyperlink" Target="http://www.health.govt.nz/our-work/populations/maori-health/he-korowai-oranga/strengthening-he-korowai-oranga/treaty-waitangi-principles" TargetMode="External"/><Relationship Id="rId11" Type="http://schemas.openxmlformats.org/officeDocument/2006/relationships/hyperlink" Target="file:///C:\Users\hneal\AppData\Local\Temp\notes616021\The" TargetMode="External"/><Relationship Id="rId24" Type="http://schemas.openxmlformats.org/officeDocument/2006/relationships/hyperlink" Target="https://www.ncbi.nlm.nih.gov/pubmed/?term=Levin%20TR%5BAuthor%5D&amp;cauthor=true&amp;cauthor_uid=27769516" TargetMode="External"/><Relationship Id="rId32" Type="http://schemas.openxmlformats.org/officeDocument/2006/relationships/hyperlink" Target="http://www.health.govt.nz/publication/guidance-surveillance-people-increased-risk-colorectal-cancer" TargetMode="External"/><Relationship Id="rId37" Type="http://schemas.openxmlformats.org/officeDocument/2006/relationships/hyperlink" Target="https://www.ncbi.nlm.nih.gov/pubmed/?term=Wooldrage%20K%5BAuthor%5D&amp;cauthor=true&amp;cauthor_uid=28457708" TargetMode="External"/><Relationship Id="rId40" Type="http://schemas.openxmlformats.org/officeDocument/2006/relationships/hyperlink" Target="https://www.health.govt.nz/our-work/diseases-and-conditions/cancer-programme/faster-cancer-treatment-programme" TargetMode="External"/><Relationship Id="rId5" Type="http://schemas.openxmlformats.org/officeDocument/2006/relationships/hyperlink" Target="http://www.health.govt.nz/our-work/diseases-and-conditions/cancer-programme/bowel-cancer-programme/bowel-screening-pilot/bowel-screening-pilot-results" TargetMode="External"/><Relationship Id="rId15" Type="http://schemas.openxmlformats.org/officeDocument/2006/relationships/hyperlink" Target="https://www.ncbi.nlm.nih.gov/pmc/articles/PMC3964261/" TargetMode="External"/><Relationship Id="rId23" Type="http://schemas.openxmlformats.org/officeDocument/2006/relationships/hyperlink" Target="https://www.ncbi.nlm.nih.gov/pubmed/?term=Lieberman%20D%5BAuthor%5D&amp;cauthor=true&amp;cauthor_uid=27769516" TargetMode="External"/><Relationship Id="rId28" Type="http://schemas.openxmlformats.org/officeDocument/2006/relationships/hyperlink" Target="http://www.nzfgcs.co.nz/services/who-is-referred" TargetMode="External"/><Relationship Id="rId36" Type="http://schemas.openxmlformats.org/officeDocument/2006/relationships/hyperlink" Target="https://www.ncbi.nlm.nih.gov/pubmed/?term=Atkin%20W%5BAuthor%5D&amp;cauthor=true&amp;cauthor_uid=28457708" TargetMode="External"/><Relationship Id="rId10" Type="http://schemas.openxmlformats.org/officeDocument/2006/relationships/hyperlink" Target="https://www.gov.uk/government/uploads/system/uploads/attachment_data/file/672737/Managing_safety_incidents_in_National_screening_programmes.pdf" TargetMode="External"/><Relationship Id="rId19" Type="http://schemas.openxmlformats.org/officeDocument/2006/relationships/hyperlink" Target="https://www.ncbi.nlm.nih.gov/pubmed/?term=Dominitz%20JA%5BAuthor%5D&amp;cauthor=true&amp;cauthor_uid=27769516" TargetMode="External"/><Relationship Id="rId31" Type="http://schemas.openxmlformats.org/officeDocument/2006/relationships/hyperlink" Target="http://scanmail.trustwave.com/?c=5305&amp;d=76yn2kLkE6MGhcdWWKbxjtLcflt3J_UVY4fZk6s8wQ&amp;u=http%3a%2f%2fwww%2eesge%2ecom%2fcolorectal-polypectomy-and-endoscopic-mucosal-resection-emr-esge%2ehtml" TargetMode="External"/><Relationship Id="rId4" Type="http://schemas.openxmlformats.org/officeDocument/2006/relationships/hyperlink" Target="https://www.health.govt.nz/system/files/documents/publications/colorectal-cancer-surveillance-guidance.pdf" TargetMode="External"/><Relationship Id="rId9" Type="http://schemas.openxmlformats.org/officeDocument/2006/relationships/hyperlink" Target="file:///C:\Users\suparry\AppData\Local\Temp\notesCB521E\Guidance%20on%20open%20disclosure%20policies.%20Health%20and%20Disability%20Commissioner%20December%202009%20https:\www.hdc.org.nz\resources-publications\search-resources\leaflets\guidance-on-open-disclosure-policies\&#160;" TargetMode="External"/><Relationship Id="rId14" Type="http://schemas.openxmlformats.org/officeDocument/2006/relationships/hyperlink" Target="http://www.hdc.org.nz/the-act-code/the-code-of-rights" TargetMode="External"/><Relationship Id="rId22" Type="http://schemas.openxmlformats.org/officeDocument/2006/relationships/hyperlink" Target="https://www.ncbi.nlm.nih.gov/pubmed/?term=Kaltenbach%20T%5BAuthor%5D&amp;cauthor=true&amp;cauthor_uid=27769516" TargetMode="External"/><Relationship Id="rId27" Type="http://schemas.openxmlformats.org/officeDocument/2006/relationships/hyperlink" Target="https://www.health.govt.nz/system/files/documents/pages/referral-criteria-direct-access-outpatient-colonoscopy-ct-colonography-nov15.doc" TargetMode="External"/><Relationship Id="rId30" Type="http://schemas.openxmlformats.org/officeDocument/2006/relationships/hyperlink" Target="http://www.health.govt.nz/publication/guidance-surveillance-people-increased-risk-colorectal-cancer" TargetMode="External"/><Relationship Id="rId35" Type="http://schemas.openxmlformats.org/officeDocument/2006/relationships/hyperlink" Target="https://www.ncbi.nlm.nih.gov/pubmed/2479696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70A47-AE2C-4920-AC3A-B8320576B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25</TotalTime>
  <Pages>49</Pages>
  <Words>13483</Words>
  <Characters>87592</Characters>
  <Application>Microsoft Office Word</Application>
  <DocSecurity>0</DocSecurity>
  <Lines>729</Lines>
  <Paragraphs>201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best practice management in the National Bowel Screening Programme</dc:title>
  <dc:creator>Ministry of Health</dc:creator>
  <cp:lastModifiedBy>Berni Marwick</cp:lastModifiedBy>
  <cp:revision>4</cp:revision>
  <cp:lastPrinted>2018-11-20T23:09:00Z</cp:lastPrinted>
  <dcterms:created xsi:type="dcterms:W3CDTF">2018-11-22T01:38:00Z</dcterms:created>
  <dcterms:modified xsi:type="dcterms:W3CDTF">2018-11-22T02:03:00Z</dcterms:modified>
</cp:coreProperties>
</file>