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A30F6E" w14:textId="55718B76" w:rsidR="000F798A" w:rsidRDefault="000F798A" w:rsidP="00541BD9">
      <w:pPr>
        <w:pStyle w:val="Tabletext"/>
      </w:pPr>
    </w:p>
    <w:p w14:paraId="6293D11D" w14:textId="77777777" w:rsidR="006E5870" w:rsidRPr="008C1419" w:rsidRDefault="006E5870" w:rsidP="000F798A">
      <w:pPr>
        <w:pStyle w:val="Clientno"/>
        <w:jc w:val="left"/>
        <w:rPr>
          <w:rFonts w:ascii="Montserrat Light" w:hAnsi="Montserrat Light"/>
          <w:color w:val="F9423A"/>
          <w:szCs w:val="26"/>
        </w:rPr>
      </w:pPr>
    </w:p>
    <w:p w14:paraId="5BCA43CA" w14:textId="77777777" w:rsidR="000F798A" w:rsidRPr="008C1419" w:rsidRDefault="000F798A" w:rsidP="000F798A">
      <w:pPr>
        <w:pStyle w:val="Clientno"/>
        <w:jc w:val="left"/>
        <w:rPr>
          <w:rFonts w:ascii="Montserrat Light" w:hAnsi="Montserrat Light"/>
          <w:color w:val="F9423A"/>
          <w:szCs w:val="26"/>
        </w:rPr>
      </w:pPr>
    </w:p>
    <w:p w14:paraId="799778B1" w14:textId="77777777" w:rsidR="000F798A" w:rsidRPr="008C1419" w:rsidRDefault="000F798A" w:rsidP="000F798A">
      <w:pPr>
        <w:pStyle w:val="Clientno"/>
        <w:jc w:val="left"/>
        <w:rPr>
          <w:rFonts w:ascii="Montserrat Light" w:hAnsi="Montserrat Light"/>
          <w:color w:val="F9423A"/>
          <w:szCs w:val="26"/>
        </w:rPr>
      </w:pPr>
    </w:p>
    <w:sdt>
      <w:sdtPr>
        <w:rPr>
          <w:rStyle w:val="TitleChar"/>
          <w:color w:val="F9423A"/>
          <w:sz w:val="56"/>
        </w:rPr>
        <w:alias w:val="Form.ProjectTitle"/>
        <w:tag w:val="{&quot;templafy&quot;:{&quot;id&quot;:&quot;9f6a6216-896e-42ac-8b60-4dc2abb2a92a&quot;}}"/>
        <w:id w:val="-28414664"/>
        <w:placeholder>
          <w:docPart w:val="DefaultPlaceholder_-1854013440"/>
        </w:placeholder>
      </w:sdtPr>
      <w:sdtEndPr>
        <w:rPr>
          <w:rStyle w:val="TitleChar"/>
        </w:rPr>
      </w:sdtEndPr>
      <w:sdtContent>
        <w:p w14:paraId="28A31B19" w14:textId="68AE6AAE" w:rsidR="002C399C" w:rsidRDefault="008A6C4E">
          <w:pPr>
            <w:pStyle w:val="Title"/>
            <w:spacing w:before="220" w:after="120"/>
            <w:rPr>
              <w:color w:val="F9423A"/>
              <w:sz w:val="56"/>
            </w:rPr>
          </w:pPr>
          <w:r>
            <w:rPr>
              <w:rStyle w:val="WSPCoverPage-MainTitleChar"/>
            </w:rPr>
            <w:t>Gamgard</w:t>
          </w:r>
          <w:r w:rsidR="00F6327B">
            <w:rPr>
              <w:rStyle w:val="WSPCoverPage-MainTitleChar"/>
            </w:rPr>
            <w:t xml:space="preserve"> Evaluation </w:t>
          </w:r>
          <w:r w:rsidR="002E2084">
            <w:rPr>
              <w:rStyle w:val="WSPCoverPage-MainTitleChar"/>
            </w:rPr>
            <w:br/>
          </w:r>
          <w:r w:rsidR="00655721">
            <w:rPr>
              <w:rStyle w:val="WSPCoverPage-MainTitleChar"/>
            </w:rPr>
            <w:t>F</w:t>
          </w:r>
          <w:r w:rsidR="006C58E4">
            <w:rPr>
              <w:rStyle w:val="WSPCoverPage-MainTitleChar"/>
            </w:rPr>
            <w:t>inal report</w:t>
          </w:r>
        </w:p>
      </w:sdtContent>
    </w:sdt>
    <w:p w14:paraId="2594BB20" w14:textId="77777777" w:rsidR="000F798A" w:rsidRPr="008C1419" w:rsidRDefault="000F798A" w:rsidP="006C43B5">
      <w:pPr>
        <w:rPr>
          <w:sz w:val="26"/>
          <w:szCs w:val="26"/>
        </w:rPr>
        <w:sectPr w:rsidR="000F798A" w:rsidRPr="008C1419" w:rsidSect="00F22A6A">
          <w:headerReference w:type="default" r:id="rId10"/>
          <w:footerReference w:type="even" r:id="rId11"/>
          <w:footerReference w:type="default" r:id="rId12"/>
          <w:headerReference w:type="first" r:id="rId13"/>
          <w:pgSz w:w="11906" w:h="16838" w:code="9"/>
          <w:pgMar w:top="1418" w:right="1134" w:bottom="2410" w:left="1560" w:header="426" w:footer="956" w:gutter="0"/>
          <w:cols w:space="708"/>
          <w:docGrid w:linePitch="360"/>
        </w:sectPr>
      </w:pPr>
    </w:p>
    <w:tbl>
      <w:tblPr>
        <w:tblStyle w:val="TableGrid"/>
        <w:tblpPr w:tblpXSpec="right" w:tblpY="1419"/>
        <w:tblOverlap w:val="never"/>
        <w:tblW w:w="235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4536"/>
      </w:tblGrid>
      <w:tr w:rsidR="00C37035" w:rsidRPr="008C1419" w14:paraId="5EA5A6E8" w14:textId="77777777" w:rsidTr="00974436">
        <w:tc>
          <w:tcPr>
            <w:tcW w:w="4536" w:type="dxa"/>
          </w:tcPr>
          <w:p w14:paraId="55DB71B2" w14:textId="77777777" w:rsidR="00C37035" w:rsidRPr="008C1419" w:rsidRDefault="00C37035" w:rsidP="008C1419">
            <w:pPr>
              <w:pStyle w:val="WSPHeadingSub"/>
            </w:pPr>
            <w:r w:rsidRPr="008C1419">
              <w:lastRenderedPageBreak/>
              <w:t>Contact Details</w:t>
            </w:r>
          </w:p>
        </w:tc>
      </w:tr>
      <w:tr w:rsidR="00C37035" w:rsidRPr="008C1419" w14:paraId="0528C14B" w14:textId="77777777" w:rsidTr="00974436">
        <w:trPr>
          <w:trHeight w:val="1928"/>
        </w:trPr>
        <w:tc>
          <w:tcPr>
            <w:tcW w:w="4536" w:type="dxa"/>
          </w:tcPr>
          <w:p w14:paraId="14010C0B" w14:textId="0D27ACD5" w:rsidR="00EB4EBC" w:rsidRDefault="00BF1BEA" w:rsidP="00E0411A">
            <w:pPr>
              <w:pStyle w:val="WSPHeadingSub-Sub"/>
            </w:pPr>
            <w:r>
              <w:rPr>
                <w:i w:val="0"/>
                <w:color w:val="FF0000"/>
              </w:rPr>
              <w:t>Bill Frith</w:t>
            </w:r>
          </w:p>
          <w:sdt>
            <w:sdtPr>
              <w:alias w:val="UserProfile.Office.CompanyName"/>
              <w:tag w:val="{&quot;templafy&quot;:{&quot;id&quot;:&quot;814d719f-85b4-49e7-a240-9bd7ba738215&quot;}}"/>
              <w:id w:val="52280584"/>
              <w:placeholder>
                <w:docPart w:val="824F913BD81D4F92B6A13E84D8922055"/>
              </w:placeholder>
            </w:sdtPr>
            <w:sdtEndPr/>
            <w:sdtContent>
              <w:p w14:paraId="0737BBD8" w14:textId="77777777" w:rsidR="002C399C" w:rsidRDefault="00F6327B">
                <w:r>
                  <w:t>WSP</w:t>
                </w:r>
              </w:p>
            </w:sdtContent>
          </w:sdt>
          <w:sdt>
            <w:sdtPr>
              <w:alias w:val="UserProfile.Office.OfficeAddress"/>
              <w:tag w:val="{&quot;templafy&quot;:{&quot;id&quot;:&quot;38d259c3-5d3f-4244-bdd0-4ebdeaae1449&quot;}}"/>
              <w:id w:val="-1255431934"/>
              <w:placeholder>
                <w:docPart w:val="2A971B1AEFAF4D98B2EC3CED4A1B3D14"/>
              </w:placeholder>
            </w:sdtPr>
            <w:sdtEndPr/>
            <w:sdtContent>
              <w:p w14:paraId="002E09A4" w14:textId="77777777" w:rsidR="002C399C" w:rsidRDefault="00F6327B">
                <w:r>
                  <w:t>33 The Esplanade</w:t>
                </w:r>
              </w:p>
              <w:p w14:paraId="01348697" w14:textId="77777777" w:rsidR="002C399C" w:rsidRDefault="00F6327B">
                <w:r>
                  <w:t>Petone</w:t>
                </w:r>
              </w:p>
              <w:p w14:paraId="571BF033" w14:textId="77777777" w:rsidR="002C399C" w:rsidRDefault="00F6327B">
                <w:r>
                  <w:t>Lower Hutt 5012</w:t>
                </w:r>
              </w:p>
            </w:sdtContent>
          </w:sdt>
          <w:sdt>
            <w:sdtPr>
              <w:alias w:val="UserProfile.Office.OfficePhone"/>
              <w:tag w:val="{&quot;templafy&quot;:{&quot;id&quot;:&quot;e2049535-8f5d-4323-83ce-b89b1a272a84&quot;}}"/>
              <w:id w:val="907506497"/>
              <w:placeholder>
                <w:docPart w:val="52A45240446642659425A2D706D08B77"/>
              </w:placeholder>
            </w:sdtPr>
            <w:sdtEndPr/>
            <w:sdtContent>
              <w:p w14:paraId="65DAB638" w14:textId="0EE193BD" w:rsidR="002C399C" w:rsidRDefault="00F6327B">
                <w:r>
                  <w:t>+64 4 587 06</w:t>
                </w:r>
                <w:r w:rsidR="00BF1BEA">
                  <w:t>9</w:t>
                </w:r>
                <w:r>
                  <w:t>0</w:t>
                </w:r>
              </w:p>
            </w:sdtContent>
          </w:sdt>
          <w:p w14:paraId="57522380" w14:textId="4561039E" w:rsidR="002C399C" w:rsidRDefault="00011645">
            <w:r>
              <w:t>William.frith@wsp.com</w:t>
            </w:r>
          </w:p>
        </w:tc>
      </w:tr>
      <w:tr w:rsidR="00C37035" w:rsidRPr="008C1419" w14:paraId="0F1DC81E" w14:textId="77777777" w:rsidTr="001858C0">
        <w:trPr>
          <w:trHeight w:val="1474"/>
        </w:trPr>
        <w:tc>
          <w:tcPr>
            <w:tcW w:w="4536" w:type="dxa"/>
          </w:tcPr>
          <w:p w14:paraId="078BFAEB" w14:textId="77777777" w:rsidR="00C37035" w:rsidRPr="008C1419" w:rsidRDefault="00C37035" w:rsidP="008C1419">
            <w:pPr>
              <w:pStyle w:val="WSPHeadingSub-Sub"/>
            </w:pPr>
            <w:r w:rsidRPr="008C1419">
              <w:t>Document Details:</w:t>
            </w:r>
          </w:p>
          <w:p w14:paraId="2025C458" w14:textId="65A8DA34" w:rsidR="00C37035" w:rsidRPr="008C1419" w:rsidRDefault="00C37035" w:rsidP="008C1419">
            <w:r w:rsidRPr="008C1419">
              <w:t>Date:</w:t>
            </w:r>
            <w:r w:rsidR="001C3BD6">
              <w:t xml:space="preserve"> </w:t>
            </w:r>
            <w:r w:rsidR="005F11C8">
              <w:t>8</w:t>
            </w:r>
            <w:r w:rsidR="00B06B3C">
              <w:t xml:space="preserve"> </w:t>
            </w:r>
            <w:r w:rsidR="005F11C8">
              <w:t xml:space="preserve">November </w:t>
            </w:r>
            <w:r w:rsidR="00B06B3C">
              <w:t>2021</w:t>
            </w:r>
            <w:r w:rsidRPr="008C1419">
              <w:tab/>
            </w:r>
            <w:r w:rsidR="00974436" w:rsidRPr="008C1419">
              <w:fldChar w:fldCharType="begin"/>
            </w:r>
            <w:r w:rsidR="00BF63EA" w:rsidRPr="008C1419">
              <w:instrText xml:space="preserve"> DOCPROPERTY  report_date  \* MERGEFORMAT </w:instrText>
            </w:r>
            <w:r w:rsidR="00974436" w:rsidRPr="008C1419">
              <w:fldChar w:fldCharType="end"/>
            </w:r>
          </w:p>
          <w:p w14:paraId="63EA1592" w14:textId="1FECB487" w:rsidR="00C37035" w:rsidRPr="008C1419" w:rsidRDefault="00C37035" w:rsidP="008C1419">
            <w:r w:rsidRPr="008C1419">
              <w:t>Reference:</w:t>
            </w:r>
            <w:r w:rsidR="003E577A">
              <w:t xml:space="preserve"> 5-28185.00</w:t>
            </w:r>
            <w:r w:rsidRPr="008C1419">
              <w:tab/>
            </w:r>
            <w:bookmarkStart w:id="0" w:name="ob_doc_ref"/>
            <w:bookmarkEnd w:id="0"/>
          </w:p>
          <w:p w14:paraId="264A6552" w14:textId="68CF23B1" w:rsidR="00C37035" w:rsidRPr="008C1419" w:rsidRDefault="00C37035" w:rsidP="008C1419">
            <w:r w:rsidRPr="008C1419">
              <w:t>Status:</w:t>
            </w:r>
            <w:r w:rsidRPr="008C1419">
              <w:tab/>
            </w:r>
            <w:bookmarkStart w:id="1" w:name="ob_doc_status"/>
            <w:bookmarkEnd w:id="1"/>
            <w:r w:rsidR="001C3BD6">
              <w:t>Final</w:t>
            </w:r>
          </w:p>
        </w:tc>
      </w:tr>
      <w:tr w:rsidR="00C37035" w:rsidRPr="008C1419" w14:paraId="6E467F9A" w14:textId="77777777" w:rsidTr="001858C0">
        <w:trPr>
          <w:trHeight w:val="850"/>
        </w:trPr>
        <w:tc>
          <w:tcPr>
            <w:tcW w:w="4536" w:type="dxa"/>
            <w:shd w:val="clear" w:color="auto" w:fill="auto"/>
          </w:tcPr>
          <w:p w14:paraId="0492EBC3" w14:textId="77777777" w:rsidR="0072749E" w:rsidRPr="0072749E" w:rsidRDefault="00DF7020" w:rsidP="0072749E">
            <w:pPr>
              <w:pStyle w:val="BodyText"/>
              <w:spacing w:after="0"/>
              <w:rPr>
                <w:i/>
              </w:rPr>
            </w:pPr>
            <w:bookmarkStart w:id="2" w:name="ob_prepared_by"/>
            <w:bookmarkStart w:id="3" w:name="ob_prepared_underline" w:colFirst="0" w:colLast="0"/>
            <w:bookmarkEnd w:id="2"/>
            <w:r w:rsidRPr="0072749E">
              <w:rPr>
                <w:i/>
              </w:rPr>
              <w:t>Prepared by</w:t>
            </w:r>
          </w:p>
          <w:p w14:paraId="15CAD8E3" w14:textId="60458B9C" w:rsidR="0072749E" w:rsidRPr="008B2382" w:rsidRDefault="00005CFC" w:rsidP="0072749E">
            <w:pPr>
              <w:pStyle w:val="BodyText"/>
              <w:spacing w:after="0"/>
            </w:pPr>
            <w:sdt>
              <w:sdtPr>
                <w:rPr>
                  <w:rStyle w:val="BodyTextChar"/>
                </w:rPr>
                <w:alias w:val="Form.PreparedBy"/>
                <w:tag w:val="{&quot;templafy&quot;:{&quot;id&quot;:&quot;b3038c3f-cc76-4679-bc80-f1a8a46f55f6&quot;}}"/>
                <w:id w:val="-1406217890"/>
                <w:placeholder>
                  <w:docPart w:val="86BFBC111E38496B9AF3C1D472C26CC9"/>
                </w:placeholder>
              </w:sdtPr>
              <w:sdtEndPr>
                <w:rPr>
                  <w:rStyle w:val="DefaultParagraphFont"/>
                </w:rPr>
              </w:sdtEndPr>
              <w:sdtContent>
                <w:r w:rsidR="00DA1C87">
                  <w:rPr>
                    <w:rStyle w:val="BodyTextChar"/>
                  </w:rPr>
                  <w:t>Bill Frith</w:t>
                </w:r>
                <w:r w:rsidR="003C65C3">
                  <w:rPr>
                    <w:rStyle w:val="BodyTextChar"/>
                  </w:rPr>
                  <w:t xml:space="preserve">, Jean Beetham, </w:t>
                </w:r>
                <w:r w:rsidR="000648C1">
                  <w:rPr>
                    <w:rStyle w:val="BodyTextChar"/>
                  </w:rPr>
                  <w:t xml:space="preserve">Jared Thomas </w:t>
                </w:r>
                <w:r w:rsidR="003C65C3">
                  <w:rPr>
                    <w:rStyle w:val="BodyTextChar"/>
                  </w:rPr>
                  <w:t>Louise Malcolm</w:t>
                </w:r>
                <w:r w:rsidR="00A83053">
                  <w:rPr>
                    <w:rStyle w:val="BodyTextChar"/>
                  </w:rPr>
                  <w:t>.</w:t>
                </w:r>
                <w:r w:rsidR="000648C1">
                  <w:rPr>
                    <w:rStyle w:val="BodyTextChar"/>
                  </w:rPr>
                  <w:t xml:space="preserve"> </w:t>
                </w:r>
              </w:sdtContent>
            </w:sdt>
          </w:p>
          <w:p w14:paraId="21EF2E85" w14:textId="77777777" w:rsidR="00DF7020" w:rsidRPr="00DF7020" w:rsidRDefault="00005CFC" w:rsidP="00DF7020">
            <w:pPr>
              <w:pStyle w:val="BodyText"/>
            </w:pPr>
            <w:sdt>
              <w:sdtPr>
                <w:alias w:val="Form.ReviewedBy"/>
                <w:tag w:val="{&quot;templafy&quot;:{&quot;id&quot;:&quot;d22c0d74-f3a0-48e1-835c-1ff50c6549f8&quot;}}"/>
                <w:id w:val="1792012331"/>
                <w:placeholder>
                  <w:docPart w:val="DefaultPlaceholder_-1854013440"/>
                </w:placeholder>
              </w:sdtPr>
              <w:sdtEndPr/>
              <w:sdtContent>
                <w:r w:rsidR="00146440">
                  <w:t xml:space="preserve"> </w:t>
                </w:r>
              </w:sdtContent>
            </w:sdt>
          </w:p>
          <w:p w14:paraId="6FD864AD" w14:textId="77777777" w:rsidR="0072749E" w:rsidRPr="0072749E" w:rsidRDefault="00DF7020" w:rsidP="0072749E">
            <w:pPr>
              <w:pStyle w:val="BodyText"/>
              <w:spacing w:after="0"/>
              <w:rPr>
                <w:i/>
              </w:rPr>
            </w:pPr>
            <w:r w:rsidRPr="0072749E">
              <w:rPr>
                <w:i/>
              </w:rPr>
              <w:t>Approved for release by</w:t>
            </w:r>
          </w:p>
          <w:p w14:paraId="5B9B422C" w14:textId="4D18478C" w:rsidR="00C37035" w:rsidRPr="008C1419" w:rsidRDefault="00005CFC" w:rsidP="00DF7020">
            <w:pPr>
              <w:pStyle w:val="BodyText"/>
            </w:pPr>
            <w:sdt>
              <w:sdtPr>
                <w:alias w:val="Form.ApprovedForReleaseBy"/>
                <w:tag w:val="{&quot;templafy&quot;:{&quot;id&quot;:&quot;3fed14d8-a326-4e36-b921-f9cf7f4c9b87&quot;}}"/>
                <w:id w:val="279687146"/>
                <w:placeholder>
                  <w:docPart w:val="86BFBC111E38496B9AF3C1D472C26CC9"/>
                </w:placeholder>
              </w:sdtPr>
              <w:sdtEndPr/>
              <w:sdtContent>
                <w:r w:rsidR="00DA1C87">
                  <w:t>Bill Frith</w:t>
                </w:r>
              </w:sdtContent>
            </w:sdt>
          </w:p>
        </w:tc>
      </w:tr>
    </w:tbl>
    <w:p w14:paraId="219A2D2F" w14:textId="77777777" w:rsidR="006C43B5" w:rsidRDefault="006C43B5" w:rsidP="006C43B5">
      <w:pPr>
        <w:pStyle w:val="BodyText"/>
        <w:rPr>
          <w:sz w:val="26"/>
          <w:szCs w:val="26"/>
        </w:rPr>
      </w:pPr>
      <w:bookmarkStart w:id="4" w:name="ob_authors_name"/>
      <w:bookmarkEnd w:id="3"/>
      <w:bookmarkEnd w:id="4"/>
    </w:p>
    <w:p w14:paraId="32C42FD4" w14:textId="77777777" w:rsidR="00E0411A" w:rsidRPr="008C1419" w:rsidRDefault="00E0411A" w:rsidP="006C43B5">
      <w:pPr>
        <w:pStyle w:val="BodyText"/>
        <w:rPr>
          <w:sz w:val="26"/>
          <w:szCs w:val="26"/>
        </w:rPr>
        <w:sectPr w:rsidR="00E0411A" w:rsidRPr="008C1419" w:rsidSect="00CD4956">
          <w:headerReference w:type="default" r:id="rId14"/>
          <w:footerReference w:type="default" r:id="rId15"/>
          <w:pgSz w:w="11906" w:h="16838" w:code="9"/>
          <w:pgMar w:top="1418" w:right="1134" w:bottom="1134" w:left="1134" w:header="567" w:footer="284" w:gutter="0"/>
          <w:pgNumType w:fmt="lowerRoman" w:start="1"/>
          <w:cols w:space="708"/>
          <w:docGrid w:linePitch="360"/>
        </w:sectPr>
      </w:pPr>
    </w:p>
    <w:p w14:paraId="42A32594" w14:textId="77777777" w:rsidR="006C43B5" w:rsidRPr="008C1419" w:rsidRDefault="007034F2" w:rsidP="008C1419">
      <w:pPr>
        <w:pStyle w:val="TOCHeading"/>
      </w:pPr>
      <w:r w:rsidRPr="008C1419">
        <w:lastRenderedPageBreak/>
        <w:t>Contents</w:t>
      </w:r>
    </w:p>
    <w:p w14:paraId="1ACC3881" w14:textId="01191B35" w:rsidR="009B211C" w:rsidRDefault="007034F2">
      <w:pPr>
        <w:pStyle w:val="TOC1"/>
        <w:rPr>
          <w:rFonts w:asciiTheme="minorHAnsi" w:eastAsiaTheme="minorEastAsia" w:hAnsiTheme="minorHAnsi"/>
          <w:noProof/>
          <w:color w:val="auto"/>
          <w:sz w:val="22"/>
          <w:szCs w:val="22"/>
          <w:lang w:eastAsia="en-NZ"/>
        </w:rPr>
      </w:pPr>
      <w:r w:rsidRPr="008C1419">
        <w:fldChar w:fldCharType="begin"/>
      </w:r>
      <w:r w:rsidRPr="008C1419">
        <w:rPr>
          <w:color w:val="D22630"/>
        </w:rPr>
        <w:instrText xml:space="preserve"> TOC \o "2-2" \h \z \t "Heading 1,1,WSP Heading Main,1" </w:instrText>
      </w:r>
      <w:r w:rsidRPr="008C1419">
        <w:fldChar w:fldCharType="separate"/>
      </w:r>
      <w:hyperlink w:anchor="_Toc87263170" w:history="1">
        <w:r w:rsidR="009B211C" w:rsidRPr="005818DA">
          <w:rPr>
            <w:rStyle w:val="Hyperlink"/>
            <w:noProof/>
          </w:rPr>
          <w:t>Disclaimers and Limitations</w:t>
        </w:r>
        <w:r w:rsidR="009B211C">
          <w:rPr>
            <w:noProof/>
            <w:webHidden/>
          </w:rPr>
          <w:tab/>
        </w:r>
        <w:r w:rsidR="009B211C">
          <w:rPr>
            <w:noProof/>
            <w:webHidden/>
          </w:rPr>
          <w:fldChar w:fldCharType="begin"/>
        </w:r>
        <w:r w:rsidR="009B211C">
          <w:rPr>
            <w:noProof/>
            <w:webHidden/>
          </w:rPr>
          <w:instrText xml:space="preserve"> PAGEREF _Toc87263170 \h </w:instrText>
        </w:r>
        <w:r w:rsidR="009B211C">
          <w:rPr>
            <w:noProof/>
            <w:webHidden/>
          </w:rPr>
        </w:r>
        <w:r w:rsidR="009B211C">
          <w:rPr>
            <w:noProof/>
            <w:webHidden/>
          </w:rPr>
          <w:fldChar w:fldCharType="separate"/>
        </w:r>
        <w:r w:rsidR="009B211C">
          <w:rPr>
            <w:noProof/>
            <w:webHidden/>
          </w:rPr>
          <w:t>1</w:t>
        </w:r>
        <w:r w:rsidR="009B211C">
          <w:rPr>
            <w:noProof/>
            <w:webHidden/>
          </w:rPr>
          <w:fldChar w:fldCharType="end"/>
        </w:r>
      </w:hyperlink>
    </w:p>
    <w:p w14:paraId="27A075B2" w14:textId="46EBCDC7" w:rsidR="009B211C" w:rsidRDefault="00005CFC">
      <w:pPr>
        <w:pStyle w:val="TOC1"/>
        <w:rPr>
          <w:rFonts w:asciiTheme="minorHAnsi" w:eastAsiaTheme="minorEastAsia" w:hAnsiTheme="minorHAnsi"/>
          <w:noProof/>
          <w:color w:val="auto"/>
          <w:sz w:val="22"/>
          <w:szCs w:val="22"/>
          <w:lang w:eastAsia="en-NZ"/>
        </w:rPr>
      </w:pPr>
      <w:hyperlink w:anchor="_Toc87263171" w:history="1">
        <w:r w:rsidR="009B211C" w:rsidRPr="005818DA">
          <w:rPr>
            <w:rStyle w:val="Hyperlink"/>
            <w:noProof/>
          </w:rPr>
          <w:t>Executive Summary</w:t>
        </w:r>
        <w:r w:rsidR="009B211C">
          <w:rPr>
            <w:noProof/>
            <w:webHidden/>
          </w:rPr>
          <w:tab/>
        </w:r>
        <w:r w:rsidR="009B211C">
          <w:rPr>
            <w:noProof/>
            <w:webHidden/>
          </w:rPr>
          <w:fldChar w:fldCharType="begin"/>
        </w:r>
        <w:r w:rsidR="009B211C">
          <w:rPr>
            <w:noProof/>
            <w:webHidden/>
          </w:rPr>
          <w:instrText xml:space="preserve"> PAGEREF _Toc87263171 \h </w:instrText>
        </w:r>
        <w:r w:rsidR="009B211C">
          <w:rPr>
            <w:noProof/>
            <w:webHidden/>
          </w:rPr>
        </w:r>
        <w:r w:rsidR="009B211C">
          <w:rPr>
            <w:noProof/>
            <w:webHidden/>
          </w:rPr>
          <w:fldChar w:fldCharType="separate"/>
        </w:r>
        <w:r w:rsidR="009B211C">
          <w:rPr>
            <w:noProof/>
            <w:webHidden/>
          </w:rPr>
          <w:t>2</w:t>
        </w:r>
        <w:r w:rsidR="009B211C">
          <w:rPr>
            <w:noProof/>
            <w:webHidden/>
          </w:rPr>
          <w:fldChar w:fldCharType="end"/>
        </w:r>
      </w:hyperlink>
    </w:p>
    <w:p w14:paraId="51CFF66B" w14:textId="0A6CAFFC" w:rsidR="009B211C" w:rsidRDefault="00005CFC">
      <w:pPr>
        <w:pStyle w:val="TOC1"/>
        <w:tabs>
          <w:tab w:val="left" w:pos="567"/>
        </w:tabs>
        <w:rPr>
          <w:rFonts w:asciiTheme="minorHAnsi" w:eastAsiaTheme="minorEastAsia" w:hAnsiTheme="minorHAnsi"/>
          <w:noProof/>
          <w:color w:val="auto"/>
          <w:sz w:val="22"/>
          <w:szCs w:val="22"/>
          <w:lang w:eastAsia="en-NZ"/>
        </w:rPr>
      </w:pPr>
      <w:hyperlink w:anchor="_Toc87263172" w:history="1">
        <w:r w:rsidR="009B211C" w:rsidRPr="005818DA">
          <w:rPr>
            <w:rStyle w:val="Hyperlink"/>
            <w:noProof/>
          </w:rPr>
          <w:t>1</w:t>
        </w:r>
        <w:r w:rsidR="009B211C">
          <w:rPr>
            <w:rFonts w:asciiTheme="minorHAnsi" w:eastAsiaTheme="minorEastAsia" w:hAnsiTheme="minorHAnsi"/>
            <w:noProof/>
            <w:color w:val="auto"/>
            <w:sz w:val="22"/>
            <w:szCs w:val="22"/>
            <w:lang w:eastAsia="en-NZ"/>
          </w:rPr>
          <w:tab/>
        </w:r>
        <w:r w:rsidR="009B211C" w:rsidRPr="005818DA">
          <w:rPr>
            <w:rStyle w:val="Hyperlink"/>
            <w:noProof/>
          </w:rPr>
          <w:t>Literature Review</w:t>
        </w:r>
        <w:r w:rsidR="009B211C">
          <w:rPr>
            <w:noProof/>
            <w:webHidden/>
          </w:rPr>
          <w:tab/>
        </w:r>
        <w:r w:rsidR="009B211C">
          <w:rPr>
            <w:noProof/>
            <w:webHidden/>
          </w:rPr>
          <w:fldChar w:fldCharType="begin"/>
        </w:r>
        <w:r w:rsidR="009B211C">
          <w:rPr>
            <w:noProof/>
            <w:webHidden/>
          </w:rPr>
          <w:instrText xml:space="preserve"> PAGEREF _Toc87263172 \h </w:instrText>
        </w:r>
        <w:r w:rsidR="009B211C">
          <w:rPr>
            <w:noProof/>
            <w:webHidden/>
          </w:rPr>
        </w:r>
        <w:r w:rsidR="009B211C">
          <w:rPr>
            <w:noProof/>
            <w:webHidden/>
          </w:rPr>
          <w:fldChar w:fldCharType="separate"/>
        </w:r>
        <w:r w:rsidR="009B211C">
          <w:rPr>
            <w:noProof/>
            <w:webHidden/>
          </w:rPr>
          <w:t>6</w:t>
        </w:r>
        <w:r w:rsidR="009B211C">
          <w:rPr>
            <w:noProof/>
            <w:webHidden/>
          </w:rPr>
          <w:fldChar w:fldCharType="end"/>
        </w:r>
      </w:hyperlink>
    </w:p>
    <w:p w14:paraId="322D4F06" w14:textId="7654F598" w:rsidR="009B211C" w:rsidRDefault="00005CFC">
      <w:pPr>
        <w:pStyle w:val="TOC2"/>
        <w:tabs>
          <w:tab w:val="left" w:pos="1134"/>
          <w:tab w:val="right" w:leader="dot" w:pos="9962"/>
        </w:tabs>
        <w:rPr>
          <w:rFonts w:asciiTheme="minorHAnsi" w:eastAsiaTheme="minorEastAsia" w:hAnsiTheme="minorHAnsi"/>
          <w:noProof/>
          <w:color w:val="auto"/>
          <w:sz w:val="22"/>
          <w:szCs w:val="22"/>
          <w:lang w:eastAsia="en-NZ"/>
        </w:rPr>
      </w:pPr>
      <w:hyperlink w:anchor="_Toc87263173" w:history="1">
        <w:r w:rsidR="009B211C" w:rsidRPr="005818DA">
          <w:rPr>
            <w:rStyle w:val="Hyperlink"/>
            <w:noProof/>
          </w:rPr>
          <w:t>1.1</w:t>
        </w:r>
        <w:r w:rsidR="009B211C">
          <w:rPr>
            <w:rFonts w:asciiTheme="minorHAnsi" w:eastAsiaTheme="minorEastAsia" w:hAnsiTheme="minorHAnsi"/>
            <w:noProof/>
            <w:color w:val="auto"/>
            <w:sz w:val="22"/>
            <w:szCs w:val="22"/>
            <w:lang w:eastAsia="en-NZ"/>
          </w:rPr>
          <w:tab/>
        </w:r>
        <w:r w:rsidR="009B211C" w:rsidRPr="005818DA">
          <w:rPr>
            <w:rStyle w:val="Hyperlink"/>
            <w:noProof/>
          </w:rPr>
          <w:t>Background</w:t>
        </w:r>
        <w:r w:rsidR="009B211C">
          <w:rPr>
            <w:noProof/>
            <w:webHidden/>
          </w:rPr>
          <w:tab/>
        </w:r>
        <w:r w:rsidR="009B211C">
          <w:rPr>
            <w:noProof/>
            <w:webHidden/>
          </w:rPr>
          <w:fldChar w:fldCharType="begin"/>
        </w:r>
        <w:r w:rsidR="009B211C">
          <w:rPr>
            <w:noProof/>
            <w:webHidden/>
          </w:rPr>
          <w:instrText xml:space="preserve"> PAGEREF _Toc87263173 \h </w:instrText>
        </w:r>
        <w:r w:rsidR="009B211C">
          <w:rPr>
            <w:noProof/>
            <w:webHidden/>
          </w:rPr>
        </w:r>
        <w:r w:rsidR="009B211C">
          <w:rPr>
            <w:noProof/>
            <w:webHidden/>
          </w:rPr>
          <w:fldChar w:fldCharType="separate"/>
        </w:r>
        <w:r w:rsidR="009B211C">
          <w:rPr>
            <w:noProof/>
            <w:webHidden/>
          </w:rPr>
          <w:t>6</w:t>
        </w:r>
        <w:r w:rsidR="009B211C">
          <w:rPr>
            <w:noProof/>
            <w:webHidden/>
          </w:rPr>
          <w:fldChar w:fldCharType="end"/>
        </w:r>
      </w:hyperlink>
    </w:p>
    <w:p w14:paraId="0F3D5F17" w14:textId="244C7601" w:rsidR="009B211C" w:rsidRDefault="00005CFC">
      <w:pPr>
        <w:pStyle w:val="TOC2"/>
        <w:tabs>
          <w:tab w:val="left" w:pos="1134"/>
          <w:tab w:val="right" w:leader="dot" w:pos="9962"/>
        </w:tabs>
        <w:rPr>
          <w:rFonts w:asciiTheme="minorHAnsi" w:eastAsiaTheme="minorEastAsia" w:hAnsiTheme="minorHAnsi"/>
          <w:noProof/>
          <w:color w:val="auto"/>
          <w:sz w:val="22"/>
          <w:szCs w:val="22"/>
          <w:lang w:eastAsia="en-NZ"/>
        </w:rPr>
      </w:pPr>
      <w:hyperlink w:anchor="_Toc87263174" w:history="1">
        <w:r w:rsidR="009B211C" w:rsidRPr="005818DA">
          <w:rPr>
            <w:rStyle w:val="Hyperlink"/>
            <w:noProof/>
          </w:rPr>
          <w:t>1.2</w:t>
        </w:r>
        <w:r w:rsidR="009B211C">
          <w:rPr>
            <w:rFonts w:asciiTheme="minorHAnsi" w:eastAsiaTheme="minorEastAsia" w:hAnsiTheme="minorHAnsi"/>
            <w:noProof/>
            <w:color w:val="auto"/>
            <w:sz w:val="22"/>
            <w:szCs w:val="22"/>
            <w:lang w:eastAsia="en-NZ"/>
          </w:rPr>
          <w:tab/>
        </w:r>
        <w:r w:rsidR="009B211C" w:rsidRPr="005818DA">
          <w:rPr>
            <w:rStyle w:val="Hyperlink"/>
            <w:noProof/>
          </w:rPr>
          <w:t>The meanings of harm minimisation and responsible gambling (RG)</w:t>
        </w:r>
        <w:r w:rsidR="009B211C">
          <w:rPr>
            <w:noProof/>
            <w:webHidden/>
          </w:rPr>
          <w:tab/>
        </w:r>
        <w:r w:rsidR="009B211C">
          <w:rPr>
            <w:noProof/>
            <w:webHidden/>
          </w:rPr>
          <w:fldChar w:fldCharType="begin"/>
        </w:r>
        <w:r w:rsidR="009B211C">
          <w:rPr>
            <w:noProof/>
            <w:webHidden/>
          </w:rPr>
          <w:instrText xml:space="preserve"> PAGEREF _Toc87263174 \h </w:instrText>
        </w:r>
        <w:r w:rsidR="009B211C">
          <w:rPr>
            <w:noProof/>
            <w:webHidden/>
          </w:rPr>
        </w:r>
        <w:r w:rsidR="009B211C">
          <w:rPr>
            <w:noProof/>
            <w:webHidden/>
          </w:rPr>
          <w:fldChar w:fldCharType="separate"/>
        </w:r>
        <w:r w:rsidR="009B211C">
          <w:rPr>
            <w:noProof/>
            <w:webHidden/>
          </w:rPr>
          <w:t>8</w:t>
        </w:r>
        <w:r w:rsidR="009B211C">
          <w:rPr>
            <w:noProof/>
            <w:webHidden/>
          </w:rPr>
          <w:fldChar w:fldCharType="end"/>
        </w:r>
      </w:hyperlink>
    </w:p>
    <w:p w14:paraId="4075BAE4" w14:textId="65A540F2" w:rsidR="009B211C" w:rsidRDefault="00005CFC">
      <w:pPr>
        <w:pStyle w:val="TOC2"/>
        <w:tabs>
          <w:tab w:val="left" w:pos="1134"/>
          <w:tab w:val="right" w:leader="dot" w:pos="9962"/>
        </w:tabs>
        <w:rPr>
          <w:rFonts w:asciiTheme="minorHAnsi" w:eastAsiaTheme="minorEastAsia" w:hAnsiTheme="minorHAnsi"/>
          <w:noProof/>
          <w:color w:val="auto"/>
          <w:sz w:val="22"/>
          <w:szCs w:val="22"/>
          <w:lang w:eastAsia="en-NZ"/>
        </w:rPr>
      </w:pPr>
      <w:hyperlink w:anchor="_Toc87263175" w:history="1">
        <w:r w:rsidR="009B211C" w:rsidRPr="005818DA">
          <w:rPr>
            <w:rStyle w:val="Hyperlink"/>
            <w:noProof/>
          </w:rPr>
          <w:t>1.3</w:t>
        </w:r>
        <w:r w:rsidR="009B211C">
          <w:rPr>
            <w:rFonts w:asciiTheme="minorHAnsi" w:eastAsiaTheme="minorEastAsia" w:hAnsiTheme="minorHAnsi"/>
            <w:noProof/>
            <w:color w:val="auto"/>
            <w:sz w:val="22"/>
            <w:szCs w:val="22"/>
            <w:lang w:eastAsia="en-NZ"/>
          </w:rPr>
          <w:tab/>
        </w:r>
        <w:r w:rsidR="009B211C" w:rsidRPr="005818DA">
          <w:rPr>
            <w:rStyle w:val="Hyperlink"/>
            <w:noProof/>
          </w:rPr>
          <w:t>Who were/are the designers?</w:t>
        </w:r>
        <w:r w:rsidR="009B211C">
          <w:rPr>
            <w:noProof/>
            <w:webHidden/>
          </w:rPr>
          <w:tab/>
        </w:r>
        <w:r w:rsidR="009B211C">
          <w:rPr>
            <w:noProof/>
            <w:webHidden/>
          </w:rPr>
          <w:fldChar w:fldCharType="begin"/>
        </w:r>
        <w:r w:rsidR="009B211C">
          <w:rPr>
            <w:noProof/>
            <w:webHidden/>
          </w:rPr>
          <w:instrText xml:space="preserve"> PAGEREF _Toc87263175 \h </w:instrText>
        </w:r>
        <w:r w:rsidR="009B211C">
          <w:rPr>
            <w:noProof/>
            <w:webHidden/>
          </w:rPr>
        </w:r>
        <w:r w:rsidR="009B211C">
          <w:rPr>
            <w:noProof/>
            <w:webHidden/>
          </w:rPr>
          <w:fldChar w:fldCharType="separate"/>
        </w:r>
        <w:r w:rsidR="009B211C">
          <w:rPr>
            <w:noProof/>
            <w:webHidden/>
          </w:rPr>
          <w:t>10</w:t>
        </w:r>
        <w:r w:rsidR="009B211C">
          <w:rPr>
            <w:noProof/>
            <w:webHidden/>
          </w:rPr>
          <w:fldChar w:fldCharType="end"/>
        </w:r>
      </w:hyperlink>
    </w:p>
    <w:p w14:paraId="7F8F85E1" w14:textId="00CBB959" w:rsidR="009B211C" w:rsidRDefault="00005CFC">
      <w:pPr>
        <w:pStyle w:val="TOC2"/>
        <w:tabs>
          <w:tab w:val="left" w:pos="1134"/>
          <w:tab w:val="right" w:leader="dot" w:pos="9962"/>
        </w:tabs>
        <w:rPr>
          <w:rFonts w:asciiTheme="minorHAnsi" w:eastAsiaTheme="minorEastAsia" w:hAnsiTheme="minorHAnsi"/>
          <w:noProof/>
          <w:color w:val="auto"/>
          <w:sz w:val="22"/>
          <w:szCs w:val="22"/>
          <w:lang w:eastAsia="en-NZ"/>
        </w:rPr>
      </w:pPr>
      <w:hyperlink w:anchor="_Toc87263176" w:history="1">
        <w:r w:rsidR="009B211C" w:rsidRPr="005818DA">
          <w:rPr>
            <w:rStyle w:val="Hyperlink"/>
            <w:noProof/>
          </w:rPr>
          <w:t>1.4</w:t>
        </w:r>
        <w:r w:rsidR="009B211C">
          <w:rPr>
            <w:rFonts w:asciiTheme="minorHAnsi" w:eastAsiaTheme="minorEastAsia" w:hAnsiTheme="minorHAnsi"/>
            <w:noProof/>
            <w:color w:val="auto"/>
            <w:sz w:val="22"/>
            <w:szCs w:val="22"/>
            <w:lang w:eastAsia="en-NZ"/>
          </w:rPr>
          <w:tab/>
        </w:r>
        <w:r w:rsidR="009B211C" w:rsidRPr="005818DA">
          <w:rPr>
            <w:rStyle w:val="Hyperlink"/>
            <w:noProof/>
          </w:rPr>
          <w:t>The stated intended purpose/use of Gamgard</w:t>
        </w:r>
        <w:r w:rsidR="009B211C">
          <w:rPr>
            <w:noProof/>
            <w:webHidden/>
          </w:rPr>
          <w:tab/>
        </w:r>
        <w:r w:rsidR="009B211C">
          <w:rPr>
            <w:noProof/>
            <w:webHidden/>
          </w:rPr>
          <w:fldChar w:fldCharType="begin"/>
        </w:r>
        <w:r w:rsidR="009B211C">
          <w:rPr>
            <w:noProof/>
            <w:webHidden/>
          </w:rPr>
          <w:instrText xml:space="preserve"> PAGEREF _Toc87263176 \h </w:instrText>
        </w:r>
        <w:r w:rsidR="009B211C">
          <w:rPr>
            <w:noProof/>
            <w:webHidden/>
          </w:rPr>
        </w:r>
        <w:r w:rsidR="009B211C">
          <w:rPr>
            <w:noProof/>
            <w:webHidden/>
          </w:rPr>
          <w:fldChar w:fldCharType="separate"/>
        </w:r>
        <w:r w:rsidR="009B211C">
          <w:rPr>
            <w:noProof/>
            <w:webHidden/>
          </w:rPr>
          <w:t>10</w:t>
        </w:r>
        <w:r w:rsidR="009B211C">
          <w:rPr>
            <w:noProof/>
            <w:webHidden/>
          </w:rPr>
          <w:fldChar w:fldCharType="end"/>
        </w:r>
      </w:hyperlink>
    </w:p>
    <w:p w14:paraId="40100CC3" w14:textId="38A2C55D" w:rsidR="009B211C" w:rsidRDefault="00005CFC">
      <w:pPr>
        <w:pStyle w:val="TOC2"/>
        <w:tabs>
          <w:tab w:val="left" w:pos="1134"/>
          <w:tab w:val="right" w:leader="dot" w:pos="9962"/>
        </w:tabs>
        <w:rPr>
          <w:rFonts w:asciiTheme="minorHAnsi" w:eastAsiaTheme="minorEastAsia" w:hAnsiTheme="minorHAnsi"/>
          <w:noProof/>
          <w:color w:val="auto"/>
          <w:sz w:val="22"/>
          <w:szCs w:val="22"/>
          <w:lang w:eastAsia="en-NZ"/>
        </w:rPr>
      </w:pPr>
      <w:hyperlink w:anchor="_Toc87263177" w:history="1">
        <w:r w:rsidR="009B211C" w:rsidRPr="005818DA">
          <w:rPr>
            <w:rStyle w:val="Hyperlink"/>
            <w:noProof/>
          </w:rPr>
          <w:t>1.5</w:t>
        </w:r>
        <w:r w:rsidR="009B211C">
          <w:rPr>
            <w:rFonts w:asciiTheme="minorHAnsi" w:eastAsiaTheme="minorEastAsia" w:hAnsiTheme="minorHAnsi"/>
            <w:noProof/>
            <w:color w:val="auto"/>
            <w:sz w:val="22"/>
            <w:szCs w:val="22"/>
            <w:lang w:eastAsia="en-NZ"/>
          </w:rPr>
          <w:tab/>
        </w:r>
        <w:r w:rsidR="009B211C" w:rsidRPr="005818DA">
          <w:rPr>
            <w:rStyle w:val="Hyperlink"/>
            <w:noProof/>
          </w:rPr>
          <w:t>The actual use of Gamgard</w:t>
        </w:r>
        <w:r w:rsidR="009B211C">
          <w:rPr>
            <w:noProof/>
            <w:webHidden/>
          </w:rPr>
          <w:tab/>
        </w:r>
        <w:r w:rsidR="009B211C">
          <w:rPr>
            <w:noProof/>
            <w:webHidden/>
          </w:rPr>
          <w:fldChar w:fldCharType="begin"/>
        </w:r>
        <w:r w:rsidR="009B211C">
          <w:rPr>
            <w:noProof/>
            <w:webHidden/>
          </w:rPr>
          <w:instrText xml:space="preserve"> PAGEREF _Toc87263177 \h </w:instrText>
        </w:r>
        <w:r w:rsidR="009B211C">
          <w:rPr>
            <w:noProof/>
            <w:webHidden/>
          </w:rPr>
        </w:r>
        <w:r w:rsidR="009B211C">
          <w:rPr>
            <w:noProof/>
            <w:webHidden/>
          </w:rPr>
          <w:fldChar w:fldCharType="separate"/>
        </w:r>
        <w:r w:rsidR="009B211C">
          <w:rPr>
            <w:noProof/>
            <w:webHidden/>
          </w:rPr>
          <w:t>12</w:t>
        </w:r>
        <w:r w:rsidR="009B211C">
          <w:rPr>
            <w:noProof/>
            <w:webHidden/>
          </w:rPr>
          <w:fldChar w:fldCharType="end"/>
        </w:r>
      </w:hyperlink>
    </w:p>
    <w:p w14:paraId="42C670C7" w14:textId="4236757E" w:rsidR="009B211C" w:rsidRDefault="00005CFC">
      <w:pPr>
        <w:pStyle w:val="TOC2"/>
        <w:tabs>
          <w:tab w:val="left" w:pos="1134"/>
          <w:tab w:val="right" w:leader="dot" w:pos="9962"/>
        </w:tabs>
        <w:rPr>
          <w:rFonts w:asciiTheme="minorHAnsi" w:eastAsiaTheme="minorEastAsia" w:hAnsiTheme="minorHAnsi"/>
          <w:noProof/>
          <w:color w:val="auto"/>
          <w:sz w:val="22"/>
          <w:szCs w:val="22"/>
          <w:lang w:eastAsia="en-NZ"/>
        </w:rPr>
      </w:pPr>
      <w:hyperlink w:anchor="_Toc87263178" w:history="1">
        <w:r w:rsidR="009B211C" w:rsidRPr="005818DA">
          <w:rPr>
            <w:rStyle w:val="Hyperlink"/>
            <w:noProof/>
          </w:rPr>
          <w:t>1.6</w:t>
        </w:r>
        <w:r w:rsidR="009B211C">
          <w:rPr>
            <w:rFonts w:asciiTheme="minorHAnsi" w:eastAsiaTheme="minorEastAsia" w:hAnsiTheme="minorHAnsi"/>
            <w:noProof/>
            <w:color w:val="auto"/>
            <w:sz w:val="22"/>
            <w:szCs w:val="22"/>
            <w:lang w:eastAsia="en-NZ"/>
          </w:rPr>
          <w:tab/>
        </w:r>
        <w:r w:rsidR="009B211C" w:rsidRPr="005818DA">
          <w:rPr>
            <w:rStyle w:val="Hyperlink"/>
            <w:noProof/>
          </w:rPr>
          <w:t>How does Gamgard work, including its design elements?</w:t>
        </w:r>
        <w:r w:rsidR="009B211C">
          <w:rPr>
            <w:noProof/>
            <w:webHidden/>
          </w:rPr>
          <w:tab/>
        </w:r>
        <w:r w:rsidR="009B211C">
          <w:rPr>
            <w:noProof/>
            <w:webHidden/>
          </w:rPr>
          <w:fldChar w:fldCharType="begin"/>
        </w:r>
        <w:r w:rsidR="009B211C">
          <w:rPr>
            <w:noProof/>
            <w:webHidden/>
          </w:rPr>
          <w:instrText xml:space="preserve"> PAGEREF _Toc87263178 \h </w:instrText>
        </w:r>
        <w:r w:rsidR="009B211C">
          <w:rPr>
            <w:noProof/>
            <w:webHidden/>
          </w:rPr>
        </w:r>
        <w:r w:rsidR="009B211C">
          <w:rPr>
            <w:noProof/>
            <w:webHidden/>
          </w:rPr>
          <w:fldChar w:fldCharType="separate"/>
        </w:r>
        <w:r w:rsidR="009B211C">
          <w:rPr>
            <w:noProof/>
            <w:webHidden/>
          </w:rPr>
          <w:t>14</w:t>
        </w:r>
        <w:r w:rsidR="009B211C">
          <w:rPr>
            <w:noProof/>
            <w:webHidden/>
          </w:rPr>
          <w:fldChar w:fldCharType="end"/>
        </w:r>
      </w:hyperlink>
    </w:p>
    <w:p w14:paraId="51E15743" w14:textId="07E34EA0" w:rsidR="009B211C" w:rsidRDefault="00005CFC">
      <w:pPr>
        <w:pStyle w:val="TOC2"/>
        <w:tabs>
          <w:tab w:val="left" w:pos="1134"/>
          <w:tab w:val="right" w:leader="dot" w:pos="9962"/>
        </w:tabs>
        <w:rPr>
          <w:rFonts w:asciiTheme="minorHAnsi" w:eastAsiaTheme="minorEastAsia" w:hAnsiTheme="minorHAnsi"/>
          <w:noProof/>
          <w:color w:val="auto"/>
          <w:sz w:val="22"/>
          <w:szCs w:val="22"/>
          <w:lang w:eastAsia="en-NZ"/>
        </w:rPr>
      </w:pPr>
      <w:hyperlink w:anchor="_Toc87263179" w:history="1">
        <w:r w:rsidR="009B211C" w:rsidRPr="005818DA">
          <w:rPr>
            <w:rStyle w:val="Hyperlink"/>
            <w:noProof/>
          </w:rPr>
          <w:t>1.7</w:t>
        </w:r>
        <w:r w:rsidR="009B211C">
          <w:rPr>
            <w:rFonts w:asciiTheme="minorHAnsi" w:eastAsiaTheme="minorEastAsia" w:hAnsiTheme="minorHAnsi"/>
            <w:noProof/>
            <w:color w:val="auto"/>
            <w:sz w:val="22"/>
            <w:szCs w:val="22"/>
            <w:lang w:eastAsia="en-NZ"/>
          </w:rPr>
          <w:tab/>
        </w:r>
        <w:r w:rsidR="009B211C" w:rsidRPr="005818DA">
          <w:rPr>
            <w:rStyle w:val="Hyperlink"/>
            <w:noProof/>
          </w:rPr>
          <w:t>Are the design elements appropriate/fit for purpose?</w:t>
        </w:r>
        <w:r w:rsidR="009B211C">
          <w:rPr>
            <w:noProof/>
            <w:webHidden/>
          </w:rPr>
          <w:tab/>
        </w:r>
        <w:r w:rsidR="009B211C">
          <w:rPr>
            <w:noProof/>
            <w:webHidden/>
          </w:rPr>
          <w:fldChar w:fldCharType="begin"/>
        </w:r>
        <w:r w:rsidR="009B211C">
          <w:rPr>
            <w:noProof/>
            <w:webHidden/>
          </w:rPr>
          <w:instrText xml:space="preserve"> PAGEREF _Toc87263179 \h </w:instrText>
        </w:r>
        <w:r w:rsidR="009B211C">
          <w:rPr>
            <w:noProof/>
            <w:webHidden/>
          </w:rPr>
        </w:r>
        <w:r w:rsidR="009B211C">
          <w:rPr>
            <w:noProof/>
            <w:webHidden/>
          </w:rPr>
          <w:fldChar w:fldCharType="separate"/>
        </w:r>
        <w:r w:rsidR="009B211C">
          <w:rPr>
            <w:noProof/>
            <w:webHidden/>
          </w:rPr>
          <w:t>18</w:t>
        </w:r>
        <w:r w:rsidR="009B211C">
          <w:rPr>
            <w:noProof/>
            <w:webHidden/>
          </w:rPr>
          <w:fldChar w:fldCharType="end"/>
        </w:r>
      </w:hyperlink>
    </w:p>
    <w:p w14:paraId="4CDD7E6E" w14:textId="0F5F8E6C" w:rsidR="009B211C" w:rsidRDefault="00005CFC">
      <w:pPr>
        <w:pStyle w:val="TOC2"/>
        <w:tabs>
          <w:tab w:val="left" w:pos="1134"/>
          <w:tab w:val="right" w:leader="dot" w:pos="9962"/>
        </w:tabs>
        <w:rPr>
          <w:rFonts w:asciiTheme="minorHAnsi" w:eastAsiaTheme="minorEastAsia" w:hAnsiTheme="minorHAnsi"/>
          <w:noProof/>
          <w:color w:val="auto"/>
          <w:sz w:val="22"/>
          <w:szCs w:val="22"/>
          <w:lang w:eastAsia="en-NZ"/>
        </w:rPr>
      </w:pPr>
      <w:hyperlink w:anchor="_Toc87263180" w:history="1">
        <w:r w:rsidR="009B211C" w:rsidRPr="005818DA">
          <w:rPr>
            <w:rStyle w:val="Hyperlink"/>
            <w:noProof/>
          </w:rPr>
          <w:t>1.8</w:t>
        </w:r>
        <w:r w:rsidR="009B211C">
          <w:rPr>
            <w:rFonts w:asciiTheme="minorHAnsi" w:eastAsiaTheme="minorEastAsia" w:hAnsiTheme="minorHAnsi"/>
            <w:noProof/>
            <w:color w:val="auto"/>
            <w:sz w:val="22"/>
            <w:szCs w:val="22"/>
            <w:lang w:eastAsia="en-NZ"/>
          </w:rPr>
          <w:tab/>
        </w:r>
        <w:r w:rsidR="009B211C" w:rsidRPr="005818DA">
          <w:rPr>
            <w:rStyle w:val="Hyperlink"/>
            <w:noProof/>
          </w:rPr>
          <w:t>The question of sensory cues</w:t>
        </w:r>
        <w:r w:rsidR="009B211C">
          <w:rPr>
            <w:noProof/>
            <w:webHidden/>
          </w:rPr>
          <w:tab/>
        </w:r>
        <w:r w:rsidR="009B211C">
          <w:rPr>
            <w:noProof/>
            <w:webHidden/>
          </w:rPr>
          <w:fldChar w:fldCharType="begin"/>
        </w:r>
        <w:r w:rsidR="009B211C">
          <w:rPr>
            <w:noProof/>
            <w:webHidden/>
          </w:rPr>
          <w:instrText xml:space="preserve"> PAGEREF _Toc87263180 \h </w:instrText>
        </w:r>
        <w:r w:rsidR="009B211C">
          <w:rPr>
            <w:noProof/>
            <w:webHidden/>
          </w:rPr>
        </w:r>
        <w:r w:rsidR="009B211C">
          <w:rPr>
            <w:noProof/>
            <w:webHidden/>
          </w:rPr>
          <w:fldChar w:fldCharType="separate"/>
        </w:r>
        <w:r w:rsidR="009B211C">
          <w:rPr>
            <w:noProof/>
            <w:webHidden/>
          </w:rPr>
          <w:t>20</w:t>
        </w:r>
        <w:r w:rsidR="009B211C">
          <w:rPr>
            <w:noProof/>
            <w:webHidden/>
          </w:rPr>
          <w:fldChar w:fldCharType="end"/>
        </w:r>
      </w:hyperlink>
    </w:p>
    <w:p w14:paraId="68481AAD" w14:textId="0B0E41E8" w:rsidR="009B211C" w:rsidRDefault="00005CFC">
      <w:pPr>
        <w:pStyle w:val="TOC2"/>
        <w:tabs>
          <w:tab w:val="left" w:pos="1134"/>
          <w:tab w:val="right" w:leader="dot" w:pos="9962"/>
        </w:tabs>
        <w:rPr>
          <w:rFonts w:asciiTheme="minorHAnsi" w:eastAsiaTheme="minorEastAsia" w:hAnsiTheme="minorHAnsi"/>
          <w:noProof/>
          <w:color w:val="auto"/>
          <w:sz w:val="22"/>
          <w:szCs w:val="22"/>
          <w:lang w:eastAsia="en-NZ"/>
        </w:rPr>
      </w:pPr>
      <w:hyperlink w:anchor="_Toc87263181" w:history="1">
        <w:r w:rsidR="009B211C" w:rsidRPr="005818DA">
          <w:rPr>
            <w:rStyle w:val="Hyperlink"/>
            <w:noProof/>
          </w:rPr>
          <w:t>1.9</w:t>
        </w:r>
        <w:r w:rsidR="009B211C">
          <w:rPr>
            <w:rFonts w:asciiTheme="minorHAnsi" w:eastAsiaTheme="minorEastAsia" w:hAnsiTheme="minorHAnsi"/>
            <w:noProof/>
            <w:color w:val="auto"/>
            <w:sz w:val="22"/>
            <w:szCs w:val="22"/>
            <w:lang w:eastAsia="en-NZ"/>
          </w:rPr>
          <w:tab/>
        </w:r>
        <w:r w:rsidR="009B211C" w:rsidRPr="005818DA">
          <w:rPr>
            <w:rStyle w:val="Hyperlink"/>
            <w:noProof/>
          </w:rPr>
          <w:t>Manner of presentation to end-users</w:t>
        </w:r>
        <w:r w:rsidR="009B211C">
          <w:rPr>
            <w:noProof/>
            <w:webHidden/>
          </w:rPr>
          <w:tab/>
        </w:r>
        <w:r w:rsidR="009B211C">
          <w:rPr>
            <w:noProof/>
            <w:webHidden/>
          </w:rPr>
          <w:fldChar w:fldCharType="begin"/>
        </w:r>
        <w:r w:rsidR="009B211C">
          <w:rPr>
            <w:noProof/>
            <w:webHidden/>
          </w:rPr>
          <w:instrText xml:space="preserve"> PAGEREF _Toc87263181 \h </w:instrText>
        </w:r>
        <w:r w:rsidR="009B211C">
          <w:rPr>
            <w:noProof/>
            <w:webHidden/>
          </w:rPr>
        </w:r>
        <w:r w:rsidR="009B211C">
          <w:rPr>
            <w:noProof/>
            <w:webHidden/>
          </w:rPr>
          <w:fldChar w:fldCharType="separate"/>
        </w:r>
        <w:r w:rsidR="009B211C">
          <w:rPr>
            <w:noProof/>
            <w:webHidden/>
          </w:rPr>
          <w:t>20</w:t>
        </w:r>
        <w:r w:rsidR="009B211C">
          <w:rPr>
            <w:noProof/>
            <w:webHidden/>
          </w:rPr>
          <w:fldChar w:fldCharType="end"/>
        </w:r>
      </w:hyperlink>
    </w:p>
    <w:p w14:paraId="31343B16" w14:textId="62F65C08" w:rsidR="009B211C" w:rsidRDefault="00005CFC">
      <w:pPr>
        <w:pStyle w:val="TOC2"/>
        <w:tabs>
          <w:tab w:val="left" w:pos="1134"/>
          <w:tab w:val="right" w:leader="dot" w:pos="9962"/>
        </w:tabs>
        <w:rPr>
          <w:rFonts w:asciiTheme="minorHAnsi" w:eastAsiaTheme="minorEastAsia" w:hAnsiTheme="minorHAnsi"/>
          <w:noProof/>
          <w:color w:val="auto"/>
          <w:sz w:val="22"/>
          <w:szCs w:val="22"/>
          <w:lang w:eastAsia="en-NZ"/>
        </w:rPr>
      </w:pPr>
      <w:hyperlink w:anchor="_Toc87263182" w:history="1">
        <w:r w:rsidR="009B211C" w:rsidRPr="005818DA">
          <w:rPr>
            <w:rStyle w:val="Hyperlink"/>
            <w:noProof/>
          </w:rPr>
          <w:t>1.10</w:t>
        </w:r>
        <w:r w:rsidR="009B211C">
          <w:rPr>
            <w:rFonts w:asciiTheme="minorHAnsi" w:eastAsiaTheme="minorEastAsia" w:hAnsiTheme="minorHAnsi"/>
            <w:noProof/>
            <w:color w:val="auto"/>
            <w:sz w:val="22"/>
            <w:szCs w:val="22"/>
            <w:lang w:eastAsia="en-NZ"/>
          </w:rPr>
          <w:tab/>
        </w:r>
        <w:r w:rsidR="009B211C" w:rsidRPr="005818DA">
          <w:rPr>
            <w:rStyle w:val="Hyperlink"/>
            <w:noProof/>
          </w:rPr>
          <w:t>Alternatives to Gamgard</w:t>
        </w:r>
        <w:r w:rsidR="009B211C">
          <w:rPr>
            <w:noProof/>
            <w:webHidden/>
          </w:rPr>
          <w:tab/>
        </w:r>
        <w:r w:rsidR="009B211C">
          <w:rPr>
            <w:noProof/>
            <w:webHidden/>
          </w:rPr>
          <w:fldChar w:fldCharType="begin"/>
        </w:r>
        <w:r w:rsidR="009B211C">
          <w:rPr>
            <w:noProof/>
            <w:webHidden/>
          </w:rPr>
          <w:instrText xml:space="preserve"> PAGEREF _Toc87263182 \h </w:instrText>
        </w:r>
        <w:r w:rsidR="009B211C">
          <w:rPr>
            <w:noProof/>
            <w:webHidden/>
          </w:rPr>
        </w:r>
        <w:r w:rsidR="009B211C">
          <w:rPr>
            <w:noProof/>
            <w:webHidden/>
          </w:rPr>
          <w:fldChar w:fldCharType="separate"/>
        </w:r>
        <w:r w:rsidR="009B211C">
          <w:rPr>
            <w:noProof/>
            <w:webHidden/>
          </w:rPr>
          <w:t>21</w:t>
        </w:r>
        <w:r w:rsidR="009B211C">
          <w:rPr>
            <w:noProof/>
            <w:webHidden/>
          </w:rPr>
          <w:fldChar w:fldCharType="end"/>
        </w:r>
      </w:hyperlink>
    </w:p>
    <w:p w14:paraId="3BCB8579" w14:textId="45356842" w:rsidR="009B211C" w:rsidRDefault="00005CFC">
      <w:pPr>
        <w:pStyle w:val="TOC2"/>
        <w:tabs>
          <w:tab w:val="left" w:pos="1134"/>
          <w:tab w:val="right" w:leader="dot" w:pos="9962"/>
        </w:tabs>
        <w:rPr>
          <w:rFonts w:asciiTheme="minorHAnsi" w:eastAsiaTheme="minorEastAsia" w:hAnsiTheme="minorHAnsi"/>
          <w:noProof/>
          <w:color w:val="auto"/>
          <w:sz w:val="22"/>
          <w:szCs w:val="22"/>
          <w:lang w:eastAsia="en-NZ"/>
        </w:rPr>
      </w:pPr>
      <w:hyperlink w:anchor="_Toc87263183" w:history="1">
        <w:r w:rsidR="009B211C" w:rsidRPr="005818DA">
          <w:rPr>
            <w:rStyle w:val="Hyperlink"/>
            <w:noProof/>
          </w:rPr>
          <w:t>1.11</w:t>
        </w:r>
        <w:r w:rsidR="009B211C">
          <w:rPr>
            <w:rFonts w:asciiTheme="minorHAnsi" w:eastAsiaTheme="minorEastAsia" w:hAnsiTheme="minorHAnsi"/>
            <w:noProof/>
            <w:color w:val="auto"/>
            <w:sz w:val="22"/>
            <w:szCs w:val="22"/>
            <w:lang w:eastAsia="en-NZ"/>
          </w:rPr>
          <w:tab/>
        </w:r>
        <w:r w:rsidR="009B211C" w:rsidRPr="005818DA">
          <w:rPr>
            <w:rStyle w:val="Hyperlink"/>
            <w:noProof/>
          </w:rPr>
          <w:t>Gamgard ratings compared to opinions of high-risk gamblers</w:t>
        </w:r>
        <w:r w:rsidR="009B211C">
          <w:rPr>
            <w:noProof/>
            <w:webHidden/>
          </w:rPr>
          <w:tab/>
        </w:r>
        <w:r w:rsidR="009B211C">
          <w:rPr>
            <w:noProof/>
            <w:webHidden/>
          </w:rPr>
          <w:fldChar w:fldCharType="begin"/>
        </w:r>
        <w:r w:rsidR="009B211C">
          <w:rPr>
            <w:noProof/>
            <w:webHidden/>
          </w:rPr>
          <w:instrText xml:space="preserve"> PAGEREF _Toc87263183 \h </w:instrText>
        </w:r>
        <w:r w:rsidR="009B211C">
          <w:rPr>
            <w:noProof/>
            <w:webHidden/>
          </w:rPr>
        </w:r>
        <w:r w:rsidR="009B211C">
          <w:rPr>
            <w:noProof/>
            <w:webHidden/>
          </w:rPr>
          <w:fldChar w:fldCharType="separate"/>
        </w:r>
        <w:r w:rsidR="009B211C">
          <w:rPr>
            <w:noProof/>
            <w:webHidden/>
          </w:rPr>
          <w:t>25</w:t>
        </w:r>
        <w:r w:rsidR="009B211C">
          <w:rPr>
            <w:noProof/>
            <w:webHidden/>
          </w:rPr>
          <w:fldChar w:fldCharType="end"/>
        </w:r>
      </w:hyperlink>
    </w:p>
    <w:p w14:paraId="09CC3B91" w14:textId="35D83B77" w:rsidR="009B211C" w:rsidRDefault="00005CFC">
      <w:pPr>
        <w:pStyle w:val="TOC2"/>
        <w:tabs>
          <w:tab w:val="left" w:pos="1134"/>
          <w:tab w:val="right" w:leader="dot" w:pos="9962"/>
        </w:tabs>
        <w:rPr>
          <w:rFonts w:asciiTheme="minorHAnsi" w:eastAsiaTheme="minorEastAsia" w:hAnsiTheme="minorHAnsi"/>
          <w:noProof/>
          <w:color w:val="auto"/>
          <w:sz w:val="22"/>
          <w:szCs w:val="22"/>
          <w:lang w:eastAsia="en-NZ"/>
        </w:rPr>
      </w:pPr>
      <w:hyperlink w:anchor="_Toc87263184" w:history="1">
        <w:r w:rsidR="009B211C" w:rsidRPr="005818DA">
          <w:rPr>
            <w:rStyle w:val="Hyperlink"/>
            <w:noProof/>
          </w:rPr>
          <w:t>1.12</w:t>
        </w:r>
        <w:r w:rsidR="009B211C">
          <w:rPr>
            <w:rFonts w:asciiTheme="minorHAnsi" w:eastAsiaTheme="minorEastAsia" w:hAnsiTheme="minorHAnsi"/>
            <w:noProof/>
            <w:color w:val="auto"/>
            <w:sz w:val="22"/>
            <w:szCs w:val="22"/>
            <w:lang w:eastAsia="en-NZ"/>
          </w:rPr>
          <w:tab/>
        </w:r>
        <w:r w:rsidR="009B211C" w:rsidRPr="005818DA">
          <w:rPr>
            <w:rStyle w:val="Hyperlink"/>
            <w:noProof/>
          </w:rPr>
          <w:t>Gamgard’s fit in the overall harm prevention-minimisation space</w:t>
        </w:r>
        <w:r w:rsidR="009B211C">
          <w:rPr>
            <w:noProof/>
            <w:webHidden/>
          </w:rPr>
          <w:tab/>
        </w:r>
        <w:r w:rsidR="009B211C">
          <w:rPr>
            <w:noProof/>
            <w:webHidden/>
          </w:rPr>
          <w:fldChar w:fldCharType="begin"/>
        </w:r>
        <w:r w:rsidR="009B211C">
          <w:rPr>
            <w:noProof/>
            <w:webHidden/>
          </w:rPr>
          <w:instrText xml:space="preserve"> PAGEREF _Toc87263184 \h </w:instrText>
        </w:r>
        <w:r w:rsidR="009B211C">
          <w:rPr>
            <w:noProof/>
            <w:webHidden/>
          </w:rPr>
        </w:r>
        <w:r w:rsidR="009B211C">
          <w:rPr>
            <w:noProof/>
            <w:webHidden/>
          </w:rPr>
          <w:fldChar w:fldCharType="separate"/>
        </w:r>
        <w:r w:rsidR="009B211C">
          <w:rPr>
            <w:noProof/>
            <w:webHidden/>
          </w:rPr>
          <w:t>26</w:t>
        </w:r>
        <w:r w:rsidR="009B211C">
          <w:rPr>
            <w:noProof/>
            <w:webHidden/>
          </w:rPr>
          <w:fldChar w:fldCharType="end"/>
        </w:r>
      </w:hyperlink>
    </w:p>
    <w:p w14:paraId="7B15DD86" w14:textId="60A46F2B" w:rsidR="009B211C" w:rsidRDefault="00005CFC">
      <w:pPr>
        <w:pStyle w:val="TOC2"/>
        <w:tabs>
          <w:tab w:val="left" w:pos="1134"/>
          <w:tab w:val="right" w:leader="dot" w:pos="9962"/>
        </w:tabs>
        <w:rPr>
          <w:rFonts w:asciiTheme="minorHAnsi" w:eastAsiaTheme="minorEastAsia" w:hAnsiTheme="minorHAnsi"/>
          <w:noProof/>
          <w:color w:val="auto"/>
          <w:sz w:val="22"/>
          <w:szCs w:val="22"/>
          <w:lang w:eastAsia="en-NZ"/>
        </w:rPr>
      </w:pPr>
      <w:hyperlink w:anchor="_Toc87263185" w:history="1">
        <w:r w:rsidR="009B211C" w:rsidRPr="005818DA">
          <w:rPr>
            <w:rStyle w:val="Hyperlink"/>
            <w:noProof/>
          </w:rPr>
          <w:t>1.13</w:t>
        </w:r>
        <w:r w:rsidR="009B211C">
          <w:rPr>
            <w:rFonts w:asciiTheme="minorHAnsi" w:eastAsiaTheme="minorEastAsia" w:hAnsiTheme="minorHAnsi"/>
            <w:noProof/>
            <w:color w:val="auto"/>
            <w:sz w:val="22"/>
            <w:szCs w:val="22"/>
            <w:lang w:eastAsia="en-NZ"/>
          </w:rPr>
          <w:tab/>
        </w:r>
        <w:r w:rsidR="009B211C" w:rsidRPr="005818DA">
          <w:rPr>
            <w:rStyle w:val="Hyperlink"/>
            <w:noProof/>
          </w:rPr>
          <w:t>Conclusions</w:t>
        </w:r>
        <w:r w:rsidR="009B211C">
          <w:rPr>
            <w:noProof/>
            <w:webHidden/>
          </w:rPr>
          <w:tab/>
        </w:r>
        <w:r w:rsidR="009B211C">
          <w:rPr>
            <w:noProof/>
            <w:webHidden/>
          </w:rPr>
          <w:fldChar w:fldCharType="begin"/>
        </w:r>
        <w:r w:rsidR="009B211C">
          <w:rPr>
            <w:noProof/>
            <w:webHidden/>
          </w:rPr>
          <w:instrText xml:space="preserve"> PAGEREF _Toc87263185 \h </w:instrText>
        </w:r>
        <w:r w:rsidR="009B211C">
          <w:rPr>
            <w:noProof/>
            <w:webHidden/>
          </w:rPr>
        </w:r>
        <w:r w:rsidR="009B211C">
          <w:rPr>
            <w:noProof/>
            <w:webHidden/>
          </w:rPr>
          <w:fldChar w:fldCharType="separate"/>
        </w:r>
        <w:r w:rsidR="009B211C">
          <w:rPr>
            <w:noProof/>
            <w:webHidden/>
          </w:rPr>
          <w:t>27</w:t>
        </w:r>
        <w:r w:rsidR="009B211C">
          <w:rPr>
            <w:noProof/>
            <w:webHidden/>
          </w:rPr>
          <w:fldChar w:fldCharType="end"/>
        </w:r>
      </w:hyperlink>
    </w:p>
    <w:p w14:paraId="10E05232" w14:textId="0FD53B3B" w:rsidR="009B211C" w:rsidRDefault="00005CFC">
      <w:pPr>
        <w:pStyle w:val="TOC2"/>
        <w:tabs>
          <w:tab w:val="left" w:pos="1134"/>
          <w:tab w:val="right" w:leader="dot" w:pos="9962"/>
        </w:tabs>
        <w:rPr>
          <w:rFonts w:asciiTheme="minorHAnsi" w:eastAsiaTheme="minorEastAsia" w:hAnsiTheme="minorHAnsi"/>
          <w:noProof/>
          <w:color w:val="auto"/>
          <w:sz w:val="22"/>
          <w:szCs w:val="22"/>
          <w:lang w:eastAsia="en-NZ"/>
        </w:rPr>
      </w:pPr>
      <w:hyperlink w:anchor="_Toc87263186" w:history="1">
        <w:r w:rsidR="009B211C" w:rsidRPr="005818DA">
          <w:rPr>
            <w:rStyle w:val="Hyperlink"/>
            <w:noProof/>
          </w:rPr>
          <w:t>1.14</w:t>
        </w:r>
        <w:r w:rsidR="009B211C">
          <w:rPr>
            <w:rFonts w:asciiTheme="minorHAnsi" w:eastAsiaTheme="minorEastAsia" w:hAnsiTheme="minorHAnsi"/>
            <w:noProof/>
            <w:color w:val="auto"/>
            <w:sz w:val="22"/>
            <w:szCs w:val="22"/>
            <w:lang w:eastAsia="en-NZ"/>
          </w:rPr>
          <w:tab/>
        </w:r>
        <w:r w:rsidR="009B211C" w:rsidRPr="005818DA">
          <w:rPr>
            <w:rStyle w:val="Hyperlink"/>
            <w:noProof/>
          </w:rPr>
          <w:t>Recommendations</w:t>
        </w:r>
        <w:r w:rsidR="009B211C">
          <w:rPr>
            <w:noProof/>
            <w:webHidden/>
          </w:rPr>
          <w:tab/>
        </w:r>
        <w:r w:rsidR="009B211C">
          <w:rPr>
            <w:noProof/>
            <w:webHidden/>
          </w:rPr>
          <w:fldChar w:fldCharType="begin"/>
        </w:r>
        <w:r w:rsidR="009B211C">
          <w:rPr>
            <w:noProof/>
            <w:webHidden/>
          </w:rPr>
          <w:instrText xml:space="preserve"> PAGEREF _Toc87263186 \h </w:instrText>
        </w:r>
        <w:r w:rsidR="009B211C">
          <w:rPr>
            <w:noProof/>
            <w:webHidden/>
          </w:rPr>
        </w:r>
        <w:r w:rsidR="009B211C">
          <w:rPr>
            <w:noProof/>
            <w:webHidden/>
          </w:rPr>
          <w:fldChar w:fldCharType="separate"/>
        </w:r>
        <w:r w:rsidR="009B211C">
          <w:rPr>
            <w:noProof/>
            <w:webHidden/>
          </w:rPr>
          <w:t>28</w:t>
        </w:r>
        <w:r w:rsidR="009B211C">
          <w:rPr>
            <w:noProof/>
            <w:webHidden/>
          </w:rPr>
          <w:fldChar w:fldCharType="end"/>
        </w:r>
      </w:hyperlink>
    </w:p>
    <w:p w14:paraId="08BE0D07" w14:textId="20B1515E" w:rsidR="009B211C" w:rsidRDefault="00005CFC">
      <w:pPr>
        <w:pStyle w:val="TOC1"/>
        <w:tabs>
          <w:tab w:val="left" w:pos="567"/>
        </w:tabs>
        <w:rPr>
          <w:rFonts w:asciiTheme="minorHAnsi" w:eastAsiaTheme="minorEastAsia" w:hAnsiTheme="minorHAnsi"/>
          <w:noProof/>
          <w:color w:val="auto"/>
          <w:sz w:val="22"/>
          <w:szCs w:val="22"/>
          <w:lang w:eastAsia="en-NZ"/>
        </w:rPr>
      </w:pPr>
      <w:hyperlink w:anchor="_Toc87263187" w:history="1">
        <w:r w:rsidR="009B211C" w:rsidRPr="005818DA">
          <w:rPr>
            <w:rStyle w:val="Hyperlink"/>
            <w:noProof/>
          </w:rPr>
          <w:t>2</w:t>
        </w:r>
        <w:r w:rsidR="009B211C">
          <w:rPr>
            <w:rFonts w:asciiTheme="minorHAnsi" w:eastAsiaTheme="minorEastAsia" w:hAnsiTheme="minorHAnsi"/>
            <w:noProof/>
            <w:color w:val="auto"/>
            <w:sz w:val="22"/>
            <w:szCs w:val="22"/>
            <w:lang w:eastAsia="en-NZ"/>
          </w:rPr>
          <w:tab/>
        </w:r>
        <w:r w:rsidR="009B211C" w:rsidRPr="005818DA">
          <w:rPr>
            <w:rStyle w:val="Hyperlink"/>
            <w:noProof/>
          </w:rPr>
          <w:t>Expert Interviews</w:t>
        </w:r>
        <w:r w:rsidR="009B211C">
          <w:rPr>
            <w:noProof/>
            <w:webHidden/>
          </w:rPr>
          <w:tab/>
        </w:r>
        <w:r w:rsidR="009B211C">
          <w:rPr>
            <w:noProof/>
            <w:webHidden/>
          </w:rPr>
          <w:fldChar w:fldCharType="begin"/>
        </w:r>
        <w:r w:rsidR="009B211C">
          <w:rPr>
            <w:noProof/>
            <w:webHidden/>
          </w:rPr>
          <w:instrText xml:space="preserve"> PAGEREF _Toc87263187 \h </w:instrText>
        </w:r>
        <w:r w:rsidR="009B211C">
          <w:rPr>
            <w:noProof/>
            <w:webHidden/>
          </w:rPr>
        </w:r>
        <w:r w:rsidR="009B211C">
          <w:rPr>
            <w:noProof/>
            <w:webHidden/>
          </w:rPr>
          <w:fldChar w:fldCharType="separate"/>
        </w:r>
        <w:r w:rsidR="009B211C">
          <w:rPr>
            <w:noProof/>
            <w:webHidden/>
          </w:rPr>
          <w:t>29</w:t>
        </w:r>
        <w:r w:rsidR="009B211C">
          <w:rPr>
            <w:noProof/>
            <w:webHidden/>
          </w:rPr>
          <w:fldChar w:fldCharType="end"/>
        </w:r>
      </w:hyperlink>
    </w:p>
    <w:p w14:paraId="7E06763E" w14:textId="7F4BDB2E" w:rsidR="009B211C" w:rsidRDefault="00005CFC">
      <w:pPr>
        <w:pStyle w:val="TOC2"/>
        <w:tabs>
          <w:tab w:val="left" w:pos="1134"/>
          <w:tab w:val="right" w:leader="dot" w:pos="9962"/>
        </w:tabs>
        <w:rPr>
          <w:rFonts w:asciiTheme="minorHAnsi" w:eastAsiaTheme="minorEastAsia" w:hAnsiTheme="minorHAnsi"/>
          <w:noProof/>
          <w:color w:val="auto"/>
          <w:sz w:val="22"/>
          <w:szCs w:val="22"/>
          <w:lang w:eastAsia="en-NZ"/>
        </w:rPr>
      </w:pPr>
      <w:hyperlink w:anchor="_Toc87263188" w:history="1">
        <w:r w:rsidR="009B211C" w:rsidRPr="005818DA">
          <w:rPr>
            <w:rStyle w:val="Hyperlink"/>
            <w:noProof/>
          </w:rPr>
          <w:t>2.1</w:t>
        </w:r>
        <w:r w:rsidR="009B211C">
          <w:rPr>
            <w:rFonts w:asciiTheme="minorHAnsi" w:eastAsiaTheme="minorEastAsia" w:hAnsiTheme="minorHAnsi"/>
            <w:noProof/>
            <w:color w:val="auto"/>
            <w:sz w:val="22"/>
            <w:szCs w:val="22"/>
            <w:lang w:eastAsia="en-NZ"/>
          </w:rPr>
          <w:tab/>
        </w:r>
        <w:r w:rsidR="009B211C" w:rsidRPr="005818DA">
          <w:rPr>
            <w:rStyle w:val="Hyperlink"/>
            <w:noProof/>
          </w:rPr>
          <w:t>Purpose and background</w:t>
        </w:r>
        <w:r w:rsidR="009B211C">
          <w:rPr>
            <w:noProof/>
            <w:webHidden/>
          </w:rPr>
          <w:tab/>
        </w:r>
        <w:r w:rsidR="009B211C">
          <w:rPr>
            <w:noProof/>
            <w:webHidden/>
          </w:rPr>
          <w:fldChar w:fldCharType="begin"/>
        </w:r>
        <w:r w:rsidR="009B211C">
          <w:rPr>
            <w:noProof/>
            <w:webHidden/>
          </w:rPr>
          <w:instrText xml:space="preserve"> PAGEREF _Toc87263188 \h </w:instrText>
        </w:r>
        <w:r w:rsidR="009B211C">
          <w:rPr>
            <w:noProof/>
            <w:webHidden/>
          </w:rPr>
        </w:r>
        <w:r w:rsidR="009B211C">
          <w:rPr>
            <w:noProof/>
            <w:webHidden/>
          </w:rPr>
          <w:fldChar w:fldCharType="separate"/>
        </w:r>
        <w:r w:rsidR="009B211C">
          <w:rPr>
            <w:noProof/>
            <w:webHidden/>
          </w:rPr>
          <w:t>29</w:t>
        </w:r>
        <w:r w:rsidR="009B211C">
          <w:rPr>
            <w:noProof/>
            <w:webHidden/>
          </w:rPr>
          <w:fldChar w:fldCharType="end"/>
        </w:r>
      </w:hyperlink>
    </w:p>
    <w:p w14:paraId="58F32B46" w14:textId="644EC0BF" w:rsidR="009B211C" w:rsidRDefault="00005CFC">
      <w:pPr>
        <w:pStyle w:val="TOC2"/>
        <w:tabs>
          <w:tab w:val="left" w:pos="1134"/>
          <w:tab w:val="right" w:leader="dot" w:pos="9962"/>
        </w:tabs>
        <w:rPr>
          <w:rFonts w:asciiTheme="minorHAnsi" w:eastAsiaTheme="minorEastAsia" w:hAnsiTheme="minorHAnsi"/>
          <w:noProof/>
          <w:color w:val="auto"/>
          <w:sz w:val="22"/>
          <w:szCs w:val="22"/>
          <w:lang w:eastAsia="en-NZ"/>
        </w:rPr>
      </w:pPr>
      <w:hyperlink w:anchor="_Toc87263189" w:history="1">
        <w:r w:rsidR="009B211C" w:rsidRPr="005818DA">
          <w:rPr>
            <w:rStyle w:val="Hyperlink"/>
            <w:noProof/>
          </w:rPr>
          <w:t>2.2</w:t>
        </w:r>
        <w:r w:rsidR="009B211C">
          <w:rPr>
            <w:rFonts w:asciiTheme="minorHAnsi" w:eastAsiaTheme="minorEastAsia" w:hAnsiTheme="minorHAnsi"/>
            <w:noProof/>
            <w:color w:val="auto"/>
            <w:sz w:val="22"/>
            <w:szCs w:val="22"/>
            <w:lang w:eastAsia="en-NZ"/>
          </w:rPr>
          <w:tab/>
        </w:r>
        <w:r w:rsidR="009B211C" w:rsidRPr="005818DA">
          <w:rPr>
            <w:rStyle w:val="Hyperlink"/>
            <w:noProof/>
          </w:rPr>
          <w:t>Method</w:t>
        </w:r>
        <w:r w:rsidR="009B211C">
          <w:rPr>
            <w:noProof/>
            <w:webHidden/>
          </w:rPr>
          <w:tab/>
        </w:r>
        <w:r w:rsidR="009B211C">
          <w:rPr>
            <w:noProof/>
            <w:webHidden/>
          </w:rPr>
          <w:fldChar w:fldCharType="begin"/>
        </w:r>
        <w:r w:rsidR="009B211C">
          <w:rPr>
            <w:noProof/>
            <w:webHidden/>
          </w:rPr>
          <w:instrText xml:space="preserve"> PAGEREF _Toc87263189 \h </w:instrText>
        </w:r>
        <w:r w:rsidR="009B211C">
          <w:rPr>
            <w:noProof/>
            <w:webHidden/>
          </w:rPr>
        </w:r>
        <w:r w:rsidR="009B211C">
          <w:rPr>
            <w:noProof/>
            <w:webHidden/>
          </w:rPr>
          <w:fldChar w:fldCharType="separate"/>
        </w:r>
        <w:r w:rsidR="009B211C">
          <w:rPr>
            <w:noProof/>
            <w:webHidden/>
          </w:rPr>
          <w:t>29</w:t>
        </w:r>
        <w:r w:rsidR="009B211C">
          <w:rPr>
            <w:noProof/>
            <w:webHidden/>
          </w:rPr>
          <w:fldChar w:fldCharType="end"/>
        </w:r>
      </w:hyperlink>
    </w:p>
    <w:p w14:paraId="03CFF4ED" w14:textId="01E5B787" w:rsidR="009B211C" w:rsidRDefault="00005CFC">
      <w:pPr>
        <w:pStyle w:val="TOC2"/>
        <w:tabs>
          <w:tab w:val="left" w:pos="1134"/>
          <w:tab w:val="right" w:leader="dot" w:pos="9962"/>
        </w:tabs>
        <w:rPr>
          <w:rFonts w:asciiTheme="minorHAnsi" w:eastAsiaTheme="minorEastAsia" w:hAnsiTheme="minorHAnsi"/>
          <w:noProof/>
          <w:color w:val="auto"/>
          <w:sz w:val="22"/>
          <w:szCs w:val="22"/>
          <w:lang w:eastAsia="en-NZ"/>
        </w:rPr>
      </w:pPr>
      <w:hyperlink w:anchor="_Toc87263190" w:history="1">
        <w:r w:rsidR="009B211C" w:rsidRPr="005818DA">
          <w:rPr>
            <w:rStyle w:val="Hyperlink"/>
            <w:noProof/>
          </w:rPr>
          <w:t>2.3</w:t>
        </w:r>
        <w:r w:rsidR="009B211C">
          <w:rPr>
            <w:rFonts w:asciiTheme="minorHAnsi" w:eastAsiaTheme="minorEastAsia" w:hAnsiTheme="minorHAnsi"/>
            <w:noProof/>
            <w:color w:val="auto"/>
            <w:sz w:val="22"/>
            <w:szCs w:val="22"/>
            <w:lang w:eastAsia="en-NZ"/>
          </w:rPr>
          <w:tab/>
        </w:r>
        <w:r w:rsidR="009B211C" w:rsidRPr="005818DA">
          <w:rPr>
            <w:rStyle w:val="Hyperlink"/>
            <w:noProof/>
          </w:rPr>
          <w:t>Findings</w:t>
        </w:r>
        <w:r w:rsidR="009B211C">
          <w:rPr>
            <w:noProof/>
            <w:webHidden/>
          </w:rPr>
          <w:tab/>
        </w:r>
        <w:r w:rsidR="009B211C">
          <w:rPr>
            <w:noProof/>
            <w:webHidden/>
          </w:rPr>
          <w:fldChar w:fldCharType="begin"/>
        </w:r>
        <w:r w:rsidR="009B211C">
          <w:rPr>
            <w:noProof/>
            <w:webHidden/>
          </w:rPr>
          <w:instrText xml:space="preserve"> PAGEREF _Toc87263190 \h </w:instrText>
        </w:r>
        <w:r w:rsidR="009B211C">
          <w:rPr>
            <w:noProof/>
            <w:webHidden/>
          </w:rPr>
        </w:r>
        <w:r w:rsidR="009B211C">
          <w:rPr>
            <w:noProof/>
            <w:webHidden/>
          </w:rPr>
          <w:fldChar w:fldCharType="separate"/>
        </w:r>
        <w:r w:rsidR="009B211C">
          <w:rPr>
            <w:noProof/>
            <w:webHidden/>
          </w:rPr>
          <w:t>30</w:t>
        </w:r>
        <w:r w:rsidR="009B211C">
          <w:rPr>
            <w:noProof/>
            <w:webHidden/>
          </w:rPr>
          <w:fldChar w:fldCharType="end"/>
        </w:r>
      </w:hyperlink>
    </w:p>
    <w:p w14:paraId="5BF3C911" w14:textId="447718E9" w:rsidR="009B211C" w:rsidRDefault="00005CFC">
      <w:pPr>
        <w:pStyle w:val="TOC2"/>
        <w:tabs>
          <w:tab w:val="left" w:pos="1134"/>
          <w:tab w:val="right" w:leader="dot" w:pos="9962"/>
        </w:tabs>
        <w:rPr>
          <w:rFonts w:asciiTheme="minorHAnsi" w:eastAsiaTheme="minorEastAsia" w:hAnsiTheme="minorHAnsi"/>
          <w:noProof/>
          <w:color w:val="auto"/>
          <w:sz w:val="22"/>
          <w:szCs w:val="22"/>
          <w:lang w:eastAsia="en-NZ"/>
        </w:rPr>
      </w:pPr>
      <w:hyperlink w:anchor="_Toc87263191" w:history="1">
        <w:r w:rsidR="009B211C" w:rsidRPr="005818DA">
          <w:rPr>
            <w:rStyle w:val="Hyperlink"/>
            <w:noProof/>
          </w:rPr>
          <w:t>2.4</w:t>
        </w:r>
        <w:r w:rsidR="009B211C">
          <w:rPr>
            <w:rFonts w:asciiTheme="minorHAnsi" w:eastAsiaTheme="minorEastAsia" w:hAnsiTheme="minorHAnsi"/>
            <w:noProof/>
            <w:color w:val="auto"/>
            <w:sz w:val="22"/>
            <w:szCs w:val="22"/>
            <w:lang w:eastAsia="en-NZ"/>
          </w:rPr>
          <w:tab/>
        </w:r>
        <w:r w:rsidR="009B211C" w:rsidRPr="005818DA">
          <w:rPr>
            <w:rStyle w:val="Hyperlink"/>
            <w:noProof/>
          </w:rPr>
          <w:t>Conclusion</w:t>
        </w:r>
        <w:r w:rsidR="009B211C">
          <w:rPr>
            <w:noProof/>
            <w:webHidden/>
          </w:rPr>
          <w:tab/>
        </w:r>
        <w:r w:rsidR="009B211C">
          <w:rPr>
            <w:noProof/>
            <w:webHidden/>
          </w:rPr>
          <w:fldChar w:fldCharType="begin"/>
        </w:r>
        <w:r w:rsidR="009B211C">
          <w:rPr>
            <w:noProof/>
            <w:webHidden/>
          </w:rPr>
          <w:instrText xml:space="preserve"> PAGEREF _Toc87263191 \h </w:instrText>
        </w:r>
        <w:r w:rsidR="009B211C">
          <w:rPr>
            <w:noProof/>
            <w:webHidden/>
          </w:rPr>
        </w:r>
        <w:r w:rsidR="009B211C">
          <w:rPr>
            <w:noProof/>
            <w:webHidden/>
          </w:rPr>
          <w:fldChar w:fldCharType="separate"/>
        </w:r>
        <w:r w:rsidR="009B211C">
          <w:rPr>
            <w:noProof/>
            <w:webHidden/>
          </w:rPr>
          <w:t>40</w:t>
        </w:r>
        <w:r w:rsidR="009B211C">
          <w:rPr>
            <w:noProof/>
            <w:webHidden/>
          </w:rPr>
          <w:fldChar w:fldCharType="end"/>
        </w:r>
      </w:hyperlink>
    </w:p>
    <w:p w14:paraId="32756805" w14:textId="6DFA8A27" w:rsidR="009B211C" w:rsidRDefault="00005CFC">
      <w:pPr>
        <w:pStyle w:val="TOC1"/>
        <w:tabs>
          <w:tab w:val="left" w:pos="567"/>
        </w:tabs>
        <w:rPr>
          <w:rFonts w:asciiTheme="minorHAnsi" w:eastAsiaTheme="minorEastAsia" w:hAnsiTheme="minorHAnsi"/>
          <w:noProof/>
          <w:color w:val="auto"/>
          <w:sz w:val="22"/>
          <w:szCs w:val="22"/>
          <w:lang w:eastAsia="en-NZ"/>
        </w:rPr>
      </w:pPr>
      <w:hyperlink w:anchor="_Toc87263192" w:history="1">
        <w:r w:rsidR="009B211C" w:rsidRPr="005818DA">
          <w:rPr>
            <w:rStyle w:val="Hyperlink"/>
            <w:noProof/>
          </w:rPr>
          <w:t>3</w:t>
        </w:r>
        <w:r w:rsidR="009B211C">
          <w:rPr>
            <w:rFonts w:asciiTheme="minorHAnsi" w:eastAsiaTheme="minorEastAsia" w:hAnsiTheme="minorHAnsi"/>
            <w:noProof/>
            <w:color w:val="auto"/>
            <w:sz w:val="22"/>
            <w:szCs w:val="22"/>
            <w:lang w:eastAsia="en-NZ"/>
          </w:rPr>
          <w:tab/>
        </w:r>
        <w:r w:rsidR="009B211C" w:rsidRPr="005818DA">
          <w:rPr>
            <w:rStyle w:val="Hyperlink"/>
            <w:noProof/>
          </w:rPr>
          <w:t>In-depth Gamgard Case Study Evaluation</w:t>
        </w:r>
        <w:r w:rsidR="009B211C">
          <w:rPr>
            <w:noProof/>
            <w:webHidden/>
          </w:rPr>
          <w:tab/>
        </w:r>
        <w:r w:rsidR="009B211C">
          <w:rPr>
            <w:noProof/>
            <w:webHidden/>
          </w:rPr>
          <w:fldChar w:fldCharType="begin"/>
        </w:r>
        <w:r w:rsidR="009B211C">
          <w:rPr>
            <w:noProof/>
            <w:webHidden/>
          </w:rPr>
          <w:instrText xml:space="preserve"> PAGEREF _Toc87263192 \h </w:instrText>
        </w:r>
        <w:r w:rsidR="009B211C">
          <w:rPr>
            <w:noProof/>
            <w:webHidden/>
          </w:rPr>
        </w:r>
        <w:r w:rsidR="009B211C">
          <w:rPr>
            <w:noProof/>
            <w:webHidden/>
          </w:rPr>
          <w:fldChar w:fldCharType="separate"/>
        </w:r>
        <w:r w:rsidR="009B211C">
          <w:rPr>
            <w:noProof/>
            <w:webHidden/>
          </w:rPr>
          <w:t>42</w:t>
        </w:r>
        <w:r w:rsidR="009B211C">
          <w:rPr>
            <w:noProof/>
            <w:webHidden/>
          </w:rPr>
          <w:fldChar w:fldCharType="end"/>
        </w:r>
      </w:hyperlink>
    </w:p>
    <w:p w14:paraId="5D244F4C" w14:textId="6AF86F35" w:rsidR="009B211C" w:rsidRDefault="00005CFC">
      <w:pPr>
        <w:pStyle w:val="TOC2"/>
        <w:tabs>
          <w:tab w:val="left" w:pos="1134"/>
          <w:tab w:val="right" w:leader="dot" w:pos="9962"/>
        </w:tabs>
        <w:rPr>
          <w:rFonts w:asciiTheme="minorHAnsi" w:eastAsiaTheme="minorEastAsia" w:hAnsiTheme="minorHAnsi"/>
          <w:noProof/>
          <w:color w:val="auto"/>
          <w:sz w:val="22"/>
          <w:szCs w:val="22"/>
          <w:lang w:eastAsia="en-NZ"/>
        </w:rPr>
      </w:pPr>
      <w:hyperlink w:anchor="_Toc87263193" w:history="1">
        <w:r w:rsidR="009B211C" w:rsidRPr="005818DA">
          <w:rPr>
            <w:rStyle w:val="Hyperlink"/>
            <w:noProof/>
          </w:rPr>
          <w:t>3.1</w:t>
        </w:r>
        <w:r w:rsidR="009B211C">
          <w:rPr>
            <w:rFonts w:asciiTheme="minorHAnsi" w:eastAsiaTheme="minorEastAsia" w:hAnsiTheme="minorHAnsi"/>
            <w:noProof/>
            <w:color w:val="auto"/>
            <w:sz w:val="22"/>
            <w:szCs w:val="22"/>
            <w:lang w:eastAsia="en-NZ"/>
          </w:rPr>
          <w:tab/>
        </w:r>
        <w:r w:rsidR="009B211C" w:rsidRPr="005818DA">
          <w:rPr>
            <w:rStyle w:val="Hyperlink"/>
            <w:noProof/>
          </w:rPr>
          <w:t>Purpose and background</w:t>
        </w:r>
        <w:r w:rsidR="009B211C">
          <w:rPr>
            <w:noProof/>
            <w:webHidden/>
          </w:rPr>
          <w:tab/>
        </w:r>
        <w:r w:rsidR="009B211C">
          <w:rPr>
            <w:noProof/>
            <w:webHidden/>
          </w:rPr>
          <w:fldChar w:fldCharType="begin"/>
        </w:r>
        <w:r w:rsidR="009B211C">
          <w:rPr>
            <w:noProof/>
            <w:webHidden/>
          </w:rPr>
          <w:instrText xml:space="preserve"> PAGEREF _Toc87263193 \h </w:instrText>
        </w:r>
        <w:r w:rsidR="009B211C">
          <w:rPr>
            <w:noProof/>
            <w:webHidden/>
          </w:rPr>
        </w:r>
        <w:r w:rsidR="009B211C">
          <w:rPr>
            <w:noProof/>
            <w:webHidden/>
          </w:rPr>
          <w:fldChar w:fldCharType="separate"/>
        </w:r>
        <w:r w:rsidR="009B211C">
          <w:rPr>
            <w:noProof/>
            <w:webHidden/>
          </w:rPr>
          <w:t>42</w:t>
        </w:r>
        <w:r w:rsidR="009B211C">
          <w:rPr>
            <w:noProof/>
            <w:webHidden/>
          </w:rPr>
          <w:fldChar w:fldCharType="end"/>
        </w:r>
      </w:hyperlink>
    </w:p>
    <w:p w14:paraId="5502FB63" w14:textId="746AE0A5" w:rsidR="009B211C" w:rsidRDefault="00005CFC">
      <w:pPr>
        <w:pStyle w:val="TOC2"/>
        <w:tabs>
          <w:tab w:val="left" w:pos="1134"/>
          <w:tab w:val="right" w:leader="dot" w:pos="9962"/>
        </w:tabs>
        <w:rPr>
          <w:rFonts w:asciiTheme="minorHAnsi" w:eastAsiaTheme="minorEastAsia" w:hAnsiTheme="minorHAnsi"/>
          <w:noProof/>
          <w:color w:val="auto"/>
          <w:sz w:val="22"/>
          <w:szCs w:val="22"/>
          <w:lang w:eastAsia="en-NZ"/>
        </w:rPr>
      </w:pPr>
      <w:hyperlink w:anchor="_Toc87263194" w:history="1">
        <w:r w:rsidR="009B211C" w:rsidRPr="005818DA">
          <w:rPr>
            <w:rStyle w:val="Hyperlink"/>
            <w:noProof/>
          </w:rPr>
          <w:t>3.2</w:t>
        </w:r>
        <w:r w:rsidR="009B211C">
          <w:rPr>
            <w:rFonts w:asciiTheme="minorHAnsi" w:eastAsiaTheme="minorEastAsia" w:hAnsiTheme="minorHAnsi"/>
            <w:noProof/>
            <w:color w:val="auto"/>
            <w:sz w:val="22"/>
            <w:szCs w:val="22"/>
            <w:lang w:eastAsia="en-NZ"/>
          </w:rPr>
          <w:tab/>
        </w:r>
        <w:r w:rsidR="009B211C" w:rsidRPr="005818DA">
          <w:rPr>
            <w:rStyle w:val="Hyperlink"/>
            <w:noProof/>
          </w:rPr>
          <w:t>Method</w:t>
        </w:r>
        <w:r w:rsidR="009B211C">
          <w:rPr>
            <w:noProof/>
            <w:webHidden/>
          </w:rPr>
          <w:tab/>
        </w:r>
        <w:r w:rsidR="009B211C">
          <w:rPr>
            <w:noProof/>
            <w:webHidden/>
          </w:rPr>
          <w:fldChar w:fldCharType="begin"/>
        </w:r>
        <w:r w:rsidR="009B211C">
          <w:rPr>
            <w:noProof/>
            <w:webHidden/>
          </w:rPr>
          <w:instrText xml:space="preserve"> PAGEREF _Toc87263194 \h </w:instrText>
        </w:r>
        <w:r w:rsidR="009B211C">
          <w:rPr>
            <w:noProof/>
            <w:webHidden/>
          </w:rPr>
        </w:r>
        <w:r w:rsidR="009B211C">
          <w:rPr>
            <w:noProof/>
            <w:webHidden/>
          </w:rPr>
          <w:fldChar w:fldCharType="separate"/>
        </w:r>
        <w:r w:rsidR="009B211C">
          <w:rPr>
            <w:noProof/>
            <w:webHidden/>
          </w:rPr>
          <w:t>42</w:t>
        </w:r>
        <w:r w:rsidR="009B211C">
          <w:rPr>
            <w:noProof/>
            <w:webHidden/>
          </w:rPr>
          <w:fldChar w:fldCharType="end"/>
        </w:r>
      </w:hyperlink>
    </w:p>
    <w:p w14:paraId="6E72EA91" w14:textId="05BDFA94" w:rsidR="009B211C" w:rsidRDefault="00005CFC">
      <w:pPr>
        <w:pStyle w:val="TOC2"/>
        <w:tabs>
          <w:tab w:val="left" w:pos="1134"/>
          <w:tab w:val="right" w:leader="dot" w:pos="9962"/>
        </w:tabs>
        <w:rPr>
          <w:rFonts w:asciiTheme="minorHAnsi" w:eastAsiaTheme="minorEastAsia" w:hAnsiTheme="minorHAnsi"/>
          <w:noProof/>
          <w:color w:val="auto"/>
          <w:sz w:val="22"/>
          <w:szCs w:val="22"/>
          <w:lang w:eastAsia="en-NZ"/>
        </w:rPr>
      </w:pPr>
      <w:hyperlink w:anchor="_Toc87263195" w:history="1">
        <w:r w:rsidR="009B211C" w:rsidRPr="005818DA">
          <w:rPr>
            <w:rStyle w:val="Hyperlink"/>
            <w:noProof/>
          </w:rPr>
          <w:t>3.3</w:t>
        </w:r>
        <w:r w:rsidR="009B211C">
          <w:rPr>
            <w:rFonts w:asciiTheme="minorHAnsi" w:eastAsiaTheme="minorEastAsia" w:hAnsiTheme="minorHAnsi"/>
            <w:noProof/>
            <w:color w:val="auto"/>
            <w:sz w:val="22"/>
            <w:szCs w:val="22"/>
            <w:lang w:eastAsia="en-NZ"/>
          </w:rPr>
          <w:tab/>
        </w:r>
        <w:r w:rsidR="009B211C" w:rsidRPr="005818DA">
          <w:rPr>
            <w:rStyle w:val="Hyperlink"/>
            <w:noProof/>
          </w:rPr>
          <w:t>Focus group results – Use of Gamgard</w:t>
        </w:r>
        <w:r w:rsidR="009B211C">
          <w:rPr>
            <w:noProof/>
            <w:webHidden/>
          </w:rPr>
          <w:tab/>
        </w:r>
        <w:r w:rsidR="009B211C">
          <w:rPr>
            <w:noProof/>
            <w:webHidden/>
          </w:rPr>
          <w:fldChar w:fldCharType="begin"/>
        </w:r>
        <w:r w:rsidR="009B211C">
          <w:rPr>
            <w:noProof/>
            <w:webHidden/>
          </w:rPr>
          <w:instrText xml:space="preserve"> PAGEREF _Toc87263195 \h </w:instrText>
        </w:r>
        <w:r w:rsidR="009B211C">
          <w:rPr>
            <w:noProof/>
            <w:webHidden/>
          </w:rPr>
        </w:r>
        <w:r w:rsidR="009B211C">
          <w:rPr>
            <w:noProof/>
            <w:webHidden/>
          </w:rPr>
          <w:fldChar w:fldCharType="separate"/>
        </w:r>
        <w:r w:rsidR="009B211C">
          <w:rPr>
            <w:noProof/>
            <w:webHidden/>
          </w:rPr>
          <w:t>43</w:t>
        </w:r>
        <w:r w:rsidR="009B211C">
          <w:rPr>
            <w:noProof/>
            <w:webHidden/>
          </w:rPr>
          <w:fldChar w:fldCharType="end"/>
        </w:r>
      </w:hyperlink>
    </w:p>
    <w:p w14:paraId="499DA234" w14:textId="5C3F65BC" w:rsidR="009B211C" w:rsidRDefault="00005CFC">
      <w:pPr>
        <w:pStyle w:val="TOC2"/>
        <w:tabs>
          <w:tab w:val="left" w:pos="1134"/>
          <w:tab w:val="right" w:leader="dot" w:pos="9962"/>
        </w:tabs>
        <w:rPr>
          <w:rFonts w:asciiTheme="minorHAnsi" w:eastAsiaTheme="minorEastAsia" w:hAnsiTheme="minorHAnsi"/>
          <w:noProof/>
          <w:color w:val="auto"/>
          <w:sz w:val="22"/>
          <w:szCs w:val="22"/>
          <w:lang w:eastAsia="en-NZ"/>
        </w:rPr>
      </w:pPr>
      <w:hyperlink w:anchor="_Toc87263196" w:history="1">
        <w:r w:rsidR="009B211C" w:rsidRPr="005818DA">
          <w:rPr>
            <w:rStyle w:val="Hyperlink"/>
            <w:noProof/>
          </w:rPr>
          <w:t>3.4</w:t>
        </w:r>
        <w:r w:rsidR="009B211C">
          <w:rPr>
            <w:rFonts w:asciiTheme="minorHAnsi" w:eastAsiaTheme="minorEastAsia" w:hAnsiTheme="minorHAnsi"/>
            <w:noProof/>
            <w:color w:val="auto"/>
            <w:sz w:val="22"/>
            <w:szCs w:val="22"/>
            <w:lang w:eastAsia="en-NZ"/>
          </w:rPr>
          <w:tab/>
        </w:r>
        <w:r w:rsidR="009B211C" w:rsidRPr="005818DA">
          <w:rPr>
            <w:rStyle w:val="Hyperlink"/>
            <w:noProof/>
          </w:rPr>
          <w:t>Individual scoring sessions</w:t>
        </w:r>
        <w:r w:rsidR="009B211C">
          <w:rPr>
            <w:noProof/>
            <w:webHidden/>
          </w:rPr>
          <w:tab/>
        </w:r>
        <w:r w:rsidR="009B211C">
          <w:rPr>
            <w:noProof/>
            <w:webHidden/>
          </w:rPr>
          <w:fldChar w:fldCharType="begin"/>
        </w:r>
        <w:r w:rsidR="009B211C">
          <w:rPr>
            <w:noProof/>
            <w:webHidden/>
          </w:rPr>
          <w:instrText xml:space="preserve"> PAGEREF _Toc87263196 \h </w:instrText>
        </w:r>
        <w:r w:rsidR="009B211C">
          <w:rPr>
            <w:noProof/>
            <w:webHidden/>
          </w:rPr>
        </w:r>
        <w:r w:rsidR="009B211C">
          <w:rPr>
            <w:noProof/>
            <w:webHidden/>
          </w:rPr>
          <w:fldChar w:fldCharType="separate"/>
        </w:r>
        <w:r w:rsidR="009B211C">
          <w:rPr>
            <w:noProof/>
            <w:webHidden/>
          </w:rPr>
          <w:t>45</w:t>
        </w:r>
        <w:r w:rsidR="009B211C">
          <w:rPr>
            <w:noProof/>
            <w:webHidden/>
          </w:rPr>
          <w:fldChar w:fldCharType="end"/>
        </w:r>
      </w:hyperlink>
    </w:p>
    <w:p w14:paraId="3F648387" w14:textId="276D7A56" w:rsidR="009B211C" w:rsidRDefault="00005CFC">
      <w:pPr>
        <w:pStyle w:val="TOC2"/>
        <w:tabs>
          <w:tab w:val="left" w:pos="1134"/>
          <w:tab w:val="right" w:leader="dot" w:pos="9962"/>
        </w:tabs>
        <w:rPr>
          <w:rFonts w:asciiTheme="minorHAnsi" w:eastAsiaTheme="minorEastAsia" w:hAnsiTheme="minorHAnsi"/>
          <w:noProof/>
          <w:color w:val="auto"/>
          <w:sz w:val="22"/>
          <w:szCs w:val="22"/>
          <w:lang w:eastAsia="en-NZ"/>
        </w:rPr>
      </w:pPr>
      <w:hyperlink w:anchor="_Toc87263197" w:history="1">
        <w:r w:rsidR="009B211C" w:rsidRPr="005818DA">
          <w:rPr>
            <w:rStyle w:val="Hyperlink"/>
            <w:noProof/>
          </w:rPr>
          <w:t>3.5</w:t>
        </w:r>
        <w:r w:rsidR="009B211C">
          <w:rPr>
            <w:rFonts w:asciiTheme="minorHAnsi" w:eastAsiaTheme="minorEastAsia" w:hAnsiTheme="minorHAnsi"/>
            <w:noProof/>
            <w:color w:val="auto"/>
            <w:sz w:val="22"/>
            <w:szCs w:val="22"/>
            <w:lang w:eastAsia="en-NZ"/>
          </w:rPr>
          <w:tab/>
        </w:r>
        <w:r w:rsidR="009B211C" w:rsidRPr="005818DA">
          <w:rPr>
            <w:rStyle w:val="Hyperlink"/>
            <w:noProof/>
          </w:rPr>
          <w:t>Benchmarking scores</w:t>
        </w:r>
        <w:r w:rsidR="009B211C">
          <w:rPr>
            <w:noProof/>
            <w:webHidden/>
          </w:rPr>
          <w:tab/>
        </w:r>
        <w:r w:rsidR="009B211C">
          <w:rPr>
            <w:noProof/>
            <w:webHidden/>
          </w:rPr>
          <w:fldChar w:fldCharType="begin"/>
        </w:r>
        <w:r w:rsidR="009B211C">
          <w:rPr>
            <w:noProof/>
            <w:webHidden/>
          </w:rPr>
          <w:instrText xml:space="preserve"> PAGEREF _Toc87263197 \h </w:instrText>
        </w:r>
        <w:r w:rsidR="009B211C">
          <w:rPr>
            <w:noProof/>
            <w:webHidden/>
          </w:rPr>
        </w:r>
        <w:r w:rsidR="009B211C">
          <w:rPr>
            <w:noProof/>
            <w:webHidden/>
          </w:rPr>
          <w:fldChar w:fldCharType="separate"/>
        </w:r>
        <w:r w:rsidR="009B211C">
          <w:rPr>
            <w:noProof/>
            <w:webHidden/>
          </w:rPr>
          <w:t>50</w:t>
        </w:r>
        <w:r w:rsidR="009B211C">
          <w:rPr>
            <w:noProof/>
            <w:webHidden/>
          </w:rPr>
          <w:fldChar w:fldCharType="end"/>
        </w:r>
      </w:hyperlink>
    </w:p>
    <w:p w14:paraId="0E169555" w14:textId="2C6BAEE6" w:rsidR="009B211C" w:rsidRDefault="00005CFC">
      <w:pPr>
        <w:pStyle w:val="TOC2"/>
        <w:tabs>
          <w:tab w:val="left" w:pos="1134"/>
          <w:tab w:val="right" w:leader="dot" w:pos="9962"/>
        </w:tabs>
        <w:rPr>
          <w:rFonts w:asciiTheme="minorHAnsi" w:eastAsiaTheme="minorEastAsia" w:hAnsiTheme="minorHAnsi"/>
          <w:noProof/>
          <w:color w:val="auto"/>
          <w:sz w:val="22"/>
          <w:szCs w:val="22"/>
          <w:lang w:eastAsia="en-NZ"/>
        </w:rPr>
      </w:pPr>
      <w:hyperlink w:anchor="_Toc87263198" w:history="1">
        <w:r w:rsidR="009B211C" w:rsidRPr="005818DA">
          <w:rPr>
            <w:rStyle w:val="Hyperlink"/>
            <w:noProof/>
          </w:rPr>
          <w:t>3.6</w:t>
        </w:r>
        <w:r w:rsidR="009B211C">
          <w:rPr>
            <w:rFonts w:asciiTheme="minorHAnsi" w:eastAsiaTheme="minorEastAsia" w:hAnsiTheme="minorHAnsi"/>
            <w:noProof/>
            <w:color w:val="auto"/>
            <w:sz w:val="22"/>
            <w:szCs w:val="22"/>
            <w:lang w:eastAsia="en-NZ"/>
          </w:rPr>
          <w:tab/>
        </w:r>
        <w:r w:rsidR="009B211C" w:rsidRPr="005818DA">
          <w:rPr>
            <w:rStyle w:val="Hyperlink"/>
            <w:noProof/>
          </w:rPr>
          <w:t>Conclusion</w:t>
        </w:r>
        <w:r w:rsidR="009B211C">
          <w:rPr>
            <w:noProof/>
            <w:webHidden/>
          </w:rPr>
          <w:tab/>
        </w:r>
        <w:r w:rsidR="009B211C">
          <w:rPr>
            <w:noProof/>
            <w:webHidden/>
          </w:rPr>
          <w:fldChar w:fldCharType="begin"/>
        </w:r>
        <w:r w:rsidR="009B211C">
          <w:rPr>
            <w:noProof/>
            <w:webHidden/>
          </w:rPr>
          <w:instrText xml:space="preserve"> PAGEREF _Toc87263198 \h </w:instrText>
        </w:r>
        <w:r w:rsidR="009B211C">
          <w:rPr>
            <w:noProof/>
            <w:webHidden/>
          </w:rPr>
        </w:r>
        <w:r w:rsidR="009B211C">
          <w:rPr>
            <w:noProof/>
            <w:webHidden/>
          </w:rPr>
          <w:fldChar w:fldCharType="separate"/>
        </w:r>
        <w:r w:rsidR="009B211C">
          <w:rPr>
            <w:noProof/>
            <w:webHidden/>
          </w:rPr>
          <w:t>50</w:t>
        </w:r>
        <w:r w:rsidR="009B211C">
          <w:rPr>
            <w:noProof/>
            <w:webHidden/>
          </w:rPr>
          <w:fldChar w:fldCharType="end"/>
        </w:r>
      </w:hyperlink>
    </w:p>
    <w:p w14:paraId="136B95B4" w14:textId="7CA5395A" w:rsidR="009B211C" w:rsidRDefault="00005CFC">
      <w:pPr>
        <w:pStyle w:val="TOC1"/>
        <w:tabs>
          <w:tab w:val="left" w:pos="567"/>
        </w:tabs>
        <w:rPr>
          <w:rFonts w:asciiTheme="minorHAnsi" w:eastAsiaTheme="minorEastAsia" w:hAnsiTheme="minorHAnsi"/>
          <w:noProof/>
          <w:color w:val="auto"/>
          <w:sz w:val="22"/>
          <w:szCs w:val="22"/>
          <w:lang w:eastAsia="en-NZ"/>
        </w:rPr>
      </w:pPr>
      <w:hyperlink w:anchor="_Toc87263199" w:history="1">
        <w:r w:rsidR="009B211C" w:rsidRPr="005818DA">
          <w:rPr>
            <w:rStyle w:val="Hyperlink"/>
            <w:noProof/>
          </w:rPr>
          <w:t>4</w:t>
        </w:r>
        <w:r w:rsidR="009B211C">
          <w:rPr>
            <w:rFonts w:asciiTheme="minorHAnsi" w:eastAsiaTheme="minorEastAsia" w:hAnsiTheme="minorHAnsi"/>
            <w:noProof/>
            <w:color w:val="auto"/>
            <w:sz w:val="22"/>
            <w:szCs w:val="22"/>
            <w:lang w:eastAsia="en-NZ"/>
          </w:rPr>
          <w:tab/>
        </w:r>
        <w:r w:rsidR="009B211C" w:rsidRPr="005818DA">
          <w:rPr>
            <w:rStyle w:val="Hyperlink"/>
            <w:noProof/>
          </w:rPr>
          <w:t>Summary of recommendations</w:t>
        </w:r>
        <w:r w:rsidR="009B211C">
          <w:rPr>
            <w:noProof/>
            <w:webHidden/>
          </w:rPr>
          <w:tab/>
        </w:r>
        <w:r w:rsidR="009B211C">
          <w:rPr>
            <w:noProof/>
            <w:webHidden/>
          </w:rPr>
          <w:fldChar w:fldCharType="begin"/>
        </w:r>
        <w:r w:rsidR="009B211C">
          <w:rPr>
            <w:noProof/>
            <w:webHidden/>
          </w:rPr>
          <w:instrText xml:space="preserve"> PAGEREF _Toc87263199 \h </w:instrText>
        </w:r>
        <w:r w:rsidR="009B211C">
          <w:rPr>
            <w:noProof/>
            <w:webHidden/>
          </w:rPr>
        </w:r>
        <w:r w:rsidR="009B211C">
          <w:rPr>
            <w:noProof/>
            <w:webHidden/>
          </w:rPr>
          <w:fldChar w:fldCharType="separate"/>
        </w:r>
        <w:r w:rsidR="009B211C">
          <w:rPr>
            <w:noProof/>
            <w:webHidden/>
          </w:rPr>
          <w:t>51</w:t>
        </w:r>
        <w:r w:rsidR="009B211C">
          <w:rPr>
            <w:noProof/>
            <w:webHidden/>
          </w:rPr>
          <w:fldChar w:fldCharType="end"/>
        </w:r>
      </w:hyperlink>
    </w:p>
    <w:p w14:paraId="215ADA3B" w14:textId="592DD17B" w:rsidR="009B211C" w:rsidRDefault="00005CFC">
      <w:pPr>
        <w:pStyle w:val="TOC2"/>
        <w:tabs>
          <w:tab w:val="left" w:pos="1134"/>
          <w:tab w:val="right" w:leader="dot" w:pos="9962"/>
        </w:tabs>
        <w:rPr>
          <w:rFonts w:asciiTheme="minorHAnsi" w:eastAsiaTheme="minorEastAsia" w:hAnsiTheme="minorHAnsi"/>
          <w:noProof/>
          <w:color w:val="auto"/>
          <w:sz w:val="22"/>
          <w:szCs w:val="22"/>
          <w:lang w:eastAsia="en-NZ"/>
        </w:rPr>
      </w:pPr>
      <w:hyperlink w:anchor="_Toc87263200" w:history="1">
        <w:r w:rsidR="009B211C" w:rsidRPr="005818DA">
          <w:rPr>
            <w:rStyle w:val="Hyperlink"/>
            <w:noProof/>
          </w:rPr>
          <w:t>4.1</w:t>
        </w:r>
        <w:r w:rsidR="009B211C">
          <w:rPr>
            <w:rFonts w:asciiTheme="minorHAnsi" w:eastAsiaTheme="minorEastAsia" w:hAnsiTheme="minorHAnsi"/>
            <w:noProof/>
            <w:color w:val="auto"/>
            <w:sz w:val="22"/>
            <w:szCs w:val="22"/>
            <w:lang w:eastAsia="en-NZ"/>
          </w:rPr>
          <w:tab/>
        </w:r>
        <w:r w:rsidR="009B211C" w:rsidRPr="005818DA">
          <w:rPr>
            <w:rStyle w:val="Hyperlink"/>
            <w:noProof/>
          </w:rPr>
          <w:t>Recommendations for Ministry of Health policy consideration</w:t>
        </w:r>
        <w:r w:rsidR="009B211C">
          <w:rPr>
            <w:noProof/>
            <w:webHidden/>
          </w:rPr>
          <w:tab/>
        </w:r>
        <w:r w:rsidR="009B211C">
          <w:rPr>
            <w:noProof/>
            <w:webHidden/>
          </w:rPr>
          <w:fldChar w:fldCharType="begin"/>
        </w:r>
        <w:r w:rsidR="009B211C">
          <w:rPr>
            <w:noProof/>
            <w:webHidden/>
          </w:rPr>
          <w:instrText xml:space="preserve"> PAGEREF _Toc87263200 \h </w:instrText>
        </w:r>
        <w:r w:rsidR="009B211C">
          <w:rPr>
            <w:noProof/>
            <w:webHidden/>
          </w:rPr>
        </w:r>
        <w:r w:rsidR="009B211C">
          <w:rPr>
            <w:noProof/>
            <w:webHidden/>
          </w:rPr>
          <w:fldChar w:fldCharType="separate"/>
        </w:r>
        <w:r w:rsidR="009B211C">
          <w:rPr>
            <w:noProof/>
            <w:webHidden/>
          </w:rPr>
          <w:t>51</w:t>
        </w:r>
        <w:r w:rsidR="009B211C">
          <w:rPr>
            <w:noProof/>
            <w:webHidden/>
          </w:rPr>
          <w:fldChar w:fldCharType="end"/>
        </w:r>
      </w:hyperlink>
    </w:p>
    <w:p w14:paraId="3572D9FC" w14:textId="454DB6FE" w:rsidR="009B211C" w:rsidRDefault="00005CFC">
      <w:pPr>
        <w:pStyle w:val="TOC2"/>
        <w:tabs>
          <w:tab w:val="left" w:pos="1134"/>
          <w:tab w:val="right" w:leader="dot" w:pos="9962"/>
        </w:tabs>
        <w:rPr>
          <w:rFonts w:asciiTheme="minorHAnsi" w:eastAsiaTheme="minorEastAsia" w:hAnsiTheme="minorHAnsi"/>
          <w:noProof/>
          <w:color w:val="auto"/>
          <w:sz w:val="22"/>
          <w:szCs w:val="22"/>
          <w:lang w:eastAsia="en-NZ"/>
        </w:rPr>
      </w:pPr>
      <w:hyperlink w:anchor="_Toc87263201" w:history="1">
        <w:r w:rsidR="009B211C" w:rsidRPr="005818DA">
          <w:rPr>
            <w:rStyle w:val="Hyperlink"/>
            <w:noProof/>
          </w:rPr>
          <w:t>4.2</w:t>
        </w:r>
        <w:r w:rsidR="009B211C">
          <w:rPr>
            <w:rFonts w:asciiTheme="minorHAnsi" w:eastAsiaTheme="minorEastAsia" w:hAnsiTheme="minorHAnsi"/>
            <w:noProof/>
            <w:color w:val="auto"/>
            <w:sz w:val="22"/>
            <w:szCs w:val="22"/>
            <w:lang w:eastAsia="en-NZ"/>
          </w:rPr>
          <w:tab/>
        </w:r>
        <w:r w:rsidR="009B211C" w:rsidRPr="005818DA">
          <w:rPr>
            <w:rStyle w:val="Hyperlink"/>
            <w:noProof/>
          </w:rPr>
          <w:t>Recommendations around the application of Gamgard in the New Zealand context:</w:t>
        </w:r>
        <w:r w:rsidR="009B211C">
          <w:rPr>
            <w:noProof/>
            <w:webHidden/>
          </w:rPr>
          <w:tab/>
        </w:r>
        <w:r w:rsidR="009B211C">
          <w:rPr>
            <w:noProof/>
            <w:webHidden/>
          </w:rPr>
          <w:fldChar w:fldCharType="begin"/>
        </w:r>
        <w:r w:rsidR="009B211C">
          <w:rPr>
            <w:noProof/>
            <w:webHidden/>
          </w:rPr>
          <w:instrText xml:space="preserve"> PAGEREF _Toc87263201 \h </w:instrText>
        </w:r>
        <w:r w:rsidR="009B211C">
          <w:rPr>
            <w:noProof/>
            <w:webHidden/>
          </w:rPr>
        </w:r>
        <w:r w:rsidR="009B211C">
          <w:rPr>
            <w:noProof/>
            <w:webHidden/>
          </w:rPr>
          <w:fldChar w:fldCharType="separate"/>
        </w:r>
        <w:r w:rsidR="009B211C">
          <w:rPr>
            <w:noProof/>
            <w:webHidden/>
          </w:rPr>
          <w:t>51</w:t>
        </w:r>
        <w:r w:rsidR="009B211C">
          <w:rPr>
            <w:noProof/>
            <w:webHidden/>
          </w:rPr>
          <w:fldChar w:fldCharType="end"/>
        </w:r>
      </w:hyperlink>
    </w:p>
    <w:p w14:paraId="12215624" w14:textId="39C144DD" w:rsidR="009B211C" w:rsidRDefault="00005CFC">
      <w:pPr>
        <w:pStyle w:val="TOC1"/>
        <w:rPr>
          <w:rFonts w:asciiTheme="minorHAnsi" w:eastAsiaTheme="minorEastAsia" w:hAnsiTheme="minorHAnsi"/>
          <w:noProof/>
          <w:color w:val="auto"/>
          <w:sz w:val="22"/>
          <w:szCs w:val="22"/>
          <w:lang w:eastAsia="en-NZ"/>
        </w:rPr>
      </w:pPr>
      <w:hyperlink w:anchor="_Toc87263202" w:history="1">
        <w:r w:rsidR="009B211C" w:rsidRPr="005818DA">
          <w:rPr>
            <w:rStyle w:val="Hyperlink"/>
            <w:noProof/>
          </w:rPr>
          <w:t>References</w:t>
        </w:r>
        <w:r w:rsidR="009B211C">
          <w:rPr>
            <w:noProof/>
            <w:webHidden/>
          </w:rPr>
          <w:tab/>
        </w:r>
        <w:r w:rsidR="009B211C">
          <w:rPr>
            <w:noProof/>
            <w:webHidden/>
          </w:rPr>
          <w:fldChar w:fldCharType="begin"/>
        </w:r>
        <w:r w:rsidR="009B211C">
          <w:rPr>
            <w:noProof/>
            <w:webHidden/>
          </w:rPr>
          <w:instrText xml:space="preserve"> PAGEREF _Toc87263202 \h </w:instrText>
        </w:r>
        <w:r w:rsidR="009B211C">
          <w:rPr>
            <w:noProof/>
            <w:webHidden/>
          </w:rPr>
        </w:r>
        <w:r w:rsidR="009B211C">
          <w:rPr>
            <w:noProof/>
            <w:webHidden/>
          </w:rPr>
          <w:fldChar w:fldCharType="separate"/>
        </w:r>
        <w:r w:rsidR="009B211C">
          <w:rPr>
            <w:noProof/>
            <w:webHidden/>
          </w:rPr>
          <w:t>53</w:t>
        </w:r>
        <w:r w:rsidR="009B211C">
          <w:rPr>
            <w:noProof/>
            <w:webHidden/>
          </w:rPr>
          <w:fldChar w:fldCharType="end"/>
        </w:r>
      </w:hyperlink>
    </w:p>
    <w:p w14:paraId="23F26265" w14:textId="75EA3EBE" w:rsidR="009B211C" w:rsidRDefault="00005CFC">
      <w:pPr>
        <w:pStyle w:val="TOC1"/>
        <w:rPr>
          <w:rFonts w:asciiTheme="minorHAnsi" w:eastAsiaTheme="minorEastAsia" w:hAnsiTheme="minorHAnsi"/>
          <w:noProof/>
          <w:color w:val="auto"/>
          <w:sz w:val="22"/>
          <w:szCs w:val="22"/>
          <w:lang w:eastAsia="en-NZ"/>
        </w:rPr>
      </w:pPr>
      <w:hyperlink w:anchor="_Toc87263203" w:history="1">
        <w:r w:rsidR="009B211C" w:rsidRPr="005818DA">
          <w:rPr>
            <w:rStyle w:val="Hyperlink"/>
            <w:noProof/>
          </w:rPr>
          <w:t>Appendices</w:t>
        </w:r>
        <w:r w:rsidR="009B211C">
          <w:rPr>
            <w:noProof/>
            <w:webHidden/>
          </w:rPr>
          <w:tab/>
        </w:r>
        <w:r w:rsidR="009B211C">
          <w:rPr>
            <w:noProof/>
            <w:webHidden/>
          </w:rPr>
          <w:fldChar w:fldCharType="begin"/>
        </w:r>
        <w:r w:rsidR="009B211C">
          <w:rPr>
            <w:noProof/>
            <w:webHidden/>
          </w:rPr>
          <w:instrText xml:space="preserve"> PAGEREF _Toc87263203 \h </w:instrText>
        </w:r>
        <w:r w:rsidR="009B211C">
          <w:rPr>
            <w:noProof/>
            <w:webHidden/>
          </w:rPr>
        </w:r>
        <w:r w:rsidR="009B211C">
          <w:rPr>
            <w:noProof/>
            <w:webHidden/>
          </w:rPr>
          <w:fldChar w:fldCharType="separate"/>
        </w:r>
        <w:r w:rsidR="009B211C">
          <w:rPr>
            <w:noProof/>
            <w:webHidden/>
          </w:rPr>
          <w:t>59</w:t>
        </w:r>
        <w:r w:rsidR="009B211C">
          <w:rPr>
            <w:noProof/>
            <w:webHidden/>
          </w:rPr>
          <w:fldChar w:fldCharType="end"/>
        </w:r>
      </w:hyperlink>
    </w:p>
    <w:p w14:paraId="24B582D4" w14:textId="5BA689A6" w:rsidR="009B211C" w:rsidRDefault="00005CFC">
      <w:pPr>
        <w:pStyle w:val="TOC2"/>
        <w:tabs>
          <w:tab w:val="right" w:leader="dot" w:pos="9962"/>
        </w:tabs>
        <w:rPr>
          <w:rFonts w:asciiTheme="minorHAnsi" w:eastAsiaTheme="minorEastAsia" w:hAnsiTheme="minorHAnsi"/>
          <w:noProof/>
          <w:color w:val="auto"/>
          <w:sz w:val="22"/>
          <w:szCs w:val="22"/>
          <w:lang w:eastAsia="en-NZ"/>
        </w:rPr>
      </w:pPr>
      <w:hyperlink w:anchor="_Toc87263204" w:history="1">
        <w:r w:rsidR="009B211C" w:rsidRPr="005818DA">
          <w:rPr>
            <w:rStyle w:val="Hyperlink"/>
            <w:noProof/>
          </w:rPr>
          <w:t>Appendix A: Approach Letter</w:t>
        </w:r>
        <w:r w:rsidR="009B211C">
          <w:rPr>
            <w:noProof/>
            <w:webHidden/>
          </w:rPr>
          <w:tab/>
        </w:r>
        <w:r w:rsidR="009B211C">
          <w:rPr>
            <w:noProof/>
            <w:webHidden/>
          </w:rPr>
          <w:fldChar w:fldCharType="begin"/>
        </w:r>
        <w:r w:rsidR="009B211C">
          <w:rPr>
            <w:noProof/>
            <w:webHidden/>
          </w:rPr>
          <w:instrText xml:space="preserve"> PAGEREF _Toc87263204 \h </w:instrText>
        </w:r>
        <w:r w:rsidR="009B211C">
          <w:rPr>
            <w:noProof/>
            <w:webHidden/>
          </w:rPr>
        </w:r>
        <w:r w:rsidR="009B211C">
          <w:rPr>
            <w:noProof/>
            <w:webHidden/>
          </w:rPr>
          <w:fldChar w:fldCharType="separate"/>
        </w:r>
        <w:r w:rsidR="009B211C">
          <w:rPr>
            <w:noProof/>
            <w:webHidden/>
          </w:rPr>
          <w:t>59</w:t>
        </w:r>
        <w:r w:rsidR="009B211C">
          <w:rPr>
            <w:noProof/>
            <w:webHidden/>
          </w:rPr>
          <w:fldChar w:fldCharType="end"/>
        </w:r>
      </w:hyperlink>
    </w:p>
    <w:p w14:paraId="6268B317" w14:textId="34066D53" w:rsidR="009B211C" w:rsidRDefault="00005CFC">
      <w:pPr>
        <w:pStyle w:val="TOC2"/>
        <w:tabs>
          <w:tab w:val="right" w:leader="dot" w:pos="9962"/>
        </w:tabs>
        <w:rPr>
          <w:rFonts w:asciiTheme="minorHAnsi" w:eastAsiaTheme="minorEastAsia" w:hAnsiTheme="minorHAnsi"/>
          <w:noProof/>
          <w:color w:val="auto"/>
          <w:sz w:val="22"/>
          <w:szCs w:val="22"/>
          <w:lang w:eastAsia="en-NZ"/>
        </w:rPr>
      </w:pPr>
      <w:hyperlink w:anchor="_Toc87263205" w:history="1">
        <w:r w:rsidR="009B211C" w:rsidRPr="005818DA">
          <w:rPr>
            <w:rStyle w:val="Hyperlink"/>
            <w:noProof/>
          </w:rPr>
          <w:t>Appendix B: Questions for Gamgard interviews</w:t>
        </w:r>
        <w:r w:rsidR="009B211C">
          <w:rPr>
            <w:noProof/>
            <w:webHidden/>
          </w:rPr>
          <w:tab/>
        </w:r>
        <w:r w:rsidR="009B211C">
          <w:rPr>
            <w:noProof/>
            <w:webHidden/>
          </w:rPr>
          <w:fldChar w:fldCharType="begin"/>
        </w:r>
        <w:r w:rsidR="009B211C">
          <w:rPr>
            <w:noProof/>
            <w:webHidden/>
          </w:rPr>
          <w:instrText xml:space="preserve"> PAGEREF _Toc87263205 \h </w:instrText>
        </w:r>
        <w:r w:rsidR="009B211C">
          <w:rPr>
            <w:noProof/>
            <w:webHidden/>
          </w:rPr>
        </w:r>
        <w:r w:rsidR="009B211C">
          <w:rPr>
            <w:noProof/>
            <w:webHidden/>
          </w:rPr>
          <w:fldChar w:fldCharType="separate"/>
        </w:r>
        <w:r w:rsidR="009B211C">
          <w:rPr>
            <w:noProof/>
            <w:webHidden/>
          </w:rPr>
          <w:t>60</w:t>
        </w:r>
        <w:r w:rsidR="009B211C">
          <w:rPr>
            <w:noProof/>
            <w:webHidden/>
          </w:rPr>
          <w:fldChar w:fldCharType="end"/>
        </w:r>
      </w:hyperlink>
    </w:p>
    <w:p w14:paraId="65AB5C69" w14:textId="56929135" w:rsidR="009B211C" w:rsidRDefault="00005CFC">
      <w:pPr>
        <w:pStyle w:val="TOC2"/>
        <w:tabs>
          <w:tab w:val="right" w:leader="dot" w:pos="9962"/>
        </w:tabs>
        <w:rPr>
          <w:rFonts w:asciiTheme="minorHAnsi" w:eastAsiaTheme="minorEastAsia" w:hAnsiTheme="minorHAnsi"/>
          <w:noProof/>
          <w:color w:val="auto"/>
          <w:sz w:val="22"/>
          <w:szCs w:val="22"/>
          <w:lang w:eastAsia="en-NZ"/>
        </w:rPr>
      </w:pPr>
      <w:hyperlink w:anchor="_Toc87263206" w:history="1">
        <w:r w:rsidR="009B211C" w:rsidRPr="005818DA">
          <w:rPr>
            <w:rStyle w:val="Hyperlink"/>
            <w:noProof/>
          </w:rPr>
          <w:t>Appendix C: Evaluation scoring sheet</w:t>
        </w:r>
        <w:r w:rsidR="009B211C">
          <w:rPr>
            <w:noProof/>
            <w:webHidden/>
          </w:rPr>
          <w:tab/>
        </w:r>
        <w:r w:rsidR="009B211C">
          <w:rPr>
            <w:noProof/>
            <w:webHidden/>
          </w:rPr>
          <w:fldChar w:fldCharType="begin"/>
        </w:r>
        <w:r w:rsidR="009B211C">
          <w:rPr>
            <w:noProof/>
            <w:webHidden/>
          </w:rPr>
          <w:instrText xml:space="preserve"> PAGEREF _Toc87263206 \h </w:instrText>
        </w:r>
        <w:r w:rsidR="009B211C">
          <w:rPr>
            <w:noProof/>
            <w:webHidden/>
          </w:rPr>
        </w:r>
        <w:r w:rsidR="009B211C">
          <w:rPr>
            <w:noProof/>
            <w:webHidden/>
          </w:rPr>
          <w:fldChar w:fldCharType="separate"/>
        </w:r>
        <w:r w:rsidR="009B211C">
          <w:rPr>
            <w:noProof/>
            <w:webHidden/>
          </w:rPr>
          <w:t>62</w:t>
        </w:r>
        <w:r w:rsidR="009B211C">
          <w:rPr>
            <w:noProof/>
            <w:webHidden/>
          </w:rPr>
          <w:fldChar w:fldCharType="end"/>
        </w:r>
      </w:hyperlink>
    </w:p>
    <w:p w14:paraId="6232036E" w14:textId="7A0506ED" w:rsidR="007034F2" w:rsidRPr="008C1419" w:rsidRDefault="007034F2" w:rsidP="007034F2">
      <w:r w:rsidRPr="008C1419">
        <w:rPr>
          <w:color w:val="D22630"/>
        </w:rPr>
        <w:fldChar w:fldCharType="end"/>
      </w:r>
    </w:p>
    <w:p w14:paraId="33BA806F" w14:textId="77777777" w:rsidR="007034F2" w:rsidRPr="008C1419" w:rsidRDefault="007034F2" w:rsidP="008C1419">
      <w:pPr>
        <w:pStyle w:val="WSPHeadingSub"/>
      </w:pPr>
      <w:r w:rsidRPr="008C1419">
        <w:t>List of Figures</w:t>
      </w:r>
    </w:p>
    <w:p w14:paraId="4EC42A95" w14:textId="1425A691" w:rsidR="009B211C" w:rsidRDefault="007034F2">
      <w:pPr>
        <w:pStyle w:val="TableofFigures"/>
        <w:tabs>
          <w:tab w:val="right" w:leader="dot" w:pos="9962"/>
        </w:tabs>
        <w:rPr>
          <w:rFonts w:asciiTheme="minorHAnsi" w:eastAsiaTheme="minorEastAsia" w:hAnsiTheme="minorHAnsi"/>
          <w:noProof/>
          <w:color w:val="auto"/>
          <w:sz w:val="22"/>
          <w:szCs w:val="22"/>
          <w:lang w:eastAsia="en-NZ"/>
        </w:rPr>
      </w:pPr>
      <w:r w:rsidRPr="008C1419">
        <w:rPr>
          <w:b/>
        </w:rPr>
        <w:fldChar w:fldCharType="begin"/>
      </w:r>
      <w:r w:rsidRPr="008C1419">
        <w:rPr>
          <w:b/>
        </w:rPr>
        <w:instrText xml:space="preserve"> TOC \h \z \c "Figure" </w:instrText>
      </w:r>
      <w:r w:rsidRPr="008C1419">
        <w:rPr>
          <w:b/>
        </w:rPr>
        <w:fldChar w:fldCharType="separate"/>
      </w:r>
      <w:hyperlink w:anchor="_Toc87263207" w:history="1">
        <w:r w:rsidR="009B211C" w:rsidRPr="003E704B">
          <w:rPr>
            <w:rStyle w:val="Hyperlink"/>
            <w:noProof/>
          </w:rPr>
          <w:t>: Figure 1: Product-related risk: Categories and characteristics Source: Parke, J. (2018)</w:t>
        </w:r>
        <w:r w:rsidR="009B211C">
          <w:rPr>
            <w:noProof/>
            <w:webHidden/>
          </w:rPr>
          <w:tab/>
        </w:r>
        <w:r w:rsidR="009B211C">
          <w:rPr>
            <w:noProof/>
            <w:webHidden/>
          </w:rPr>
          <w:fldChar w:fldCharType="begin"/>
        </w:r>
        <w:r w:rsidR="009B211C">
          <w:rPr>
            <w:noProof/>
            <w:webHidden/>
          </w:rPr>
          <w:instrText xml:space="preserve"> PAGEREF _Toc87263207 \h </w:instrText>
        </w:r>
        <w:r w:rsidR="009B211C">
          <w:rPr>
            <w:noProof/>
            <w:webHidden/>
          </w:rPr>
        </w:r>
        <w:r w:rsidR="009B211C">
          <w:rPr>
            <w:noProof/>
            <w:webHidden/>
          </w:rPr>
          <w:fldChar w:fldCharType="separate"/>
        </w:r>
        <w:r w:rsidR="009B211C">
          <w:rPr>
            <w:noProof/>
            <w:webHidden/>
          </w:rPr>
          <w:t>6</w:t>
        </w:r>
        <w:r w:rsidR="009B211C">
          <w:rPr>
            <w:noProof/>
            <w:webHidden/>
          </w:rPr>
          <w:fldChar w:fldCharType="end"/>
        </w:r>
      </w:hyperlink>
    </w:p>
    <w:p w14:paraId="56A2664D" w14:textId="0CFC49C9" w:rsidR="009B211C" w:rsidRDefault="00005CFC">
      <w:pPr>
        <w:pStyle w:val="TableofFigures"/>
        <w:tabs>
          <w:tab w:val="right" w:leader="dot" w:pos="9962"/>
        </w:tabs>
        <w:rPr>
          <w:rFonts w:asciiTheme="minorHAnsi" w:eastAsiaTheme="minorEastAsia" w:hAnsiTheme="minorHAnsi"/>
          <w:noProof/>
          <w:color w:val="auto"/>
          <w:sz w:val="22"/>
          <w:szCs w:val="22"/>
          <w:lang w:eastAsia="en-NZ"/>
        </w:rPr>
      </w:pPr>
      <w:hyperlink w:anchor="_Toc87263208" w:history="1">
        <w:r w:rsidR="009B211C" w:rsidRPr="003E704B">
          <w:rPr>
            <w:rStyle w:val="Hyperlink"/>
            <w:noProof/>
          </w:rPr>
          <w:t>Figure 2: Example of a Gamgard risk wheel. Supplied by DR Richard Wood of Gamgard</w:t>
        </w:r>
        <w:r w:rsidR="009B211C">
          <w:rPr>
            <w:noProof/>
            <w:webHidden/>
          </w:rPr>
          <w:tab/>
        </w:r>
        <w:r w:rsidR="009B211C">
          <w:rPr>
            <w:noProof/>
            <w:webHidden/>
          </w:rPr>
          <w:fldChar w:fldCharType="begin"/>
        </w:r>
        <w:r w:rsidR="009B211C">
          <w:rPr>
            <w:noProof/>
            <w:webHidden/>
          </w:rPr>
          <w:instrText xml:space="preserve"> PAGEREF _Toc87263208 \h </w:instrText>
        </w:r>
        <w:r w:rsidR="009B211C">
          <w:rPr>
            <w:noProof/>
            <w:webHidden/>
          </w:rPr>
        </w:r>
        <w:r w:rsidR="009B211C">
          <w:rPr>
            <w:noProof/>
            <w:webHidden/>
          </w:rPr>
          <w:fldChar w:fldCharType="separate"/>
        </w:r>
        <w:r w:rsidR="009B211C">
          <w:rPr>
            <w:noProof/>
            <w:webHidden/>
          </w:rPr>
          <w:t>15</w:t>
        </w:r>
        <w:r w:rsidR="009B211C">
          <w:rPr>
            <w:noProof/>
            <w:webHidden/>
          </w:rPr>
          <w:fldChar w:fldCharType="end"/>
        </w:r>
      </w:hyperlink>
    </w:p>
    <w:p w14:paraId="2F3B7F73" w14:textId="18CE50C5" w:rsidR="009B211C" w:rsidRDefault="00005CFC">
      <w:pPr>
        <w:pStyle w:val="TableofFigures"/>
        <w:tabs>
          <w:tab w:val="right" w:leader="dot" w:pos="9962"/>
        </w:tabs>
        <w:rPr>
          <w:rFonts w:asciiTheme="minorHAnsi" w:eastAsiaTheme="minorEastAsia" w:hAnsiTheme="minorHAnsi"/>
          <w:noProof/>
          <w:color w:val="auto"/>
          <w:sz w:val="22"/>
          <w:szCs w:val="22"/>
          <w:lang w:eastAsia="en-NZ"/>
        </w:rPr>
      </w:pPr>
      <w:hyperlink w:anchor="_Toc87263209" w:history="1">
        <w:r w:rsidR="009B211C" w:rsidRPr="003E704B">
          <w:rPr>
            <w:rStyle w:val="Hyperlink"/>
            <w:noProof/>
          </w:rPr>
          <w:t>Figure 3:Gamgard assessment benchmarks (Supplied by Dr Richard Wood of Gamgard.</w:t>
        </w:r>
        <w:r w:rsidR="009B211C">
          <w:rPr>
            <w:noProof/>
            <w:webHidden/>
          </w:rPr>
          <w:tab/>
        </w:r>
        <w:r w:rsidR="009B211C">
          <w:rPr>
            <w:noProof/>
            <w:webHidden/>
          </w:rPr>
          <w:fldChar w:fldCharType="begin"/>
        </w:r>
        <w:r w:rsidR="009B211C">
          <w:rPr>
            <w:noProof/>
            <w:webHidden/>
          </w:rPr>
          <w:instrText xml:space="preserve"> PAGEREF _Toc87263209 \h </w:instrText>
        </w:r>
        <w:r w:rsidR="009B211C">
          <w:rPr>
            <w:noProof/>
            <w:webHidden/>
          </w:rPr>
        </w:r>
        <w:r w:rsidR="009B211C">
          <w:rPr>
            <w:noProof/>
            <w:webHidden/>
          </w:rPr>
          <w:fldChar w:fldCharType="separate"/>
        </w:r>
        <w:r w:rsidR="009B211C">
          <w:rPr>
            <w:noProof/>
            <w:webHidden/>
          </w:rPr>
          <w:t>16</w:t>
        </w:r>
        <w:r w:rsidR="009B211C">
          <w:rPr>
            <w:noProof/>
            <w:webHidden/>
          </w:rPr>
          <w:fldChar w:fldCharType="end"/>
        </w:r>
      </w:hyperlink>
    </w:p>
    <w:p w14:paraId="189532B3" w14:textId="7017B429" w:rsidR="009B211C" w:rsidRDefault="00005CFC">
      <w:pPr>
        <w:pStyle w:val="TableofFigures"/>
        <w:tabs>
          <w:tab w:val="right" w:leader="dot" w:pos="9962"/>
        </w:tabs>
        <w:rPr>
          <w:rFonts w:asciiTheme="minorHAnsi" w:eastAsiaTheme="minorEastAsia" w:hAnsiTheme="minorHAnsi"/>
          <w:noProof/>
          <w:color w:val="auto"/>
          <w:sz w:val="22"/>
          <w:szCs w:val="22"/>
          <w:lang w:eastAsia="en-NZ"/>
        </w:rPr>
      </w:pPr>
      <w:hyperlink w:anchor="_Toc87263210" w:history="1">
        <w:r w:rsidR="009B211C" w:rsidRPr="003E704B">
          <w:rPr>
            <w:rStyle w:val="Hyperlink"/>
            <w:noProof/>
          </w:rPr>
          <w:t>Figure 4.  An example of a Gamgard 3.0 game rating</w:t>
        </w:r>
        <w:r w:rsidR="009B211C">
          <w:rPr>
            <w:noProof/>
            <w:webHidden/>
          </w:rPr>
          <w:tab/>
        </w:r>
        <w:r w:rsidR="009B211C">
          <w:rPr>
            <w:noProof/>
            <w:webHidden/>
          </w:rPr>
          <w:fldChar w:fldCharType="begin"/>
        </w:r>
        <w:r w:rsidR="009B211C">
          <w:rPr>
            <w:noProof/>
            <w:webHidden/>
          </w:rPr>
          <w:instrText xml:space="preserve"> PAGEREF _Toc87263210 \h </w:instrText>
        </w:r>
        <w:r w:rsidR="009B211C">
          <w:rPr>
            <w:noProof/>
            <w:webHidden/>
          </w:rPr>
        </w:r>
        <w:r w:rsidR="009B211C">
          <w:rPr>
            <w:noProof/>
            <w:webHidden/>
          </w:rPr>
          <w:fldChar w:fldCharType="separate"/>
        </w:r>
        <w:r w:rsidR="009B211C">
          <w:rPr>
            <w:noProof/>
            <w:webHidden/>
          </w:rPr>
          <w:t>16</w:t>
        </w:r>
        <w:r w:rsidR="009B211C">
          <w:rPr>
            <w:noProof/>
            <w:webHidden/>
          </w:rPr>
          <w:fldChar w:fldCharType="end"/>
        </w:r>
      </w:hyperlink>
    </w:p>
    <w:p w14:paraId="2EC6C14A" w14:textId="6D3C8263" w:rsidR="009B211C" w:rsidRDefault="00005CFC">
      <w:pPr>
        <w:pStyle w:val="TableofFigures"/>
        <w:tabs>
          <w:tab w:val="right" w:leader="dot" w:pos="9962"/>
        </w:tabs>
        <w:rPr>
          <w:rFonts w:asciiTheme="minorHAnsi" w:eastAsiaTheme="minorEastAsia" w:hAnsiTheme="minorHAnsi"/>
          <w:noProof/>
          <w:color w:val="auto"/>
          <w:sz w:val="22"/>
          <w:szCs w:val="22"/>
          <w:lang w:eastAsia="en-NZ"/>
        </w:rPr>
      </w:pPr>
      <w:hyperlink w:anchor="_Toc87263211" w:history="1">
        <w:r w:rsidR="009B211C" w:rsidRPr="003E704B">
          <w:rPr>
            <w:rStyle w:val="Hyperlink"/>
            <w:noProof/>
          </w:rPr>
          <w:t>Figure 5: An example of a Gamgard Risk Wheel</w:t>
        </w:r>
        <w:r w:rsidR="009B211C">
          <w:rPr>
            <w:noProof/>
            <w:webHidden/>
          </w:rPr>
          <w:tab/>
        </w:r>
        <w:r w:rsidR="009B211C">
          <w:rPr>
            <w:noProof/>
            <w:webHidden/>
          </w:rPr>
          <w:fldChar w:fldCharType="begin"/>
        </w:r>
        <w:r w:rsidR="009B211C">
          <w:rPr>
            <w:noProof/>
            <w:webHidden/>
          </w:rPr>
          <w:instrText xml:space="preserve"> PAGEREF _Toc87263211 \h </w:instrText>
        </w:r>
        <w:r w:rsidR="009B211C">
          <w:rPr>
            <w:noProof/>
            <w:webHidden/>
          </w:rPr>
        </w:r>
        <w:r w:rsidR="009B211C">
          <w:rPr>
            <w:noProof/>
            <w:webHidden/>
          </w:rPr>
          <w:fldChar w:fldCharType="separate"/>
        </w:r>
        <w:r w:rsidR="009B211C">
          <w:rPr>
            <w:noProof/>
            <w:webHidden/>
          </w:rPr>
          <w:t>16</w:t>
        </w:r>
        <w:r w:rsidR="009B211C">
          <w:rPr>
            <w:noProof/>
            <w:webHidden/>
          </w:rPr>
          <w:fldChar w:fldCharType="end"/>
        </w:r>
      </w:hyperlink>
    </w:p>
    <w:p w14:paraId="19F1F992" w14:textId="61133147" w:rsidR="009B211C" w:rsidRDefault="00005CFC">
      <w:pPr>
        <w:pStyle w:val="TableofFigures"/>
        <w:tabs>
          <w:tab w:val="right" w:leader="dot" w:pos="9962"/>
        </w:tabs>
        <w:rPr>
          <w:rFonts w:asciiTheme="minorHAnsi" w:eastAsiaTheme="minorEastAsia" w:hAnsiTheme="minorHAnsi"/>
          <w:noProof/>
          <w:color w:val="auto"/>
          <w:sz w:val="22"/>
          <w:szCs w:val="22"/>
          <w:lang w:eastAsia="en-NZ"/>
        </w:rPr>
      </w:pPr>
      <w:hyperlink w:anchor="_Toc87263212" w:history="1">
        <w:r w:rsidR="009B211C" w:rsidRPr="003E704B">
          <w:rPr>
            <w:rStyle w:val="Hyperlink"/>
            <w:noProof/>
          </w:rPr>
          <w:t>Figure 6:  An example of how a risk rating may change with the addition of RG features</w:t>
        </w:r>
        <w:r w:rsidR="009B211C">
          <w:rPr>
            <w:noProof/>
            <w:webHidden/>
          </w:rPr>
          <w:tab/>
        </w:r>
        <w:r w:rsidR="009B211C">
          <w:rPr>
            <w:noProof/>
            <w:webHidden/>
          </w:rPr>
          <w:fldChar w:fldCharType="begin"/>
        </w:r>
        <w:r w:rsidR="009B211C">
          <w:rPr>
            <w:noProof/>
            <w:webHidden/>
          </w:rPr>
          <w:instrText xml:space="preserve"> PAGEREF _Toc87263212 \h </w:instrText>
        </w:r>
        <w:r w:rsidR="009B211C">
          <w:rPr>
            <w:noProof/>
            <w:webHidden/>
          </w:rPr>
        </w:r>
        <w:r w:rsidR="009B211C">
          <w:rPr>
            <w:noProof/>
            <w:webHidden/>
          </w:rPr>
          <w:fldChar w:fldCharType="separate"/>
        </w:r>
        <w:r w:rsidR="009B211C">
          <w:rPr>
            <w:noProof/>
            <w:webHidden/>
          </w:rPr>
          <w:t>17</w:t>
        </w:r>
        <w:r w:rsidR="009B211C">
          <w:rPr>
            <w:noProof/>
            <w:webHidden/>
          </w:rPr>
          <w:fldChar w:fldCharType="end"/>
        </w:r>
      </w:hyperlink>
    </w:p>
    <w:p w14:paraId="730006AA" w14:textId="61391AED" w:rsidR="009B211C" w:rsidRDefault="00005CFC">
      <w:pPr>
        <w:pStyle w:val="TableofFigures"/>
        <w:tabs>
          <w:tab w:val="right" w:leader="dot" w:pos="9962"/>
        </w:tabs>
        <w:rPr>
          <w:rFonts w:asciiTheme="minorHAnsi" w:eastAsiaTheme="minorEastAsia" w:hAnsiTheme="minorHAnsi"/>
          <w:noProof/>
          <w:color w:val="auto"/>
          <w:sz w:val="22"/>
          <w:szCs w:val="22"/>
          <w:lang w:eastAsia="en-NZ"/>
        </w:rPr>
      </w:pPr>
      <w:hyperlink w:anchor="_Toc87263213" w:history="1">
        <w:r w:rsidR="009B211C" w:rsidRPr="003E704B">
          <w:rPr>
            <w:rStyle w:val="Hyperlink"/>
            <w:noProof/>
          </w:rPr>
          <w:t>Figure 7 Game design approval process</w:t>
        </w:r>
        <w:r w:rsidR="009B211C">
          <w:rPr>
            <w:noProof/>
            <w:webHidden/>
          </w:rPr>
          <w:tab/>
        </w:r>
        <w:r w:rsidR="009B211C">
          <w:rPr>
            <w:noProof/>
            <w:webHidden/>
          </w:rPr>
          <w:fldChar w:fldCharType="begin"/>
        </w:r>
        <w:r w:rsidR="009B211C">
          <w:rPr>
            <w:noProof/>
            <w:webHidden/>
          </w:rPr>
          <w:instrText xml:space="preserve"> PAGEREF _Toc87263213 \h </w:instrText>
        </w:r>
        <w:r w:rsidR="009B211C">
          <w:rPr>
            <w:noProof/>
            <w:webHidden/>
          </w:rPr>
        </w:r>
        <w:r w:rsidR="009B211C">
          <w:rPr>
            <w:noProof/>
            <w:webHidden/>
          </w:rPr>
          <w:fldChar w:fldCharType="separate"/>
        </w:r>
        <w:r w:rsidR="009B211C">
          <w:rPr>
            <w:noProof/>
            <w:webHidden/>
          </w:rPr>
          <w:t>44</w:t>
        </w:r>
        <w:r w:rsidR="009B211C">
          <w:rPr>
            <w:noProof/>
            <w:webHidden/>
          </w:rPr>
          <w:fldChar w:fldCharType="end"/>
        </w:r>
      </w:hyperlink>
    </w:p>
    <w:p w14:paraId="630CA38A" w14:textId="1433287C" w:rsidR="009B211C" w:rsidRDefault="00005CFC">
      <w:pPr>
        <w:pStyle w:val="TableofFigures"/>
        <w:tabs>
          <w:tab w:val="right" w:leader="dot" w:pos="9962"/>
        </w:tabs>
        <w:rPr>
          <w:rFonts w:asciiTheme="minorHAnsi" w:eastAsiaTheme="minorEastAsia" w:hAnsiTheme="minorHAnsi"/>
          <w:noProof/>
          <w:color w:val="auto"/>
          <w:sz w:val="22"/>
          <w:szCs w:val="22"/>
          <w:lang w:eastAsia="en-NZ"/>
        </w:rPr>
      </w:pPr>
      <w:hyperlink w:anchor="_Toc87263214" w:history="1">
        <w:r w:rsidR="009B211C" w:rsidRPr="003E704B">
          <w:rPr>
            <w:rStyle w:val="Hyperlink"/>
            <w:noProof/>
          </w:rPr>
          <w:t>Figure 8 Frequency of participation in EGMs by time spent playing EGMs in an average day.</w:t>
        </w:r>
        <w:r w:rsidR="009B211C">
          <w:rPr>
            <w:noProof/>
            <w:webHidden/>
          </w:rPr>
          <w:tab/>
        </w:r>
        <w:r w:rsidR="009B211C">
          <w:rPr>
            <w:noProof/>
            <w:webHidden/>
          </w:rPr>
          <w:fldChar w:fldCharType="begin"/>
        </w:r>
        <w:r w:rsidR="009B211C">
          <w:rPr>
            <w:noProof/>
            <w:webHidden/>
          </w:rPr>
          <w:instrText xml:space="preserve"> PAGEREF _Toc87263214 \h </w:instrText>
        </w:r>
        <w:r w:rsidR="009B211C">
          <w:rPr>
            <w:noProof/>
            <w:webHidden/>
          </w:rPr>
        </w:r>
        <w:r w:rsidR="009B211C">
          <w:rPr>
            <w:noProof/>
            <w:webHidden/>
          </w:rPr>
          <w:fldChar w:fldCharType="separate"/>
        </w:r>
        <w:r w:rsidR="009B211C">
          <w:rPr>
            <w:noProof/>
            <w:webHidden/>
          </w:rPr>
          <w:t>49</w:t>
        </w:r>
        <w:r w:rsidR="009B211C">
          <w:rPr>
            <w:noProof/>
            <w:webHidden/>
          </w:rPr>
          <w:fldChar w:fldCharType="end"/>
        </w:r>
      </w:hyperlink>
    </w:p>
    <w:p w14:paraId="14DDE444" w14:textId="76EAC1AB" w:rsidR="007034F2" w:rsidRPr="008C1419" w:rsidRDefault="007034F2" w:rsidP="008C1419">
      <w:r w:rsidRPr="008C1419">
        <w:fldChar w:fldCharType="end"/>
      </w:r>
    </w:p>
    <w:p w14:paraId="1F8AB230" w14:textId="77777777" w:rsidR="007034F2" w:rsidRPr="008C1419" w:rsidRDefault="007034F2" w:rsidP="008C1419">
      <w:pPr>
        <w:pStyle w:val="WSPHeadingSub"/>
      </w:pPr>
      <w:r w:rsidRPr="008C1419">
        <w:t>List of Tables</w:t>
      </w:r>
    </w:p>
    <w:p w14:paraId="121BDECC" w14:textId="3567E1C3" w:rsidR="009B211C" w:rsidRDefault="00F6327B">
      <w:pPr>
        <w:pStyle w:val="TableofFigures"/>
        <w:tabs>
          <w:tab w:val="right" w:leader="dot" w:pos="9962"/>
        </w:tabs>
        <w:rPr>
          <w:rFonts w:asciiTheme="minorHAnsi" w:eastAsiaTheme="minorEastAsia" w:hAnsiTheme="minorHAnsi"/>
          <w:noProof/>
          <w:color w:val="auto"/>
          <w:sz w:val="22"/>
          <w:szCs w:val="22"/>
          <w:lang w:eastAsia="en-NZ"/>
        </w:rPr>
      </w:pPr>
      <w:r>
        <w:fldChar w:fldCharType="begin"/>
      </w:r>
      <w:r>
        <w:instrText xml:space="preserve"> TOC \h \z \c "Table" </w:instrText>
      </w:r>
      <w:r>
        <w:fldChar w:fldCharType="separate"/>
      </w:r>
      <w:hyperlink w:anchor="_Toc87263215" w:history="1">
        <w:r w:rsidR="009B211C" w:rsidRPr="007F5325">
          <w:rPr>
            <w:rStyle w:val="Hyperlink"/>
            <w:i/>
            <w:iCs/>
            <w:noProof/>
          </w:rPr>
          <w:t>Table 1</w:t>
        </w:r>
        <w:r w:rsidR="009B211C" w:rsidRPr="007F5325">
          <w:rPr>
            <w:rStyle w:val="Hyperlink"/>
            <w:i/>
            <w:iCs/>
            <w:noProof/>
          </w:rPr>
          <w:noBreakHyphen/>
          <w:t xml:space="preserve">1: </w:t>
        </w:r>
        <w:r w:rsidR="009B211C" w:rsidRPr="007F5325">
          <w:rPr>
            <w:rStyle w:val="Hyperlink"/>
            <w:rFonts w:eastAsia="Calibri"/>
            <w:i/>
            <w:iCs/>
            <w:noProof/>
          </w:rPr>
          <w:t>Gamgard scoring scheme and changes between versions</w:t>
        </w:r>
        <w:r w:rsidR="009B211C">
          <w:rPr>
            <w:noProof/>
            <w:webHidden/>
          </w:rPr>
          <w:tab/>
        </w:r>
        <w:r w:rsidR="009B211C">
          <w:rPr>
            <w:noProof/>
            <w:webHidden/>
          </w:rPr>
          <w:fldChar w:fldCharType="begin"/>
        </w:r>
        <w:r w:rsidR="009B211C">
          <w:rPr>
            <w:noProof/>
            <w:webHidden/>
          </w:rPr>
          <w:instrText xml:space="preserve"> PAGEREF _Toc87263215 \h </w:instrText>
        </w:r>
        <w:r w:rsidR="009B211C">
          <w:rPr>
            <w:noProof/>
            <w:webHidden/>
          </w:rPr>
        </w:r>
        <w:r w:rsidR="009B211C">
          <w:rPr>
            <w:noProof/>
            <w:webHidden/>
          </w:rPr>
          <w:fldChar w:fldCharType="separate"/>
        </w:r>
        <w:r w:rsidR="009B211C">
          <w:rPr>
            <w:noProof/>
            <w:webHidden/>
          </w:rPr>
          <w:t>18</w:t>
        </w:r>
        <w:r w:rsidR="009B211C">
          <w:rPr>
            <w:noProof/>
            <w:webHidden/>
          </w:rPr>
          <w:fldChar w:fldCharType="end"/>
        </w:r>
      </w:hyperlink>
    </w:p>
    <w:p w14:paraId="523EF4E0" w14:textId="6D8F837A" w:rsidR="009B211C" w:rsidRDefault="00005CFC">
      <w:pPr>
        <w:pStyle w:val="TableofFigures"/>
        <w:tabs>
          <w:tab w:val="right" w:leader="dot" w:pos="9962"/>
        </w:tabs>
        <w:rPr>
          <w:rFonts w:asciiTheme="minorHAnsi" w:eastAsiaTheme="minorEastAsia" w:hAnsiTheme="minorHAnsi"/>
          <w:noProof/>
          <w:color w:val="auto"/>
          <w:sz w:val="22"/>
          <w:szCs w:val="22"/>
          <w:lang w:eastAsia="en-NZ"/>
        </w:rPr>
      </w:pPr>
      <w:hyperlink w:anchor="_Toc87263216" w:history="1">
        <w:r w:rsidR="009B211C" w:rsidRPr="007F5325">
          <w:rPr>
            <w:rStyle w:val="Hyperlink"/>
            <w:noProof/>
          </w:rPr>
          <w:t>Table 1</w:t>
        </w:r>
        <w:r w:rsidR="009B211C" w:rsidRPr="007F5325">
          <w:rPr>
            <w:rStyle w:val="Hyperlink"/>
            <w:noProof/>
          </w:rPr>
          <w:noBreakHyphen/>
          <w:t>2 Why use Gamgard? Statements from the Gamgard web site (www.Gamgard.com)</w:t>
        </w:r>
        <w:r w:rsidR="009B211C">
          <w:rPr>
            <w:noProof/>
            <w:webHidden/>
          </w:rPr>
          <w:tab/>
        </w:r>
        <w:r w:rsidR="009B211C">
          <w:rPr>
            <w:noProof/>
            <w:webHidden/>
          </w:rPr>
          <w:fldChar w:fldCharType="begin"/>
        </w:r>
        <w:r w:rsidR="009B211C">
          <w:rPr>
            <w:noProof/>
            <w:webHidden/>
          </w:rPr>
          <w:instrText xml:space="preserve"> PAGEREF _Toc87263216 \h </w:instrText>
        </w:r>
        <w:r w:rsidR="009B211C">
          <w:rPr>
            <w:noProof/>
            <w:webHidden/>
          </w:rPr>
        </w:r>
        <w:r w:rsidR="009B211C">
          <w:rPr>
            <w:noProof/>
            <w:webHidden/>
          </w:rPr>
          <w:fldChar w:fldCharType="separate"/>
        </w:r>
        <w:r w:rsidR="009B211C">
          <w:rPr>
            <w:noProof/>
            <w:webHidden/>
          </w:rPr>
          <w:t>21</w:t>
        </w:r>
        <w:r w:rsidR="009B211C">
          <w:rPr>
            <w:noProof/>
            <w:webHidden/>
          </w:rPr>
          <w:fldChar w:fldCharType="end"/>
        </w:r>
      </w:hyperlink>
    </w:p>
    <w:p w14:paraId="54451B20" w14:textId="7ADEB68C" w:rsidR="009B211C" w:rsidRDefault="00005CFC">
      <w:pPr>
        <w:pStyle w:val="TableofFigures"/>
        <w:tabs>
          <w:tab w:val="right" w:leader="dot" w:pos="9962"/>
        </w:tabs>
        <w:rPr>
          <w:rFonts w:asciiTheme="minorHAnsi" w:eastAsiaTheme="minorEastAsia" w:hAnsiTheme="minorHAnsi"/>
          <w:noProof/>
          <w:color w:val="auto"/>
          <w:sz w:val="22"/>
          <w:szCs w:val="22"/>
          <w:lang w:eastAsia="en-NZ"/>
        </w:rPr>
      </w:pPr>
      <w:hyperlink w:anchor="_Toc87263217" w:history="1">
        <w:r w:rsidR="009B211C" w:rsidRPr="007F5325">
          <w:rPr>
            <w:rStyle w:val="Hyperlink"/>
            <w:noProof/>
          </w:rPr>
          <w:t>Table 1</w:t>
        </w:r>
        <w:r w:rsidR="009B211C" w:rsidRPr="007F5325">
          <w:rPr>
            <w:rStyle w:val="Hyperlink"/>
            <w:noProof/>
          </w:rPr>
          <w:noBreakHyphen/>
          <w:t>3 Asterig's risk factors and their scores from Mörsen (2014), slide 12</w:t>
        </w:r>
        <w:r w:rsidR="009B211C">
          <w:rPr>
            <w:noProof/>
            <w:webHidden/>
          </w:rPr>
          <w:tab/>
        </w:r>
        <w:r w:rsidR="009B211C">
          <w:rPr>
            <w:noProof/>
            <w:webHidden/>
          </w:rPr>
          <w:fldChar w:fldCharType="begin"/>
        </w:r>
        <w:r w:rsidR="009B211C">
          <w:rPr>
            <w:noProof/>
            <w:webHidden/>
          </w:rPr>
          <w:instrText xml:space="preserve"> PAGEREF _Toc87263217 \h </w:instrText>
        </w:r>
        <w:r w:rsidR="009B211C">
          <w:rPr>
            <w:noProof/>
            <w:webHidden/>
          </w:rPr>
        </w:r>
        <w:r w:rsidR="009B211C">
          <w:rPr>
            <w:noProof/>
            <w:webHidden/>
          </w:rPr>
          <w:fldChar w:fldCharType="separate"/>
        </w:r>
        <w:r w:rsidR="009B211C">
          <w:rPr>
            <w:noProof/>
            <w:webHidden/>
          </w:rPr>
          <w:t>22</w:t>
        </w:r>
        <w:r w:rsidR="009B211C">
          <w:rPr>
            <w:noProof/>
            <w:webHidden/>
          </w:rPr>
          <w:fldChar w:fldCharType="end"/>
        </w:r>
      </w:hyperlink>
    </w:p>
    <w:p w14:paraId="7A2E8E16" w14:textId="0BE9A026" w:rsidR="009B211C" w:rsidRDefault="00005CFC">
      <w:pPr>
        <w:pStyle w:val="TableofFigures"/>
        <w:tabs>
          <w:tab w:val="right" w:leader="dot" w:pos="9962"/>
        </w:tabs>
        <w:rPr>
          <w:rFonts w:asciiTheme="minorHAnsi" w:eastAsiaTheme="minorEastAsia" w:hAnsiTheme="minorHAnsi"/>
          <w:noProof/>
          <w:color w:val="auto"/>
          <w:sz w:val="22"/>
          <w:szCs w:val="22"/>
          <w:lang w:eastAsia="en-NZ"/>
        </w:rPr>
      </w:pPr>
      <w:hyperlink w:anchor="_Toc87263218" w:history="1">
        <w:r w:rsidR="009B211C" w:rsidRPr="007F5325">
          <w:rPr>
            <w:rStyle w:val="Hyperlink"/>
            <w:noProof/>
          </w:rPr>
          <w:t>Table 1</w:t>
        </w:r>
        <w:r w:rsidR="009B211C" w:rsidRPr="007F5325">
          <w:rPr>
            <w:rStyle w:val="Hyperlink"/>
            <w:noProof/>
          </w:rPr>
          <w:noBreakHyphen/>
          <w:t>4 Comparison of factors used in Gamgard, Asterig and RaVa</w:t>
        </w:r>
        <w:r w:rsidR="009B211C">
          <w:rPr>
            <w:noProof/>
            <w:webHidden/>
          </w:rPr>
          <w:tab/>
        </w:r>
        <w:r w:rsidR="009B211C">
          <w:rPr>
            <w:noProof/>
            <w:webHidden/>
          </w:rPr>
          <w:fldChar w:fldCharType="begin"/>
        </w:r>
        <w:r w:rsidR="009B211C">
          <w:rPr>
            <w:noProof/>
            <w:webHidden/>
          </w:rPr>
          <w:instrText xml:space="preserve"> PAGEREF _Toc87263218 \h </w:instrText>
        </w:r>
        <w:r w:rsidR="009B211C">
          <w:rPr>
            <w:noProof/>
            <w:webHidden/>
          </w:rPr>
        </w:r>
        <w:r w:rsidR="009B211C">
          <w:rPr>
            <w:noProof/>
            <w:webHidden/>
          </w:rPr>
          <w:fldChar w:fldCharType="separate"/>
        </w:r>
        <w:r w:rsidR="009B211C">
          <w:rPr>
            <w:noProof/>
            <w:webHidden/>
          </w:rPr>
          <w:t>24</w:t>
        </w:r>
        <w:r w:rsidR="009B211C">
          <w:rPr>
            <w:noProof/>
            <w:webHidden/>
          </w:rPr>
          <w:fldChar w:fldCharType="end"/>
        </w:r>
      </w:hyperlink>
    </w:p>
    <w:p w14:paraId="670DDEAC" w14:textId="1A77C635" w:rsidR="009B211C" w:rsidRDefault="00005CFC">
      <w:pPr>
        <w:pStyle w:val="TableofFigures"/>
        <w:tabs>
          <w:tab w:val="right" w:leader="dot" w:pos="9962"/>
        </w:tabs>
        <w:rPr>
          <w:rFonts w:asciiTheme="minorHAnsi" w:eastAsiaTheme="minorEastAsia" w:hAnsiTheme="minorHAnsi"/>
          <w:noProof/>
          <w:color w:val="auto"/>
          <w:sz w:val="22"/>
          <w:szCs w:val="22"/>
          <w:lang w:eastAsia="en-NZ"/>
        </w:rPr>
      </w:pPr>
      <w:hyperlink w:anchor="_Toc87263219" w:history="1">
        <w:r w:rsidR="009B211C" w:rsidRPr="007F5325">
          <w:rPr>
            <w:rStyle w:val="Hyperlink"/>
            <w:noProof/>
          </w:rPr>
          <w:t>Table 3</w:t>
        </w:r>
        <w:r w:rsidR="009B211C" w:rsidRPr="007F5325">
          <w:rPr>
            <w:rStyle w:val="Hyperlink"/>
            <w:noProof/>
          </w:rPr>
          <w:noBreakHyphen/>
          <w:t>1 Scoring consistency (Krippendorff’s alpha) and mean confidence rating for individual risk factors</w:t>
        </w:r>
        <w:r w:rsidR="009B211C">
          <w:rPr>
            <w:noProof/>
            <w:webHidden/>
          </w:rPr>
          <w:tab/>
        </w:r>
        <w:r w:rsidR="009B211C">
          <w:rPr>
            <w:noProof/>
            <w:webHidden/>
          </w:rPr>
          <w:fldChar w:fldCharType="begin"/>
        </w:r>
        <w:r w:rsidR="009B211C">
          <w:rPr>
            <w:noProof/>
            <w:webHidden/>
          </w:rPr>
          <w:instrText xml:space="preserve"> PAGEREF _Toc87263219 \h </w:instrText>
        </w:r>
        <w:r w:rsidR="009B211C">
          <w:rPr>
            <w:noProof/>
            <w:webHidden/>
          </w:rPr>
        </w:r>
        <w:r w:rsidR="009B211C">
          <w:rPr>
            <w:noProof/>
            <w:webHidden/>
          </w:rPr>
          <w:fldChar w:fldCharType="separate"/>
        </w:r>
        <w:r w:rsidR="009B211C">
          <w:rPr>
            <w:noProof/>
            <w:webHidden/>
          </w:rPr>
          <w:t>46</w:t>
        </w:r>
        <w:r w:rsidR="009B211C">
          <w:rPr>
            <w:noProof/>
            <w:webHidden/>
          </w:rPr>
          <w:fldChar w:fldCharType="end"/>
        </w:r>
      </w:hyperlink>
    </w:p>
    <w:p w14:paraId="26E298BB" w14:textId="1A244FEB" w:rsidR="007034F2" w:rsidRPr="00DF7020" w:rsidRDefault="00F6327B" w:rsidP="007034F2">
      <w:r>
        <w:rPr>
          <w:bCs/>
          <w:noProof/>
        </w:rPr>
        <w:fldChar w:fldCharType="end"/>
      </w:r>
    </w:p>
    <w:p w14:paraId="5E0A07BD" w14:textId="77777777" w:rsidR="007034F2" w:rsidRPr="008C1419" w:rsidRDefault="007034F2">
      <w:pPr>
        <w:rPr>
          <w:sz w:val="26"/>
          <w:szCs w:val="26"/>
        </w:rPr>
      </w:pPr>
      <w:r w:rsidRPr="008C1419">
        <w:rPr>
          <w:sz w:val="26"/>
          <w:szCs w:val="26"/>
        </w:rPr>
        <w:br w:type="page"/>
      </w:r>
    </w:p>
    <w:p w14:paraId="41D7B447" w14:textId="77777777" w:rsidR="005D1802" w:rsidRPr="008C1419" w:rsidRDefault="005D1802" w:rsidP="006C43B5">
      <w:pPr>
        <w:rPr>
          <w:sz w:val="26"/>
          <w:szCs w:val="26"/>
        </w:rPr>
        <w:sectPr w:rsidR="005D1802" w:rsidRPr="008C1419" w:rsidSect="004205F9">
          <w:pgSz w:w="12240" w:h="15840" w:code="1"/>
          <w:pgMar w:top="1418" w:right="1134" w:bottom="851" w:left="1134" w:header="851" w:footer="284" w:gutter="0"/>
          <w:pgNumType w:fmt="lowerRoman"/>
          <w:cols w:space="708"/>
          <w:docGrid w:linePitch="360"/>
        </w:sectPr>
      </w:pPr>
    </w:p>
    <w:p w14:paraId="0B2BE0BD" w14:textId="77777777" w:rsidR="001A5DE5" w:rsidRPr="008C1419" w:rsidRDefault="00C86DE9" w:rsidP="008C1419">
      <w:pPr>
        <w:pStyle w:val="WSPHeadingMain"/>
      </w:pPr>
      <w:bookmarkStart w:id="7" w:name="_Toc87263170"/>
      <w:bookmarkStart w:id="8" w:name="_Hlk499111294"/>
      <w:r>
        <w:lastRenderedPageBreak/>
        <w:t xml:space="preserve">Disclaimers and </w:t>
      </w:r>
      <w:r w:rsidR="00FD3373" w:rsidRPr="008C1419">
        <w:t>Limitations</w:t>
      </w:r>
      <w:bookmarkEnd w:id="7"/>
    </w:p>
    <w:p w14:paraId="65FB95BB" w14:textId="2C22FE11" w:rsidR="004144D9" w:rsidRDefault="004144D9" w:rsidP="004144D9">
      <w:pPr>
        <w:pStyle w:val="BodyText"/>
      </w:pPr>
      <w:r>
        <w:t>This</w:t>
      </w:r>
      <w:r w:rsidRPr="00C17650">
        <w:t xml:space="preserve"> r</w:t>
      </w:r>
      <w:r w:rsidRPr="00C54B2D">
        <w:t>eport</w:t>
      </w:r>
      <w:r w:rsidRPr="003957E7">
        <w:t xml:space="preserve"> </w:t>
      </w:r>
      <w:r>
        <w:t xml:space="preserve">has been prepared by WSP exclusively for </w:t>
      </w:r>
      <w:r w:rsidR="005B56DD">
        <w:t>Ministry of Health</w:t>
      </w:r>
      <w:r>
        <w:t xml:space="preserve"> in relation to </w:t>
      </w:r>
      <w:r w:rsidR="0076015F">
        <w:t xml:space="preserve">providing an industry-independent </w:t>
      </w:r>
      <w:r w:rsidR="00AF35DD">
        <w:t xml:space="preserve">evaluation of </w:t>
      </w:r>
      <w:r w:rsidR="008A6C4E">
        <w:t>Gamgard</w:t>
      </w:r>
      <w:r w:rsidR="00AF35DD">
        <w:t>, carried out in a New Zealand setting</w:t>
      </w:r>
      <w:r w:rsidR="005E4094">
        <w:t xml:space="preserve">, </w:t>
      </w:r>
      <w:r>
        <w:t>and in accordance with the</w:t>
      </w:r>
      <w:r w:rsidR="006511D4">
        <w:t xml:space="preserve"> Contract for Services</w:t>
      </w:r>
      <w:r w:rsidR="005F7301">
        <w:t>,</w:t>
      </w:r>
      <w:r w:rsidR="006511D4">
        <w:t xml:space="preserve"> </w:t>
      </w:r>
      <w:r w:rsidR="009D1FDB">
        <w:t>GMC</w:t>
      </w:r>
      <w:r w:rsidR="001B3F85">
        <w:t xml:space="preserve"> Form 1</w:t>
      </w:r>
      <w:r w:rsidR="005F7301">
        <w:t xml:space="preserve"> Services (schedule 2)</w:t>
      </w:r>
      <w:r w:rsidR="001B3F85">
        <w:t xml:space="preserve"> </w:t>
      </w:r>
      <w:r w:rsidR="006511D4">
        <w:t>dated</w:t>
      </w:r>
      <w:r w:rsidR="00B72FBD">
        <w:t xml:space="preserve"> 25 October 2019</w:t>
      </w:r>
      <w:r>
        <w:t xml:space="preserve">. The findings in this Report are based on and are subject to the assumptions specified in the Report </w:t>
      </w:r>
      <w:r w:rsidR="00992552">
        <w:t xml:space="preserve">and Contract </w:t>
      </w:r>
      <w:r w:rsidR="00EC30C8">
        <w:t>of Services dated 25 October 2019</w:t>
      </w:r>
      <w:r>
        <w:t xml:space="preserve">. WSP accepts no liability whatsoever for any reliance on or use of this Report, in whole or in part, for any use or purpose other than the Purpose or any use or reliance on the Report by any third party.  </w:t>
      </w:r>
    </w:p>
    <w:p w14:paraId="34B88609" w14:textId="77777777" w:rsidR="00AC2591" w:rsidRPr="008C1419" w:rsidRDefault="00AC2591" w:rsidP="008C1419">
      <w:pPr>
        <w:pStyle w:val="BodyText"/>
      </w:pPr>
    </w:p>
    <w:p w14:paraId="25FAC683" w14:textId="77777777" w:rsidR="00F44553" w:rsidRPr="008C1419" w:rsidRDefault="00F44553" w:rsidP="00F44553">
      <w:pPr>
        <w:pStyle w:val="ListBullet"/>
        <w:tabs>
          <w:tab w:val="clear" w:pos="567"/>
        </w:tabs>
        <w:spacing w:line="259" w:lineRule="auto"/>
        <w:ind w:left="425" w:hanging="425"/>
        <w:sectPr w:rsidR="00F44553" w:rsidRPr="008C1419" w:rsidSect="00A7709F">
          <w:headerReference w:type="default" r:id="rId16"/>
          <w:pgSz w:w="11906" w:h="16838" w:code="168"/>
          <w:pgMar w:top="1418" w:right="1134" w:bottom="851" w:left="1134" w:header="567" w:footer="284" w:gutter="0"/>
          <w:pgNumType w:start="1"/>
          <w:cols w:space="708"/>
          <w:docGrid w:linePitch="360"/>
        </w:sectPr>
      </w:pPr>
    </w:p>
    <w:p w14:paraId="209E4EC2" w14:textId="45CFF866" w:rsidR="0072600D" w:rsidRPr="008C1419" w:rsidRDefault="00D343C6" w:rsidP="00091E54">
      <w:pPr>
        <w:pStyle w:val="Heading1"/>
        <w:numPr>
          <w:ilvl w:val="0"/>
          <w:numId w:val="0"/>
        </w:numPr>
        <w:ind w:left="567" w:hanging="567"/>
      </w:pPr>
      <w:bookmarkStart w:id="9" w:name="_Toc87263171"/>
      <w:r>
        <w:lastRenderedPageBreak/>
        <w:t>Executive Summary</w:t>
      </w:r>
      <w:bookmarkEnd w:id="9"/>
    </w:p>
    <w:p w14:paraId="744020AB" w14:textId="3433F062" w:rsidR="0072600D" w:rsidRPr="008C1419" w:rsidRDefault="00D343C6" w:rsidP="004C15A0">
      <w:pPr>
        <w:pStyle w:val="Heading3"/>
        <w:numPr>
          <w:ilvl w:val="0"/>
          <w:numId w:val="0"/>
        </w:numPr>
      </w:pPr>
      <w:r>
        <w:t xml:space="preserve">Background/Origins of </w:t>
      </w:r>
      <w:r w:rsidR="008A6C4E">
        <w:t>Gamgard</w:t>
      </w:r>
    </w:p>
    <w:p w14:paraId="6C1215B0" w14:textId="067AEB23" w:rsidR="00D343C6" w:rsidRDefault="00D343C6" w:rsidP="003A5ECF">
      <w:pPr>
        <w:pStyle w:val="BodyText"/>
      </w:pPr>
      <w:r w:rsidRPr="00D343C6">
        <w:t>Gambling Assessment Measure — Guidance about Responsible Design</w:t>
      </w:r>
      <w:r>
        <w:t xml:space="preserve"> </w:t>
      </w:r>
      <w:r w:rsidRPr="00D343C6">
        <w:t>(</w:t>
      </w:r>
      <w:r w:rsidR="008A6C4E">
        <w:t>Gamgard</w:t>
      </w:r>
      <w:r w:rsidRPr="00D343C6">
        <w:t xml:space="preserve">) is an online rating tool designed to assist the gambling industry to assess the impact on vulnerable populations of gambling games. It evaluates game features, designs and characteristics and provides a risk rating. </w:t>
      </w:r>
      <w:r w:rsidR="008A6C4E">
        <w:t>Gamgard</w:t>
      </w:r>
      <w:r w:rsidRPr="00D343C6">
        <w:t xml:space="preserve"> originated from work carried out at Nottingham Trent University in the United Kingdom. It was devised by a team comprised </w:t>
      </w:r>
      <w:r w:rsidR="00991F0E">
        <w:t xml:space="preserve">of </w:t>
      </w:r>
      <w:r w:rsidRPr="00D343C6">
        <w:t xml:space="preserve">Dr Richard Wood now of GamRes, the company behind </w:t>
      </w:r>
      <w:r w:rsidR="008A6C4E">
        <w:t>Gamgard</w:t>
      </w:r>
      <w:r w:rsidRPr="00D343C6">
        <w:t>, Professor Mark Griffiths who is still based at Nottingham-Trent University and Dr Jonathan Parke, now a consultant.</w:t>
      </w:r>
    </w:p>
    <w:p w14:paraId="096DD0D8" w14:textId="374ED2F3" w:rsidR="00B866DC" w:rsidRDefault="00B866DC" w:rsidP="004C15A0">
      <w:pPr>
        <w:pStyle w:val="Heading3"/>
        <w:numPr>
          <w:ilvl w:val="0"/>
          <w:numId w:val="0"/>
        </w:numPr>
      </w:pPr>
      <w:r>
        <w:t>Purpose of the work</w:t>
      </w:r>
    </w:p>
    <w:p w14:paraId="67286935" w14:textId="416971C0" w:rsidR="00B866DC" w:rsidRDefault="008559AB" w:rsidP="0010312F">
      <w:pPr>
        <w:pStyle w:val="BodyText2"/>
        <w:spacing w:after="180"/>
        <w:ind w:left="0"/>
      </w:pPr>
      <w:r>
        <w:t xml:space="preserve">This evaluation </w:t>
      </w:r>
      <w:r w:rsidR="00E85570">
        <w:t xml:space="preserve">is to provide an industry independent evaluation of </w:t>
      </w:r>
      <w:r w:rsidR="008A6C4E">
        <w:t>Gamgard</w:t>
      </w:r>
      <w:r w:rsidR="00E85570">
        <w:t xml:space="preserve">, carried out in a New Zealand context. </w:t>
      </w:r>
      <w:r w:rsidR="0098595D">
        <w:t xml:space="preserve">The evaluation </w:t>
      </w:r>
      <w:r w:rsidR="0024382D">
        <w:t xml:space="preserve">is intended to </w:t>
      </w:r>
      <w:r w:rsidR="00D04B92">
        <w:t xml:space="preserve">help inform </w:t>
      </w:r>
      <w:r w:rsidR="00706076">
        <w:t>Ministry</w:t>
      </w:r>
      <w:r w:rsidR="00A97E37">
        <w:t xml:space="preserve"> of Health </w:t>
      </w:r>
      <w:r w:rsidR="0097750F">
        <w:t>think</w:t>
      </w:r>
      <w:r w:rsidR="00662670">
        <w:t>ing</w:t>
      </w:r>
      <w:r w:rsidR="0097750F">
        <w:t xml:space="preserve"> about the utility of </w:t>
      </w:r>
      <w:r w:rsidR="006F0F14">
        <w:t xml:space="preserve">the </w:t>
      </w:r>
      <w:r w:rsidR="008A6C4E">
        <w:t>Gamgard</w:t>
      </w:r>
      <w:r w:rsidR="006F0F14">
        <w:t xml:space="preserve"> product for </w:t>
      </w:r>
      <w:r w:rsidR="007B3CCF">
        <w:t xml:space="preserve">supporting </w:t>
      </w:r>
      <w:r w:rsidR="006F0F14">
        <w:t xml:space="preserve">regulatory </w:t>
      </w:r>
      <w:r w:rsidR="008C395E">
        <w:t xml:space="preserve">decisions about gambling harm minimisation advice to the New Zealand Government within the context of the current government policy settings. </w:t>
      </w:r>
      <w:r w:rsidR="0097750F">
        <w:t xml:space="preserve"> </w:t>
      </w:r>
    </w:p>
    <w:p w14:paraId="62774920" w14:textId="25FCBA2D" w:rsidR="00241D58" w:rsidRDefault="00EB560F" w:rsidP="00B866DC">
      <w:pPr>
        <w:pStyle w:val="BodyText2"/>
        <w:ind w:left="0"/>
      </w:pPr>
      <w:r>
        <w:t xml:space="preserve">The </w:t>
      </w:r>
      <w:r w:rsidR="00533B5F">
        <w:t xml:space="preserve">evaluation </w:t>
      </w:r>
      <w:r w:rsidR="000B6E11">
        <w:t>comprises</w:t>
      </w:r>
      <w:r w:rsidR="00533B5F">
        <w:t xml:space="preserve"> of three </w:t>
      </w:r>
      <w:r w:rsidR="003C20F7">
        <w:t>elements:</w:t>
      </w:r>
    </w:p>
    <w:p w14:paraId="0379944E" w14:textId="01A9ADD4" w:rsidR="003C20F7" w:rsidRDefault="00DA21F8" w:rsidP="00352919">
      <w:pPr>
        <w:pStyle w:val="BodyText2"/>
        <w:numPr>
          <w:ilvl w:val="0"/>
          <w:numId w:val="21"/>
        </w:numPr>
      </w:pPr>
      <w:r>
        <w:t>Literature review</w:t>
      </w:r>
    </w:p>
    <w:p w14:paraId="372C216D" w14:textId="139D8FCD" w:rsidR="00DA21F8" w:rsidRDefault="000307A0" w:rsidP="00352919">
      <w:pPr>
        <w:pStyle w:val="BodyText2"/>
        <w:numPr>
          <w:ilvl w:val="0"/>
          <w:numId w:val="21"/>
        </w:numPr>
      </w:pPr>
      <w:r>
        <w:t>Expert interviews</w:t>
      </w:r>
    </w:p>
    <w:p w14:paraId="56551F9F" w14:textId="7B326E12" w:rsidR="000307A0" w:rsidRPr="00B866DC" w:rsidRDefault="00BB7754" w:rsidP="00352919">
      <w:pPr>
        <w:pStyle w:val="BodyText2"/>
        <w:numPr>
          <w:ilvl w:val="0"/>
          <w:numId w:val="21"/>
        </w:numPr>
      </w:pPr>
      <w:r>
        <w:t xml:space="preserve">In-depth </w:t>
      </w:r>
      <w:r w:rsidR="008A6C4E">
        <w:t>Gamgard</w:t>
      </w:r>
      <w:r>
        <w:t xml:space="preserve"> </w:t>
      </w:r>
      <w:r w:rsidR="004C6D30">
        <w:t xml:space="preserve">case study </w:t>
      </w:r>
      <w:r w:rsidR="00E94D1C">
        <w:t>evaluation</w:t>
      </w:r>
    </w:p>
    <w:p w14:paraId="65E32C0D" w14:textId="5ADE3339" w:rsidR="00C27945" w:rsidRDefault="00C27945" w:rsidP="004C15A0">
      <w:pPr>
        <w:pStyle w:val="Heading3"/>
        <w:numPr>
          <w:ilvl w:val="0"/>
          <w:numId w:val="0"/>
        </w:numPr>
      </w:pPr>
      <w:r>
        <w:t>Literature Review</w:t>
      </w:r>
    </w:p>
    <w:p w14:paraId="237A7C74" w14:textId="52655D0B" w:rsidR="00C27945" w:rsidRDefault="00C27945" w:rsidP="00C27945">
      <w:pPr>
        <w:pStyle w:val="BodyText"/>
      </w:pPr>
      <w:r>
        <w:t xml:space="preserve">The </w:t>
      </w:r>
      <w:r w:rsidR="00014920">
        <w:t xml:space="preserve">literature </w:t>
      </w:r>
      <w:r>
        <w:t>review is structured around the following research questions which are of particular interest to the Ministry of Health.</w:t>
      </w:r>
    </w:p>
    <w:p w14:paraId="2D0543A3" w14:textId="7F0D6CD0" w:rsidR="00C27945" w:rsidRPr="00424B2D" w:rsidRDefault="00C27945" w:rsidP="00C27945">
      <w:pPr>
        <w:pStyle w:val="ListNumber"/>
      </w:pPr>
      <w:r w:rsidRPr="00424B2D">
        <w:t xml:space="preserve">What is the intended purpose/use of </w:t>
      </w:r>
      <w:r w:rsidR="008A6C4E">
        <w:t>Gamgard</w:t>
      </w:r>
      <w:r w:rsidRPr="00424B2D">
        <w:t xml:space="preserve">? (How is it being presented to end-users - widely defined - gambling industry, gambling harm minimisation providers, regulators?) </w:t>
      </w:r>
    </w:p>
    <w:p w14:paraId="3E00815B" w14:textId="053DA36D" w:rsidR="00C27945" w:rsidRPr="00424B2D" w:rsidRDefault="00C27945" w:rsidP="00C27945">
      <w:pPr>
        <w:pStyle w:val="ListNumber"/>
      </w:pPr>
      <w:r w:rsidRPr="00424B2D">
        <w:t xml:space="preserve">What are the design elements of </w:t>
      </w:r>
      <w:r w:rsidR="008A6C4E">
        <w:t>Gamgard</w:t>
      </w:r>
      <w:r w:rsidRPr="00424B2D">
        <w:t xml:space="preserve"> that are intended to help it achieve the purpose/use? Who were the designers, what is the origin of the product, what linkages exist to the gambling industry/gambling harm minimisation providers, how does it work? Are the design elements appropriate/fit for purpose? </w:t>
      </w:r>
    </w:p>
    <w:p w14:paraId="346F624A" w14:textId="1DACEB1B" w:rsidR="00C27945" w:rsidRPr="00424B2D" w:rsidRDefault="00C27945" w:rsidP="00C27945">
      <w:pPr>
        <w:pStyle w:val="ListNumber"/>
      </w:pPr>
      <w:r w:rsidRPr="00424B2D">
        <w:t xml:space="preserve">To what extent do problem gambling service provider reports indicate that games identified as “high-risk” by </w:t>
      </w:r>
      <w:r w:rsidR="008A6C4E">
        <w:t>Gamgard</w:t>
      </w:r>
      <w:r w:rsidRPr="00424B2D">
        <w:t xml:space="preserve"> are also those games that their clients report as having the most negative impact?</w:t>
      </w:r>
    </w:p>
    <w:p w14:paraId="301A8FBE" w14:textId="38E73B64" w:rsidR="00C27945" w:rsidRDefault="00C27945" w:rsidP="00C27945">
      <w:pPr>
        <w:pStyle w:val="ListNumber"/>
      </w:pPr>
      <w:r w:rsidRPr="00424B2D">
        <w:t xml:space="preserve">How is the </w:t>
      </w:r>
      <w:r w:rsidR="008A6C4E">
        <w:t>Gamgard</w:t>
      </w:r>
      <w:r w:rsidRPr="00424B2D">
        <w:t xml:space="preserve"> product being used, compared to intent? To what</w:t>
      </w:r>
      <w:r>
        <w:t xml:space="preserve"> extent is it being used appropriately by different users? Is the intent/purpose well understood by key stakeholders/end-users?</w:t>
      </w:r>
    </w:p>
    <w:p w14:paraId="06094438" w14:textId="6EE0E7CC" w:rsidR="00C27945" w:rsidRDefault="00C27945" w:rsidP="00C27945">
      <w:pPr>
        <w:pStyle w:val="ListNumber"/>
      </w:pPr>
      <w:r>
        <w:t>What are the pros and cons of the product? What are the alternatives - if any?</w:t>
      </w:r>
    </w:p>
    <w:p w14:paraId="0192B176" w14:textId="7B58DF19" w:rsidR="00DD0516" w:rsidRPr="007D7257" w:rsidRDefault="008F75B6" w:rsidP="00DD0516">
      <w:pPr>
        <w:pStyle w:val="BodyText"/>
      </w:pPr>
      <w:r>
        <w:t>The literature review identifie</w:t>
      </w:r>
      <w:r w:rsidR="00B450A4">
        <w:t>s</w:t>
      </w:r>
      <w:r>
        <w:t xml:space="preserve"> issues</w:t>
      </w:r>
      <w:r w:rsidR="00DD0516">
        <w:t xml:space="preserve"> </w:t>
      </w:r>
      <w:r w:rsidR="00DD0516" w:rsidRPr="007D7257">
        <w:t xml:space="preserve">that should be considered by a </w:t>
      </w:r>
      <w:r w:rsidR="008A6C4E">
        <w:t>Gamgard</w:t>
      </w:r>
      <w:r w:rsidR="00DD0516" w:rsidRPr="007D7257">
        <w:t xml:space="preserve"> user or regulator before adopting it as a risk prevention and minimisation tool for vulnerable populations</w:t>
      </w:r>
      <w:r w:rsidR="007A0C3F">
        <w:t>:</w:t>
      </w:r>
    </w:p>
    <w:p w14:paraId="73AEB70F" w14:textId="40537A79" w:rsidR="00DD0516" w:rsidRDefault="008A6C4E" w:rsidP="00352919">
      <w:pPr>
        <w:pStyle w:val="ListNumber"/>
        <w:numPr>
          <w:ilvl w:val="0"/>
          <w:numId w:val="22"/>
        </w:numPr>
      </w:pPr>
      <w:r>
        <w:t>Gamgard</w:t>
      </w:r>
      <w:r w:rsidR="00DD0516">
        <w:t xml:space="preserve"> is a preliminary screen, not a precision tool. It considers a relatively small (albeit important) selection of the possible factors which might impact on the risk profile of a game. </w:t>
      </w:r>
    </w:p>
    <w:p w14:paraId="10B1A753" w14:textId="77777777" w:rsidR="00DD0516" w:rsidRDefault="00DD0516" w:rsidP="00352919">
      <w:pPr>
        <w:pStyle w:val="ListNumber"/>
        <w:numPr>
          <w:ilvl w:val="0"/>
          <w:numId w:val="22"/>
        </w:numPr>
      </w:pPr>
      <w:r>
        <w:t>Are preliminary screens necessary? They are not universally used, with some providers testing games in house and others using the services of external laboratories.</w:t>
      </w:r>
    </w:p>
    <w:p w14:paraId="0A6CD753" w14:textId="2F8F3B26" w:rsidR="00DD0516" w:rsidRDefault="00DD0516" w:rsidP="00352919">
      <w:pPr>
        <w:pStyle w:val="ListNumber"/>
        <w:numPr>
          <w:ilvl w:val="0"/>
          <w:numId w:val="22"/>
        </w:numPr>
      </w:pPr>
      <w:r>
        <w:t xml:space="preserve">Inter-rater reliability-particularly between </w:t>
      </w:r>
      <w:r w:rsidR="008A6C4E">
        <w:t>Gamgard</w:t>
      </w:r>
      <w:r>
        <w:t xml:space="preserve"> provided ratings and ratings carried out by providers. A game’s rating should be the same irrespective of whether it is provided by </w:t>
      </w:r>
      <w:r w:rsidR="008A6C4E">
        <w:t>Gamgard</w:t>
      </w:r>
      <w:r>
        <w:t xml:space="preserve"> or by a customer of </w:t>
      </w:r>
      <w:r w:rsidR="008A6C4E">
        <w:t>Gamgard</w:t>
      </w:r>
      <w:r>
        <w:t xml:space="preserve"> using </w:t>
      </w:r>
      <w:r w:rsidR="008A6C4E">
        <w:t>Gamgard</w:t>
      </w:r>
      <w:r>
        <w:t>.</w:t>
      </w:r>
    </w:p>
    <w:p w14:paraId="0C8D3929" w14:textId="35479E1A" w:rsidR="00DD0516" w:rsidRDefault="00DD0516" w:rsidP="00352919">
      <w:pPr>
        <w:pStyle w:val="ListNumber"/>
        <w:numPr>
          <w:ilvl w:val="0"/>
          <w:numId w:val="22"/>
        </w:numPr>
      </w:pPr>
      <w:r>
        <w:t>Whether the prime risk factors used, which were developed in a UK context require any tailoring to the New Zealand context and to particular game types.</w:t>
      </w:r>
    </w:p>
    <w:p w14:paraId="20D6A19A" w14:textId="7FDEC85F" w:rsidR="00DD0516" w:rsidRPr="00D86684" w:rsidRDefault="00DD0516" w:rsidP="00352919">
      <w:pPr>
        <w:pStyle w:val="ListNumber"/>
        <w:numPr>
          <w:ilvl w:val="0"/>
          <w:numId w:val="22"/>
        </w:numPr>
      </w:pPr>
      <w:r w:rsidRPr="00D86684">
        <w:t xml:space="preserve">To what extent are </w:t>
      </w:r>
      <w:r w:rsidR="008A6C4E">
        <w:t>Gamgard</w:t>
      </w:r>
      <w:r w:rsidRPr="00D86684">
        <w:t xml:space="preserve">’s four responsible gaming features (popup reminders, spend limits, time limits and feedback tools) adequately covering the field in New Zealand over the range of games </w:t>
      </w:r>
      <w:r w:rsidR="008A6C4E">
        <w:t>Gamgard</w:t>
      </w:r>
      <w:r w:rsidRPr="00D86684">
        <w:t xml:space="preserve"> is used to assess in New Zealand</w:t>
      </w:r>
      <w:r w:rsidR="00803324">
        <w:t>,</w:t>
      </w:r>
      <w:r w:rsidRPr="00D86684">
        <w:t xml:space="preserve"> and what other such features need also to be considered? </w:t>
      </w:r>
      <w:r w:rsidR="00860468">
        <w:t xml:space="preserve">A large number </w:t>
      </w:r>
      <w:r w:rsidR="00DE4A6F">
        <w:t>of</w:t>
      </w:r>
      <w:r w:rsidRPr="00D86684">
        <w:t xml:space="preserve"> features</w:t>
      </w:r>
      <w:r w:rsidR="009A6211">
        <w:t xml:space="preserve"> are</w:t>
      </w:r>
      <w:r w:rsidRPr="00D86684">
        <w:t xml:space="preserve"> mentioned in the literature and serious consideration is required to weight their importance in a New Zealand context.</w:t>
      </w:r>
    </w:p>
    <w:p w14:paraId="65026443" w14:textId="111D1616" w:rsidR="00DD0516" w:rsidRPr="00D86684" w:rsidRDefault="00DD0516" w:rsidP="00352919">
      <w:pPr>
        <w:pStyle w:val="ListNumber"/>
        <w:numPr>
          <w:ilvl w:val="0"/>
          <w:numId w:val="22"/>
        </w:numPr>
      </w:pPr>
      <w:r w:rsidRPr="00D86684">
        <w:lastRenderedPageBreak/>
        <w:t xml:space="preserve">To what extent is </w:t>
      </w:r>
      <w:r w:rsidR="008A6C4E">
        <w:t>Gamgard</w:t>
      </w:r>
      <w:r w:rsidRPr="00D86684">
        <w:t xml:space="preserve"> suitable for assessing higher risk games like </w:t>
      </w:r>
      <w:r w:rsidR="00B5494F">
        <w:t>Electronic gambling Machines (</w:t>
      </w:r>
      <w:r w:rsidRPr="00D86684">
        <w:t>EGMs</w:t>
      </w:r>
      <w:r w:rsidR="00B5494F">
        <w:t>)</w:t>
      </w:r>
      <w:r w:rsidRPr="00D86684">
        <w:t xml:space="preserve">? </w:t>
      </w:r>
      <w:r w:rsidR="008A6C4E">
        <w:t>Gamgard</w:t>
      </w:r>
      <w:r w:rsidRPr="00D86684">
        <w:t xml:space="preserve"> appears to be mainly used on lower risk games.</w:t>
      </w:r>
    </w:p>
    <w:p w14:paraId="27CD5DF2" w14:textId="25F332B4" w:rsidR="00DD0516" w:rsidRPr="00D86684" w:rsidRDefault="00DD0516" w:rsidP="00352919">
      <w:pPr>
        <w:pStyle w:val="ListNumber"/>
        <w:numPr>
          <w:ilvl w:val="0"/>
          <w:numId w:val="22"/>
        </w:numPr>
      </w:pPr>
      <w:r w:rsidRPr="00D86684">
        <w:t xml:space="preserve">At what level on the </w:t>
      </w:r>
      <w:r w:rsidR="008A6C4E">
        <w:t>Gamgard</w:t>
      </w:r>
      <w:r w:rsidRPr="00D86684">
        <w:t xml:space="preserve"> traffic light scale of five colours, each with a cut-off point should a game be considered unacceptable without amendment? The scoring details used to derive the scale are not known, because they are not publicly available.</w:t>
      </w:r>
    </w:p>
    <w:p w14:paraId="0C99CD35" w14:textId="20B9EAEF" w:rsidR="00DD0516" w:rsidRPr="00D86684" w:rsidRDefault="00DD0516" w:rsidP="00352919">
      <w:pPr>
        <w:pStyle w:val="ListNumber"/>
        <w:numPr>
          <w:ilvl w:val="0"/>
          <w:numId w:val="22"/>
        </w:numPr>
      </w:pPr>
      <w:r w:rsidRPr="00D86684">
        <w:t xml:space="preserve">Where it would sit in a wraparound package of measures to minimise gambling harm, in the context of the Government’s Strategy to Prevent and Minimise Gambling Harm 2019/20 to 2021/22 and the Gambling Act 2003’s definition of responsible gambling? Such a package could include measures </w:t>
      </w:r>
      <w:r w:rsidR="00720F09" w:rsidRPr="00D86684">
        <w:t xml:space="preserve">such </w:t>
      </w:r>
      <w:r w:rsidRPr="00D86684">
        <w:t>as additional responsible gaming features, gambling supply controls and easy availability of treatments like counselling.</w:t>
      </w:r>
    </w:p>
    <w:p w14:paraId="036217E4" w14:textId="13D6F52B" w:rsidR="00DD0516" w:rsidRPr="00D86684" w:rsidRDefault="00DD0516" w:rsidP="00352919">
      <w:pPr>
        <w:pStyle w:val="ListNumber"/>
        <w:numPr>
          <w:ilvl w:val="0"/>
          <w:numId w:val="22"/>
        </w:numPr>
      </w:pPr>
      <w:r w:rsidRPr="00D86684">
        <w:t xml:space="preserve">Whether wider contextual elements like marketing and social features are appropriate to be included in a preliminary screening tool (as in </w:t>
      </w:r>
      <w:r w:rsidR="001E3959">
        <w:t>RaVa</w:t>
      </w:r>
      <w:r w:rsidRPr="00D86684">
        <w:t>) or whether they should be considered separately. These features may have an impact on game uptake.</w:t>
      </w:r>
    </w:p>
    <w:p w14:paraId="653B2AB1" w14:textId="048E16B5" w:rsidR="00DD0516" w:rsidRPr="00D86684" w:rsidRDefault="008A6C4E" w:rsidP="00352919">
      <w:pPr>
        <w:pStyle w:val="ListNumber"/>
        <w:numPr>
          <w:ilvl w:val="0"/>
          <w:numId w:val="22"/>
        </w:numPr>
      </w:pPr>
      <w:r>
        <w:t>Gamgard</w:t>
      </w:r>
      <w:r w:rsidR="00DD0516" w:rsidRPr="00D86684">
        <w:t xml:space="preserve"> does not appear to have any serious competitors at present in the preliminary screen space in the English-speaking world. However, Asterig appears to dominate the preliminary screening tools market for German speaking countries. </w:t>
      </w:r>
    </w:p>
    <w:p w14:paraId="1209D272" w14:textId="631D17DC" w:rsidR="00C27945" w:rsidRPr="00C27945" w:rsidRDefault="00A7413B" w:rsidP="00A7413B">
      <w:pPr>
        <w:pStyle w:val="Heading3"/>
        <w:numPr>
          <w:ilvl w:val="2"/>
          <w:numId w:val="0"/>
        </w:numPr>
      </w:pPr>
      <w:r>
        <w:t>Expert Interviews</w:t>
      </w:r>
    </w:p>
    <w:p w14:paraId="20ECB4FF" w14:textId="0CF3BCB9" w:rsidR="003237B8" w:rsidRDefault="00CF0341" w:rsidP="00C74444">
      <w:pPr>
        <w:spacing w:after="180" w:line="264" w:lineRule="auto"/>
      </w:pPr>
      <w:r>
        <w:t xml:space="preserve">Expert interviews </w:t>
      </w:r>
      <w:r w:rsidR="009F72C7">
        <w:t xml:space="preserve">were conducted to </w:t>
      </w:r>
      <w:r w:rsidR="0066185C">
        <w:t xml:space="preserve">gather information </w:t>
      </w:r>
      <w:r w:rsidR="00D45115">
        <w:t xml:space="preserve">that reflects </w:t>
      </w:r>
      <w:r w:rsidR="006B7B77" w:rsidRPr="009827F3">
        <w:t>the experiences and perspectives of experts from diverse fields</w:t>
      </w:r>
      <w:r w:rsidR="006B7B77">
        <w:t xml:space="preserve">. They </w:t>
      </w:r>
      <w:r w:rsidR="006B7B77" w:rsidRPr="009827F3">
        <w:t xml:space="preserve">provide a depth of understanding about the </w:t>
      </w:r>
      <w:r w:rsidR="008A6C4E">
        <w:t>Gamgard</w:t>
      </w:r>
      <w:r w:rsidR="006B7B77" w:rsidRPr="009827F3">
        <w:t xml:space="preserve"> tool that will help </w:t>
      </w:r>
      <w:r w:rsidR="002D206D" w:rsidRPr="009827F3">
        <w:t>to</w:t>
      </w:r>
      <w:r w:rsidR="006B7B77" w:rsidRPr="009827F3">
        <w:t xml:space="preserve"> address the research questions, fill in knowledge gaps identified in the published literature, and either support (or refute) the findings of articles and reports presented in the literature review.</w:t>
      </w:r>
      <w:r w:rsidR="002E0A99">
        <w:t xml:space="preserve"> </w:t>
      </w:r>
    </w:p>
    <w:p w14:paraId="2AFFF4F6" w14:textId="0F14124F" w:rsidR="005A01DF" w:rsidRDefault="00D57CBD" w:rsidP="00C74444">
      <w:pPr>
        <w:spacing w:after="180" w:line="264" w:lineRule="auto"/>
      </w:pPr>
      <w:r>
        <w:t>Semi-structured interviews were conducted with four gambling research experts</w:t>
      </w:r>
      <w:r w:rsidR="005E0C94">
        <w:t xml:space="preserve">. They were asked </w:t>
      </w:r>
      <w:r w:rsidR="009F7E08" w:rsidRPr="009827F3">
        <w:t xml:space="preserve">questions regarding: the role of game design within a harm minimisation and responsible gambling context; game design features and associations with risk of harm; as well as their impression of </w:t>
      </w:r>
      <w:r w:rsidR="008A6C4E">
        <w:t>Gamgard</w:t>
      </w:r>
      <w:r w:rsidR="009F7E08" w:rsidRPr="009827F3">
        <w:t>’s background, function, use, and alternatives.</w:t>
      </w:r>
    </w:p>
    <w:p w14:paraId="2DF53051" w14:textId="399D7FC9" w:rsidR="00FE6E88" w:rsidRPr="009827F3" w:rsidRDefault="003F6E79" w:rsidP="00C74444">
      <w:pPr>
        <w:pStyle w:val="BodyText"/>
      </w:pPr>
      <w:r>
        <w:t xml:space="preserve">Interviewees </w:t>
      </w:r>
      <w:r w:rsidR="00F365CD">
        <w:t>all agreed</w:t>
      </w:r>
      <w:r w:rsidR="009C4C55">
        <w:t xml:space="preserve"> that </w:t>
      </w:r>
      <w:r w:rsidR="00F365CD" w:rsidRPr="009827F3">
        <w:t xml:space="preserve">game design is critically important within a harm minimisation and responsible gambling context </w:t>
      </w:r>
      <w:r w:rsidR="00E91FC6">
        <w:t>and</w:t>
      </w:r>
      <w:r w:rsidR="00F365CD" w:rsidRPr="009827F3">
        <w:t xml:space="preserve"> that game design must be considered within a wider context. </w:t>
      </w:r>
      <w:r w:rsidR="00DB03FA">
        <w:t xml:space="preserve">They were not aligned when </w:t>
      </w:r>
      <w:r w:rsidR="00FE6E88">
        <w:t xml:space="preserve">questioned </w:t>
      </w:r>
      <w:r w:rsidR="00D23952">
        <w:t xml:space="preserve">about </w:t>
      </w:r>
      <w:r w:rsidR="00FE6E88">
        <w:t>the</w:t>
      </w:r>
      <w:r w:rsidR="00FE6E88" w:rsidRPr="009827F3">
        <w:t xml:space="preserve"> strength of evidence behind the association of particular game features with risk, and the consistency of that association across game dynamics and contexts. There were mixed opinions about the value of, and best way to, identify and reduce the risk of harm associated with a specific game. Most of the participants emphasised the importance of taking a comprehensive and strategic approach to reducing the risk of gambling harm, of which game design was just one aspect.</w:t>
      </w:r>
    </w:p>
    <w:p w14:paraId="324B52D1" w14:textId="2659C982" w:rsidR="00FE6E88" w:rsidRDefault="00FE6E88" w:rsidP="00C74444">
      <w:pPr>
        <w:pStyle w:val="BodyText"/>
      </w:pPr>
      <w:r w:rsidRPr="009827F3">
        <w:t xml:space="preserve">Most of the participants thought that </w:t>
      </w:r>
      <w:r w:rsidR="008A6C4E">
        <w:t>Gamgard</w:t>
      </w:r>
      <w:r w:rsidR="00281688">
        <w:t>’</w:t>
      </w:r>
      <w:r w:rsidR="008229EB">
        <w:t>s approach</w:t>
      </w:r>
      <w:r w:rsidRPr="009827F3">
        <w:t xml:space="preserve"> either was, or may be, able to usefully identify and reduce the risk of harm associated with game design. However, none of the participants thought that </w:t>
      </w:r>
      <w:r w:rsidR="008A6C4E">
        <w:t>Gamgard</w:t>
      </w:r>
      <w:r w:rsidRPr="009827F3">
        <w:t xml:space="preserve"> was a full harm minimisation and responsible gambling solution. </w:t>
      </w:r>
      <w:r w:rsidR="0000761D">
        <w:t>I</w:t>
      </w:r>
      <w:r w:rsidR="00EC79BA">
        <w:t>t</w:t>
      </w:r>
      <w:r w:rsidR="0000761D">
        <w:t xml:space="preserve"> is apparent from the literature review that Gamgard </w:t>
      </w:r>
      <w:r w:rsidR="00EC79BA">
        <w:t>itself does not</w:t>
      </w:r>
      <w:r w:rsidR="000B5790">
        <w:t xml:space="preserve"> make such claims.</w:t>
      </w:r>
      <w:r w:rsidR="00EC79BA">
        <w:t xml:space="preserve"> </w:t>
      </w:r>
      <w:r w:rsidRPr="009827F3">
        <w:t xml:space="preserve">Concerns raised by the interviewees about </w:t>
      </w:r>
      <w:r w:rsidR="008A6C4E">
        <w:t>Gamgard</w:t>
      </w:r>
      <w:r w:rsidRPr="009827F3">
        <w:t xml:space="preserve"> include its goodness-of-fit to the New Zealand context, the validity of its ratings, its assessment of the consistency of risk associated with particular game features, its treatment of potentially risky features, the compensation of higher risk with lower risk features, its view of harm being from an individual (not public health) perspective, the potential for bias in its use, and a lack of transparency and comprehensiveness.</w:t>
      </w:r>
    </w:p>
    <w:p w14:paraId="6CDC6510" w14:textId="18BFB33A" w:rsidR="002A21EE" w:rsidRDefault="002A21EE" w:rsidP="002A21EE">
      <w:pPr>
        <w:pStyle w:val="Heading3"/>
        <w:numPr>
          <w:ilvl w:val="0"/>
          <w:numId w:val="0"/>
        </w:numPr>
      </w:pPr>
      <w:r>
        <w:t xml:space="preserve">In-depth </w:t>
      </w:r>
      <w:r w:rsidR="008A6C4E">
        <w:t>Gamgard</w:t>
      </w:r>
      <w:r>
        <w:t xml:space="preserve"> Evaluation</w:t>
      </w:r>
    </w:p>
    <w:p w14:paraId="0767FE82" w14:textId="20F99094" w:rsidR="00E92DBB" w:rsidRDefault="005717FA" w:rsidP="00C74444">
      <w:pPr>
        <w:pStyle w:val="BodyText2"/>
        <w:spacing w:after="180"/>
        <w:ind w:left="0"/>
      </w:pPr>
      <w:r>
        <w:t>The final phase of the work built on the knowledge gained from the literature review and expert interviews. Lotto NZ w</w:t>
      </w:r>
      <w:r w:rsidR="007C3C96">
        <w:t xml:space="preserve">ere used as a case study </w:t>
      </w:r>
      <w:r w:rsidR="00135016">
        <w:t xml:space="preserve">to understand the practical application of </w:t>
      </w:r>
      <w:r w:rsidR="008A6C4E">
        <w:t>Gamgard</w:t>
      </w:r>
      <w:r w:rsidR="00135016">
        <w:t xml:space="preserve"> in New Zealand</w:t>
      </w:r>
      <w:r w:rsidR="00FD161C">
        <w:t xml:space="preserve">, determine if the intent of the tool is well </w:t>
      </w:r>
      <w:r w:rsidR="00D337DD">
        <w:t>understood by users, and identify pros and cons of the product.</w:t>
      </w:r>
    </w:p>
    <w:p w14:paraId="7FF8EDBE" w14:textId="67130F0A" w:rsidR="00AE0F56" w:rsidRPr="00E92DBB" w:rsidRDefault="008E2FAC" w:rsidP="00C74444">
      <w:pPr>
        <w:pStyle w:val="BodyText2"/>
        <w:spacing w:after="180"/>
        <w:ind w:left="0"/>
      </w:pPr>
      <w:r>
        <w:t xml:space="preserve">A focus group session was held </w:t>
      </w:r>
      <w:r w:rsidR="00667292">
        <w:t>to evaluate how Lotto NZ,</w:t>
      </w:r>
      <w:r w:rsidR="00924094">
        <w:t xml:space="preserve"> used </w:t>
      </w:r>
      <w:r w:rsidR="008A6C4E">
        <w:t>Gamgard</w:t>
      </w:r>
      <w:r w:rsidR="00924094">
        <w:t xml:space="preserve"> </w:t>
      </w:r>
      <w:r w:rsidR="005B59F7">
        <w:t xml:space="preserve">as part of a responsible gaming strategy. </w:t>
      </w:r>
      <w:r w:rsidR="00657072">
        <w:t xml:space="preserve">The Focus group was held at Lotto NZ and attended by </w:t>
      </w:r>
      <w:r w:rsidR="00B96B90">
        <w:t xml:space="preserve">the </w:t>
      </w:r>
      <w:r w:rsidR="00B96B90">
        <w:rPr>
          <w:lang w:val="en-CA"/>
        </w:rPr>
        <w:t xml:space="preserve">General Manager Strategy &amp; Communications, Head of Product and Channel Innovation, Senior Social Responsibility Manager, Product Manager, and Marketing Manager for Product and Channel Innovation. </w:t>
      </w:r>
      <w:r w:rsidR="00AE0F56">
        <w:t xml:space="preserve">Following the focus group </w:t>
      </w:r>
      <w:r w:rsidR="00096908">
        <w:t xml:space="preserve">individual face-to-face sessions between two product managers and two independent researchers </w:t>
      </w:r>
      <w:r w:rsidR="00AF767D">
        <w:t xml:space="preserve">were conducted </w:t>
      </w:r>
      <w:r w:rsidR="00C47419">
        <w:t xml:space="preserve">to understand the use of the </w:t>
      </w:r>
      <w:r w:rsidR="008A6C4E">
        <w:t>Gamgard</w:t>
      </w:r>
      <w:r w:rsidR="00C47419">
        <w:t xml:space="preserve"> evaluation tool across six Lotto NZ products. </w:t>
      </w:r>
      <w:r w:rsidR="00C07EB4">
        <w:t>All assessors independently scored a product using an evaluation scoring sheet</w:t>
      </w:r>
      <w:r w:rsidR="00482BE9">
        <w:t xml:space="preserve">. This </w:t>
      </w:r>
      <w:r w:rsidR="00F56ED0">
        <w:t xml:space="preserve">process was designed to </w:t>
      </w:r>
      <w:r w:rsidR="00154068">
        <w:t xml:space="preserve">evaluate the tool and </w:t>
      </w:r>
      <w:r w:rsidR="00482BE9">
        <w:t xml:space="preserve">differs to the standard Lotto NZ method where </w:t>
      </w:r>
      <w:r w:rsidR="00FF397A">
        <w:t xml:space="preserve">Products Managers assess in their areas of </w:t>
      </w:r>
      <w:r w:rsidR="003A40ED">
        <w:lastRenderedPageBreak/>
        <w:t>expertise</w:t>
      </w:r>
      <w:r w:rsidR="00ED118A">
        <w:t xml:space="preserve">, </w:t>
      </w:r>
      <w:r w:rsidR="004A1FB8">
        <w:t>consult with the wider team when required</w:t>
      </w:r>
      <w:r w:rsidR="00ED118A">
        <w:t xml:space="preserve"> and have an annual peer review of scores</w:t>
      </w:r>
      <w:r w:rsidR="00F56ED0">
        <w:t>.</w:t>
      </w:r>
      <w:r w:rsidR="00C07835">
        <w:t xml:space="preserve"> </w:t>
      </w:r>
      <w:r w:rsidR="003A40ED">
        <w:t xml:space="preserve"> </w:t>
      </w:r>
      <w:r w:rsidR="002C4B21">
        <w:t xml:space="preserve">Scoring </w:t>
      </w:r>
      <w:r w:rsidR="00933FAD">
        <w:t xml:space="preserve">consistency </w:t>
      </w:r>
      <w:r w:rsidR="000050CD">
        <w:t xml:space="preserve">and </w:t>
      </w:r>
      <w:r w:rsidR="00C46BE5">
        <w:t xml:space="preserve">a rating of confidence in the score was analysed </w:t>
      </w:r>
      <w:r w:rsidR="00933FAD">
        <w:t>across</w:t>
      </w:r>
      <w:r w:rsidR="00B51A39">
        <w:t xml:space="preserve"> assessors</w:t>
      </w:r>
      <w:r w:rsidR="00933FAD">
        <w:t xml:space="preserve"> for all </w:t>
      </w:r>
      <w:r w:rsidR="00B3562F">
        <w:t xml:space="preserve">six </w:t>
      </w:r>
      <w:r w:rsidR="00933FAD">
        <w:t xml:space="preserve">games </w:t>
      </w:r>
      <w:r w:rsidR="000050CD">
        <w:t xml:space="preserve">and </w:t>
      </w:r>
      <w:r w:rsidR="00B3562F">
        <w:t xml:space="preserve">the 14 risk factors. </w:t>
      </w:r>
      <w:r w:rsidR="008811A9">
        <w:t xml:space="preserve">The researcher asked questions where objective information was required for context. The researcher also asked about the rationale for the product managers’ scores after they had both scored each item in the 14 item </w:t>
      </w:r>
      <w:r w:rsidR="008A6C4E">
        <w:t>Gamgard</w:t>
      </w:r>
      <w:r w:rsidR="008811A9">
        <w:t xml:space="preserve"> questionnaire.</w:t>
      </w:r>
      <w:r w:rsidR="007760F7">
        <w:t xml:space="preserve"> </w:t>
      </w:r>
    </w:p>
    <w:p w14:paraId="7A3B88BE" w14:textId="65BA41B2" w:rsidR="00072501" w:rsidRDefault="00072501" w:rsidP="00C74444">
      <w:pPr>
        <w:spacing w:after="180" w:line="264" w:lineRule="auto"/>
      </w:pPr>
      <w:r>
        <w:t xml:space="preserve">The focus group and individual scoring demonstrates that </w:t>
      </w:r>
      <w:r w:rsidR="008A6C4E">
        <w:t>Gamgard</w:t>
      </w:r>
      <w:r>
        <w:t xml:space="preserve"> can be successfully applied in New Zealand with the support of a wrap-around process, not in isolation. There is evidence that the </w:t>
      </w:r>
      <w:r w:rsidR="008A6C4E">
        <w:t>Gamgard</w:t>
      </w:r>
      <w:r>
        <w:t xml:space="preserve"> tool has supported the use of a range of controls being implemented by Lotto NZ in relation to game design and acceptance. It is used as a tool to give an indication of risk of </w:t>
      </w:r>
      <w:r w:rsidR="006C6DD0">
        <w:t>harm but</w:t>
      </w:r>
      <w:r>
        <w:t xml:space="preserve"> does not act as a stand-alone green light to proceed. </w:t>
      </w:r>
    </w:p>
    <w:p w14:paraId="2FEFEBB6" w14:textId="04CADE96" w:rsidR="00D3590B" w:rsidRDefault="00D3590B" w:rsidP="00C74444">
      <w:pPr>
        <w:spacing w:after="180" w:line="264" w:lineRule="auto"/>
      </w:pPr>
      <w:r>
        <w:t>To be used successfully, a tool requires good interrater reliability</w:t>
      </w:r>
      <w:r w:rsidR="001E42BB">
        <w:t xml:space="preserve">. There </w:t>
      </w:r>
      <w:r>
        <w:t xml:space="preserve">is an opportunity to improve this through a standardised application process or independent assessor. There appear to be differences in approach which could lead to variability in how games are scored. The outcomes of these are mostly quite subtle and are dependent on whether the question is followed explicitly, with or without expanded information and organisational interpretation. This also </w:t>
      </w:r>
      <w:r w:rsidR="00952B2D">
        <w:t xml:space="preserve">has an </w:t>
      </w:r>
      <w:r>
        <w:t xml:space="preserve">impact on any use of the new benchmarking feature (where score details of similar game types scored via </w:t>
      </w:r>
      <w:r w:rsidR="008A6C4E">
        <w:t>Gamgard</w:t>
      </w:r>
      <w:r>
        <w:t xml:space="preserve"> are provided), where the approach of different product users may vary</w:t>
      </w:r>
      <w:r w:rsidR="00D91CE0">
        <w:t>.</w:t>
      </w:r>
    </w:p>
    <w:p w14:paraId="1B1F1A40" w14:textId="687ED8F3" w:rsidR="00666E83" w:rsidRDefault="00666E83" w:rsidP="00C74444">
      <w:pPr>
        <w:spacing w:after="180" w:line="264" w:lineRule="auto"/>
      </w:pPr>
      <w:r>
        <w:t>The colour-coded risk categories do appear to be used to inform the thresholds of game acceptance, and the procedure for adjusting controls (i.e. encourage avoidance of “high” and “very high” risk categories). While the individual game elements have been selected as they have alignment with gambling harm, the score thresholds to enter another category do not have proven alignment with gambling harm to our knowledge. This combined with the difficulty in scoring a “very high” risk means that some evidence of category alignment against actual harm would be beneficial, as would a broader process to guide thresholds of acceptability in a New Zealand context.</w:t>
      </w:r>
    </w:p>
    <w:p w14:paraId="3411A22B" w14:textId="4A1BB410" w:rsidR="000E361D" w:rsidRPr="00F33750" w:rsidRDefault="000E361D" w:rsidP="007626DB">
      <w:pPr>
        <w:pStyle w:val="Heading3"/>
        <w:numPr>
          <w:ilvl w:val="0"/>
          <w:numId w:val="0"/>
        </w:numPr>
      </w:pPr>
      <w:r>
        <w:t>Recommendations for Ministry of Health policy consideration</w:t>
      </w:r>
    </w:p>
    <w:p w14:paraId="6CC41DD3" w14:textId="5D94416A" w:rsidR="002C246A" w:rsidRDefault="000E361D" w:rsidP="00352919">
      <w:pPr>
        <w:pStyle w:val="ListNumber"/>
        <w:numPr>
          <w:ilvl w:val="0"/>
          <w:numId w:val="20"/>
        </w:numPr>
        <w:ind w:hanging="357"/>
        <w:contextualSpacing w:val="0"/>
      </w:pPr>
      <w:r>
        <w:t xml:space="preserve">Responsible gambling provision in New Zealand should use the </w:t>
      </w:r>
      <w:r w:rsidR="00BD721B">
        <w:t xml:space="preserve">meaning of </w:t>
      </w:r>
      <w:r>
        <w:t xml:space="preserve">responsible gambling  in </w:t>
      </w:r>
      <w:r w:rsidR="00BD721B">
        <w:t xml:space="preserve">Part 1 s 4  of </w:t>
      </w:r>
      <w:r>
        <w:t>the Gambling Act 2003, rather than the different concepts common in the international gambling industry.</w:t>
      </w:r>
    </w:p>
    <w:p w14:paraId="3552D813" w14:textId="7BAB1150" w:rsidR="000E361D" w:rsidRDefault="000E361D" w:rsidP="00352919">
      <w:pPr>
        <w:pStyle w:val="ListNumber"/>
        <w:numPr>
          <w:ilvl w:val="0"/>
          <w:numId w:val="20"/>
        </w:numPr>
        <w:ind w:hanging="357"/>
        <w:contextualSpacing w:val="0"/>
      </w:pPr>
      <w:r>
        <w:t>Game improvement tools:</w:t>
      </w:r>
    </w:p>
    <w:p w14:paraId="463833CF" w14:textId="18CF8E3D" w:rsidR="000E361D" w:rsidRDefault="000E361D" w:rsidP="00352919">
      <w:pPr>
        <w:pStyle w:val="ListNumber2"/>
        <w:numPr>
          <w:ilvl w:val="1"/>
          <w:numId w:val="20"/>
        </w:numPr>
        <w:ind w:hanging="357"/>
        <w:contextualSpacing w:val="0"/>
      </w:pPr>
      <w:r>
        <w:t>Are not silver bullets in the minimisation of gambling harm and need to be used in conjunction with other provider based and community-based harm minimisation initiatives and tools along with appropriate regulation.</w:t>
      </w:r>
    </w:p>
    <w:p w14:paraId="75285D0B" w14:textId="77777777" w:rsidR="000E361D" w:rsidRDefault="000E361D" w:rsidP="00352919">
      <w:pPr>
        <w:pStyle w:val="ListNumber2"/>
        <w:numPr>
          <w:ilvl w:val="1"/>
          <w:numId w:val="20"/>
        </w:numPr>
        <w:ind w:hanging="357"/>
        <w:contextualSpacing w:val="0"/>
      </w:pPr>
      <w:r>
        <w:t>Have potential to encourage game developers to be more proactive in providing more responsible games and give operators and regulators the opportunity to reject or insist on improvement to suboptimal games.</w:t>
      </w:r>
    </w:p>
    <w:p w14:paraId="28866ED3" w14:textId="20631B28" w:rsidR="000E361D" w:rsidRDefault="001918AD" w:rsidP="00D546CA">
      <w:pPr>
        <w:pStyle w:val="Tabletext"/>
        <w:numPr>
          <w:ilvl w:val="0"/>
          <w:numId w:val="20"/>
        </w:numPr>
        <w:spacing w:before="0" w:after="160"/>
        <w:ind w:hanging="357"/>
      </w:pPr>
      <w:r>
        <w:t xml:space="preserve">Gamgard appears to be an adequate preliminary screen </w:t>
      </w:r>
      <w:r w:rsidRPr="00C55804">
        <w:rPr>
          <w:rFonts w:asciiTheme="minorHAnsi" w:hAnsiTheme="minorHAnsi" w:cstheme="minorHAnsi"/>
          <w:sz w:val="22"/>
        </w:rPr>
        <w:t xml:space="preserve">to be used for its stated purpose of </w:t>
      </w:r>
      <w:r w:rsidRPr="00F65B24">
        <w:t xml:space="preserve">reviewing the functional characteristics of games, as part of a wider responsible gaming programme. </w:t>
      </w:r>
      <w:r w:rsidR="000E361D">
        <w:t xml:space="preserve"> However, it must be remembered that it is just that, and that the entire gambling environment should be considered before a game is approved for use</w:t>
      </w:r>
      <w:r w:rsidR="00F871DE">
        <w:t>.</w:t>
      </w:r>
      <w:r w:rsidR="000E361D">
        <w:t xml:space="preserve"> </w:t>
      </w:r>
      <w:r w:rsidR="00F871DE">
        <w:t xml:space="preserve">Regular </w:t>
      </w:r>
      <w:r w:rsidR="000E361D">
        <w:t>monitoring should be carried out during its use, with the idea of proactively making changes where player behaviour suggests harm is occurring.</w:t>
      </w:r>
    </w:p>
    <w:p w14:paraId="485669FF" w14:textId="02006AD9" w:rsidR="000E361D" w:rsidRDefault="000E361D" w:rsidP="00352919">
      <w:pPr>
        <w:pStyle w:val="BodyText"/>
        <w:numPr>
          <w:ilvl w:val="0"/>
          <w:numId w:val="20"/>
        </w:numPr>
        <w:ind w:hanging="357"/>
      </w:pPr>
      <w:r>
        <w:t xml:space="preserve">Being a </w:t>
      </w:r>
      <w:r w:rsidR="008A6C4E">
        <w:t>Gamgard</w:t>
      </w:r>
      <w:r>
        <w:t xml:space="preserve"> user should not be taken, by itself, as an indicator that a gambling provider is responsible. The entire Gambling environment should be taken into consideration</w:t>
      </w:r>
    </w:p>
    <w:p w14:paraId="362D3135" w14:textId="288AAD71" w:rsidR="000E361D" w:rsidRDefault="000E361D" w:rsidP="00705231">
      <w:pPr>
        <w:pStyle w:val="Heading3"/>
        <w:numPr>
          <w:ilvl w:val="0"/>
          <w:numId w:val="0"/>
        </w:numPr>
      </w:pPr>
      <w:r>
        <w:t xml:space="preserve">Recommendations around the application of </w:t>
      </w:r>
      <w:r w:rsidR="008A6C4E">
        <w:t>Gamgard</w:t>
      </w:r>
      <w:r>
        <w:t xml:space="preserve"> in the New Zealand context:</w:t>
      </w:r>
    </w:p>
    <w:p w14:paraId="55A6A91F" w14:textId="296863B8" w:rsidR="00227796" w:rsidRDefault="00227796" w:rsidP="00352919">
      <w:pPr>
        <w:pStyle w:val="ListNumber"/>
        <w:numPr>
          <w:ilvl w:val="0"/>
          <w:numId w:val="32"/>
        </w:numPr>
        <w:spacing w:after="120" w:line="240" w:lineRule="auto"/>
        <w:contextualSpacing w:val="0"/>
      </w:pPr>
      <w:r>
        <w:t>Aspects offered in other tools could be more directly imbedded into a standardised wrap-</w:t>
      </w:r>
      <w:r w:rsidRPr="00D47F9E">
        <w:t>around</w:t>
      </w:r>
      <w:r>
        <w:t xml:space="preserve"> process involving </w:t>
      </w:r>
      <w:r w:rsidR="008A6C4E">
        <w:t>Gamgard</w:t>
      </w:r>
      <w:r>
        <w:t xml:space="preserve">. For example, a more in-depth assessment in the evaluation process, including active assessment of the stimulation level of each product (i.e. noise and light) as this relates to gambling harm. </w:t>
      </w:r>
    </w:p>
    <w:p w14:paraId="75B2FBC6" w14:textId="77777777" w:rsidR="00227796" w:rsidRDefault="00227796" w:rsidP="00352919">
      <w:pPr>
        <w:pStyle w:val="ListNumber"/>
        <w:numPr>
          <w:ilvl w:val="0"/>
          <w:numId w:val="32"/>
        </w:numPr>
        <w:spacing w:after="120" w:line="240" w:lineRule="auto"/>
        <w:contextualSpacing w:val="0"/>
      </w:pPr>
      <w:r>
        <w:t xml:space="preserve">Recognise the large weighting factor placed on Risk factor 1, event frequency, and that very few games will fall into the very high-risk factor once this score is applied. </w:t>
      </w:r>
    </w:p>
    <w:p w14:paraId="6E71E23F" w14:textId="77777777" w:rsidR="00227796" w:rsidRDefault="00227796" w:rsidP="00352919">
      <w:pPr>
        <w:pStyle w:val="ListNumber"/>
        <w:numPr>
          <w:ilvl w:val="0"/>
          <w:numId w:val="32"/>
        </w:numPr>
        <w:spacing w:after="120" w:line="240" w:lineRule="auto"/>
        <w:contextualSpacing w:val="0"/>
      </w:pPr>
      <w:r>
        <w:lastRenderedPageBreak/>
        <w:t>Evaluate suitability of risk factor 5, jackpot size bands, and update to reflect NZ currency prize ranges.</w:t>
      </w:r>
    </w:p>
    <w:p w14:paraId="22018CE4" w14:textId="66E8A4E7" w:rsidR="00227796" w:rsidRPr="00A474F1" w:rsidRDefault="00227796" w:rsidP="00352919">
      <w:pPr>
        <w:pStyle w:val="ListNumber"/>
        <w:numPr>
          <w:ilvl w:val="0"/>
          <w:numId w:val="32"/>
        </w:numPr>
        <w:spacing w:after="120" w:line="240" w:lineRule="auto"/>
        <w:contextualSpacing w:val="0"/>
      </w:pPr>
      <w:r>
        <w:t xml:space="preserve">Control potential for variability in scoring for some risk factors in </w:t>
      </w:r>
      <w:r w:rsidR="008A6C4E">
        <w:t>Gamgard</w:t>
      </w:r>
      <w:r>
        <w:t xml:space="preserve"> through the development of guidelines for application in New Zealand.  These could be developed jointly by the Ministry of Health and Lotto NZ to promote consistency in ratings and thus improve detection of harm.</w:t>
      </w:r>
    </w:p>
    <w:p w14:paraId="3086C000" w14:textId="7546EFAC" w:rsidR="00227796" w:rsidRDefault="00227796" w:rsidP="00352919">
      <w:pPr>
        <w:pStyle w:val="ListNumber"/>
        <w:numPr>
          <w:ilvl w:val="0"/>
          <w:numId w:val="32"/>
        </w:numPr>
        <w:spacing w:after="120" w:line="240" w:lineRule="auto"/>
        <w:contextualSpacing w:val="0"/>
      </w:pPr>
      <w:r>
        <w:t xml:space="preserve">Use of </w:t>
      </w:r>
      <w:r w:rsidR="008A6C4E">
        <w:t>Gamgard</w:t>
      </w:r>
      <w:r>
        <w:t xml:space="preserve"> to independently score games under review by agencies like Ministry of Health/DIA could be beneficial. </w:t>
      </w:r>
    </w:p>
    <w:p w14:paraId="3C808A2E" w14:textId="77777777" w:rsidR="00227796" w:rsidRDefault="00227796" w:rsidP="00352919">
      <w:pPr>
        <w:pStyle w:val="ListNumber"/>
        <w:numPr>
          <w:ilvl w:val="0"/>
          <w:numId w:val="32"/>
        </w:numPr>
        <w:spacing w:after="120" w:line="240" w:lineRule="auto"/>
        <w:contextualSpacing w:val="0"/>
      </w:pPr>
      <w:r>
        <w:t xml:space="preserve">Guidance around the acceptance thresholds for games in New Zealand and the appropriateness of controls could be developed and regularly reviewed. </w:t>
      </w:r>
    </w:p>
    <w:p w14:paraId="2A41D9CF" w14:textId="77777777" w:rsidR="00227796" w:rsidRPr="00624279" w:rsidRDefault="00227796" w:rsidP="00352919">
      <w:pPr>
        <w:pStyle w:val="ListNumber"/>
        <w:numPr>
          <w:ilvl w:val="0"/>
          <w:numId w:val="32"/>
        </w:numPr>
        <w:spacing w:after="120" w:line="240" w:lineRule="auto"/>
        <w:contextualSpacing w:val="0"/>
      </w:pPr>
      <w:r>
        <w:t xml:space="preserve">Data collection and access around gambling harm indicators based on game types would benefit from being collected at a more detailed level. This would help clarify understanding of where control and regulation around game types are best targeted and inform acceptance thresholds for games. </w:t>
      </w:r>
    </w:p>
    <w:p w14:paraId="22F6BF72" w14:textId="359D905D" w:rsidR="002E28E4" w:rsidRDefault="004E4239" w:rsidP="00465F60">
      <w:r>
        <w:br w:type="page"/>
      </w:r>
    </w:p>
    <w:p w14:paraId="3AC329CB" w14:textId="7CCA8BF5" w:rsidR="00E13B77" w:rsidRPr="00E13B77" w:rsidRDefault="00307691" w:rsidP="00655B28">
      <w:pPr>
        <w:pStyle w:val="Heading1"/>
      </w:pPr>
      <w:bookmarkStart w:id="10" w:name="_Toc73086367"/>
      <w:bookmarkStart w:id="11" w:name="_Toc73086515"/>
      <w:bookmarkStart w:id="12" w:name="_Toc73086664"/>
      <w:bookmarkStart w:id="13" w:name="_Toc73086368"/>
      <w:bookmarkStart w:id="14" w:name="_Toc73086516"/>
      <w:bookmarkStart w:id="15" w:name="_Toc73086665"/>
      <w:bookmarkStart w:id="16" w:name="_Toc73086369"/>
      <w:bookmarkStart w:id="17" w:name="_Toc73086517"/>
      <w:bookmarkStart w:id="18" w:name="_Toc73086666"/>
      <w:bookmarkStart w:id="19" w:name="_Toc73086370"/>
      <w:bookmarkStart w:id="20" w:name="_Toc73086518"/>
      <w:bookmarkStart w:id="21" w:name="_Toc73086667"/>
      <w:bookmarkStart w:id="22" w:name="_Toc73086371"/>
      <w:bookmarkStart w:id="23" w:name="_Toc73086519"/>
      <w:bookmarkStart w:id="24" w:name="_Toc73086668"/>
      <w:bookmarkStart w:id="25" w:name="_Toc73086372"/>
      <w:bookmarkStart w:id="26" w:name="_Toc73086520"/>
      <w:bookmarkStart w:id="27" w:name="_Toc73086669"/>
      <w:bookmarkStart w:id="28" w:name="_Toc73086373"/>
      <w:bookmarkStart w:id="29" w:name="_Toc73086521"/>
      <w:bookmarkStart w:id="30" w:name="_Toc73086670"/>
      <w:bookmarkStart w:id="31" w:name="_Toc73086374"/>
      <w:bookmarkStart w:id="32" w:name="_Toc73086522"/>
      <w:bookmarkStart w:id="33" w:name="_Toc73086671"/>
      <w:bookmarkStart w:id="34" w:name="_Toc73086375"/>
      <w:bookmarkStart w:id="35" w:name="_Toc73086523"/>
      <w:bookmarkStart w:id="36" w:name="_Toc73086672"/>
      <w:bookmarkStart w:id="37" w:name="_Toc73086376"/>
      <w:bookmarkStart w:id="38" w:name="_Toc73086524"/>
      <w:bookmarkStart w:id="39" w:name="_Toc73086673"/>
      <w:bookmarkStart w:id="40" w:name="_Toc73086377"/>
      <w:bookmarkStart w:id="41" w:name="_Toc73086525"/>
      <w:bookmarkStart w:id="42" w:name="_Toc73086674"/>
      <w:bookmarkStart w:id="43" w:name="_Toc73086378"/>
      <w:bookmarkStart w:id="44" w:name="_Toc73086526"/>
      <w:bookmarkStart w:id="45" w:name="_Toc73086675"/>
      <w:bookmarkStart w:id="46" w:name="_Toc73086379"/>
      <w:bookmarkStart w:id="47" w:name="_Toc73086527"/>
      <w:bookmarkStart w:id="48" w:name="_Toc73086676"/>
      <w:bookmarkStart w:id="49" w:name="_Toc73086380"/>
      <w:bookmarkStart w:id="50" w:name="_Toc73086528"/>
      <w:bookmarkStart w:id="51" w:name="_Toc73086677"/>
      <w:bookmarkStart w:id="52" w:name="_Toc73086381"/>
      <w:bookmarkStart w:id="53" w:name="_Toc73086529"/>
      <w:bookmarkStart w:id="54" w:name="_Toc73086678"/>
      <w:bookmarkStart w:id="55" w:name="_Toc73086382"/>
      <w:bookmarkStart w:id="56" w:name="_Toc73086530"/>
      <w:bookmarkStart w:id="57" w:name="_Toc73086679"/>
      <w:bookmarkStart w:id="58" w:name="_Toc73086383"/>
      <w:bookmarkStart w:id="59" w:name="_Toc73086531"/>
      <w:bookmarkStart w:id="60" w:name="_Toc73086680"/>
      <w:bookmarkStart w:id="61" w:name="_Toc73086384"/>
      <w:bookmarkStart w:id="62" w:name="_Toc73086532"/>
      <w:bookmarkStart w:id="63" w:name="_Toc73086681"/>
      <w:bookmarkStart w:id="64" w:name="_Toc73086385"/>
      <w:bookmarkStart w:id="65" w:name="_Toc73086533"/>
      <w:bookmarkStart w:id="66" w:name="_Toc73086682"/>
      <w:bookmarkStart w:id="67" w:name="_Toc73086386"/>
      <w:bookmarkStart w:id="68" w:name="_Toc73086534"/>
      <w:bookmarkStart w:id="69" w:name="_Toc73086683"/>
      <w:bookmarkStart w:id="70" w:name="_Toc73086387"/>
      <w:bookmarkStart w:id="71" w:name="_Toc73086535"/>
      <w:bookmarkStart w:id="72" w:name="_Toc73086684"/>
      <w:bookmarkStart w:id="73" w:name="_Toc73086388"/>
      <w:bookmarkStart w:id="74" w:name="_Toc73086536"/>
      <w:bookmarkStart w:id="75" w:name="_Toc73086685"/>
      <w:bookmarkStart w:id="76" w:name="_Toc73086389"/>
      <w:bookmarkStart w:id="77" w:name="_Toc73086537"/>
      <w:bookmarkStart w:id="78" w:name="_Toc73086686"/>
      <w:bookmarkStart w:id="79" w:name="_Toc73086390"/>
      <w:bookmarkStart w:id="80" w:name="_Toc73086538"/>
      <w:bookmarkStart w:id="81" w:name="_Toc73086687"/>
      <w:bookmarkStart w:id="82" w:name="_Toc73086391"/>
      <w:bookmarkStart w:id="83" w:name="_Toc73086539"/>
      <w:bookmarkStart w:id="84" w:name="_Toc73086688"/>
      <w:bookmarkStart w:id="85" w:name="_Toc73086392"/>
      <w:bookmarkStart w:id="86" w:name="_Toc73086540"/>
      <w:bookmarkStart w:id="87" w:name="_Toc73086689"/>
      <w:bookmarkStart w:id="88" w:name="_Toc73086393"/>
      <w:bookmarkStart w:id="89" w:name="_Toc73086541"/>
      <w:bookmarkStart w:id="90" w:name="_Toc73086690"/>
      <w:bookmarkStart w:id="91" w:name="_Toc73086394"/>
      <w:bookmarkStart w:id="92" w:name="_Toc73086542"/>
      <w:bookmarkStart w:id="93" w:name="_Toc73086691"/>
      <w:bookmarkStart w:id="94" w:name="_Toc73086395"/>
      <w:bookmarkStart w:id="95" w:name="_Toc73086543"/>
      <w:bookmarkStart w:id="96" w:name="_Toc73086692"/>
      <w:bookmarkStart w:id="97" w:name="_Toc73086396"/>
      <w:bookmarkStart w:id="98" w:name="_Toc73086544"/>
      <w:bookmarkStart w:id="99" w:name="_Toc73086693"/>
      <w:bookmarkStart w:id="100" w:name="_Toc73086397"/>
      <w:bookmarkStart w:id="101" w:name="_Toc73086545"/>
      <w:bookmarkStart w:id="102" w:name="_Toc73086694"/>
      <w:bookmarkStart w:id="103" w:name="_Toc73086398"/>
      <w:bookmarkStart w:id="104" w:name="_Toc73086546"/>
      <w:bookmarkStart w:id="105" w:name="_Toc73086695"/>
      <w:bookmarkStart w:id="106" w:name="_Toc73086399"/>
      <w:bookmarkStart w:id="107" w:name="_Toc73086547"/>
      <w:bookmarkStart w:id="108" w:name="_Toc73086696"/>
      <w:bookmarkStart w:id="109" w:name="_Toc73086400"/>
      <w:bookmarkStart w:id="110" w:name="_Toc73086548"/>
      <w:bookmarkStart w:id="111" w:name="_Toc73086697"/>
      <w:bookmarkStart w:id="112" w:name="_Toc73086401"/>
      <w:bookmarkStart w:id="113" w:name="_Toc73086549"/>
      <w:bookmarkStart w:id="114" w:name="_Toc73086698"/>
      <w:bookmarkStart w:id="115" w:name="_Toc73086402"/>
      <w:bookmarkStart w:id="116" w:name="_Toc73086550"/>
      <w:bookmarkStart w:id="117" w:name="_Toc73086699"/>
      <w:bookmarkStart w:id="118" w:name="_Toc73086403"/>
      <w:bookmarkStart w:id="119" w:name="_Toc73086551"/>
      <w:bookmarkStart w:id="120" w:name="_Toc73086700"/>
      <w:bookmarkStart w:id="121" w:name="_Toc73086404"/>
      <w:bookmarkStart w:id="122" w:name="_Toc73086552"/>
      <w:bookmarkStart w:id="123" w:name="_Toc73086701"/>
      <w:bookmarkStart w:id="124" w:name="_Toc73086405"/>
      <w:bookmarkStart w:id="125" w:name="_Toc73086553"/>
      <w:bookmarkStart w:id="126" w:name="_Toc73086702"/>
      <w:bookmarkStart w:id="127" w:name="_Toc73086406"/>
      <w:bookmarkStart w:id="128" w:name="_Toc73086554"/>
      <w:bookmarkStart w:id="129" w:name="_Toc73086703"/>
      <w:bookmarkStart w:id="130" w:name="_Toc73086407"/>
      <w:bookmarkStart w:id="131" w:name="_Toc73086555"/>
      <w:bookmarkStart w:id="132" w:name="_Toc73086704"/>
      <w:bookmarkStart w:id="133" w:name="_Toc73086408"/>
      <w:bookmarkStart w:id="134" w:name="_Toc73086556"/>
      <w:bookmarkStart w:id="135" w:name="_Toc73086705"/>
      <w:bookmarkStart w:id="136" w:name="_Toc73086409"/>
      <w:bookmarkStart w:id="137" w:name="_Toc73086557"/>
      <w:bookmarkStart w:id="138" w:name="_Toc73086706"/>
      <w:bookmarkStart w:id="139" w:name="_Toc73086410"/>
      <w:bookmarkStart w:id="140" w:name="_Toc73086558"/>
      <w:bookmarkStart w:id="141" w:name="_Toc73086707"/>
      <w:bookmarkStart w:id="142" w:name="_Toc73086411"/>
      <w:bookmarkStart w:id="143" w:name="_Toc73086559"/>
      <w:bookmarkStart w:id="144" w:name="_Toc73086708"/>
      <w:bookmarkStart w:id="145" w:name="_Toc73086412"/>
      <w:bookmarkStart w:id="146" w:name="_Toc73086560"/>
      <w:bookmarkStart w:id="147" w:name="_Toc73086709"/>
      <w:bookmarkStart w:id="148" w:name="_Toc73086413"/>
      <w:bookmarkStart w:id="149" w:name="_Toc73086561"/>
      <w:bookmarkStart w:id="150" w:name="_Toc73086710"/>
      <w:bookmarkStart w:id="151" w:name="_Toc73086414"/>
      <w:bookmarkStart w:id="152" w:name="_Toc73086562"/>
      <w:bookmarkStart w:id="153" w:name="_Toc73086711"/>
      <w:bookmarkStart w:id="154" w:name="_Toc73086415"/>
      <w:bookmarkStart w:id="155" w:name="_Toc73086563"/>
      <w:bookmarkStart w:id="156" w:name="_Toc73086712"/>
      <w:bookmarkStart w:id="157" w:name="_Toc73086416"/>
      <w:bookmarkStart w:id="158" w:name="_Toc73086564"/>
      <w:bookmarkStart w:id="159" w:name="_Toc73086713"/>
      <w:bookmarkStart w:id="160" w:name="_Toc73086417"/>
      <w:bookmarkStart w:id="161" w:name="_Toc73086565"/>
      <w:bookmarkStart w:id="162" w:name="_Toc73086714"/>
      <w:bookmarkStart w:id="163" w:name="_Toc73086418"/>
      <w:bookmarkStart w:id="164" w:name="_Toc73086566"/>
      <w:bookmarkStart w:id="165" w:name="_Toc73086715"/>
      <w:bookmarkStart w:id="166" w:name="_Toc73086419"/>
      <w:bookmarkStart w:id="167" w:name="_Toc73086567"/>
      <w:bookmarkStart w:id="168" w:name="_Toc73086716"/>
      <w:bookmarkStart w:id="169" w:name="_Toc73086420"/>
      <w:bookmarkStart w:id="170" w:name="_Toc73086568"/>
      <w:bookmarkStart w:id="171" w:name="_Toc73086717"/>
      <w:bookmarkStart w:id="172" w:name="_Toc73086421"/>
      <w:bookmarkStart w:id="173" w:name="_Toc73086569"/>
      <w:bookmarkStart w:id="174" w:name="_Toc73086718"/>
      <w:bookmarkStart w:id="175" w:name="_Toc73086422"/>
      <w:bookmarkStart w:id="176" w:name="_Toc73086570"/>
      <w:bookmarkStart w:id="177" w:name="_Toc73086719"/>
      <w:bookmarkStart w:id="178" w:name="_Toc73086423"/>
      <w:bookmarkStart w:id="179" w:name="_Toc73086571"/>
      <w:bookmarkStart w:id="180" w:name="_Toc73086720"/>
      <w:bookmarkStart w:id="181" w:name="_Toc73086424"/>
      <w:bookmarkStart w:id="182" w:name="_Toc73086572"/>
      <w:bookmarkStart w:id="183" w:name="_Toc73086721"/>
      <w:bookmarkStart w:id="184" w:name="_Toc73086425"/>
      <w:bookmarkStart w:id="185" w:name="_Toc73086573"/>
      <w:bookmarkStart w:id="186" w:name="_Toc73086722"/>
      <w:bookmarkStart w:id="187" w:name="_Toc73086426"/>
      <w:bookmarkStart w:id="188" w:name="_Toc73086574"/>
      <w:bookmarkStart w:id="189" w:name="_Toc73086723"/>
      <w:bookmarkStart w:id="190" w:name="_Toc73086427"/>
      <w:bookmarkStart w:id="191" w:name="_Toc73086575"/>
      <w:bookmarkStart w:id="192" w:name="_Toc73086724"/>
      <w:bookmarkStart w:id="193" w:name="_Toc73086428"/>
      <w:bookmarkStart w:id="194" w:name="_Toc73086576"/>
      <w:bookmarkStart w:id="195" w:name="_Toc73086725"/>
      <w:bookmarkStart w:id="196" w:name="_Toc73086429"/>
      <w:bookmarkStart w:id="197" w:name="_Toc73086577"/>
      <w:bookmarkStart w:id="198" w:name="_Toc73086726"/>
      <w:bookmarkStart w:id="199" w:name="_Toc73086430"/>
      <w:bookmarkStart w:id="200" w:name="_Toc73086578"/>
      <w:bookmarkStart w:id="201" w:name="_Toc73086727"/>
      <w:bookmarkStart w:id="202" w:name="_Toc73086431"/>
      <w:bookmarkStart w:id="203" w:name="_Toc73086579"/>
      <w:bookmarkStart w:id="204" w:name="_Toc73086728"/>
      <w:bookmarkStart w:id="205" w:name="_Toc73086432"/>
      <w:bookmarkStart w:id="206" w:name="_Toc73086580"/>
      <w:bookmarkStart w:id="207" w:name="_Toc73086729"/>
      <w:bookmarkStart w:id="208" w:name="_Toc73086433"/>
      <w:bookmarkStart w:id="209" w:name="_Toc73086581"/>
      <w:bookmarkStart w:id="210" w:name="_Toc73086730"/>
      <w:bookmarkStart w:id="211" w:name="_Toc73086434"/>
      <w:bookmarkStart w:id="212" w:name="_Toc73086582"/>
      <w:bookmarkStart w:id="213" w:name="_Toc73086731"/>
      <w:bookmarkStart w:id="214" w:name="_Toc73086435"/>
      <w:bookmarkStart w:id="215" w:name="_Toc73086583"/>
      <w:bookmarkStart w:id="216" w:name="_Toc73086732"/>
      <w:bookmarkStart w:id="217" w:name="_Toc73086436"/>
      <w:bookmarkStart w:id="218" w:name="_Toc73086584"/>
      <w:bookmarkStart w:id="219" w:name="_Toc73086733"/>
      <w:bookmarkStart w:id="220" w:name="_Toc73086437"/>
      <w:bookmarkStart w:id="221" w:name="_Toc73086585"/>
      <w:bookmarkStart w:id="222" w:name="_Toc73086734"/>
      <w:bookmarkStart w:id="223" w:name="_Toc73086438"/>
      <w:bookmarkStart w:id="224" w:name="_Toc73086586"/>
      <w:bookmarkStart w:id="225" w:name="_Toc73086735"/>
      <w:bookmarkStart w:id="226" w:name="_Toc73086439"/>
      <w:bookmarkStart w:id="227" w:name="_Toc73086587"/>
      <w:bookmarkStart w:id="228" w:name="_Toc73086736"/>
      <w:bookmarkStart w:id="229" w:name="_Toc73086440"/>
      <w:bookmarkStart w:id="230" w:name="_Toc73086588"/>
      <w:bookmarkStart w:id="231" w:name="_Toc73086737"/>
      <w:bookmarkStart w:id="232" w:name="_Toc73086441"/>
      <w:bookmarkStart w:id="233" w:name="_Toc73086589"/>
      <w:bookmarkStart w:id="234" w:name="_Toc73086738"/>
      <w:bookmarkStart w:id="235" w:name="_Toc73086442"/>
      <w:bookmarkStart w:id="236" w:name="_Toc73086590"/>
      <w:bookmarkStart w:id="237" w:name="_Toc73086739"/>
      <w:bookmarkStart w:id="238" w:name="_Toc73086443"/>
      <w:bookmarkStart w:id="239" w:name="_Toc73086591"/>
      <w:bookmarkStart w:id="240" w:name="_Toc73086740"/>
      <w:bookmarkStart w:id="241" w:name="_Toc73086444"/>
      <w:bookmarkStart w:id="242" w:name="_Toc73086592"/>
      <w:bookmarkStart w:id="243" w:name="_Toc73086741"/>
      <w:bookmarkStart w:id="244" w:name="_Toc73086445"/>
      <w:bookmarkStart w:id="245" w:name="_Toc73086593"/>
      <w:bookmarkStart w:id="246" w:name="_Toc73086742"/>
      <w:bookmarkStart w:id="247" w:name="_Toc73086446"/>
      <w:bookmarkStart w:id="248" w:name="_Toc73086594"/>
      <w:bookmarkStart w:id="249" w:name="_Toc73086743"/>
      <w:bookmarkStart w:id="250" w:name="_Toc73086447"/>
      <w:bookmarkStart w:id="251" w:name="_Toc73086595"/>
      <w:bookmarkStart w:id="252" w:name="_Toc73086744"/>
      <w:bookmarkStart w:id="253" w:name="_Toc73086448"/>
      <w:bookmarkStart w:id="254" w:name="_Toc73086596"/>
      <w:bookmarkStart w:id="255" w:name="_Toc73086745"/>
      <w:bookmarkStart w:id="256" w:name="_Toc73086449"/>
      <w:bookmarkStart w:id="257" w:name="_Toc73086597"/>
      <w:bookmarkStart w:id="258" w:name="_Toc73086746"/>
      <w:bookmarkStart w:id="259" w:name="_Toc73086450"/>
      <w:bookmarkStart w:id="260" w:name="_Toc73086598"/>
      <w:bookmarkStart w:id="261" w:name="_Toc73086747"/>
      <w:bookmarkStart w:id="262" w:name="_Toc73086451"/>
      <w:bookmarkStart w:id="263" w:name="_Toc73086599"/>
      <w:bookmarkStart w:id="264" w:name="_Toc73086748"/>
      <w:bookmarkStart w:id="265" w:name="_Toc73086452"/>
      <w:bookmarkStart w:id="266" w:name="_Toc73086600"/>
      <w:bookmarkStart w:id="267" w:name="_Toc73086749"/>
      <w:bookmarkStart w:id="268" w:name="_Toc73086453"/>
      <w:bookmarkStart w:id="269" w:name="_Toc73086601"/>
      <w:bookmarkStart w:id="270" w:name="_Toc73086750"/>
      <w:bookmarkStart w:id="271" w:name="_Toc73086454"/>
      <w:bookmarkStart w:id="272" w:name="_Toc73086602"/>
      <w:bookmarkStart w:id="273" w:name="_Toc73086751"/>
      <w:bookmarkStart w:id="274" w:name="_Toc73086455"/>
      <w:bookmarkStart w:id="275" w:name="_Toc73086603"/>
      <w:bookmarkStart w:id="276" w:name="_Toc73086752"/>
      <w:bookmarkStart w:id="277" w:name="_Toc73086456"/>
      <w:bookmarkStart w:id="278" w:name="_Toc73086604"/>
      <w:bookmarkStart w:id="279" w:name="_Toc73086753"/>
      <w:bookmarkStart w:id="280" w:name="_Toc73086457"/>
      <w:bookmarkStart w:id="281" w:name="_Toc73086605"/>
      <w:bookmarkStart w:id="282" w:name="_Toc73086754"/>
      <w:bookmarkStart w:id="283" w:name="_Toc73086458"/>
      <w:bookmarkStart w:id="284" w:name="_Toc73086606"/>
      <w:bookmarkStart w:id="285" w:name="_Toc73086755"/>
      <w:bookmarkStart w:id="286" w:name="_Toc73086459"/>
      <w:bookmarkStart w:id="287" w:name="_Toc73086607"/>
      <w:bookmarkStart w:id="288" w:name="_Toc73086756"/>
      <w:bookmarkStart w:id="289" w:name="_Toc73086460"/>
      <w:bookmarkStart w:id="290" w:name="_Toc73086608"/>
      <w:bookmarkStart w:id="291" w:name="_Toc73086757"/>
      <w:bookmarkStart w:id="292" w:name="_Toc73086461"/>
      <w:bookmarkStart w:id="293" w:name="_Toc73086609"/>
      <w:bookmarkStart w:id="294" w:name="_Toc73086758"/>
      <w:bookmarkStart w:id="295" w:name="_Toc73086462"/>
      <w:bookmarkStart w:id="296" w:name="_Toc73086610"/>
      <w:bookmarkStart w:id="297" w:name="_Toc73086759"/>
      <w:bookmarkStart w:id="298" w:name="_Toc73086463"/>
      <w:bookmarkStart w:id="299" w:name="_Toc73086611"/>
      <w:bookmarkStart w:id="300" w:name="_Toc73086760"/>
      <w:bookmarkStart w:id="301" w:name="_Toc73086464"/>
      <w:bookmarkStart w:id="302" w:name="_Toc73086612"/>
      <w:bookmarkStart w:id="303" w:name="_Toc73086761"/>
      <w:bookmarkStart w:id="304" w:name="_Toc73086465"/>
      <w:bookmarkStart w:id="305" w:name="_Toc73086613"/>
      <w:bookmarkStart w:id="306" w:name="_Toc73086762"/>
      <w:bookmarkStart w:id="307" w:name="_Toc73086466"/>
      <w:bookmarkStart w:id="308" w:name="_Toc73086614"/>
      <w:bookmarkStart w:id="309" w:name="_Toc73086763"/>
      <w:bookmarkStart w:id="310" w:name="_Toc73086467"/>
      <w:bookmarkStart w:id="311" w:name="_Toc73086615"/>
      <w:bookmarkStart w:id="312" w:name="_Toc73086764"/>
      <w:bookmarkStart w:id="313" w:name="_Toc73086468"/>
      <w:bookmarkStart w:id="314" w:name="_Toc73086616"/>
      <w:bookmarkStart w:id="315" w:name="_Toc73086765"/>
      <w:bookmarkStart w:id="316" w:name="_Toc87263172"/>
      <w:bookmarkStart w:id="317" w:name="_Hlk72846726"/>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r>
        <w:lastRenderedPageBreak/>
        <w:t>Literature R</w:t>
      </w:r>
      <w:r w:rsidR="00AA2026">
        <w:t>e</w:t>
      </w:r>
      <w:r>
        <w:t>view</w:t>
      </w:r>
      <w:bookmarkEnd w:id="316"/>
    </w:p>
    <w:p w14:paraId="1B32722B" w14:textId="3E483FF7" w:rsidR="00D93AC2" w:rsidRDefault="00D93AC2" w:rsidP="00655B28">
      <w:pPr>
        <w:pStyle w:val="Heading2"/>
      </w:pPr>
      <w:bookmarkStart w:id="318" w:name="_Toc87263173"/>
      <w:bookmarkEnd w:id="317"/>
      <w:r w:rsidRPr="00E13B77">
        <w:t>Background</w:t>
      </w:r>
      <w:bookmarkEnd w:id="318"/>
    </w:p>
    <w:p w14:paraId="67716061" w14:textId="4A0584DD" w:rsidR="00013CDE" w:rsidRDefault="00013CDE" w:rsidP="00013CDE">
      <w:pPr>
        <w:pStyle w:val="BodyText"/>
      </w:pPr>
      <w:r>
        <w:t>Gambling Assessment Measure — Guidance about Responsible Design (</w:t>
      </w:r>
      <w:r w:rsidR="008A6C4E">
        <w:t>Gamgard</w:t>
      </w:r>
      <w:r>
        <w:t xml:space="preserve">) is an online rating tool designed to assist the gambling industry to assess the impact on vulnerable populations of gambling games. It evaluates game features, designs and characteristics and provides a risk rating. </w:t>
      </w:r>
      <w:r w:rsidR="008A6C4E">
        <w:t>Gamgard</w:t>
      </w:r>
      <w:r>
        <w:t xml:space="preserve"> originated from work carried out at Nottingham Trent University in the United Kingdom. This literature review is part of a Ministry of Health project to provide an industry-independent evaluation of </w:t>
      </w:r>
      <w:r w:rsidR="008A6C4E">
        <w:t>Gamgard</w:t>
      </w:r>
      <w:r>
        <w:t xml:space="preserve">, carried out in a New Zealand context. </w:t>
      </w:r>
      <w:r w:rsidRPr="00712320">
        <w:t xml:space="preserve">The literature reviewed included peer reviewed journal articles, </w:t>
      </w:r>
      <w:r>
        <w:t xml:space="preserve">magazine articles, </w:t>
      </w:r>
      <w:r w:rsidRPr="00712320">
        <w:t xml:space="preserve">conference papers and information </w:t>
      </w:r>
      <w:r>
        <w:t xml:space="preserve">available on the internet </w:t>
      </w:r>
      <w:r w:rsidRPr="00712320">
        <w:t xml:space="preserve">from </w:t>
      </w:r>
      <w:r>
        <w:t xml:space="preserve">gambling regulators and industry participants. </w:t>
      </w:r>
      <w:r w:rsidRPr="00712320">
        <w:t>These were accessed through search engines, the</w:t>
      </w:r>
      <w:r>
        <w:t xml:space="preserve"> WSP Opus information Centre,</w:t>
      </w:r>
      <w:r w:rsidRPr="00712320">
        <w:t xml:space="preserve"> suggestions from colleagues</w:t>
      </w:r>
      <w:r>
        <w:t xml:space="preserve"> and directly from the authors</w:t>
      </w:r>
      <w:r w:rsidRPr="00712320">
        <w:t xml:space="preserve">. There were no formal exclusion </w:t>
      </w:r>
      <w:r>
        <w:t xml:space="preserve">or inclusion </w:t>
      </w:r>
      <w:r w:rsidRPr="00712320">
        <w:t>criteria</w:t>
      </w:r>
      <w:r>
        <w:t>. The review is structured around the following research questions which were of particular interest to the Ministry of Health.</w:t>
      </w:r>
    </w:p>
    <w:p w14:paraId="5FF0CBE5" w14:textId="7D629681" w:rsidR="00013CDE" w:rsidRDefault="00013CDE" w:rsidP="00352919">
      <w:pPr>
        <w:pStyle w:val="ListNumber"/>
        <w:numPr>
          <w:ilvl w:val="0"/>
          <w:numId w:val="23"/>
        </w:numPr>
      </w:pPr>
      <w:r>
        <w:t xml:space="preserve">What is the intended purpose/use of </w:t>
      </w:r>
      <w:r w:rsidR="008A6C4E">
        <w:t>Gamgard</w:t>
      </w:r>
      <w:r>
        <w:t xml:space="preserve">? (How is it being presented to end-users - </w:t>
      </w:r>
      <w:r w:rsidRPr="0049331B">
        <w:t>wi</w:t>
      </w:r>
      <w:r>
        <w:t>dely defined - gambling industry, gambling harm minimisation providers, regulators?)</w:t>
      </w:r>
    </w:p>
    <w:p w14:paraId="33CAFCB0" w14:textId="68191EEB" w:rsidR="00013CDE" w:rsidRDefault="00013CDE" w:rsidP="00352919">
      <w:pPr>
        <w:pStyle w:val="ListNumber"/>
        <w:numPr>
          <w:ilvl w:val="0"/>
          <w:numId w:val="23"/>
        </w:numPr>
      </w:pPr>
      <w:r>
        <w:t xml:space="preserve">What are the design elements of </w:t>
      </w:r>
      <w:r w:rsidR="008A6C4E">
        <w:t>Gamgard</w:t>
      </w:r>
      <w:r>
        <w:t xml:space="preserve"> that are intended to help it achieve the purpose/use? Who were the designers, what is the origin of the product, what linkages exist to the gambling industry/gambling harm minimisation providers, how does it work? Are the design elements appropriate/fit for purpose?</w:t>
      </w:r>
    </w:p>
    <w:p w14:paraId="0D4CC661" w14:textId="48AD303E" w:rsidR="00013CDE" w:rsidRDefault="00013CDE" w:rsidP="00352919">
      <w:pPr>
        <w:pStyle w:val="ListNumber"/>
        <w:numPr>
          <w:ilvl w:val="0"/>
          <w:numId w:val="23"/>
        </w:numPr>
      </w:pPr>
      <w:r>
        <w:t xml:space="preserve">To what extent do problem gambling service provider reports indicate that games identified as “high-risk” by </w:t>
      </w:r>
      <w:r w:rsidR="008A6C4E">
        <w:t>Gamgard</w:t>
      </w:r>
      <w:r>
        <w:t xml:space="preserve"> are also those games that their clients report as having the most negative impact?</w:t>
      </w:r>
    </w:p>
    <w:p w14:paraId="556333EE" w14:textId="79D9CF15" w:rsidR="00013CDE" w:rsidRDefault="00013CDE" w:rsidP="00352919">
      <w:pPr>
        <w:pStyle w:val="ListNumber"/>
        <w:numPr>
          <w:ilvl w:val="0"/>
          <w:numId w:val="23"/>
        </w:numPr>
      </w:pPr>
      <w:r>
        <w:t xml:space="preserve">How is the </w:t>
      </w:r>
      <w:r w:rsidR="008A6C4E">
        <w:t>Gamgard</w:t>
      </w:r>
      <w:r>
        <w:t xml:space="preserve"> product being used, compared to intent? To what extent is it being used appropriately by different users? Is the intent/purpose well understood by key stakeholders/end-users?</w:t>
      </w:r>
    </w:p>
    <w:p w14:paraId="59CC103E" w14:textId="54EA8046" w:rsidR="00013CDE" w:rsidRDefault="00013CDE" w:rsidP="00352919">
      <w:pPr>
        <w:pStyle w:val="ListNumber"/>
        <w:numPr>
          <w:ilvl w:val="0"/>
          <w:numId w:val="23"/>
        </w:numPr>
      </w:pPr>
      <w:r>
        <w:t>What are the pros and cons of the product? What are the alternatives - if any?</w:t>
      </w:r>
    </w:p>
    <w:p w14:paraId="3C3403C0" w14:textId="78039EDC" w:rsidR="00013CDE" w:rsidRDefault="00013CDE" w:rsidP="00013CDE">
      <w:pPr>
        <w:pStyle w:val="BodyText"/>
      </w:pPr>
      <w:r>
        <w:t>Addiction risk is a systemic problem associated with gambling. The many risks associated with gambling games are summarised in the</w:t>
      </w:r>
      <w:r w:rsidR="00FC07D7">
        <w:t xml:space="preserve"> figure below.</w:t>
      </w:r>
    </w:p>
    <w:p w14:paraId="2E60A093" w14:textId="2487913D" w:rsidR="00FC07D7" w:rsidRDefault="00101144" w:rsidP="00FC07D7">
      <w:pPr>
        <w:pStyle w:val="BodyText"/>
        <w:keepNext/>
        <w:jc w:val="center"/>
      </w:pPr>
      <w:r w:rsidRPr="00101144">
        <w:rPr>
          <w:noProof/>
        </w:rPr>
        <w:t xml:space="preserve"> </w:t>
      </w:r>
      <w:r>
        <w:rPr>
          <w:noProof/>
        </w:rPr>
        <w:drawing>
          <wp:inline distT="0" distB="0" distL="0" distR="0" wp14:anchorId="516A8A38" wp14:editId="7F4566D9">
            <wp:extent cx="4962525" cy="25908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62525" cy="2590800"/>
                    </a:xfrm>
                    <a:prstGeom prst="rect">
                      <a:avLst/>
                    </a:prstGeom>
                  </pic:spPr>
                </pic:pic>
              </a:graphicData>
            </a:graphic>
          </wp:inline>
        </w:drawing>
      </w:r>
    </w:p>
    <w:p w14:paraId="7E51CB7F" w14:textId="08638796" w:rsidR="00F0337D" w:rsidRPr="00F0337D" w:rsidRDefault="00B10BAE" w:rsidP="003564AD">
      <w:pPr>
        <w:pStyle w:val="Caption"/>
      </w:pPr>
      <w:bookmarkStart w:id="319" w:name="_Toc87263207"/>
      <w:r>
        <w:rPr>
          <w:i w:val="0"/>
          <w:iCs w:val="0"/>
        </w:rPr>
        <w:t xml:space="preserve">: </w:t>
      </w:r>
      <w:r w:rsidR="00F265FC">
        <w:t xml:space="preserve">Figure </w:t>
      </w:r>
      <w:r w:rsidR="00005CFC">
        <w:fldChar w:fldCharType="begin"/>
      </w:r>
      <w:r w:rsidR="00005CFC">
        <w:instrText xml:space="preserve"> SEQ Figure \* ARABIC </w:instrText>
      </w:r>
      <w:r w:rsidR="00005CFC">
        <w:fldChar w:fldCharType="separate"/>
      </w:r>
      <w:r w:rsidR="008F60FD">
        <w:rPr>
          <w:noProof/>
        </w:rPr>
        <w:t>1</w:t>
      </w:r>
      <w:r w:rsidR="00005CFC">
        <w:rPr>
          <w:noProof/>
        </w:rPr>
        <w:fldChar w:fldCharType="end"/>
      </w:r>
      <w:r w:rsidR="00F265FC">
        <w:t xml:space="preserve">: </w:t>
      </w:r>
      <w:r w:rsidR="00F265FC" w:rsidRPr="007507C8">
        <w:t>Product-related risk: Categories and characteristics</w:t>
      </w:r>
      <w:r w:rsidR="00B61C90">
        <w:t xml:space="preserve"> </w:t>
      </w:r>
      <w:r w:rsidR="00F0337D">
        <w:t>Source: Parke, J. (2018)</w:t>
      </w:r>
      <w:bookmarkEnd w:id="319"/>
      <w:r w:rsidR="00F0337D">
        <w:t xml:space="preserve"> </w:t>
      </w:r>
    </w:p>
    <w:p w14:paraId="63800E6D" w14:textId="5A9F092E" w:rsidR="007D0BC6" w:rsidRDefault="007D0BC6" w:rsidP="00FC07D7">
      <w:pPr>
        <w:pStyle w:val="Caption"/>
        <w:jc w:val="center"/>
      </w:pPr>
    </w:p>
    <w:p w14:paraId="62875795" w14:textId="4381D64C" w:rsidR="00FC07D7" w:rsidRDefault="00FC07D7" w:rsidP="00FC07D7">
      <w:pPr>
        <w:pStyle w:val="BodyText"/>
      </w:pPr>
      <w:r>
        <w:t xml:space="preserve">Where this risk results in serious repercussions for gamblers and those </w:t>
      </w:r>
      <w:r w:rsidR="001A0090">
        <w:t xml:space="preserve">close to </w:t>
      </w:r>
      <w:r>
        <w:t xml:space="preserve">them, the associated gambling behaviours are often called ‘problem gambling”. There is no one universal definition of problem gambling. The risks become greatest in the 1.9% of gamblers designated in the 2018 New Zealand Health </w:t>
      </w:r>
      <w:r>
        <w:lastRenderedPageBreak/>
        <w:t>and Lifestyles Survey</w:t>
      </w:r>
      <w:r>
        <w:rPr>
          <w:rStyle w:val="FootnoteReference"/>
        </w:rPr>
        <w:footnoteReference w:id="2"/>
      </w:r>
      <w:r>
        <w:t xml:space="preserve"> as “moderate risk and problem”</w:t>
      </w:r>
      <w:r>
        <w:rPr>
          <w:rStyle w:val="FootnoteReference"/>
        </w:rPr>
        <w:footnoteReference w:id="3"/>
      </w:r>
      <w:r>
        <w:t xml:space="preserve"> using the Problem Gambling Severity Index (PGSI) (Ferris &amp; Wynne, 2001). It should be noted that the PGSI is structured as a continuum of risk, often used in population surveys for prevalence rates, but not specifically designed for measuring gambling related </w:t>
      </w:r>
      <w:r w:rsidRPr="00F33750">
        <w:t>harm</w:t>
      </w:r>
      <w:r>
        <w:t>. Results at the appropriate level of disaggregation. are not yet available from the 2018 survey, but problem gamblers numbered around 0.1% of gamblers in 2016 while those of moderate risk were 1.5% (</w:t>
      </w:r>
      <w:r w:rsidR="00D8498A" w:rsidRPr="249B11C1">
        <w:rPr>
          <w:rFonts w:eastAsia="Montserrat Light" w:cs="Montserrat Light"/>
        </w:rPr>
        <w:t>Thimasarn</w:t>
      </w:r>
      <w:r w:rsidR="00D8498A">
        <w:t xml:space="preserve"> </w:t>
      </w:r>
      <w:r>
        <w:t>-Anwar et al, 2017). The Gambling Act (2003)</w:t>
      </w:r>
      <w:r>
        <w:rPr>
          <w:rStyle w:val="FootnoteReference"/>
        </w:rPr>
        <w:footnoteReference w:id="4"/>
      </w:r>
      <w:r>
        <w:t xml:space="preserve"> defines a problem gambler as </w:t>
      </w:r>
      <w:r w:rsidRPr="00F33750">
        <w:rPr>
          <w:i/>
        </w:rPr>
        <w:t>a person whose gambling causes harm or may cause harm</w:t>
      </w:r>
      <w:r>
        <w:t>. Harm in this context is defined (part 1, section 4) as:</w:t>
      </w:r>
    </w:p>
    <w:p w14:paraId="1EC1D4BC" w14:textId="77777777" w:rsidR="00FC07D7" w:rsidRDefault="00FC07D7" w:rsidP="00D86684">
      <w:pPr>
        <w:pStyle w:val="Quote"/>
      </w:pPr>
      <w:r>
        <w:t>harm or distress of any kind arising from, or caused or exacerbated by, a person’s gambling</w:t>
      </w:r>
    </w:p>
    <w:p w14:paraId="0D0AE187" w14:textId="77777777" w:rsidR="00FC07D7" w:rsidRDefault="00FC07D7" w:rsidP="00D86684">
      <w:pPr>
        <w:pStyle w:val="Quote"/>
      </w:pPr>
      <w:r>
        <w:t>and “includes personal, social, or economic harm suffered:</w:t>
      </w:r>
    </w:p>
    <w:p w14:paraId="0004289E" w14:textId="77777777" w:rsidR="00FC07D7" w:rsidRDefault="00FC07D7" w:rsidP="00D86684">
      <w:pPr>
        <w:pStyle w:val="Quote"/>
      </w:pPr>
      <w:r>
        <w:t>(i) by the person;</w:t>
      </w:r>
    </w:p>
    <w:p w14:paraId="4CC69026" w14:textId="25194965" w:rsidR="00FC07D7" w:rsidRDefault="00FC07D7" w:rsidP="00D86684">
      <w:pPr>
        <w:pStyle w:val="Quote"/>
      </w:pPr>
      <w:r>
        <w:t>or (ii) by the person’s spouse, civil union partner, de facto partner, family, whanau, or wider community;</w:t>
      </w:r>
    </w:p>
    <w:p w14:paraId="28930744" w14:textId="77777777" w:rsidR="00CA4D03" w:rsidRDefault="00FC07D7" w:rsidP="00D86684">
      <w:pPr>
        <w:pStyle w:val="Quote"/>
      </w:pPr>
      <w:r>
        <w:t xml:space="preserve">or (iii) in the workplace; </w:t>
      </w:r>
    </w:p>
    <w:p w14:paraId="01C3BA3B" w14:textId="2ACA28FC" w:rsidR="00FC07D7" w:rsidRDefault="00FC07D7" w:rsidP="00D86684">
      <w:pPr>
        <w:pStyle w:val="Quote"/>
      </w:pPr>
      <w:r>
        <w:t xml:space="preserve">or (iv) by society at large </w:t>
      </w:r>
    </w:p>
    <w:p w14:paraId="0B476D9D" w14:textId="4E44E57E" w:rsidR="007D0BC6" w:rsidRDefault="007D0BC6" w:rsidP="000C6935">
      <w:pPr>
        <w:pStyle w:val="Quote"/>
      </w:pPr>
    </w:p>
    <w:p w14:paraId="72B9342E" w14:textId="6706EC16" w:rsidR="00FC07D7" w:rsidRDefault="00FC07D7" w:rsidP="00FC07D7">
      <w:pPr>
        <w:pStyle w:val="BodyText"/>
      </w:pPr>
      <w:r>
        <w:t xml:space="preserve">The definition used in the act would include the next category of “moderate risk” people </w:t>
      </w:r>
      <w:r w:rsidR="00CA4D03">
        <w:t xml:space="preserve">as classified by </w:t>
      </w:r>
      <w:r>
        <w:t xml:space="preserve">the PGSI index.  </w:t>
      </w:r>
    </w:p>
    <w:p w14:paraId="7F0FB656" w14:textId="0F9BF6F7" w:rsidR="00FC07D7" w:rsidRDefault="00FC07D7" w:rsidP="00FC07D7">
      <w:pPr>
        <w:pStyle w:val="BodyText"/>
      </w:pPr>
      <w:r>
        <w:t>The numbers from the Health and Lifestyles Survey look relatively small, but problem gambling affects a wide circle of family, friends, workmates</w:t>
      </w:r>
      <w:r w:rsidR="001A0090">
        <w:t>,</w:t>
      </w:r>
      <w:r>
        <w:t xml:space="preserve"> etc</w:t>
      </w:r>
      <w:r w:rsidR="001A0090">
        <w:t>.,</w:t>
      </w:r>
      <w:r>
        <w:t xml:space="preserve"> of the gambler.  Browne et al (2017), reporting on gambling harm to the Ministry of Health estimated the aggregate harm of gambling problems to be almost twice that of drug use disorders, bipolar affective disorder, eating disorders and schizophrenia. It was also suggested that this burden of harm is primarily due to </w:t>
      </w:r>
      <w:r w:rsidR="00622F46">
        <w:t xml:space="preserve">financial impacts, </w:t>
      </w:r>
      <w:r>
        <w:t xml:space="preserve">damage to relationships, emotional / psychological distress, </w:t>
      </w:r>
      <w:r w:rsidR="00622F46">
        <w:t xml:space="preserve">and </w:t>
      </w:r>
      <w:r>
        <w:t>disruptions to work / study.</w:t>
      </w:r>
    </w:p>
    <w:p w14:paraId="7169EA0D" w14:textId="6D5E1594" w:rsidR="00FC07D7" w:rsidRDefault="00FC07D7" w:rsidP="00FC07D7">
      <w:pPr>
        <w:pStyle w:val="BodyText"/>
        <w:rPr>
          <w:rFonts w:eastAsia="Calibri"/>
        </w:rPr>
      </w:pPr>
      <w:r>
        <w:rPr>
          <w:rFonts w:eastAsia="Calibri"/>
        </w:rPr>
        <w:t>Gambling providers are required to operate gambling environments in accord</w:t>
      </w:r>
      <w:r w:rsidR="00E2384B">
        <w:rPr>
          <w:rFonts w:eastAsia="Calibri"/>
        </w:rPr>
        <w:t>ance</w:t>
      </w:r>
      <w:r>
        <w:rPr>
          <w:rFonts w:eastAsia="Calibri"/>
        </w:rPr>
        <w:t xml:space="preserve"> with the act. The act also mandates that an </w:t>
      </w:r>
      <w:r>
        <w:t xml:space="preserve">integrated problem gambling strategy focused on public health be produced. The implication is that providers </w:t>
      </w:r>
      <w:r>
        <w:rPr>
          <w:rFonts w:eastAsia="Calibri"/>
        </w:rPr>
        <w:t xml:space="preserve">should operate in a manner consistent with this public </w:t>
      </w:r>
      <w:r w:rsidR="00D86684">
        <w:rPr>
          <w:rFonts w:eastAsia="Calibri"/>
        </w:rPr>
        <w:t>health-based</w:t>
      </w:r>
      <w:r>
        <w:rPr>
          <w:rFonts w:eastAsia="Calibri"/>
        </w:rPr>
        <w:t xml:space="preserve"> strategy (Ministry of Health, 2019). Therefore, the utility in New Zealand of products like </w:t>
      </w:r>
      <w:r w:rsidR="008A6C4E">
        <w:rPr>
          <w:rFonts w:eastAsia="Calibri"/>
        </w:rPr>
        <w:t>Gamgard</w:t>
      </w:r>
      <w:r>
        <w:rPr>
          <w:rFonts w:eastAsia="Calibri"/>
        </w:rPr>
        <w:t xml:space="preserve"> will depend on how they fit into an overall package of measures designed to comply with the provisions of the act and their level of consistency with the strategy.</w:t>
      </w:r>
    </w:p>
    <w:p w14:paraId="7C860DA1" w14:textId="2D466604" w:rsidR="00FC07D7" w:rsidRDefault="00FC07D7" w:rsidP="00FC07D7">
      <w:pPr>
        <w:pStyle w:val="BodyText"/>
      </w:pPr>
      <w:r>
        <w:t>Williams and Wood (2016) estimate that 15-50% of gambling revenue emanates from problem gamblers depending on jurisdiction and the time of data collection. They suggest that the revenue derived from problem gamblers may be much higher if newer, improved measures are applied.  Williams and Wood (2016) use the Canadian Problem Gambling Index (CPGI) and</w:t>
      </w:r>
      <w:r w:rsidR="00E2384B">
        <w:t>,</w:t>
      </w:r>
      <w:r>
        <w:t xml:space="preserve"> in an Ontario study (Williams </w:t>
      </w:r>
      <w:r w:rsidR="0037438E">
        <w:t xml:space="preserve">&amp; </w:t>
      </w:r>
      <w:r>
        <w:t>Wood, 2007)</w:t>
      </w:r>
      <w:r w:rsidR="00E2384B">
        <w:t>,</w:t>
      </w:r>
      <w:r>
        <w:t xml:space="preserve"> they defined a problem gambler as someone fitting the severe problem gambler and moderate problem gambler categories of that index, which approximate to the top two categories in the PGSI.</w:t>
      </w:r>
    </w:p>
    <w:p w14:paraId="3DC5DF50" w14:textId="3421256D" w:rsidR="00FC07D7" w:rsidRDefault="00FC07D7" w:rsidP="00FC07D7">
      <w:pPr>
        <w:pStyle w:val="BodyText"/>
      </w:pPr>
      <w:r>
        <w:t xml:space="preserve">The latest information from New Zealand on revenue from people with a gambling problem goes back to Abbott </w:t>
      </w:r>
      <w:r w:rsidR="0037438E">
        <w:t xml:space="preserve">and </w:t>
      </w:r>
      <w:r>
        <w:t xml:space="preserve">Volberg (2000) whose estimate was 19% of gambling revenues emanating from problem and probable pathological gamblers. According to Abbott </w:t>
      </w:r>
      <w:r w:rsidR="0037438E">
        <w:t xml:space="preserve">and </w:t>
      </w:r>
      <w:r>
        <w:t>Volberg (2000)</w:t>
      </w:r>
      <w:r w:rsidR="000F5FF3">
        <w:t>,</w:t>
      </w:r>
      <w:r>
        <w:t xml:space="preserve"> a problem gambler is a person with </w:t>
      </w:r>
      <w:r w:rsidRPr="00F33750">
        <w:rPr>
          <w:i/>
        </w:rPr>
        <w:t>patterns of gambling behaviour that compromise, disrupt or damage health, personal, family or vocational pursuits</w:t>
      </w:r>
      <w:r>
        <w:rPr>
          <w:i/>
        </w:rPr>
        <w:t xml:space="preserve"> </w:t>
      </w:r>
      <w:r>
        <w:t xml:space="preserve">(p 11).  Pathological gamblers are people with a gambling related </w:t>
      </w:r>
      <w:r w:rsidRPr="00F33750">
        <w:rPr>
          <w:i/>
        </w:rPr>
        <w:t xml:space="preserve">chronic or chronically relapsing mental </w:t>
      </w:r>
      <w:r>
        <w:rPr>
          <w:i/>
        </w:rPr>
        <w:t xml:space="preserve">disorder </w:t>
      </w:r>
      <w:r w:rsidRPr="00F33750">
        <w:t>(p</w:t>
      </w:r>
      <w:r>
        <w:t xml:space="preserve"> </w:t>
      </w:r>
      <w:r w:rsidRPr="00F33750">
        <w:t>12)</w:t>
      </w:r>
      <w:r w:rsidRPr="002E53D5">
        <w:t>.</w:t>
      </w:r>
      <w:r>
        <w:t xml:space="preserve">  A probable pathological gambler is someone who has not been clinically diagnosed as a pathological gambler but whose answers to survey questions indicate that are likely to be a pathological gambler.  This group (sometimes </w:t>
      </w:r>
      <w:r w:rsidR="00CB01C3">
        <w:t xml:space="preserve">misidentified </w:t>
      </w:r>
      <w:r>
        <w:t xml:space="preserve">as problem gamblers) comprised 1.3% of all gamblers at the time.  </w:t>
      </w:r>
      <w:r w:rsidR="00C343B8">
        <w:t xml:space="preserve">The </w:t>
      </w:r>
      <w:r>
        <w:t xml:space="preserve">estimate used an adaption of the earlier South Oaks Gambling Screen (SOGS) (Lesieur &amp; Blume, </w:t>
      </w:r>
      <w:r>
        <w:lastRenderedPageBreak/>
        <w:t>1987). This instrument is a risk measurement similar to the PGSI and is compared to the PGSI by Ferris</w:t>
      </w:r>
      <w:r w:rsidR="0037438E">
        <w:t xml:space="preserve"> and </w:t>
      </w:r>
      <w:r>
        <w:t xml:space="preserve">Wynne (2001). </w:t>
      </w:r>
    </w:p>
    <w:p w14:paraId="3347E5D3" w14:textId="3290E2C2" w:rsidR="007D0BC6" w:rsidRDefault="00FC07D7" w:rsidP="004C15A0">
      <w:pPr>
        <w:pStyle w:val="Heading2"/>
      </w:pPr>
      <w:bookmarkStart w:id="320" w:name="_Toc87263174"/>
      <w:r>
        <w:t>The meanings of harm minimisation and responsible gambling (RG)</w:t>
      </w:r>
      <w:bookmarkEnd w:id="320"/>
    </w:p>
    <w:p w14:paraId="03882BDA" w14:textId="47BE9678" w:rsidR="00FC07D7" w:rsidRDefault="008A6C4E" w:rsidP="00FC07D7">
      <w:pPr>
        <w:pStyle w:val="BodyText"/>
      </w:pPr>
      <w:r>
        <w:t>Gamgard</w:t>
      </w:r>
      <w:r w:rsidR="00FC07D7">
        <w:t xml:space="preserve">’s published intention according to its website is to promote both </w:t>
      </w:r>
      <w:r w:rsidR="00FC07D7" w:rsidRPr="00F33750">
        <w:rPr>
          <w:i/>
        </w:rPr>
        <w:t>harm minimisation</w:t>
      </w:r>
      <w:r w:rsidR="00FC07D7">
        <w:t xml:space="preserve"> </w:t>
      </w:r>
      <w:r w:rsidR="00FC07D7" w:rsidRPr="00F33750">
        <w:t xml:space="preserve">and </w:t>
      </w:r>
      <w:r w:rsidR="00FC07D7" w:rsidRPr="00F33750">
        <w:rPr>
          <w:i/>
        </w:rPr>
        <w:t>responsible gambling (RG)</w:t>
      </w:r>
      <w:r w:rsidR="00FC07D7">
        <w:t xml:space="preserve">. The definitions of the above terms are not universal, and they are used differently by gambling industry participants and others.  </w:t>
      </w:r>
      <w:r>
        <w:t>Gamgard</w:t>
      </w:r>
      <w:r w:rsidR="00FC07D7">
        <w:t xml:space="preserve"> works within the gambling industry and thus its use of these terms reflect usage within the industry.</w:t>
      </w:r>
    </w:p>
    <w:p w14:paraId="16C33DBD" w14:textId="7D8FACA3" w:rsidR="00FC07D7" w:rsidRDefault="00FC07D7" w:rsidP="00FC07D7">
      <w:pPr>
        <w:pStyle w:val="BodyText"/>
      </w:pPr>
      <w:r>
        <w:t xml:space="preserve">Consequently, the term </w:t>
      </w:r>
      <w:r w:rsidRPr="00F33750">
        <w:rPr>
          <w:i/>
        </w:rPr>
        <w:t>harm minimisation</w:t>
      </w:r>
      <w:r>
        <w:t xml:space="preserve"> as used by </w:t>
      </w:r>
      <w:r w:rsidR="008A6C4E">
        <w:t>Gamgard</w:t>
      </w:r>
      <w:r>
        <w:t xml:space="preserve"> conforms more to a gambling industry definition of harm minimisation rather than a public health definition of harm minimisation. In the gambling industry harm minimisation generally means minimising harm without reducing overall demand. To quote Gainsbury &amp; Blaszczynski, (2012).  </w:t>
      </w:r>
    </w:p>
    <w:p w14:paraId="0D01ACBE" w14:textId="7C52992C" w:rsidR="00FC07D7" w:rsidRDefault="00FC07D7" w:rsidP="000C6935">
      <w:pPr>
        <w:pStyle w:val="Quote"/>
      </w:pPr>
      <w:r>
        <w:t>harm-minimisation strategies aim to minimise the risks associated with gambling and facilitate responsible gambling, without overtly disturbing those who gamble in a non-problematic manner (p</w:t>
      </w:r>
      <w:r w:rsidR="000E52FD">
        <w:t xml:space="preserve">. </w:t>
      </w:r>
      <w:r>
        <w:t>5).</w:t>
      </w:r>
    </w:p>
    <w:p w14:paraId="144CB8B0" w14:textId="77777777" w:rsidR="00FC07D7" w:rsidRDefault="00FC07D7" w:rsidP="00FC07D7">
      <w:pPr>
        <w:spacing w:after="180"/>
        <w:contextualSpacing/>
        <w:rPr>
          <w:sz w:val="16"/>
          <w:szCs w:val="16"/>
        </w:rPr>
      </w:pPr>
    </w:p>
    <w:p w14:paraId="5E55EC3C" w14:textId="4A060600" w:rsidR="00FC07D7" w:rsidRDefault="00FC07D7" w:rsidP="00FC07D7">
      <w:pPr>
        <w:pStyle w:val="BodyText"/>
      </w:pPr>
      <w:r>
        <w:t>In a real world setting this means trying to minimise the harm to those players who are vulnerable, in a context of continuing promotion of gambling as a legitimate pastime (</w:t>
      </w:r>
      <w:r w:rsidR="00F804E0">
        <w:t xml:space="preserve">in which it is </w:t>
      </w:r>
      <w:r>
        <w:t>engaged in moderation) by the broad population. An example of this approach is Camelot’s stated strategy</w:t>
      </w:r>
      <w:r>
        <w:rPr>
          <w:rStyle w:val="FootnoteReference"/>
        </w:rPr>
        <w:footnoteReference w:id="5"/>
      </w:r>
      <w:r>
        <w:t xml:space="preserve"> to:</w:t>
      </w:r>
    </w:p>
    <w:p w14:paraId="493431E6" w14:textId="77777777" w:rsidR="00FC07D7" w:rsidRDefault="00FC07D7" w:rsidP="000C6935">
      <w:pPr>
        <w:pStyle w:val="Quote"/>
      </w:pPr>
      <w:r w:rsidRPr="00F72BA0">
        <w:t>encourage lots of people to play National Lottery games but to individually spend relatively small amounts</w:t>
      </w:r>
    </w:p>
    <w:p w14:paraId="726B16E6" w14:textId="77777777" w:rsidR="00FC07D7" w:rsidRDefault="00FC07D7" w:rsidP="00FC07D7">
      <w:pPr>
        <w:spacing w:after="180"/>
        <w:contextualSpacing/>
      </w:pPr>
    </w:p>
    <w:p w14:paraId="115A674D" w14:textId="6420FAA6" w:rsidR="00FC07D7" w:rsidRDefault="00FC07D7" w:rsidP="000C6935">
      <w:pPr>
        <w:pStyle w:val="BodyText"/>
        <w:rPr>
          <w:i/>
        </w:rPr>
      </w:pPr>
      <w:r>
        <w:t xml:space="preserve">An industry related view of what is required for a responsible gambling environment is discussed in detail </w:t>
      </w:r>
      <w:r w:rsidR="0032268D">
        <w:t xml:space="preserve">by </w:t>
      </w:r>
      <w:r>
        <w:t>Parke et al</w:t>
      </w:r>
      <w:r w:rsidR="0032268D">
        <w:t>.</w:t>
      </w:r>
      <w:r>
        <w:t xml:space="preserve"> (2016) in a report to the UK’s Responsible Gambling Trust. </w:t>
      </w:r>
    </w:p>
    <w:p w14:paraId="4179270A" w14:textId="128DA2EE" w:rsidR="00FC07D7" w:rsidRDefault="00FC07D7" w:rsidP="000C6935">
      <w:pPr>
        <w:pStyle w:val="BodyText"/>
      </w:pPr>
      <w:r>
        <w:t xml:space="preserve">Camelot’s strategy means that while per gambler harm may reduce, collective harm may increase. Such an increase would occur if the overall increase in harm from marketing related increases in exposure to risk </w:t>
      </w:r>
      <w:r w:rsidR="00FC7E1D">
        <w:t xml:space="preserve">were to </w:t>
      </w:r>
      <w:r>
        <w:t xml:space="preserve">outweigh the impact of harm minimisation measures. </w:t>
      </w:r>
    </w:p>
    <w:p w14:paraId="0125C246" w14:textId="6EAB09C9" w:rsidR="00FC07D7" w:rsidRDefault="00FC07D7" w:rsidP="000C6935">
      <w:pPr>
        <w:pStyle w:val="BodyText"/>
        <w:rPr>
          <w:iCs/>
        </w:rPr>
      </w:pPr>
      <w:r>
        <w:t xml:space="preserve">This is different from the perspective of the health sector (Ministry of Health, 2019) which wishes to minimise collective harm as well as individual harm.  </w:t>
      </w:r>
      <w:r>
        <w:rPr>
          <w:iCs/>
        </w:rPr>
        <w:t xml:space="preserve">At present some controls on collective harm from exposure to gambling risk are contained in the Gambling Act 2003 and in the sinking lid policies of some Territorial Local Authorities on the number of Electronic Gambling Machines (EGMs), commonly called </w:t>
      </w:r>
      <w:r w:rsidRPr="00F33750">
        <w:rPr>
          <w:i/>
          <w:iCs/>
        </w:rPr>
        <w:t>pokie machines</w:t>
      </w:r>
      <w:r w:rsidR="00303BC3">
        <w:rPr>
          <w:i/>
          <w:iCs/>
        </w:rPr>
        <w:t>,</w:t>
      </w:r>
      <w:r>
        <w:rPr>
          <w:iCs/>
        </w:rPr>
        <w:t xml:space="preserve"> allowed on their territory. </w:t>
      </w:r>
    </w:p>
    <w:p w14:paraId="209AAF67" w14:textId="5EB0371C" w:rsidR="00FC07D7" w:rsidRDefault="00FC07D7" w:rsidP="000C6935">
      <w:pPr>
        <w:pStyle w:val="BodyText"/>
      </w:pPr>
      <w:r>
        <w:t xml:space="preserve">Another objective of </w:t>
      </w:r>
      <w:r w:rsidR="008A6C4E">
        <w:t>Gamgard</w:t>
      </w:r>
      <w:r>
        <w:t xml:space="preserve"> is to promote </w:t>
      </w:r>
      <w:r w:rsidRPr="00F33750">
        <w:rPr>
          <w:i/>
        </w:rPr>
        <w:t>responsible gambling</w:t>
      </w:r>
      <w:r>
        <w:t xml:space="preserve"> commonly abbreviated to RG. Its website</w:t>
      </w:r>
      <w:r>
        <w:rPr>
          <w:rStyle w:val="FootnoteReference"/>
        </w:rPr>
        <w:footnoteReference w:id="6"/>
      </w:r>
      <w:r>
        <w:t xml:space="preserve"> states that it promotes responsible gambling accompanied by the following points:</w:t>
      </w:r>
    </w:p>
    <w:p w14:paraId="6947D031" w14:textId="77777777" w:rsidR="00FC07D7" w:rsidRDefault="00FC07D7" w:rsidP="00D86684">
      <w:pPr>
        <w:pStyle w:val="ListBullet"/>
      </w:pPr>
      <w:r>
        <w:t>Responsible game design is the foundation of a good responsible gaming strategy</w:t>
      </w:r>
    </w:p>
    <w:p w14:paraId="030AE1FA" w14:textId="77777777" w:rsidR="00FC07D7" w:rsidRDefault="00FC07D7" w:rsidP="00D86684">
      <w:pPr>
        <w:pStyle w:val="ListBullet"/>
      </w:pPr>
      <w:r>
        <w:t>Helps train staff to understand key responsible gaming principles</w:t>
      </w:r>
    </w:p>
    <w:p w14:paraId="538BDA7C" w14:textId="77777777" w:rsidR="00FC07D7" w:rsidRDefault="00FC07D7" w:rsidP="00D86684">
      <w:pPr>
        <w:pStyle w:val="ListBullet"/>
      </w:pPr>
      <w:r>
        <w:t>Maintains player trust and company integrity</w:t>
      </w:r>
    </w:p>
    <w:p w14:paraId="37499666" w14:textId="01CA48A8" w:rsidR="00FC07D7" w:rsidRDefault="00FC07D7" w:rsidP="00FC07D7">
      <w:pPr>
        <w:spacing w:after="180"/>
        <w:contextualSpacing/>
      </w:pPr>
      <w:r>
        <w:t xml:space="preserve">To understand the above it is instructive here to look at how the concept of responsible gambling is viewed by the main </w:t>
      </w:r>
      <w:r w:rsidR="008A6C4E">
        <w:t>Gamgard</w:t>
      </w:r>
      <w:r>
        <w:t xml:space="preserve"> developers, Wood and Griffiths, through their published work. This can be found in Wood et al</w:t>
      </w:r>
      <w:r w:rsidR="00EB3D16">
        <w:t>.</w:t>
      </w:r>
      <w:r>
        <w:t xml:space="preserve"> (2014) who quote the following definition from Blaszczynski et al</w:t>
      </w:r>
      <w:r w:rsidR="00EB3D16">
        <w:t>. (</w:t>
      </w:r>
      <w:r>
        <w:t>2004</w:t>
      </w:r>
      <w:r w:rsidR="00EB3D16">
        <w:t>):</w:t>
      </w:r>
    </w:p>
    <w:p w14:paraId="1D1B9F3F" w14:textId="77777777" w:rsidR="00FC07D7" w:rsidRDefault="00FC07D7" w:rsidP="00FC07D7">
      <w:pPr>
        <w:adjustRightInd w:val="0"/>
        <w:rPr>
          <w:i/>
        </w:rPr>
      </w:pPr>
    </w:p>
    <w:p w14:paraId="47B905B5" w14:textId="1FD291B1" w:rsidR="00FC07D7" w:rsidRPr="000C6935" w:rsidRDefault="00FC07D7" w:rsidP="000C6935">
      <w:pPr>
        <w:pStyle w:val="Quote"/>
      </w:pPr>
      <w:r w:rsidRPr="000C6935">
        <w:t>Responsible gambling refers to policies and practices designed to prevent and reduce potential harms associated with gambling; these policies and practices often incorporate a diverse range of interventions designed to promote consumer protection, community/consumer awareness and education, and access to efficacious treatment (p.</w:t>
      </w:r>
      <w:r w:rsidR="000E52FD">
        <w:t xml:space="preserve"> </w:t>
      </w:r>
      <w:r w:rsidRPr="000C6935">
        <w:t>308).</w:t>
      </w:r>
    </w:p>
    <w:p w14:paraId="201CD815" w14:textId="77777777" w:rsidR="00FC07D7" w:rsidRDefault="00FC07D7" w:rsidP="00FC07D7">
      <w:pPr>
        <w:adjustRightInd w:val="0"/>
        <w:rPr>
          <w:i/>
        </w:rPr>
      </w:pPr>
    </w:p>
    <w:p w14:paraId="0D9A639E" w14:textId="4851FE17" w:rsidR="00FC07D7" w:rsidRDefault="00FC07D7" w:rsidP="00FC07D7">
      <w:pPr>
        <w:pStyle w:val="BodyText"/>
      </w:pPr>
      <w:r>
        <w:t xml:space="preserve">Wood </w:t>
      </w:r>
      <w:r w:rsidR="00251A81">
        <w:t xml:space="preserve">et al. </w:t>
      </w:r>
      <w:r>
        <w:t xml:space="preserve">conclude from this definition that the individual is </w:t>
      </w:r>
      <w:r w:rsidRPr="00FC07D7">
        <w:rPr>
          <w:i/>
          <w:iCs/>
        </w:rPr>
        <w:t>primarily responsible for their own gambling behaviour and RG should primarily help players to help themselves with those already with a gambling problem being directed to providers of the treatment they require.</w:t>
      </w:r>
    </w:p>
    <w:p w14:paraId="61F45511" w14:textId="0C8DA6E1" w:rsidR="00FC07D7" w:rsidRDefault="00FC07D7" w:rsidP="00FC07D7">
      <w:pPr>
        <w:pStyle w:val="BodyText"/>
      </w:pPr>
      <w:r>
        <w:t xml:space="preserve">This interpretation is arguable, as it is not immediately obvious that </w:t>
      </w:r>
      <w:r w:rsidR="00251A81">
        <w:t xml:space="preserve">Wood et al.’s </w:t>
      </w:r>
      <w:r w:rsidR="00620BE5">
        <w:t xml:space="preserve">(2014) </w:t>
      </w:r>
      <w:r w:rsidR="00251A81">
        <w:t>conclusion</w:t>
      </w:r>
      <w:r w:rsidR="00001D30">
        <w:t xml:space="preserve"> </w:t>
      </w:r>
      <w:r>
        <w:t>follows from the Blaszczynski et al</w:t>
      </w:r>
      <w:r w:rsidR="00EB3D16">
        <w:t>.</w:t>
      </w:r>
      <w:r>
        <w:t xml:space="preserve"> (2004) definition.  </w:t>
      </w:r>
      <w:r w:rsidR="008A6C4E">
        <w:t>Gamgard</w:t>
      </w:r>
      <w:r>
        <w:t xml:space="preserve"> fits into this frame of reference as a tool to remove some detrimental features from a game within an RG ethos of individual player responsibility. This ethos is contentious and the subject of intense debate among gambling researchers. For instance, Thomas et al</w:t>
      </w:r>
      <w:r w:rsidR="00620BE5">
        <w:t>.</w:t>
      </w:r>
      <w:r>
        <w:t xml:space="preserve"> (2016) listed </w:t>
      </w:r>
      <w:r w:rsidR="000E0983">
        <w:t xml:space="preserve">it </w:t>
      </w:r>
      <w:r>
        <w:t>as a key contributing factor to the stigmatisation of gamblers:</w:t>
      </w:r>
    </w:p>
    <w:p w14:paraId="1ECD6D0B" w14:textId="3147CD25" w:rsidR="00FC07D7" w:rsidRPr="00F33750" w:rsidRDefault="00FC07D7" w:rsidP="000C6935">
      <w:pPr>
        <w:pStyle w:val="Quote"/>
      </w:pPr>
      <w:r w:rsidRPr="00F33750">
        <w:t>The framing of ‘problem gambling’ as an issue of ‘personal responsibility’ by dominant</w:t>
      </w:r>
      <w:r>
        <w:t xml:space="preserve"> </w:t>
      </w:r>
      <w:r w:rsidRPr="00F33750">
        <w:t>institutions such as governments and the gambling industry</w:t>
      </w:r>
      <w:r>
        <w:t xml:space="preserve"> </w:t>
      </w:r>
      <w:r w:rsidRPr="00F33750">
        <w:t>(p</w:t>
      </w:r>
      <w:r w:rsidR="000E52FD">
        <w:t>.</w:t>
      </w:r>
      <w:r w:rsidRPr="00F33750">
        <w:t xml:space="preserve"> 5)</w:t>
      </w:r>
      <w:r>
        <w:t>.</w:t>
      </w:r>
    </w:p>
    <w:p w14:paraId="49DD09D9" w14:textId="77777777" w:rsidR="00FC07D7" w:rsidRPr="00954871" w:rsidRDefault="00FC07D7" w:rsidP="00FC07D7">
      <w:pPr>
        <w:adjustRightInd w:val="0"/>
        <w:rPr>
          <w:i/>
          <w:color w:val="333333"/>
        </w:rPr>
      </w:pPr>
    </w:p>
    <w:p w14:paraId="3FCFB548" w14:textId="2D0CFB60" w:rsidR="00FC07D7" w:rsidRDefault="00FC07D7" w:rsidP="00FC07D7">
      <w:pPr>
        <w:pStyle w:val="BodyText"/>
        <w:rPr>
          <w:rFonts w:eastAsia="Calibri"/>
        </w:rPr>
      </w:pPr>
      <w:r>
        <w:t xml:space="preserve">This view of responsible gambling is also somewhat at odds with the relevant New Zealand legislation (Gambling Act 2003) which states </w:t>
      </w:r>
      <w:r w:rsidR="00EF2F59">
        <w:t xml:space="preserve"> ( Part 1 s 4 ) </w:t>
      </w:r>
      <w:r>
        <w:t xml:space="preserve">that </w:t>
      </w:r>
      <w:r w:rsidRPr="005C00B7">
        <w:t>Responsible Gambling means lawful participation in gambling that is</w:t>
      </w:r>
      <w:r w:rsidRPr="005C00B7">
        <w:rPr>
          <w:rFonts w:eastAsia="Calibri"/>
        </w:rPr>
        <w:t>:</w:t>
      </w:r>
    </w:p>
    <w:p w14:paraId="6FA93F39" w14:textId="2A95E241" w:rsidR="00FC07D7" w:rsidRDefault="00FC07D7" w:rsidP="00FC07D7">
      <w:pPr>
        <w:spacing w:after="180"/>
        <w:ind w:leftChars="567" w:left="1134"/>
        <w:contextualSpacing/>
        <w:rPr>
          <w:rFonts w:eastAsia="Calibri"/>
          <w:i/>
        </w:rPr>
      </w:pPr>
      <w:r>
        <w:rPr>
          <w:rFonts w:eastAsia="Calibri"/>
          <w:i/>
          <w:sz w:val="8"/>
          <w:szCs w:val="8"/>
        </w:rPr>
        <w:t xml:space="preserve"> </w:t>
      </w:r>
      <w:r>
        <w:rPr>
          <w:rFonts w:eastAsia="Calibri"/>
          <w:i/>
        </w:rPr>
        <w:t>(a)</w:t>
      </w:r>
      <w:r>
        <w:rPr>
          <w:rFonts w:eastAsia="Calibri"/>
          <w:i/>
        </w:rPr>
        <w:tab/>
        <w:t>Lawful, fair and honest;</w:t>
      </w:r>
    </w:p>
    <w:p w14:paraId="4AEB6D9C" w14:textId="77777777" w:rsidR="00FC07D7" w:rsidRDefault="00FC07D7" w:rsidP="00FC07D7">
      <w:pPr>
        <w:spacing w:after="180"/>
        <w:ind w:leftChars="567" w:left="1134"/>
        <w:contextualSpacing/>
        <w:rPr>
          <w:rFonts w:eastAsia="Calibri"/>
          <w:i/>
        </w:rPr>
      </w:pPr>
    </w:p>
    <w:p w14:paraId="44D8D5E9" w14:textId="77777777" w:rsidR="00FC07D7" w:rsidRDefault="00FC07D7" w:rsidP="00FC07D7">
      <w:pPr>
        <w:spacing w:after="180"/>
        <w:ind w:leftChars="567" w:left="1134"/>
        <w:contextualSpacing/>
        <w:rPr>
          <w:rFonts w:eastAsia="Calibri"/>
          <w:i/>
        </w:rPr>
      </w:pPr>
      <w:r>
        <w:rPr>
          <w:rFonts w:eastAsia="Calibri"/>
          <w:i/>
        </w:rPr>
        <w:t>(b)</w:t>
      </w:r>
      <w:r>
        <w:rPr>
          <w:rFonts w:eastAsia="Calibri"/>
          <w:i/>
        </w:rPr>
        <w:tab/>
        <w:t xml:space="preserve"> Conducted – </w:t>
      </w:r>
    </w:p>
    <w:p w14:paraId="4D93161F" w14:textId="77777777" w:rsidR="00FC07D7" w:rsidRDefault="00FC07D7" w:rsidP="00352919">
      <w:pPr>
        <w:pStyle w:val="ListParagraph"/>
        <w:numPr>
          <w:ilvl w:val="0"/>
          <w:numId w:val="9"/>
        </w:numPr>
        <w:spacing w:after="180" w:line="264" w:lineRule="auto"/>
        <w:ind w:leftChars="567" w:left="1491" w:hanging="357"/>
        <w:rPr>
          <w:rFonts w:eastAsia="Calibri"/>
          <w:i/>
        </w:rPr>
      </w:pPr>
      <w:r>
        <w:rPr>
          <w:rFonts w:eastAsia="Calibri"/>
          <w:i/>
        </w:rPr>
        <w:t xml:space="preserve">In a safe and secure environment; </w:t>
      </w:r>
    </w:p>
    <w:p w14:paraId="1EC4923C" w14:textId="076C90B0" w:rsidR="00FC07D7" w:rsidRDefault="00FC07D7" w:rsidP="00352919">
      <w:pPr>
        <w:pStyle w:val="ListParagraph"/>
        <w:numPr>
          <w:ilvl w:val="0"/>
          <w:numId w:val="9"/>
        </w:numPr>
        <w:spacing w:after="180" w:line="264" w:lineRule="auto"/>
        <w:ind w:leftChars="567" w:left="1491" w:hanging="357"/>
        <w:rPr>
          <w:rFonts w:eastAsia="Calibri"/>
          <w:i/>
        </w:rPr>
      </w:pPr>
      <w:r>
        <w:rPr>
          <w:rFonts w:eastAsia="Calibri"/>
          <w:i/>
        </w:rPr>
        <w:t xml:space="preserve">Without pressure or devices designed to encourage gambling at levels that may cause harm; and </w:t>
      </w:r>
    </w:p>
    <w:p w14:paraId="762ABBA5" w14:textId="77777777" w:rsidR="00FC07D7" w:rsidRDefault="00FC07D7" w:rsidP="00352919">
      <w:pPr>
        <w:pStyle w:val="ListParagraph"/>
        <w:numPr>
          <w:ilvl w:val="0"/>
          <w:numId w:val="9"/>
        </w:numPr>
        <w:spacing w:after="180" w:line="264" w:lineRule="auto"/>
        <w:ind w:leftChars="567" w:left="1491" w:hanging="357"/>
        <w:rPr>
          <w:rFonts w:eastAsia="Calibri"/>
          <w:i/>
        </w:rPr>
      </w:pPr>
      <w:r>
        <w:rPr>
          <w:rFonts w:eastAsia="Calibri"/>
          <w:i/>
        </w:rPr>
        <w:t xml:space="preserve">By informed participants who understand the nature of the activity and do not   participate in ways that may cause harm </w:t>
      </w:r>
    </w:p>
    <w:p w14:paraId="606D9D74" w14:textId="33765793" w:rsidR="00FC07D7" w:rsidRDefault="00EB3D16" w:rsidP="00FC07D7">
      <w:pPr>
        <w:pStyle w:val="BodyText"/>
      </w:pPr>
      <w:r>
        <w:t>The</w:t>
      </w:r>
      <w:r w:rsidR="00071167">
        <w:t xml:space="preserve"> NZ</w:t>
      </w:r>
      <w:r w:rsidR="00FC07D7" w:rsidRPr="00117DD7">
        <w:t xml:space="preserve"> </w:t>
      </w:r>
      <w:r w:rsidR="00FC07D7">
        <w:t xml:space="preserve">Department of Internal Affairs (DIA) </w:t>
      </w:r>
      <w:r>
        <w:t xml:space="preserve">views this in </w:t>
      </w:r>
      <w:r w:rsidR="00071167">
        <w:t>the</w:t>
      </w:r>
      <w:r>
        <w:t xml:space="preserve"> New Zealand context </w:t>
      </w:r>
      <w:r w:rsidR="00FC07D7">
        <w:t>as meaning:</w:t>
      </w:r>
    </w:p>
    <w:p w14:paraId="3A8404DA" w14:textId="5F864391" w:rsidR="00FC07D7" w:rsidRDefault="00FC07D7" w:rsidP="000C6935">
      <w:pPr>
        <w:pStyle w:val="Quote"/>
      </w:pPr>
      <w:r>
        <w:t>Responsible gambling is largely about gamblers’ rights, and the obligations of gambling operators. Under the Act, responsible gambling is not primarily about individual gamblers taking responsibility for their own actions</w:t>
      </w:r>
      <w:r w:rsidR="000F0A06">
        <w:t xml:space="preserve"> (2006, p. 4</w:t>
      </w:r>
      <w:r w:rsidR="00EB3D16">
        <w:t>)</w:t>
      </w:r>
      <w:r>
        <w:t>.</w:t>
      </w:r>
    </w:p>
    <w:p w14:paraId="75BAFB94" w14:textId="77777777" w:rsidR="00FC07D7" w:rsidRDefault="00FC07D7" w:rsidP="00FC07D7">
      <w:pPr>
        <w:adjustRightInd w:val="0"/>
        <w:rPr>
          <w:rFonts w:eastAsia="Calibri"/>
        </w:rPr>
      </w:pPr>
    </w:p>
    <w:p w14:paraId="21525B8C" w14:textId="515EBE70" w:rsidR="00FC07D7" w:rsidRDefault="00FC07D7" w:rsidP="00FC07D7">
      <w:pPr>
        <w:pStyle w:val="BodyText"/>
      </w:pPr>
      <w:r>
        <w:t xml:space="preserve">Such a package of measures, in the case of venues comes under the general heading of host responsibility. Host responsibility guidance for gambling venues </w:t>
      </w:r>
      <w:r w:rsidR="00235167">
        <w:t>is</w:t>
      </w:r>
      <w:r>
        <w:t xml:space="preserve"> provided in a 2005 University of Auckland report for the Ministry of Health (Tse et al</w:t>
      </w:r>
      <w:r w:rsidR="00EB3D16">
        <w:t>.</w:t>
      </w:r>
      <w:r>
        <w:t>, 2005)</w:t>
      </w:r>
      <w:r w:rsidR="00001D30">
        <w:t>. The report</w:t>
      </w:r>
      <w:r>
        <w:t xml:space="preserve"> lists the following key content areas of host responsibility for physical venues</w:t>
      </w:r>
      <w:r w:rsidR="000C6935">
        <w:t>:</w:t>
      </w:r>
    </w:p>
    <w:p w14:paraId="6F8ECA38" w14:textId="77777777" w:rsidR="00FC07D7" w:rsidRDefault="00FC07D7" w:rsidP="000C6935">
      <w:pPr>
        <w:pStyle w:val="ListBullet"/>
      </w:pPr>
      <w:r>
        <w:t xml:space="preserve">safe product: </w:t>
      </w:r>
    </w:p>
    <w:p w14:paraId="53F0C7AB" w14:textId="77777777" w:rsidR="00FC07D7" w:rsidRDefault="00FC07D7" w:rsidP="000C6935">
      <w:pPr>
        <w:pStyle w:val="ListBullet"/>
      </w:pPr>
      <w:r>
        <w:t xml:space="preserve">responsible marketing: </w:t>
      </w:r>
    </w:p>
    <w:p w14:paraId="5728D8BD" w14:textId="77777777" w:rsidR="00FC07D7" w:rsidRDefault="00FC07D7" w:rsidP="000C6935">
      <w:pPr>
        <w:pStyle w:val="ListBullet"/>
      </w:pPr>
      <w:r>
        <w:t xml:space="preserve">safe access: </w:t>
      </w:r>
    </w:p>
    <w:p w14:paraId="550FC0E5" w14:textId="77777777" w:rsidR="00FC07D7" w:rsidRDefault="00FC07D7" w:rsidP="000C6935">
      <w:pPr>
        <w:pStyle w:val="ListBullet"/>
      </w:pPr>
      <w:r>
        <w:t xml:space="preserve">informed patrons: </w:t>
      </w:r>
    </w:p>
    <w:p w14:paraId="58680328" w14:textId="77777777" w:rsidR="00FC07D7" w:rsidRDefault="00FC07D7" w:rsidP="000C6935">
      <w:pPr>
        <w:pStyle w:val="ListBullet"/>
      </w:pPr>
      <w:r>
        <w:t xml:space="preserve">responsible venue design: </w:t>
      </w:r>
    </w:p>
    <w:p w14:paraId="294DF9F0" w14:textId="77777777" w:rsidR="00FC07D7" w:rsidRDefault="00FC07D7" w:rsidP="000C6935">
      <w:pPr>
        <w:pStyle w:val="ListBullet"/>
      </w:pPr>
      <w:r>
        <w:t>responsible delivery</w:t>
      </w:r>
    </w:p>
    <w:p w14:paraId="2F7A2EF3" w14:textId="77777777" w:rsidR="00FC07D7" w:rsidRDefault="00FC07D7" w:rsidP="000C6935">
      <w:pPr>
        <w:pStyle w:val="ListBullet"/>
      </w:pPr>
      <w:r>
        <w:t xml:space="preserve">assists responsible community problem-solving: </w:t>
      </w:r>
    </w:p>
    <w:p w14:paraId="7D67F40B" w14:textId="77777777" w:rsidR="00FC07D7" w:rsidRDefault="00FC07D7" w:rsidP="000C6935">
      <w:pPr>
        <w:pStyle w:val="ListBullet"/>
      </w:pPr>
      <w:r>
        <w:t>assists responsible community planning:</w:t>
      </w:r>
    </w:p>
    <w:p w14:paraId="180A4D0C" w14:textId="754635EF" w:rsidR="00FC07D7" w:rsidRDefault="00FC07D7" w:rsidP="00FC07D7">
      <w:pPr>
        <w:pStyle w:val="BodyText"/>
      </w:pPr>
      <w:r>
        <w:t xml:space="preserve">A preliminary screening tool like </w:t>
      </w:r>
      <w:r w:rsidR="008A6C4E">
        <w:t>Gamgard</w:t>
      </w:r>
      <w:r>
        <w:t xml:space="preserve"> may represent a component of what is required to </w:t>
      </w:r>
      <w:r w:rsidR="00031554">
        <w:t>fulfil</w:t>
      </w:r>
      <w:r w:rsidR="00EB3D16">
        <w:t xml:space="preserve"> </w:t>
      </w:r>
      <w:r>
        <w:t xml:space="preserve">key content area </w:t>
      </w:r>
      <w:r w:rsidR="008E5C7B">
        <w:t>one, safe product</w:t>
      </w:r>
      <w:r>
        <w:t>. Broadly similar key content areas would logically apply to online gambling venues.</w:t>
      </w:r>
    </w:p>
    <w:p w14:paraId="4450B2D4" w14:textId="339F2226" w:rsidR="007D0BC6" w:rsidRDefault="006E03C0" w:rsidP="004C15A0">
      <w:pPr>
        <w:pStyle w:val="Heading2"/>
      </w:pPr>
      <w:bookmarkStart w:id="321" w:name="_Toc87263175"/>
      <w:r>
        <w:t>Who were/are the designers</w:t>
      </w:r>
      <w:r w:rsidR="00DC0C68">
        <w:t>?</w:t>
      </w:r>
      <w:bookmarkEnd w:id="321"/>
    </w:p>
    <w:p w14:paraId="5C3AC211" w14:textId="77777777" w:rsidR="006E03C0" w:rsidRDefault="006E03C0" w:rsidP="006E03C0">
      <w:pPr>
        <w:pStyle w:val="BodyText"/>
      </w:pPr>
      <w:r>
        <w:t>The tool was originally designed by a team based at Nottingham-Trent University, UK. The team comprised:</w:t>
      </w:r>
    </w:p>
    <w:p w14:paraId="14589CCD" w14:textId="7437F787" w:rsidR="006E03C0" w:rsidRDefault="006E03C0" w:rsidP="006E03C0">
      <w:pPr>
        <w:pStyle w:val="BodyText"/>
      </w:pPr>
      <w:r>
        <w:t xml:space="preserve">Dr Richard Wood now of GamRes, the company behind </w:t>
      </w:r>
      <w:r w:rsidR="008A6C4E">
        <w:t>Gamgard</w:t>
      </w:r>
      <w:r>
        <w:t>, Professor Mark Griffiths who is still based at Nottingham-Trent University</w:t>
      </w:r>
      <w:r w:rsidR="00743400">
        <w:t>,</w:t>
      </w:r>
      <w:r>
        <w:t xml:space="preserve"> and Dr Jonathan Parke, now a consultant.  (Griffiths, Wood and Parke, 2008).  </w:t>
      </w:r>
    </w:p>
    <w:p w14:paraId="33E55EF8" w14:textId="41B4487A" w:rsidR="006E03C0" w:rsidRDefault="006E03C0" w:rsidP="006E03C0">
      <w:pPr>
        <w:pStyle w:val="BodyText"/>
      </w:pPr>
      <w:r>
        <w:lastRenderedPageBreak/>
        <w:t>Dr Wood</w:t>
      </w:r>
      <w:r>
        <w:rPr>
          <w:rStyle w:val="FootnoteReference"/>
          <w:rFonts w:eastAsia="Calibri"/>
        </w:rPr>
        <w:footnoteReference w:id="7"/>
      </w:r>
      <w:r>
        <w:t xml:space="preserve"> is a Psychologist and has a PhD in Gambling Studies.  He was formerly </w:t>
      </w:r>
      <w:r w:rsidR="00772468">
        <w:t xml:space="preserve">a </w:t>
      </w:r>
      <w:r>
        <w:t>Senior Lecturer in Psychology, International Gaming Research Unit, Nottingham Trent University.  He is now a proprietor of GamRes</w:t>
      </w:r>
      <w:r w:rsidR="00772468">
        <w:t>,</w:t>
      </w:r>
      <w:r>
        <w:t xml:space="preserve"> the company which owns the </w:t>
      </w:r>
      <w:r w:rsidR="008A6C4E">
        <w:t>Gamgard</w:t>
      </w:r>
      <w:r>
        <w:t xml:space="preserve"> product.</w:t>
      </w:r>
    </w:p>
    <w:p w14:paraId="1E451EC7" w14:textId="6D1B17BE" w:rsidR="006E03C0" w:rsidRDefault="006E03C0" w:rsidP="006E03C0">
      <w:pPr>
        <w:pStyle w:val="BodyText"/>
      </w:pPr>
      <w:r>
        <w:t>Dr Griffiths</w:t>
      </w:r>
      <w:r>
        <w:rPr>
          <w:rStyle w:val="FootnoteReference"/>
          <w:rFonts w:eastAsia="Calibri"/>
        </w:rPr>
        <w:footnoteReference w:id="8"/>
      </w:r>
      <w:r>
        <w:t xml:space="preserve"> is a Professor of Behavioural Addiction </w:t>
      </w:r>
      <w:r w:rsidR="00772468">
        <w:t xml:space="preserve">in the Psychology Department </w:t>
      </w:r>
      <w:r>
        <w:t>and Director of the International Gaming Research Unit (IGRU)</w:t>
      </w:r>
      <w:r w:rsidR="00B4322F">
        <w:t xml:space="preserve"> at Nottingham-Trent University</w:t>
      </w:r>
    </w:p>
    <w:p w14:paraId="78A26C45" w14:textId="22134F9B" w:rsidR="006E03C0" w:rsidRDefault="006E03C0" w:rsidP="006E03C0">
      <w:pPr>
        <w:pStyle w:val="BodyText"/>
      </w:pPr>
      <w:r>
        <w:t xml:space="preserve">Dr Jonathan Parke was a Senior Lecturer at Nottingham Trent’s Psychology Department at the time of </w:t>
      </w:r>
      <w:r w:rsidR="008A6C4E">
        <w:t>Gamgard</w:t>
      </w:r>
      <w:r>
        <w:t xml:space="preserve">’s original design. Dr Parke, who appears to be no longer actively involved in </w:t>
      </w:r>
      <w:r w:rsidR="008A6C4E">
        <w:t>Gamgard</w:t>
      </w:r>
      <w:r w:rsidR="008649F5">
        <w:t>,</w:t>
      </w:r>
      <w:r>
        <w:t xml:space="preserve"> is Director of Sophro, a consultancy specialising in research and policy relating to gambling</w:t>
      </w:r>
      <w:r w:rsidR="00B50C64">
        <w:rPr>
          <w:rStyle w:val="FootnoteReference"/>
        </w:rPr>
        <w:footnoteReference w:id="9"/>
      </w:r>
    </w:p>
    <w:p w14:paraId="1C154E8A" w14:textId="59E1BB9B" w:rsidR="006E03C0" w:rsidRDefault="006E03C0" w:rsidP="006E03C0">
      <w:pPr>
        <w:pStyle w:val="BodyText"/>
      </w:pPr>
      <w:r>
        <w:t xml:space="preserve">Professor Griffiths </w:t>
      </w:r>
      <w:r w:rsidR="007A2AAC">
        <w:t xml:space="preserve">was the doctoral </w:t>
      </w:r>
      <w:r>
        <w:t>supervis</w:t>
      </w:r>
      <w:r w:rsidR="007A2AAC">
        <w:t xml:space="preserve">or </w:t>
      </w:r>
      <w:r>
        <w:t xml:space="preserve">of both Dr Wood and Dr Parke. Although the original designers were at the time employed by Nottingham Trent Psychology Department, </w:t>
      </w:r>
      <w:r w:rsidR="008A6C4E">
        <w:t>Gamgard</w:t>
      </w:r>
      <w:r>
        <w:t xml:space="preserve"> appears to have been developed by them in their private capacity. </w:t>
      </w:r>
    </w:p>
    <w:p w14:paraId="454015BD" w14:textId="3881960B" w:rsidR="007D0BC6" w:rsidRDefault="006E03C0" w:rsidP="004C15A0">
      <w:pPr>
        <w:pStyle w:val="Heading2"/>
      </w:pPr>
      <w:bookmarkStart w:id="322" w:name="_Toc87263176"/>
      <w:r>
        <w:t xml:space="preserve">The stated intended purpose/use of </w:t>
      </w:r>
      <w:r w:rsidR="008A6C4E">
        <w:t>Gamgard</w:t>
      </w:r>
      <w:bookmarkEnd w:id="322"/>
    </w:p>
    <w:p w14:paraId="55ABB237" w14:textId="6B95901D" w:rsidR="006E03C0" w:rsidRDefault="008A6C4E" w:rsidP="006E03C0">
      <w:pPr>
        <w:pStyle w:val="BodyText"/>
        <w:rPr>
          <w:shd w:val="clear" w:color="auto" w:fill="FFFFFF"/>
        </w:rPr>
      </w:pPr>
      <w:r>
        <w:t>Gamgard</w:t>
      </w:r>
      <w:r w:rsidR="006E03C0">
        <w:t xml:space="preserve">’s proprietors wish </w:t>
      </w:r>
      <w:r>
        <w:t>Gamgard</w:t>
      </w:r>
      <w:r w:rsidR="006E03C0">
        <w:t xml:space="preserve"> to be part of society’s efforts to curb the risks associated with gambling games. </w:t>
      </w:r>
      <w:r>
        <w:rPr>
          <w:shd w:val="clear" w:color="auto" w:fill="FFFFFF"/>
        </w:rPr>
        <w:t>Gamgard</w:t>
      </w:r>
      <w:r w:rsidR="006E03C0">
        <w:rPr>
          <w:shd w:val="clear" w:color="auto" w:fill="FFFFFF"/>
        </w:rPr>
        <w:t xml:space="preserve"> is not concerned directly with problem gamblers. It </w:t>
      </w:r>
      <w:r w:rsidR="00D9631E">
        <w:rPr>
          <w:shd w:val="clear" w:color="auto" w:fill="FFFFFF"/>
        </w:rPr>
        <w:t>focusses on</w:t>
      </w:r>
      <w:r w:rsidR="006E03C0">
        <w:rPr>
          <w:shd w:val="clear" w:color="auto" w:fill="FFFFFF"/>
        </w:rPr>
        <w:t xml:space="preserve">  reducing the odds of vulnerable people becoming problem gamblers in the first place. Therefore, its constituency is vulnerable gamblers who do not yet have a problem. This would equate to low risk or </w:t>
      </w:r>
      <w:r w:rsidR="00843F51">
        <w:rPr>
          <w:shd w:val="clear" w:color="auto" w:fill="FFFFFF"/>
        </w:rPr>
        <w:t xml:space="preserve">no-risk </w:t>
      </w:r>
      <w:r w:rsidR="006E03C0">
        <w:rPr>
          <w:shd w:val="clear" w:color="auto" w:fill="FFFFFF"/>
        </w:rPr>
        <w:t>under the PGSI</w:t>
      </w:r>
      <w:r w:rsidR="00843F51">
        <w:rPr>
          <w:shd w:val="clear" w:color="auto" w:fill="FFFFFF"/>
        </w:rPr>
        <w:t xml:space="preserve"> classification</w:t>
      </w:r>
      <w:r w:rsidR="006E03C0">
        <w:rPr>
          <w:shd w:val="clear" w:color="auto" w:fill="FFFFFF"/>
        </w:rPr>
        <w:t>.</w:t>
      </w:r>
    </w:p>
    <w:p w14:paraId="6A1908B2" w14:textId="63C69FE5" w:rsidR="006E03C0" w:rsidRDefault="006E03C0" w:rsidP="006E03C0">
      <w:pPr>
        <w:pStyle w:val="BodyText"/>
      </w:pPr>
      <w:r>
        <w:t xml:space="preserve">According to the </w:t>
      </w:r>
      <w:r w:rsidR="008A6C4E">
        <w:t>Gamgard</w:t>
      </w:r>
      <w:r>
        <w:t xml:space="preserve"> web site</w:t>
      </w:r>
      <w:r w:rsidR="00BB6D49">
        <w:t>:</w:t>
      </w:r>
      <w:r>
        <w:t xml:space="preserve"> </w:t>
      </w:r>
      <w:r>
        <w:rPr>
          <w:rStyle w:val="FootnoteReference"/>
        </w:rPr>
        <w:footnoteReference w:id="10"/>
      </w:r>
    </w:p>
    <w:p w14:paraId="1BD46427" w14:textId="1CCDF873" w:rsidR="006E03C0" w:rsidRDefault="008A6C4E" w:rsidP="006E03C0">
      <w:pPr>
        <w:pStyle w:val="Quote"/>
      </w:pPr>
      <w:r>
        <w:t>Gamgard</w:t>
      </w:r>
      <w:r w:rsidR="006E03C0">
        <w:t xml:space="preserve"> objectively applies psychology to game design, balancing the fun and excitement of a game with a responsible level of risk</w:t>
      </w:r>
      <w:r w:rsidR="005A1D68">
        <w:t xml:space="preserve"> (para?)</w:t>
      </w:r>
      <w:r w:rsidR="006E03C0">
        <w:t xml:space="preserve">. </w:t>
      </w:r>
    </w:p>
    <w:p w14:paraId="7E8B8B10" w14:textId="77777777" w:rsidR="005A1D68" w:rsidRPr="00843F51" w:rsidRDefault="005A1D68" w:rsidP="00FC536F"/>
    <w:p w14:paraId="75FAC486" w14:textId="1BA909E3" w:rsidR="006E03C0" w:rsidRDefault="006E03C0" w:rsidP="006E03C0">
      <w:pPr>
        <w:pStyle w:val="BodyText"/>
      </w:pPr>
      <w:r>
        <w:t xml:space="preserve">A more detailed, operational statement of </w:t>
      </w:r>
      <w:r w:rsidR="008A6C4E">
        <w:t>Gamgard</w:t>
      </w:r>
      <w:r>
        <w:t>’s purpose is provided directly by Dr Richard Wood in a PowerPoint presentation supplied to the author (Wood</w:t>
      </w:r>
      <w:r w:rsidR="00731872">
        <w:t>,</w:t>
      </w:r>
      <w:r>
        <w:t xml:space="preserve"> </w:t>
      </w:r>
      <w:r w:rsidR="00BA14C0">
        <w:t>personal communication</w:t>
      </w:r>
      <w:r w:rsidR="002743A0">
        <w:t xml:space="preserve"> </w:t>
      </w:r>
      <w:r>
        <w:t>2019, slide 4) It identifies the purpose as:</w:t>
      </w:r>
    </w:p>
    <w:p w14:paraId="5D83F1B6" w14:textId="77777777" w:rsidR="006E03C0" w:rsidRDefault="006E03C0" w:rsidP="006E03C0">
      <w:pPr>
        <w:pStyle w:val="ListBullet"/>
      </w:pPr>
      <w:r>
        <w:rPr>
          <w:lang w:val="en-GB"/>
        </w:rPr>
        <w:t xml:space="preserve">To identify how risky a new game may be for a </w:t>
      </w:r>
      <w:r>
        <w:t>‘</w:t>
      </w:r>
      <w:r>
        <w:rPr>
          <w:lang w:val="en-GB"/>
        </w:rPr>
        <w:t>vulnerable</w:t>
      </w:r>
      <w:r>
        <w:t>’</w:t>
      </w:r>
      <w:r>
        <w:rPr>
          <w:lang w:val="en-GB"/>
        </w:rPr>
        <w:t xml:space="preserve"> player</w:t>
      </w:r>
    </w:p>
    <w:p w14:paraId="29DCC60F" w14:textId="1515958A" w:rsidR="006E03C0" w:rsidRDefault="006E03C0" w:rsidP="006E03C0">
      <w:pPr>
        <w:pStyle w:val="ListBullet"/>
      </w:pPr>
      <w:r>
        <w:rPr>
          <w:lang w:val="en-GB"/>
        </w:rPr>
        <w:t>To advise on how to lower the risk of some games</w:t>
      </w:r>
    </w:p>
    <w:p w14:paraId="15A6F95B" w14:textId="77777777" w:rsidR="006E03C0" w:rsidRDefault="006E03C0" w:rsidP="006E03C0">
      <w:pPr>
        <w:pStyle w:val="ListBullet"/>
      </w:pPr>
      <w:r>
        <w:rPr>
          <w:lang w:val="en-GB"/>
        </w:rPr>
        <w:t>To pinpoint elements of a game that are most risky</w:t>
      </w:r>
    </w:p>
    <w:p w14:paraId="41B8CB9C" w14:textId="77777777" w:rsidR="006E03C0" w:rsidRDefault="006E03C0" w:rsidP="006E03C0">
      <w:pPr>
        <w:pStyle w:val="ListBullet"/>
      </w:pPr>
      <w:r>
        <w:rPr>
          <w:lang w:val="en-GB"/>
        </w:rPr>
        <w:t>To help use research findings for evidence-based practise</w:t>
      </w:r>
    </w:p>
    <w:p w14:paraId="6967F84F" w14:textId="77777777" w:rsidR="006E03C0" w:rsidRDefault="006E03C0" w:rsidP="006E03C0">
      <w:pPr>
        <w:pStyle w:val="ListBullet"/>
      </w:pPr>
      <w:r>
        <w:rPr>
          <w:lang w:val="en-GB"/>
        </w:rPr>
        <w:t>To provide a standardised objective procedure to assess all games the same way</w:t>
      </w:r>
    </w:p>
    <w:p w14:paraId="0FF8EB23" w14:textId="6733D24E" w:rsidR="0048603F" w:rsidRDefault="008A6C4E" w:rsidP="0048603F">
      <w:pPr>
        <w:pStyle w:val="BodyText"/>
      </w:pPr>
      <w:r>
        <w:t>Gamgard</w:t>
      </w:r>
      <w:r w:rsidR="006E03C0">
        <w:t xml:space="preserve"> has World Lottery Association (WLA) certification to level IV RG (Responsible Gambling) standards. The WLA is an International Gambling Industry Group.  The WLA ((www.world-lotteries.org) describes itself as a member-based organization to advance the interests of state-authorized lotteries. Its membership comprises state lottery and gaming organisations from </w:t>
      </w:r>
      <w:r w:rsidR="008450E8">
        <w:t xml:space="preserve">six </w:t>
      </w:r>
      <w:r w:rsidR="006E03C0">
        <w:t xml:space="preserve">continents. </w:t>
      </w:r>
      <w:r w:rsidR="0048603F" w:rsidRPr="00F33750">
        <w:t>According to information provided by Dr Richard Wood</w:t>
      </w:r>
      <w:r w:rsidR="0048603F">
        <w:t xml:space="preserve"> (Wood</w:t>
      </w:r>
      <w:r w:rsidR="0048603F" w:rsidRPr="00F33750">
        <w:t xml:space="preserve">, </w:t>
      </w:r>
      <w:r w:rsidR="0048603F">
        <w:t>2019), Gamgard</w:t>
      </w:r>
      <w:r w:rsidR="0048603F" w:rsidRPr="00F33750">
        <w:t xml:space="preserve"> is currently in use by state-regulated lottery/gaming companies or regulators of gambling in 35 jurisdictions world-wide including in: Austria, Australia, Italy, Norway, Sweden, Switzerland, five US states, all of Canada, Brazil, Uruguay, Poland, Hungary, UK, Ireland, New Zealand, Greece, China and Hong Kong</w:t>
      </w:r>
      <w:r w:rsidR="0048603F">
        <w:t xml:space="preserve">. </w:t>
      </w:r>
    </w:p>
    <w:p w14:paraId="4DFBB8EC" w14:textId="585ECBCE" w:rsidR="00937B9C" w:rsidRDefault="00E2512C" w:rsidP="00D546CA">
      <w:pPr>
        <w:pStyle w:val="BodyText"/>
      </w:pPr>
      <w:r>
        <w:t xml:space="preserve">It’s work </w:t>
      </w:r>
      <w:r w:rsidR="00835ADF">
        <w:t>however extends outside state-</w:t>
      </w:r>
      <w:r w:rsidR="00DB3FB7">
        <w:t>authorized</w:t>
      </w:r>
      <w:r w:rsidR="00835ADF">
        <w:t xml:space="preserve"> lotteries </w:t>
      </w:r>
      <w:r w:rsidR="00352931">
        <w:t xml:space="preserve">to </w:t>
      </w:r>
      <w:r w:rsidR="00FF0F21">
        <w:t xml:space="preserve">other types of </w:t>
      </w:r>
      <w:r w:rsidR="00D9059C">
        <w:t xml:space="preserve">gambling. According to </w:t>
      </w:r>
      <w:r w:rsidR="00126656">
        <w:t xml:space="preserve">Dr Richard Wood </w:t>
      </w:r>
      <w:r w:rsidR="0047409F">
        <w:t xml:space="preserve">Gamgard </w:t>
      </w:r>
      <w:r w:rsidR="00B219E8">
        <w:t xml:space="preserve">has </w:t>
      </w:r>
      <w:r w:rsidR="00937B9C">
        <w:t>recently undertaken several Gamgard reviews (involving hundreds of games) for online gaming companies wishing to enter the Netherlands online gaming market. The Dutch Gambling regulator requires that applicants for online gaming licences relating to the Netherlands must have a 3</w:t>
      </w:r>
      <w:r w:rsidR="00937B9C" w:rsidRPr="002957ED">
        <w:rPr>
          <w:vertAlign w:val="superscript"/>
        </w:rPr>
        <w:t>rd</w:t>
      </w:r>
      <w:r w:rsidR="00937B9C">
        <w:t xml:space="preserve"> party independently review their games and has named Gamgard as an acceptable service in that regard. Most of the games reviewed have been online casino and online slot machine style games, as well as some online </w:t>
      </w:r>
      <w:r w:rsidR="00937B9C">
        <w:lastRenderedPageBreak/>
        <w:t>sports betting. In addition, most of the Canadian provincial gaming operators that use Gamgard also offer online gaming, EGMs and physical casinos.</w:t>
      </w:r>
    </w:p>
    <w:p w14:paraId="536D41BE" w14:textId="55C2A141" w:rsidR="006E03C0" w:rsidRDefault="008450E8" w:rsidP="006E03C0">
      <w:pPr>
        <w:pStyle w:val="BodyText"/>
      </w:pPr>
      <w:r>
        <w:t xml:space="preserve">The Government of </w:t>
      </w:r>
      <w:r w:rsidR="006E03C0">
        <w:t>New Zealand has a Strategy to Prevent and Minimise Gambling Harm</w:t>
      </w:r>
      <w:r w:rsidR="008F395E">
        <w:t>.</w:t>
      </w:r>
      <w:r w:rsidR="006E03C0">
        <w:rPr>
          <w:rStyle w:val="FootnoteReference"/>
        </w:rPr>
        <w:footnoteReference w:id="11"/>
      </w:r>
      <w:r w:rsidR="006E03C0">
        <w:t xml:space="preserve"> Objective 8 of </w:t>
      </w:r>
      <w:r>
        <w:t xml:space="preserve">the </w:t>
      </w:r>
      <w:r w:rsidR="006E03C0">
        <w:t>strategy states:</w:t>
      </w:r>
    </w:p>
    <w:p w14:paraId="4577D391" w14:textId="7524F862" w:rsidR="006E03C0" w:rsidRDefault="006E03C0" w:rsidP="006E03C0">
      <w:pPr>
        <w:pStyle w:val="Quote"/>
      </w:pPr>
      <w:r>
        <w:t>Gambling environments are designed to prevent and minimise gambling harm (</w:t>
      </w:r>
      <w:r w:rsidR="00731872">
        <w:t>p.</w:t>
      </w:r>
      <w:r>
        <w:t xml:space="preserve"> 20).</w:t>
      </w:r>
    </w:p>
    <w:p w14:paraId="20FC4362" w14:textId="77777777" w:rsidR="006E03C0" w:rsidRDefault="006E03C0" w:rsidP="006E03C0">
      <w:pPr>
        <w:spacing w:after="180"/>
        <w:contextualSpacing/>
      </w:pPr>
    </w:p>
    <w:p w14:paraId="08B1DB0D" w14:textId="694D1C11" w:rsidR="006E03C0" w:rsidRDefault="006E03C0" w:rsidP="009B7D64">
      <w:pPr>
        <w:pStyle w:val="BodyText"/>
      </w:pPr>
      <w:r>
        <w:t xml:space="preserve">This can be interpreted as meaning that the original design intention of a gambling environment should be to prevent harm, but in an imperfect world, </w:t>
      </w:r>
      <w:r w:rsidR="00C80B43">
        <w:t xml:space="preserve">where </w:t>
      </w:r>
      <w:r>
        <w:t xml:space="preserve">harm occurs despite that intention, the environment should be modified by the introduction of further elements to minimise that harm. </w:t>
      </w:r>
    </w:p>
    <w:p w14:paraId="21B26A79" w14:textId="752CA23F" w:rsidR="006E03C0" w:rsidRDefault="006E03C0" w:rsidP="009B7D64">
      <w:pPr>
        <w:pStyle w:val="BodyText"/>
      </w:pPr>
      <w:r>
        <w:t xml:space="preserve">Tools like </w:t>
      </w:r>
      <w:r w:rsidR="008A6C4E">
        <w:t>Gamgard</w:t>
      </w:r>
      <w:r>
        <w:t xml:space="preserve"> fit </w:t>
      </w:r>
      <w:r w:rsidR="00DD5F29">
        <w:t xml:space="preserve">within </w:t>
      </w:r>
      <w:r>
        <w:t xml:space="preserve">this overarching objective as the nature and risk of the game being used by a gambler is part and parcel of the gambling environment.  An appropriate combination of effective tools is necessary to achieve </w:t>
      </w:r>
      <w:r w:rsidR="00DD5F29">
        <w:t xml:space="preserve">Objective </w:t>
      </w:r>
      <w:r>
        <w:t>8 of the New Zealand Strategy</w:t>
      </w:r>
      <w:r w:rsidR="00170DE6">
        <w:t>. I</w:t>
      </w:r>
      <w:r>
        <w:t xml:space="preserve">t is a joint responsibility of regulators, providers and the Ministry of Health, within the terms of the Gambling Act (2003) to ensure their contributions are effective in protecting the players. </w:t>
      </w:r>
    </w:p>
    <w:p w14:paraId="4C3D6F62" w14:textId="184C46FC" w:rsidR="006E03C0" w:rsidRDefault="006E03C0" w:rsidP="009B7D64">
      <w:pPr>
        <w:pStyle w:val="BodyText"/>
      </w:pPr>
      <w:r>
        <w:t xml:space="preserve">The philosophical basis of a product impacts on how it is developed and used. A process evaluation of </w:t>
      </w:r>
      <w:r w:rsidR="008A6C4E">
        <w:t>Gamgard</w:t>
      </w:r>
      <w:r>
        <w:t xml:space="preserve"> was carried out by Cousins (2018) for Dr Richard Wood, of GamRes, the proprietor of </w:t>
      </w:r>
      <w:r w:rsidR="008A6C4E">
        <w:t>Gamgard</w:t>
      </w:r>
      <w:r>
        <w:t xml:space="preserve"> and Professor Mark Griffiths, Nottingham-Trent University, who is also associated with </w:t>
      </w:r>
      <w:r w:rsidR="008A6C4E">
        <w:t>Gamgard</w:t>
      </w:r>
      <w:r>
        <w:t>.  Cousins, an Emeritus Professor of the University of Ottawa</w:t>
      </w:r>
      <w:r w:rsidR="00170DE6">
        <w:t>,</w:t>
      </w:r>
      <w:r>
        <w:t xml:space="preserve"> wrote the report under the auspices of that University’s Centre for Research on Educational and Community Services (CRECS). </w:t>
      </w:r>
      <w:r w:rsidR="00972C6C">
        <w:t>Cousins</w:t>
      </w:r>
      <w:r w:rsidR="002564DD">
        <w:t>’</w:t>
      </w:r>
      <w:r w:rsidR="00972C6C">
        <w:t xml:space="preserve"> report (2018)</w:t>
      </w:r>
      <w:r>
        <w:t xml:space="preserve"> is a major source of information regarding </w:t>
      </w:r>
      <w:r w:rsidR="008A6C4E">
        <w:t>Gamgard</w:t>
      </w:r>
      <w:r w:rsidR="00972C6C">
        <w:t xml:space="preserve">. </w:t>
      </w:r>
      <w:r w:rsidR="002564DD">
        <w:t>He</w:t>
      </w:r>
      <w:r>
        <w:t xml:space="preserve"> provided the following comments regarding its purpose and philosophical basis.</w:t>
      </w:r>
    </w:p>
    <w:p w14:paraId="146CB82A" w14:textId="414BF415" w:rsidR="006E03C0" w:rsidRDefault="008A6C4E" w:rsidP="009B7D64">
      <w:pPr>
        <w:pStyle w:val="Quote"/>
      </w:pPr>
      <w:r>
        <w:t>Gamgard</w:t>
      </w:r>
      <w:r w:rsidR="006E03C0">
        <w:t xml:space="preserve"> seeks to reduce risks for vulnerable players and minimise harms to problem gamblers and may therefore be principally classified as an instrument for harm reduction, with only modest interest in prevention (p. 3).</w:t>
      </w:r>
    </w:p>
    <w:p w14:paraId="577381EB" w14:textId="19DFAEDC" w:rsidR="006E03C0" w:rsidRDefault="006E03C0" w:rsidP="009B7D64">
      <w:pPr>
        <w:pStyle w:val="Quote"/>
      </w:pPr>
      <w:r>
        <w:t>It helps minimise the risk that vulnerable players will develop problems and/or limits the money they can lose by flagging risk factors associated with new and existing games and suggesting strategies to reduce risk. (p. 3)</w:t>
      </w:r>
    </w:p>
    <w:p w14:paraId="054BEB84" w14:textId="77777777" w:rsidR="006E03C0" w:rsidRDefault="006E03C0" w:rsidP="006E03C0">
      <w:pPr>
        <w:spacing w:after="80"/>
        <w:contextualSpacing/>
        <w:rPr>
          <w:i/>
        </w:rPr>
      </w:pPr>
    </w:p>
    <w:p w14:paraId="6977C430" w14:textId="77777777" w:rsidR="002F106C" w:rsidRDefault="009A0622" w:rsidP="009B7D64">
      <w:pPr>
        <w:pStyle w:val="BodyText"/>
      </w:pPr>
      <w:r>
        <w:t>T</w:t>
      </w:r>
      <w:r w:rsidR="006E03C0">
        <w:t>he</w:t>
      </w:r>
      <w:r>
        <w:t>se</w:t>
      </w:r>
      <w:r w:rsidR="006E03C0">
        <w:t xml:space="preserve"> </w:t>
      </w:r>
      <w:r w:rsidR="006E1666">
        <w:t>comments</w:t>
      </w:r>
      <w:r w:rsidR="006E03C0">
        <w:t xml:space="preserve"> indicate that </w:t>
      </w:r>
      <w:r w:rsidR="008A6C4E">
        <w:t>Gamgard</w:t>
      </w:r>
      <w:r w:rsidR="006E03C0">
        <w:t xml:space="preserve"> is a harm minimisation tool rather than a harm prevention tool. If this is so, </w:t>
      </w:r>
      <w:r w:rsidR="00126761">
        <w:t xml:space="preserve">the tool </w:t>
      </w:r>
      <w:r w:rsidR="006E03C0">
        <w:t xml:space="preserve">is relevant only to the minimisation part of the New Zealand Strategy to Prevent and Minimise Gambling Harm and additional tools would need to be used if harm prevention is to occur. </w:t>
      </w:r>
    </w:p>
    <w:p w14:paraId="647BB8E8" w14:textId="046E8243" w:rsidR="002F106C" w:rsidRDefault="00E07C08" w:rsidP="009B7D64">
      <w:pPr>
        <w:pStyle w:val="BodyText"/>
      </w:pPr>
      <w:r>
        <w:t xml:space="preserve">Dr </w:t>
      </w:r>
      <w:r w:rsidR="000619ED">
        <w:t>Richard</w:t>
      </w:r>
      <w:r>
        <w:t xml:space="preserve"> Wood, </w:t>
      </w:r>
      <w:r w:rsidR="000619ED">
        <w:t>the</w:t>
      </w:r>
      <w:r w:rsidR="006B11C2">
        <w:t xml:space="preserve"> proprie</w:t>
      </w:r>
      <w:r w:rsidR="00305B23">
        <w:t>t</w:t>
      </w:r>
      <w:r w:rsidR="00CF26CD">
        <w:t>o</w:t>
      </w:r>
      <w:r w:rsidR="006B11C2">
        <w:t xml:space="preserve">r of </w:t>
      </w:r>
      <w:r w:rsidR="00305B23">
        <w:t>Gamgard however takes a different view</w:t>
      </w:r>
      <w:r w:rsidR="00CF26CD">
        <w:t xml:space="preserve">. </w:t>
      </w:r>
    </w:p>
    <w:p w14:paraId="68FDA823" w14:textId="37E9C687" w:rsidR="00E07C08" w:rsidRPr="00D546CA" w:rsidRDefault="00E07C08" w:rsidP="009B7D64">
      <w:pPr>
        <w:pStyle w:val="BodyText"/>
        <w:rPr>
          <w:i/>
          <w:iCs/>
        </w:rPr>
      </w:pPr>
      <w:r w:rsidRPr="00D546CA">
        <w:rPr>
          <w:i/>
          <w:iCs/>
        </w:rPr>
        <w:t>Gamgard helps minimise the risk that vulnerable players will develop problems, which is a clear prevention goal. However, whether it is used for harm prevention or minimisation depends on how it is applied by the user. I contend that a tool that highlights risky elements of a game can be used to prevent harm if said elements are removed or reduced such that the game is less likely to negatively impact vulnerable players.</w:t>
      </w:r>
      <w:r w:rsidR="00844EB3">
        <w:rPr>
          <w:i/>
          <w:iCs/>
        </w:rPr>
        <w:t xml:space="preserve">  (Personal com</w:t>
      </w:r>
      <w:r w:rsidR="00892723">
        <w:rPr>
          <w:i/>
          <w:iCs/>
        </w:rPr>
        <w:t>m</w:t>
      </w:r>
      <w:r w:rsidR="00844EB3">
        <w:rPr>
          <w:i/>
          <w:iCs/>
        </w:rPr>
        <w:t>unication</w:t>
      </w:r>
      <w:r w:rsidR="005A4556">
        <w:rPr>
          <w:i/>
          <w:iCs/>
        </w:rPr>
        <w:t xml:space="preserve">, </w:t>
      </w:r>
      <w:r w:rsidR="006E6DFA">
        <w:rPr>
          <w:i/>
          <w:iCs/>
        </w:rPr>
        <w:t xml:space="preserve">Richard Wood, </w:t>
      </w:r>
      <w:r w:rsidR="005A4556">
        <w:rPr>
          <w:i/>
          <w:iCs/>
        </w:rPr>
        <w:t>2021)</w:t>
      </w:r>
    </w:p>
    <w:p w14:paraId="4C96E3F2" w14:textId="797193F0" w:rsidR="006E03C0" w:rsidRPr="00C7514B" w:rsidRDefault="006E03C0" w:rsidP="009B7D64">
      <w:pPr>
        <w:pStyle w:val="BodyText"/>
        <w:rPr>
          <w:iCs/>
        </w:rPr>
      </w:pPr>
      <w:r>
        <w:t xml:space="preserve">There is also a perception on the part of Cousins that it seeks to </w:t>
      </w:r>
      <w:r>
        <w:rPr>
          <w:i/>
        </w:rPr>
        <w:t xml:space="preserve">minimise harms to problem gamblers. </w:t>
      </w:r>
      <w:r>
        <w:rPr>
          <w:iCs/>
        </w:rPr>
        <w:t xml:space="preserve">It is important to note that minimising harm to problem gamblers is not, according to the proprietor of </w:t>
      </w:r>
      <w:r w:rsidR="008A6C4E">
        <w:rPr>
          <w:iCs/>
        </w:rPr>
        <w:t>Gamgard</w:t>
      </w:r>
      <w:r>
        <w:rPr>
          <w:iCs/>
        </w:rPr>
        <w:t xml:space="preserve">, </w:t>
      </w:r>
      <w:r w:rsidR="006E1666">
        <w:rPr>
          <w:iCs/>
        </w:rPr>
        <w:t>a focus</w:t>
      </w:r>
      <w:r>
        <w:rPr>
          <w:iCs/>
        </w:rPr>
        <w:t xml:space="preserve"> of responsible gambling.</w:t>
      </w:r>
      <w:r>
        <w:rPr>
          <w:i/>
        </w:rPr>
        <w:t xml:space="preserve"> </w:t>
      </w:r>
      <w:r w:rsidRPr="00C7514B">
        <w:rPr>
          <w:iCs/>
        </w:rPr>
        <w:t>Wood et al</w:t>
      </w:r>
      <w:r w:rsidR="00397A1F">
        <w:rPr>
          <w:iCs/>
        </w:rPr>
        <w:t>.</w:t>
      </w:r>
      <w:r w:rsidRPr="00C7514B">
        <w:rPr>
          <w:iCs/>
        </w:rPr>
        <w:t xml:space="preserve"> (2014</w:t>
      </w:r>
      <w:r w:rsidR="00B24127">
        <w:rPr>
          <w:iCs/>
        </w:rPr>
        <w:t>a</w:t>
      </w:r>
      <w:r>
        <w:rPr>
          <w:iCs/>
        </w:rPr>
        <w:t>)</w:t>
      </w:r>
      <w:r w:rsidRPr="00C7514B">
        <w:rPr>
          <w:iCs/>
        </w:rPr>
        <w:t xml:space="preserve"> state that</w:t>
      </w:r>
      <w:r>
        <w:rPr>
          <w:iCs/>
        </w:rPr>
        <w:t>:</w:t>
      </w:r>
    </w:p>
    <w:p w14:paraId="2A89CB5B" w14:textId="2A0FCC55" w:rsidR="006E03C0" w:rsidRPr="00BE5BF5" w:rsidRDefault="006E03C0" w:rsidP="009B7D64">
      <w:pPr>
        <w:pStyle w:val="Quote"/>
      </w:pPr>
      <w:r w:rsidRPr="00BE5BF5">
        <w:t>Those individuals that already have a gambling problem are not the main focus of RG (beyond being directed to a suitable treatment provider a</w:t>
      </w:r>
      <w:r w:rsidRPr="00C7514B">
        <w:t>nd/or other referral services)</w:t>
      </w:r>
      <w:r w:rsidRPr="003F1F15">
        <w:t xml:space="preserve"> </w:t>
      </w:r>
      <w:r>
        <w:t>(pg. 95)</w:t>
      </w:r>
    </w:p>
    <w:p w14:paraId="034B3981" w14:textId="77777777" w:rsidR="006E03C0" w:rsidRDefault="006E03C0" w:rsidP="006E03C0">
      <w:pPr>
        <w:spacing w:after="80"/>
        <w:contextualSpacing/>
        <w:rPr>
          <w:i/>
        </w:rPr>
      </w:pPr>
    </w:p>
    <w:p w14:paraId="77E9BC5D" w14:textId="6E239244" w:rsidR="006E03C0" w:rsidRPr="0003504E" w:rsidRDefault="006E03C0" w:rsidP="009B7D64">
      <w:pPr>
        <w:pStyle w:val="BodyText"/>
      </w:pPr>
      <w:r w:rsidRPr="00BE5BF5">
        <w:t xml:space="preserve">Another statement from Cousins (2018) is that </w:t>
      </w:r>
      <w:r w:rsidR="008A6C4E">
        <w:t>Gamgard</w:t>
      </w:r>
      <w:r w:rsidRPr="00BE5BF5">
        <w:t>:</w:t>
      </w:r>
    </w:p>
    <w:p w14:paraId="6A79279B" w14:textId="1C225893" w:rsidR="006E03C0" w:rsidRDefault="00107208" w:rsidP="009B7D64">
      <w:pPr>
        <w:pStyle w:val="Quote"/>
      </w:pPr>
      <w:r>
        <w:lastRenderedPageBreak/>
        <w:t>…</w:t>
      </w:r>
      <w:r w:rsidR="006E03C0">
        <w:t>also, minimises the chance that a company’s reputation will be tarnished by launching a game that is found to be dangerous to a significant number of players (pg. 3)</w:t>
      </w:r>
    </w:p>
    <w:p w14:paraId="44F14BF6" w14:textId="77777777" w:rsidR="006E03C0" w:rsidRDefault="006E03C0" w:rsidP="006E03C0">
      <w:pPr>
        <w:spacing w:after="180"/>
        <w:contextualSpacing/>
      </w:pPr>
    </w:p>
    <w:p w14:paraId="77FBF05C" w14:textId="3C09CE89" w:rsidR="006E03C0" w:rsidRDefault="008A6C4E" w:rsidP="009B7D64">
      <w:pPr>
        <w:pStyle w:val="BodyText"/>
      </w:pPr>
      <w:r>
        <w:t>Gamgard</w:t>
      </w:r>
      <w:r w:rsidR="00126761">
        <w:t xml:space="preserve">, </w:t>
      </w:r>
      <w:r w:rsidR="006E03C0">
        <w:t>therefore</w:t>
      </w:r>
      <w:r w:rsidR="00126761">
        <w:t>,</w:t>
      </w:r>
      <w:r w:rsidR="006E03C0">
        <w:t xml:space="preserve"> has a provider protection function as well as a player protection function. This unstated function of providing protection against reputational risk to the operator could be of concern if the primary motivation of a gambling provider to use </w:t>
      </w:r>
      <w:r>
        <w:t>Gamgard</w:t>
      </w:r>
      <w:r w:rsidR="006E03C0">
        <w:t xml:space="preserve"> was this part of its function.</w:t>
      </w:r>
    </w:p>
    <w:p w14:paraId="1740EB04" w14:textId="28207BA5" w:rsidR="006E03C0" w:rsidRDefault="009B7D64" w:rsidP="004C15A0">
      <w:pPr>
        <w:pStyle w:val="Heading2"/>
      </w:pPr>
      <w:bookmarkStart w:id="323" w:name="_Toc87263177"/>
      <w:r>
        <w:t xml:space="preserve">The actual use of </w:t>
      </w:r>
      <w:r w:rsidR="008A6C4E">
        <w:t>Gamgard</w:t>
      </w:r>
      <w:bookmarkEnd w:id="323"/>
    </w:p>
    <w:p w14:paraId="20ABB9A0" w14:textId="3CFDD0EF" w:rsidR="009B7D64" w:rsidRDefault="008A6C4E" w:rsidP="009B7D64">
      <w:pPr>
        <w:pStyle w:val="BodyText"/>
      </w:pPr>
      <w:r>
        <w:t>Gamgard</w:t>
      </w:r>
      <w:r w:rsidR="009B7D64">
        <w:t xml:space="preserve"> is used by both gambling providers and regulators (Cousins, 2018). </w:t>
      </w:r>
      <w:r w:rsidR="004753D9">
        <w:t>C</w:t>
      </w:r>
      <w:r w:rsidR="009B7D64">
        <w:t xml:space="preserve">onsequently, </w:t>
      </w:r>
      <w:r w:rsidR="004753D9">
        <w:t xml:space="preserve">it has an </w:t>
      </w:r>
      <w:r w:rsidR="009B7D64">
        <w:t xml:space="preserve">impact on game developers through their interaction with the providers and regulators. In some cases, the providers and regulators may be housed within the same agency.  It is also used directly by developers in some cases. According to Cousins (2018): </w:t>
      </w:r>
    </w:p>
    <w:p w14:paraId="5FF26F94" w14:textId="0AE47CA0" w:rsidR="009B7D64" w:rsidRPr="00BE5BF5" w:rsidRDefault="008A6C4E" w:rsidP="009B7D64">
      <w:pPr>
        <w:pStyle w:val="Quote"/>
      </w:pPr>
      <w:r>
        <w:t>Gamgard</w:t>
      </w:r>
      <w:r w:rsidR="009B7D64" w:rsidRPr="00E311CA">
        <w:t xml:space="preserve"> assessments play an RG assurance role being seen as an early detection mechanism (i.e., one source of information that is used in conjunction with other SR </w:t>
      </w:r>
      <w:r w:rsidR="009B7D64">
        <w:t xml:space="preserve">[Social Responsibility] </w:t>
      </w:r>
      <w:r w:rsidR="009B7D64" w:rsidRPr="00E311CA">
        <w:t>strategies</w:t>
      </w:r>
      <w:r w:rsidR="009B7D64">
        <w:rPr>
          <w:rFonts w:eastAsia="Calibri"/>
        </w:rPr>
        <w:t>. (pg. ii)</w:t>
      </w:r>
    </w:p>
    <w:p w14:paraId="72AF7461" w14:textId="77777777" w:rsidR="009B7D64" w:rsidRDefault="009B7D64" w:rsidP="009B7D64">
      <w:pPr>
        <w:spacing w:after="180"/>
        <w:contextualSpacing/>
        <w:rPr>
          <w:i/>
        </w:rPr>
      </w:pPr>
    </w:p>
    <w:p w14:paraId="5010917E" w14:textId="271C44DE" w:rsidR="009B7D64" w:rsidRDefault="009B7D64" w:rsidP="009B7D64">
      <w:pPr>
        <w:pStyle w:val="BodyText"/>
        <w:rPr>
          <w:rFonts w:eastAsia="Calibri"/>
        </w:rPr>
      </w:pPr>
      <w:r w:rsidRPr="00127408">
        <w:t xml:space="preserve">Therefore, </w:t>
      </w:r>
      <w:r w:rsidR="008A6C4E">
        <w:t>Gamgard</w:t>
      </w:r>
      <w:r w:rsidR="004753D9" w:rsidRPr="00127408">
        <w:t xml:space="preserve"> </w:t>
      </w:r>
      <w:r w:rsidRPr="00127408">
        <w:t xml:space="preserve">is </w:t>
      </w:r>
      <w:r>
        <w:t>intended to be a preliminary</w:t>
      </w:r>
      <w:r w:rsidRPr="00127408">
        <w:t xml:space="preserve"> screen contributing to decision making rather than a standalone decision-making tool.</w:t>
      </w:r>
      <w:r>
        <w:t xml:space="preserve"> Clients of </w:t>
      </w:r>
      <w:r w:rsidR="008A6C4E">
        <w:t>Gamgard</w:t>
      </w:r>
      <w:r>
        <w:t xml:space="preserve"> may run their own reports or have them provided by </w:t>
      </w:r>
      <w:r w:rsidR="008A6C4E">
        <w:t>Gamgard</w:t>
      </w:r>
      <w:r>
        <w:t xml:space="preserve">. </w:t>
      </w:r>
      <w:r>
        <w:rPr>
          <w:rFonts w:eastAsia="Calibri"/>
        </w:rPr>
        <w:t xml:space="preserve">Reports provided by </w:t>
      </w:r>
      <w:r w:rsidR="008A6C4E">
        <w:rPr>
          <w:rFonts w:eastAsia="Calibri"/>
        </w:rPr>
        <w:t>Gamgard</w:t>
      </w:r>
      <w:r>
        <w:rPr>
          <w:rFonts w:eastAsia="Calibri"/>
        </w:rPr>
        <w:t xml:space="preserve"> may </w:t>
      </w:r>
      <w:r w:rsidR="00B71BA0">
        <w:rPr>
          <w:rFonts w:eastAsia="Calibri"/>
        </w:rPr>
        <w:t xml:space="preserve">be accompanied </w:t>
      </w:r>
      <w:r w:rsidR="00445067">
        <w:rPr>
          <w:rFonts w:eastAsia="Calibri"/>
        </w:rPr>
        <w:t>by</w:t>
      </w:r>
      <w:r>
        <w:rPr>
          <w:rFonts w:eastAsia="Calibri"/>
        </w:rPr>
        <w:t xml:space="preserve"> supplementary information</w:t>
      </w:r>
      <w:r w:rsidR="00445067">
        <w:rPr>
          <w:rFonts w:eastAsia="Calibri"/>
        </w:rPr>
        <w:t>,</w:t>
      </w:r>
      <w:r>
        <w:rPr>
          <w:rFonts w:eastAsia="Calibri"/>
        </w:rPr>
        <w:t xml:space="preserve"> and the clients who run their own reports may integrate them with other information related to their situations. </w:t>
      </w:r>
      <w:r w:rsidR="0059723C">
        <w:rPr>
          <w:rFonts w:eastAsia="Calibri"/>
        </w:rPr>
        <w:t>Regardless of how</w:t>
      </w:r>
      <w:r>
        <w:rPr>
          <w:rFonts w:eastAsia="Calibri"/>
        </w:rPr>
        <w:t xml:space="preserve"> the reports are produced, they look the same.  </w:t>
      </w:r>
    </w:p>
    <w:p w14:paraId="72B59E1E" w14:textId="0851703A" w:rsidR="009B7D64" w:rsidRDefault="009B7D64" w:rsidP="009B7D64">
      <w:pPr>
        <w:pStyle w:val="BodyText"/>
        <w:rPr>
          <w:rFonts w:eastAsia="Calibri"/>
        </w:rPr>
      </w:pPr>
      <w:r>
        <w:rPr>
          <w:rFonts w:eastAsia="Calibri"/>
        </w:rPr>
        <w:t xml:space="preserve">The operators and regulators use </w:t>
      </w:r>
      <w:r w:rsidR="008A6C4E">
        <w:rPr>
          <w:rFonts w:eastAsia="Calibri"/>
        </w:rPr>
        <w:t>Gamgard</w:t>
      </w:r>
      <w:r>
        <w:rPr>
          <w:rFonts w:eastAsia="Calibri"/>
        </w:rPr>
        <w:t xml:space="preserve"> as a filter to remove or amend unacceptably risky games, so it is in the developers</w:t>
      </w:r>
      <w:r w:rsidR="0059723C">
        <w:rPr>
          <w:rFonts w:eastAsia="Calibri"/>
        </w:rPr>
        <w:t>’</w:t>
      </w:r>
      <w:r>
        <w:rPr>
          <w:rFonts w:eastAsia="Calibri"/>
        </w:rPr>
        <w:t xml:space="preserve"> interests to provide games with the features which will make them achieve acceptable </w:t>
      </w:r>
      <w:r w:rsidR="008A6C4E">
        <w:rPr>
          <w:rFonts w:eastAsia="Calibri"/>
        </w:rPr>
        <w:t>Gamgard</w:t>
      </w:r>
      <w:r>
        <w:rPr>
          <w:rFonts w:eastAsia="Calibri"/>
        </w:rPr>
        <w:t xml:space="preserve"> scores. What is deemed unacceptably risky depends on the standards of the operators and regulators and by its nature, </w:t>
      </w:r>
      <w:r w:rsidR="008A6C4E">
        <w:rPr>
          <w:rFonts w:eastAsia="Calibri"/>
        </w:rPr>
        <w:t>Gamgard</w:t>
      </w:r>
      <w:r>
        <w:rPr>
          <w:rFonts w:eastAsia="Calibri"/>
        </w:rPr>
        <w:t xml:space="preserve"> scores are subject to some subjectivity. In New Zealand</w:t>
      </w:r>
      <w:r w:rsidR="0059723C">
        <w:rPr>
          <w:rFonts w:eastAsia="Calibri"/>
        </w:rPr>
        <w:t>,</w:t>
      </w:r>
      <w:r>
        <w:rPr>
          <w:rFonts w:eastAsia="Calibri"/>
        </w:rPr>
        <w:t xml:space="preserve"> this would relate to the achievement of compliance with the Gambling Act 2003. The developers of </w:t>
      </w:r>
      <w:r w:rsidR="008A6C4E">
        <w:rPr>
          <w:rFonts w:eastAsia="Calibri"/>
        </w:rPr>
        <w:t>Gamgard</w:t>
      </w:r>
      <w:r>
        <w:rPr>
          <w:rFonts w:eastAsia="Calibri"/>
        </w:rPr>
        <w:t xml:space="preserve"> encourage their clients to use </w:t>
      </w:r>
      <w:r w:rsidR="00F82AE5">
        <w:rPr>
          <w:rFonts w:eastAsia="Calibri"/>
        </w:rPr>
        <w:t xml:space="preserve">the tool </w:t>
      </w:r>
      <w:r>
        <w:rPr>
          <w:rFonts w:eastAsia="Calibri"/>
        </w:rPr>
        <w:t>in conjunction with other non-product-based ways of contributing to harm minimisation.  Camelot describes</w:t>
      </w:r>
      <w:r w:rsidR="00AD289C">
        <w:rPr>
          <w:rFonts w:eastAsia="Calibri"/>
        </w:rPr>
        <w:t xml:space="preserve"> </w:t>
      </w:r>
      <w:r>
        <w:rPr>
          <w:rFonts w:eastAsia="Calibri"/>
        </w:rPr>
        <w:t>its acceptance process regarding game design thus:</w:t>
      </w:r>
    </w:p>
    <w:p w14:paraId="51652D87" w14:textId="77777777" w:rsidR="009B7D64" w:rsidRPr="00340D9D" w:rsidRDefault="009B7D64" w:rsidP="009B7D64">
      <w:pPr>
        <w:pStyle w:val="Quote"/>
      </w:pPr>
      <w:r w:rsidRPr="00340D9D">
        <w:t>When it comes to game design, we believe prevention is better than cure.</w:t>
      </w:r>
    </w:p>
    <w:p w14:paraId="1071DF22" w14:textId="36E45B8E" w:rsidR="009B7D64" w:rsidRDefault="009B7D64" w:rsidP="009B7D64">
      <w:pPr>
        <w:pStyle w:val="Quote"/>
        <w:rPr>
          <w:rFonts w:eastAsia="Calibri"/>
        </w:rPr>
      </w:pPr>
      <w:r w:rsidRPr="00BE5BF5">
        <w:t>Step 1:</w:t>
      </w:r>
      <w:r w:rsidRPr="00B74079">
        <w:t> We use GAM-GaRD to test how risky certain characteristics of a game could be for players, such as the return to player, jackpot size and sensory features.</w:t>
      </w:r>
      <w:r>
        <w:t xml:space="preserve"> </w:t>
      </w:r>
      <w:r w:rsidRPr="00BE5BF5">
        <w:rPr>
          <w:rFonts w:eastAsia="Calibri"/>
        </w:rPr>
        <w:t>(Note</w:t>
      </w:r>
      <w:r w:rsidRPr="00C90ECE">
        <w:rPr>
          <w:rFonts w:eastAsia="Calibri"/>
        </w:rPr>
        <w:t>: Sensory</w:t>
      </w:r>
      <w:r w:rsidRPr="00BE5BF5">
        <w:rPr>
          <w:rFonts w:eastAsia="Calibri"/>
        </w:rPr>
        <w:t xml:space="preserve"> features do not appear to be addressed by </w:t>
      </w:r>
      <w:r w:rsidR="008A6C4E">
        <w:rPr>
          <w:rFonts w:eastAsia="Calibri"/>
        </w:rPr>
        <w:t>Gamgard</w:t>
      </w:r>
      <w:r w:rsidRPr="00BE5BF5">
        <w:rPr>
          <w:rFonts w:eastAsia="Calibri"/>
        </w:rPr>
        <w:t>)</w:t>
      </w:r>
    </w:p>
    <w:p w14:paraId="731AD24D" w14:textId="77777777" w:rsidR="009B7D64" w:rsidRDefault="009B7D64" w:rsidP="009B7D64">
      <w:pPr>
        <w:pStyle w:val="Quote"/>
      </w:pPr>
      <w:r w:rsidRPr="00BE5BF5">
        <w:t>Step 2:</w:t>
      </w:r>
      <w:r w:rsidRPr="00B74079">
        <w:t> We investigate any risk factors identified in Step 1 to understand how they can be minimised or mitigated </w:t>
      </w:r>
    </w:p>
    <w:p w14:paraId="6702D72C" w14:textId="77777777" w:rsidR="009B7D64" w:rsidRDefault="009B7D64" w:rsidP="009B7D64">
      <w:pPr>
        <w:pStyle w:val="Quote"/>
      </w:pPr>
      <w:r w:rsidRPr="00BE5BF5">
        <w:t>Step 3</w:t>
      </w:r>
      <w:r w:rsidRPr="00B74079">
        <w:rPr>
          <w:rStyle w:val="Strong"/>
          <w:rFonts w:ascii="Georgia" w:hAnsi="Georgia" w:cs="Arial"/>
          <w:color w:val="444444"/>
          <w:sz w:val="22"/>
          <w:szCs w:val="22"/>
          <w:bdr w:val="none" w:sz="0" w:space="0" w:color="auto" w:frame="1"/>
        </w:rPr>
        <w:t>:</w:t>
      </w:r>
      <w:r w:rsidRPr="00B74079">
        <w:t> We commission expert research to give us insight into the potential impact of new games on players</w:t>
      </w:r>
    </w:p>
    <w:p w14:paraId="3748C8B4" w14:textId="184059C6" w:rsidR="009B7D64" w:rsidRDefault="009B7D64" w:rsidP="009B7D64">
      <w:pPr>
        <w:pStyle w:val="Quote"/>
      </w:pPr>
      <w:r w:rsidRPr="00BE5BF5">
        <w:t>Step 4</w:t>
      </w:r>
      <w:r w:rsidRPr="00B74079">
        <w:rPr>
          <w:rStyle w:val="Strong"/>
          <w:rFonts w:ascii="Georgia" w:hAnsi="Georgia" w:cs="Arial"/>
          <w:color w:val="444444"/>
          <w:sz w:val="22"/>
          <w:szCs w:val="22"/>
          <w:bdr w:val="none" w:sz="0" w:space="0" w:color="auto" w:frame="1"/>
        </w:rPr>
        <w:t>:</w:t>
      </w:r>
      <w:r w:rsidRPr="00B74079">
        <w:t> We analyse the results of these tools to see if a game poses a risk that’s above average</w:t>
      </w:r>
      <w:r>
        <w:rPr>
          <w:rStyle w:val="FootnoteReference"/>
          <w:rFonts w:ascii="Georgia" w:hAnsi="Georgia" w:cs="Arial"/>
          <w:color w:val="444444"/>
          <w:sz w:val="22"/>
          <w:szCs w:val="22"/>
        </w:rPr>
        <w:footnoteReference w:id="12"/>
      </w:r>
      <w:r w:rsidRPr="00B74079">
        <w:t>. If it does, we’ll take another look at the product or review other factors, such as our marketing strategy. But if we’re still not convinced, we won’t launch the game.</w:t>
      </w:r>
      <w:r w:rsidR="00AD289C">
        <w:t xml:space="preserve"> </w:t>
      </w:r>
    </w:p>
    <w:p w14:paraId="70BBEA2B" w14:textId="741361B0" w:rsidR="007D0BC6" w:rsidRDefault="007D0BC6"/>
    <w:p w14:paraId="269796B3" w14:textId="203D56B6" w:rsidR="007D0BC6" w:rsidRDefault="008A6C4E" w:rsidP="00D546CA">
      <w:pPr>
        <w:pStyle w:val="BodyText"/>
      </w:pPr>
      <w:r>
        <w:t>Gamgard</w:t>
      </w:r>
      <w:r w:rsidR="009B7D64">
        <w:t>’s main clientele are the operators of Government lotteries and associated games which are generally considered lower risk than many other games (e.g.</w:t>
      </w:r>
      <w:r w:rsidR="00D0131B">
        <w:t>,</w:t>
      </w:r>
      <w:r w:rsidR="009B7D64">
        <w:t xml:space="preserve"> EGMs).</w:t>
      </w:r>
      <w:r w:rsidR="003F4FF6">
        <w:t xml:space="preserve"> However</w:t>
      </w:r>
      <w:r w:rsidR="00F8554F">
        <w:t xml:space="preserve">, as </w:t>
      </w:r>
      <w:r w:rsidR="00777288">
        <w:t xml:space="preserve">mentioned </w:t>
      </w:r>
      <w:r w:rsidR="00F8554F">
        <w:t>earlier it does have substantial business outsi</w:t>
      </w:r>
      <w:r w:rsidR="002676F3">
        <w:t>de</w:t>
      </w:r>
      <w:r w:rsidR="00F8554F">
        <w:t xml:space="preserve"> that sec</w:t>
      </w:r>
      <w:r w:rsidR="002676F3">
        <w:t>tor dealing with higher risk games.</w:t>
      </w:r>
      <w:r w:rsidR="009B7D64">
        <w:t xml:space="preserve">  . </w:t>
      </w:r>
      <w:r w:rsidR="00471209">
        <w:t>Linkages to the gambling industry/gambling harm minimisation providers</w:t>
      </w:r>
      <w:r w:rsidR="00CF6B30">
        <w:t>.</w:t>
      </w:r>
    </w:p>
    <w:p w14:paraId="3741B243" w14:textId="0CAAB947" w:rsidR="00471209" w:rsidRDefault="00471209" w:rsidP="00471209">
      <w:pPr>
        <w:pStyle w:val="BodyText"/>
      </w:pPr>
      <w:r>
        <w:t xml:space="preserve">According to Cousins (2018) and Griffiths et al (2008) the initial design and development of </w:t>
      </w:r>
      <w:r w:rsidR="008A6C4E">
        <w:t>Gamgard</w:t>
      </w:r>
      <w:r>
        <w:t xml:space="preserve"> was commissioned in 2007 by Camelot</w:t>
      </w:r>
      <w:r w:rsidR="00D0131B">
        <w:t>,</w:t>
      </w:r>
      <w:r w:rsidRPr="00D412DD">
        <w:rPr>
          <w:vertAlign w:val="superscript"/>
        </w:rPr>
        <w:footnoteReference w:id="13"/>
      </w:r>
      <w:r>
        <w:t xml:space="preserve"> a private sector company which operates the UK’s National Lottery for the UK Government.  As noted earlier, Camelot’s strategy is to encourage wide participation but low </w:t>
      </w:r>
      <w:r>
        <w:lastRenderedPageBreak/>
        <w:t xml:space="preserve">individual expenditure. This may provide insight into what </w:t>
      </w:r>
      <w:r w:rsidR="008A6C4E">
        <w:t>Gamgard</w:t>
      </w:r>
      <w:r w:rsidR="00FF2B6C">
        <w:t>’s</w:t>
      </w:r>
      <w:r>
        <w:t xml:space="preserve"> </w:t>
      </w:r>
      <w:r w:rsidR="00FF2B6C">
        <w:t xml:space="preserve">main client </w:t>
      </w:r>
      <w:r>
        <w:t xml:space="preserve">is trying to achieve through using </w:t>
      </w:r>
      <w:r w:rsidR="008A6C4E">
        <w:t>Gamgard</w:t>
      </w:r>
      <w:r>
        <w:t xml:space="preserve"> in conjunction with other approaches.</w:t>
      </w:r>
    </w:p>
    <w:p w14:paraId="054A59C8" w14:textId="70880B2F" w:rsidR="00471209" w:rsidRDefault="00471209" w:rsidP="00471209">
      <w:pPr>
        <w:pStyle w:val="BodyText"/>
      </w:pPr>
      <w:r>
        <w:t>In common with other similar organisations</w:t>
      </w:r>
      <w:r w:rsidR="007B5B9D">
        <w:t>,</w:t>
      </w:r>
      <w:r>
        <w:t xml:space="preserve"> Camelot is not predominantly focussed on working to prevent overall harm from increasing. However, the UK Gambling Regulator, the Gambling Commission, has a National Strategy to Reduce Gambling Harms (</w:t>
      </w:r>
      <w:r w:rsidR="008440C0">
        <w:t xml:space="preserve">UK </w:t>
      </w:r>
      <w:r>
        <w:t>Gambling Commission, 2019). As a consequence of this strategy, under the Gambling Commission’s Licence Conditions and Codes of Practice</w:t>
      </w:r>
      <w:r w:rsidR="00236959">
        <w:t xml:space="preserve"> </w:t>
      </w:r>
      <w:r>
        <w:t xml:space="preserve">all operators are required to have a number of measures in place that would reduce the potential for harm (e.g., fair and transparent terms and practices, etc.). </w:t>
      </w:r>
    </w:p>
    <w:p w14:paraId="1062F572" w14:textId="6F078E9F" w:rsidR="00471209" w:rsidRDefault="00471209" w:rsidP="00471209">
      <w:pPr>
        <w:pStyle w:val="BodyText"/>
      </w:pPr>
      <w:r>
        <w:t>GamRes works in the field of gambling harm minimisation, as an industry provider, as does Nottingham Trent University</w:t>
      </w:r>
      <w:r w:rsidR="00FD79A6">
        <w:t xml:space="preserve"> as a research institution</w:t>
      </w:r>
      <w:r>
        <w:t xml:space="preserve">, so the linkages here are obvious as are the shared personnel. Obvious also are linkages to Camelot, which commissioned </w:t>
      </w:r>
      <w:r w:rsidR="008A6C4E">
        <w:t>Gamgard</w:t>
      </w:r>
      <w:r w:rsidR="001D042D">
        <w:t xml:space="preserve">’s </w:t>
      </w:r>
      <w:r>
        <w:t xml:space="preserve">initial development and continues to use it. </w:t>
      </w:r>
      <w:r w:rsidR="008A6C4E">
        <w:t>Gamgard</w:t>
      </w:r>
      <w:r>
        <w:t xml:space="preserve"> is obviously linked to its gambling provider clients, its gambling regulator </w:t>
      </w:r>
      <w:r w:rsidR="001D042D">
        <w:t>clients,</w:t>
      </w:r>
      <w:r>
        <w:t xml:space="preserve"> and its certifier</w:t>
      </w:r>
      <w:r w:rsidR="001D042D">
        <w:t>,</w:t>
      </w:r>
      <w:r>
        <w:t xml:space="preserve"> the WLA.</w:t>
      </w:r>
    </w:p>
    <w:p w14:paraId="1ADC03A1" w14:textId="63CAAFF0" w:rsidR="00471209" w:rsidRDefault="00471209" w:rsidP="00471209">
      <w:pPr>
        <w:pStyle w:val="BodyText"/>
      </w:pPr>
      <w:r>
        <w:t>Cousins</w:t>
      </w:r>
      <w:r w:rsidR="001D042D">
        <w:t xml:space="preserve"> (</w:t>
      </w:r>
      <w:r>
        <w:t>2018</w:t>
      </w:r>
      <w:r w:rsidR="001D042D">
        <w:t>)</w:t>
      </w:r>
      <w:r>
        <w:t xml:space="preserve"> interviewed 12 organisations in Europe Australasia and Canada in his evaluation</w:t>
      </w:r>
      <w:r w:rsidR="001D042D">
        <w:t xml:space="preserve"> of </w:t>
      </w:r>
      <w:r w:rsidR="008A6C4E">
        <w:t>Gamgard</w:t>
      </w:r>
      <w:r>
        <w:t xml:space="preserve">. These included two regulators with the remainder </w:t>
      </w:r>
      <w:r w:rsidR="00EB2860">
        <w:t xml:space="preserve">being </w:t>
      </w:r>
      <w:r>
        <w:t xml:space="preserve">developers and/ or operators. The regulators were invited to participate because at least some operators within their jurisdiction were using </w:t>
      </w:r>
      <w:r w:rsidR="008A6C4E">
        <w:t>Gamgard</w:t>
      </w:r>
      <w:r>
        <w:t xml:space="preserve">. The operators </w:t>
      </w:r>
      <w:r w:rsidR="00EB2860">
        <w:t xml:space="preserve">represented </w:t>
      </w:r>
      <w:r>
        <w:t xml:space="preserve">a mixture of private sector companies reporting to state regulators and others were government owned corporations or entities. </w:t>
      </w:r>
      <w:r w:rsidR="008A6C4E">
        <w:t>Gamgard</w:t>
      </w:r>
      <w:r w:rsidR="00151B4A">
        <w:t xml:space="preserve">’s developer clients </w:t>
      </w:r>
      <w:r>
        <w:t>would appear to be state owned lottery/ gaming organisation</w:t>
      </w:r>
      <w:r w:rsidR="004D401B">
        <w:t>s</w:t>
      </w:r>
      <w:r>
        <w:t xml:space="preserve"> who develop their own games. </w:t>
      </w:r>
      <w:r w:rsidR="008A6C4E">
        <w:t>Gamgard</w:t>
      </w:r>
      <w:r>
        <w:t xml:space="preserve">’s view of harm minimisation means it stops short of interaction with gambling treatment providers apart from referring </w:t>
      </w:r>
      <w:r w:rsidR="004D401B">
        <w:t xml:space="preserve">people with </w:t>
      </w:r>
      <w:r>
        <w:t xml:space="preserve">problem </w:t>
      </w:r>
      <w:r w:rsidR="004D401B">
        <w:t xml:space="preserve">gambling </w:t>
      </w:r>
      <w:r>
        <w:t>to them.</w:t>
      </w:r>
    </w:p>
    <w:p w14:paraId="31D9ABE5" w14:textId="609F7A61" w:rsidR="00471209" w:rsidRDefault="00471209" w:rsidP="00471209">
      <w:pPr>
        <w:pStyle w:val="Quote"/>
      </w:pPr>
      <w:r w:rsidRPr="007D7257">
        <w:t xml:space="preserve">Those individuals that already have a gambling problem are not the main focus of RG </w:t>
      </w:r>
      <w:r w:rsidRPr="00F33750">
        <w:t>(beyond being directed to a suitable treatment provider and/or other referral services)</w:t>
      </w:r>
      <w:r>
        <w:t xml:space="preserve"> (Wood et al</w:t>
      </w:r>
      <w:r w:rsidR="00B06025">
        <w:t>.</w:t>
      </w:r>
      <w:r>
        <w:t>, 2014</w:t>
      </w:r>
      <w:r w:rsidR="00CD1359">
        <w:t>a</w:t>
      </w:r>
      <w:r>
        <w:t xml:space="preserve">, </w:t>
      </w:r>
      <w:r w:rsidR="00B06025">
        <w:t>p</w:t>
      </w:r>
      <w:r>
        <w:t>. 3)</w:t>
      </w:r>
      <w:r w:rsidR="00B06025">
        <w:t>.</w:t>
      </w:r>
    </w:p>
    <w:p w14:paraId="646EAC78" w14:textId="05D0A479" w:rsidR="00471209" w:rsidRDefault="00471209" w:rsidP="00D86684">
      <w:pPr>
        <w:pStyle w:val="BodyText"/>
        <w:spacing w:before="240"/>
      </w:pPr>
      <w:r>
        <w:t xml:space="preserve">Thus, </w:t>
      </w:r>
      <w:r w:rsidR="008A6C4E">
        <w:t>Gamgard</w:t>
      </w:r>
      <w:r>
        <w:t xml:space="preserve"> has no direct linkages to treatment providers.</w:t>
      </w:r>
    </w:p>
    <w:p w14:paraId="7832060F" w14:textId="6126BC58" w:rsidR="00471209" w:rsidRDefault="00471209" w:rsidP="004C15A0">
      <w:pPr>
        <w:pStyle w:val="Heading2"/>
      </w:pPr>
      <w:bookmarkStart w:id="324" w:name="_Toc87263178"/>
      <w:r>
        <w:t xml:space="preserve">How does </w:t>
      </w:r>
      <w:r w:rsidR="008A6C4E">
        <w:t>Gamgard</w:t>
      </w:r>
      <w:r w:rsidR="001517FB">
        <w:t xml:space="preserve"> </w:t>
      </w:r>
      <w:r>
        <w:t>work</w:t>
      </w:r>
      <w:r w:rsidR="001517FB">
        <w:t>,</w:t>
      </w:r>
      <w:r>
        <w:t xml:space="preserve"> including its design elements</w:t>
      </w:r>
      <w:r w:rsidR="001517FB">
        <w:t>?</w:t>
      </w:r>
      <w:bookmarkEnd w:id="324"/>
    </w:p>
    <w:p w14:paraId="06368E93" w14:textId="2B370907" w:rsidR="00A67AE3" w:rsidRDefault="008A6C4E" w:rsidP="00A67AE3">
      <w:pPr>
        <w:pStyle w:val="BodyText"/>
      </w:pPr>
      <w:r>
        <w:t>Gamgard</w:t>
      </w:r>
      <w:r w:rsidR="00A67AE3">
        <w:t xml:space="preserve"> is concerned with the structural characteristics of the game being evaluated and scores a game on the responsibility of its structural characteristics in the light of expert opinion.  This section will discuss how it works</w:t>
      </w:r>
      <w:r w:rsidR="008C234A">
        <w:t>,</w:t>
      </w:r>
      <w:r w:rsidR="00A67AE3">
        <w:t xml:space="preserve"> and also consider the changes as the tool has developed from Version 1.0 in 2008 to the most recent release, Version 3.</w:t>
      </w:r>
      <w:r w:rsidR="00BF4127">
        <w:t>1</w:t>
      </w:r>
      <w:r w:rsidR="00A67AE3">
        <w:t xml:space="preserve"> in </w:t>
      </w:r>
      <w:proofErr w:type="gramStart"/>
      <w:r w:rsidR="00A67AE3">
        <w:t>20</w:t>
      </w:r>
      <w:r w:rsidR="00BF4127">
        <w:t>20.</w:t>
      </w:r>
      <w:r w:rsidR="00A67AE3">
        <w:t>.</w:t>
      </w:r>
      <w:proofErr w:type="gramEnd"/>
    </w:p>
    <w:p w14:paraId="391944A3" w14:textId="77829CF8" w:rsidR="00A67AE3" w:rsidRDefault="008A6C4E" w:rsidP="00A67AE3">
      <w:pPr>
        <w:pStyle w:val="BodyText"/>
        <w:rPr>
          <w:rFonts w:eastAsia="Calibri"/>
        </w:rPr>
      </w:pPr>
      <w:r>
        <w:rPr>
          <w:rFonts w:eastAsia="Calibri"/>
        </w:rPr>
        <w:t>Gamgard</w:t>
      </w:r>
      <w:r w:rsidR="00A67AE3">
        <w:rPr>
          <w:rFonts w:eastAsia="Calibri"/>
        </w:rPr>
        <w:t xml:space="preserve"> is a propriet</w:t>
      </w:r>
      <w:r w:rsidR="00486B22">
        <w:rPr>
          <w:rFonts w:eastAsia="Calibri"/>
        </w:rPr>
        <w:t>ar</w:t>
      </w:r>
      <w:r w:rsidR="00A67AE3">
        <w:rPr>
          <w:rFonts w:eastAsia="Calibri"/>
        </w:rPr>
        <w:t>y product, and in common with other propriet</w:t>
      </w:r>
      <w:r w:rsidR="00372B0C">
        <w:rPr>
          <w:rFonts w:eastAsia="Calibri"/>
        </w:rPr>
        <w:t>ar</w:t>
      </w:r>
      <w:r w:rsidR="00A67AE3">
        <w:rPr>
          <w:rFonts w:eastAsia="Calibri"/>
        </w:rPr>
        <w:t>y products, disclosure stops short of a rival being able to copy the product</w:t>
      </w:r>
      <w:r w:rsidR="00372B0C">
        <w:rPr>
          <w:rFonts w:eastAsia="Calibri"/>
        </w:rPr>
        <w:t>.</w:t>
      </w:r>
      <w:r w:rsidR="00A67AE3">
        <w:rPr>
          <w:rFonts w:eastAsia="Calibri"/>
        </w:rPr>
        <w:t xml:space="preserve"> </w:t>
      </w:r>
      <w:r w:rsidR="00372B0C">
        <w:rPr>
          <w:rFonts w:eastAsia="Calibri"/>
        </w:rPr>
        <w:t xml:space="preserve">Consequently, </w:t>
      </w:r>
      <w:r w:rsidR="00A67AE3">
        <w:rPr>
          <w:rFonts w:eastAsia="Calibri"/>
        </w:rPr>
        <w:t xml:space="preserve">there is some opaqueness in the detail of its approach. The questions and the weight given to their answers in arriving at a score are stated to be based on the best available evidence-based information, gleaned by structured interaction with experts. The source of confidence in the tool is based on a Delphi study carried out with 20 responsible gambling research and clinical experts. More information about the Delphi panellists will be provided in the next section. </w:t>
      </w:r>
    </w:p>
    <w:p w14:paraId="35C6F56F" w14:textId="51868251" w:rsidR="00A67AE3" w:rsidRDefault="008A6C4E" w:rsidP="00A67AE3">
      <w:pPr>
        <w:pStyle w:val="BodyText"/>
        <w:rPr>
          <w:rFonts w:eastAsia="Calibri"/>
        </w:rPr>
      </w:pPr>
      <w:r>
        <w:rPr>
          <w:rFonts w:eastAsia="Calibri"/>
        </w:rPr>
        <w:t>Gamgard</w:t>
      </w:r>
      <w:r w:rsidR="00A67AE3">
        <w:rPr>
          <w:rFonts w:eastAsia="Calibri"/>
        </w:rPr>
        <w:t xml:space="preserve"> works by applying ten game feature related risk factors to the game being </w:t>
      </w:r>
      <w:r w:rsidR="00E15E7D">
        <w:rPr>
          <w:rFonts w:eastAsia="Calibri"/>
        </w:rPr>
        <w:t>assessed</w:t>
      </w:r>
      <w:r w:rsidR="00A67AE3">
        <w:rPr>
          <w:rFonts w:eastAsia="Calibri"/>
        </w:rPr>
        <w:t xml:space="preserve">. These 10 factors were assessed as being the most important of many factors considered during the initial Delphi development process. </w:t>
      </w:r>
      <w:r w:rsidR="00A67AE3" w:rsidRPr="00F33750">
        <w:rPr>
          <w:rFonts w:eastAsia="Calibri"/>
        </w:rPr>
        <w:t>Although the list was developed through a systematic process, it has been subject to criticism</w:t>
      </w:r>
      <w:r w:rsidR="00A67AE3">
        <w:rPr>
          <w:rFonts w:eastAsia="Calibri"/>
        </w:rPr>
        <w:t xml:space="preserve"> and providers and regulators interviewed by Cousins (2018) did in some cases suggest that it could be reviewed. The severity of each risk factor, as it appears in the context of the game under scrutiny, is assessed by the answers to questions about that aspect of the game posed to the assessor. The risk factors are:</w:t>
      </w:r>
    </w:p>
    <w:p w14:paraId="2CC27C44" w14:textId="77777777" w:rsidR="00A67AE3" w:rsidRPr="00F33750" w:rsidRDefault="00A67AE3" w:rsidP="00352919">
      <w:pPr>
        <w:pStyle w:val="ListNumber"/>
        <w:numPr>
          <w:ilvl w:val="0"/>
          <w:numId w:val="24"/>
        </w:numPr>
      </w:pPr>
      <w:r w:rsidRPr="00F33750">
        <w:t>Event frequency</w:t>
      </w:r>
    </w:p>
    <w:p w14:paraId="3C26077B" w14:textId="77777777" w:rsidR="00A67AE3" w:rsidRPr="00F33750" w:rsidRDefault="00A67AE3" w:rsidP="00352919">
      <w:pPr>
        <w:pStyle w:val="ListNumber"/>
        <w:numPr>
          <w:ilvl w:val="0"/>
          <w:numId w:val="24"/>
        </w:numPr>
      </w:pPr>
      <w:r w:rsidRPr="00F33750">
        <w:t>Multigame</w:t>
      </w:r>
    </w:p>
    <w:p w14:paraId="19F9DE2A" w14:textId="77777777" w:rsidR="00A67AE3" w:rsidRPr="00F33750" w:rsidRDefault="00A67AE3" w:rsidP="00352919">
      <w:pPr>
        <w:pStyle w:val="ListNumber"/>
        <w:numPr>
          <w:ilvl w:val="0"/>
          <w:numId w:val="24"/>
        </w:numPr>
      </w:pPr>
      <w:r w:rsidRPr="00F33750">
        <w:t>Fixed/variable stake</w:t>
      </w:r>
    </w:p>
    <w:p w14:paraId="21CCBAFD" w14:textId="77777777" w:rsidR="00A67AE3" w:rsidRPr="00F33750" w:rsidRDefault="00A67AE3" w:rsidP="00352919">
      <w:pPr>
        <w:pStyle w:val="ListNumber"/>
        <w:numPr>
          <w:ilvl w:val="0"/>
          <w:numId w:val="24"/>
        </w:numPr>
      </w:pPr>
      <w:r w:rsidRPr="00F33750">
        <w:t>Prizeback</w:t>
      </w:r>
    </w:p>
    <w:p w14:paraId="462E4B8F" w14:textId="77777777" w:rsidR="00A67AE3" w:rsidRPr="00F33750" w:rsidRDefault="00A67AE3" w:rsidP="00352919">
      <w:pPr>
        <w:pStyle w:val="ListNumber"/>
        <w:numPr>
          <w:ilvl w:val="0"/>
          <w:numId w:val="24"/>
        </w:numPr>
      </w:pPr>
      <w:r w:rsidRPr="00F33750">
        <w:t>Jackpot</w:t>
      </w:r>
    </w:p>
    <w:p w14:paraId="79158A02" w14:textId="77777777" w:rsidR="00A67AE3" w:rsidRPr="00F33750" w:rsidRDefault="00A67AE3" w:rsidP="00352919">
      <w:pPr>
        <w:pStyle w:val="ListNumber"/>
        <w:numPr>
          <w:ilvl w:val="0"/>
          <w:numId w:val="24"/>
        </w:numPr>
      </w:pPr>
      <w:r w:rsidRPr="00F33750">
        <w:t>Near Win</w:t>
      </w:r>
    </w:p>
    <w:p w14:paraId="4A5C5F7E" w14:textId="77777777" w:rsidR="00A67AE3" w:rsidRPr="00F33750" w:rsidRDefault="00A67AE3" w:rsidP="00352919">
      <w:pPr>
        <w:pStyle w:val="ListNumber"/>
        <w:numPr>
          <w:ilvl w:val="0"/>
          <w:numId w:val="24"/>
        </w:numPr>
      </w:pPr>
      <w:r w:rsidRPr="00F33750">
        <w:t>Continuity</w:t>
      </w:r>
    </w:p>
    <w:p w14:paraId="54C84CD9" w14:textId="77777777" w:rsidR="00A67AE3" w:rsidRPr="00F33750" w:rsidRDefault="00A67AE3" w:rsidP="00352919">
      <w:pPr>
        <w:pStyle w:val="ListNumber"/>
        <w:numPr>
          <w:ilvl w:val="0"/>
          <w:numId w:val="24"/>
        </w:numPr>
      </w:pPr>
      <w:r w:rsidRPr="00F33750">
        <w:lastRenderedPageBreak/>
        <w:t>Accessibility</w:t>
      </w:r>
    </w:p>
    <w:p w14:paraId="23390623" w14:textId="77777777" w:rsidR="00A67AE3" w:rsidRPr="00F33750" w:rsidRDefault="00A67AE3" w:rsidP="00352919">
      <w:pPr>
        <w:pStyle w:val="ListNumber"/>
        <w:numPr>
          <w:ilvl w:val="0"/>
          <w:numId w:val="24"/>
        </w:numPr>
      </w:pPr>
      <w:r w:rsidRPr="00F33750">
        <w:t>Payment options</w:t>
      </w:r>
    </w:p>
    <w:p w14:paraId="5DAD365E" w14:textId="77777777" w:rsidR="00A67AE3" w:rsidRPr="00F33750" w:rsidRDefault="00A67AE3" w:rsidP="00352919">
      <w:pPr>
        <w:pStyle w:val="ListNumber"/>
        <w:numPr>
          <w:ilvl w:val="0"/>
          <w:numId w:val="24"/>
        </w:numPr>
      </w:pPr>
      <w:r w:rsidRPr="00F33750">
        <w:t>Illusions of control</w:t>
      </w:r>
    </w:p>
    <w:p w14:paraId="590BA331" w14:textId="77777777" w:rsidR="00A67AE3" w:rsidRDefault="00A67AE3" w:rsidP="00A67AE3">
      <w:pPr>
        <w:pStyle w:val="BodyText"/>
      </w:pPr>
      <w:r>
        <w:t>The answers to the questions are weighted and a score is produced in the range of 0 to 100 with the range evenly divided into 5 rating categories:</w:t>
      </w:r>
    </w:p>
    <w:p w14:paraId="2E806FFC" w14:textId="77777777" w:rsidR="00A67AE3" w:rsidRDefault="00A67AE3" w:rsidP="00D86684">
      <w:pPr>
        <w:pStyle w:val="ListBullet"/>
      </w:pPr>
      <w:r>
        <w:t>0-20- very low risk</w:t>
      </w:r>
    </w:p>
    <w:p w14:paraId="1054E094" w14:textId="77777777" w:rsidR="00A67AE3" w:rsidRDefault="00A67AE3" w:rsidP="00D86684">
      <w:pPr>
        <w:pStyle w:val="ListBullet"/>
      </w:pPr>
      <w:r>
        <w:t>21 -40 low risk</w:t>
      </w:r>
    </w:p>
    <w:p w14:paraId="233852ED" w14:textId="77777777" w:rsidR="00A67AE3" w:rsidRDefault="00A67AE3" w:rsidP="00D86684">
      <w:pPr>
        <w:pStyle w:val="ListBullet"/>
      </w:pPr>
      <w:r>
        <w:t>41-60 medium risk</w:t>
      </w:r>
    </w:p>
    <w:p w14:paraId="42D21AAD" w14:textId="77777777" w:rsidR="00A67AE3" w:rsidRDefault="00A67AE3" w:rsidP="00D86684">
      <w:pPr>
        <w:pStyle w:val="ListBullet"/>
      </w:pPr>
      <w:r>
        <w:t>61 – 80 high risk</w:t>
      </w:r>
    </w:p>
    <w:p w14:paraId="11562AC1" w14:textId="77777777" w:rsidR="00A67AE3" w:rsidRDefault="00A67AE3" w:rsidP="00D86684">
      <w:pPr>
        <w:pStyle w:val="ListBullet"/>
      </w:pPr>
      <w:r>
        <w:t>81-100 very high risk</w:t>
      </w:r>
    </w:p>
    <w:p w14:paraId="31B2E1AA" w14:textId="0C036104" w:rsidR="00A67AE3" w:rsidRDefault="00A67AE3" w:rsidP="00A67AE3">
      <w:pPr>
        <w:pStyle w:val="BodyText"/>
      </w:pPr>
      <w:r>
        <w:t xml:space="preserve">An example is shown in </w:t>
      </w:r>
      <w:r w:rsidR="00EA7D39">
        <w:fldChar w:fldCharType="begin"/>
      </w:r>
      <w:r w:rsidR="00EA7D39">
        <w:instrText xml:space="preserve"> REF _Ref86930281 \h </w:instrText>
      </w:r>
      <w:r w:rsidR="00EA7D39">
        <w:fldChar w:fldCharType="separate"/>
      </w:r>
      <w:r w:rsidR="00EA7D39">
        <w:t xml:space="preserve">Figure </w:t>
      </w:r>
      <w:r w:rsidR="00EA7D39">
        <w:rPr>
          <w:noProof/>
        </w:rPr>
        <w:t>2</w:t>
      </w:r>
      <w:r w:rsidR="00EA7D39">
        <w:fldChar w:fldCharType="end"/>
      </w:r>
    </w:p>
    <w:p w14:paraId="20774A16" w14:textId="125A693E" w:rsidR="008B04FC" w:rsidRDefault="008B04FC" w:rsidP="00A67AE3">
      <w:pPr>
        <w:pStyle w:val="BodyText"/>
      </w:pPr>
      <w:r>
        <w:rPr>
          <w:noProof/>
        </w:rPr>
        <w:drawing>
          <wp:inline distT="0" distB="0" distL="0" distR="0" wp14:anchorId="31843116" wp14:editId="1F1D2A8A">
            <wp:extent cx="6156960" cy="4038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60143" cy="4040688"/>
                    </a:xfrm>
                    <a:prstGeom prst="rect">
                      <a:avLst/>
                    </a:prstGeom>
                  </pic:spPr>
                </pic:pic>
              </a:graphicData>
            </a:graphic>
          </wp:inline>
        </w:drawing>
      </w:r>
    </w:p>
    <w:p w14:paraId="4C26289C" w14:textId="389A5774" w:rsidR="00985A8F" w:rsidRDefault="008F60FD" w:rsidP="008F60FD">
      <w:pPr>
        <w:pStyle w:val="Caption"/>
      </w:pPr>
      <w:bookmarkStart w:id="325" w:name="_Ref86930281"/>
      <w:bookmarkStart w:id="326" w:name="_Toc87263208"/>
      <w:r>
        <w:t xml:space="preserve">Figure </w:t>
      </w:r>
      <w:r w:rsidR="00005CFC">
        <w:fldChar w:fldCharType="begin"/>
      </w:r>
      <w:r w:rsidR="00005CFC">
        <w:instrText xml:space="preserve"> SEQ Figure \* ARABIC </w:instrText>
      </w:r>
      <w:r w:rsidR="00005CFC">
        <w:fldChar w:fldCharType="separate"/>
      </w:r>
      <w:r>
        <w:rPr>
          <w:noProof/>
        </w:rPr>
        <w:t>2</w:t>
      </w:r>
      <w:r w:rsidR="00005CFC">
        <w:rPr>
          <w:noProof/>
        </w:rPr>
        <w:fldChar w:fldCharType="end"/>
      </w:r>
      <w:bookmarkEnd w:id="325"/>
      <w:r>
        <w:t>: Example of a Gamgard risk wheel.</w:t>
      </w:r>
      <w:r w:rsidR="00E24FC1">
        <w:t xml:space="preserve"> </w:t>
      </w:r>
      <w:r>
        <w:t xml:space="preserve">Supplied by </w:t>
      </w:r>
      <w:r w:rsidR="00E24FC1">
        <w:t xml:space="preserve">DR </w:t>
      </w:r>
      <w:r>
        <w:t>Richard Wood</w:t>
      </w:r>
      <w:r w:rsidR="00E24FC1">
        <w:t xml:space="preserve"> </w:t>
      </w:r>
      <w:r>
        <w:t>of Gamgard</w:t>
      </w:r>
      <w:bookmarkEnd w:id="326"/>
    </w:p>
    <w:p w14:paraId="1419BDCF" w14:textId="3A93584F" w:rsidR="004C0DA6" w:rsidRDefault="004C0DA6" w:rsidP="004C0DA6"/>
    <w:p w14:paraId="41AFABAF" w14:textId="169A3025" w:rsidR="004C0DA6" w:rsidRDefault="004C0DA6" w:rsidP="004C0DA6">
      <w:r>
        <w:t>Gamgard describes the risk wheel thus:</w:t>
      </w:r>
    </w:p>
    <w:p w14:paraId="3435AC73" w14:textId="0A257A51" w:rsidR="004C0DA6" w:rsidRDefault="004C0DA6" w:rsidP="004C0DA6"/>
    <w:p w14:paraId="5AD2344A" w14:textId="33E9CE6F" w:rsidR="004C0DA6" w:rsidRPr="00D546CA" w:rsidRDefault="004C0DA6" w:rsidP="004C0DA6">
      <w:pPr>
        <w:rPr>
          <w:i/>
          <w:iCs/>
        </w:rPr>
      </w:pPr>
      <w:r w:rsidRPr="00D546CA">
        <w:rPr>
          <w:i/>
          <w:iCs/>
        </w:rPr>
        <w:t>The risk wheel shows how much each individual risk factor contributes to the overall risk of a game. The larger the section. the larger the influence. Green represents the lowest possible score for a risk feature. Red represents the highest. Amber represents somewhere in between the highest and lowest possible scores. Where a risk feature is absent from the risk wheel, it is scoring zero and not contributing to the overall risk of the game.</w:t>
      </w:r>
    </w:p>
    <w:p w14:paraId="2BA13D69" w14:textId="77777777" w:rsidR="004C0DA6" w:rsidRPr="00D546CA" w:rsidRDefault="004C0DA6" w:rsidP="00D546CA">
      <w:pPr>
        <w:rPr>
          <w:i/>
          <w:iCs/>
        </w:rPr>
      </w:pPr>
    </w:p>
    <w:p w14:paraId="169ADE5C" w14:textId="6E352CAB" w:rsidR="00226B81" w:rsidRDefault="00226B81" w:rsidP="00A67AE3">
      <w:pPr>
        <w:pStyle w:val="BodyText"/>
      </w:pPr>
      <w:r>
        <w:t>The assessment</w:t>
      </w:r>
      <w:r w:rsidR="004527C4">
        <w:t>s involve</w:t>
      </w:r>
      <w:r w:rsidR="00C92CEB">
        <w:t xml:space="preserve"> </w:t>
      </w:r>
      <w:r w:rsidR="004527C4">
        <w:t xml:space="preserve">comparison of the </w:t>
      </w:r>
      <w:r w:rsidR="008D404A">
        <w:t xml:space="preserve">scores of the game </w:t>
      </w:r>
      <w:r w:rsidR="008C67CA">
        <w:t>with a benchmark database of scores</w:t>
      </w:r>
      <w:r w:rsidR="00B32941">
        <w:t>. The benchmarks used are shown</w:t>
      </w:r>
      <w:r w:rsidR="00E6565E">
        <w:t xml:space="preserve"> </w:t>
      </w:r>
      <w:r w:rsidR="007459DC">
        <w:t>in</w:t>
      </w:r>
      <w:r w:rsidR="00FB25DE">
        <w:t xml:space="preserve"> </w:t>
      </w:r>
      <w:r w:rsidR="00FB1721">
        <w:fldChar w:fldCharType="begin"/>
      </w:r>
      <w:r w:rsidR="00FB1721">
        <w:instrText xml:space="preserve"> REF _Ref86928893 \h </w:instrText>
      </w:r>
      <w:r w:rsidR="00FB1721">
        <w:fldChar w:fldCharType="separate"/>
      </w:r>
      <w:r w:rsidR="002C4F53">
        <w:t xml:space="preserve">Figure </w:t>
      </w:r>
      <w:r w:rsidR="002C4F53">
        <w:rPr>
          <w:noProof/>
        </w:rPr>
        <w:t>3</w:t>
      </w:r>
      <w:r w:rsidR="00FB1721">
        <w:fldChar w:fldCharType="end"/>
      </w:r>
      <w:r w:rsidR="007459DC">
        <w:t xml:space="preserve"> </w:t>
      </w:r>
      <w:r w:rsidR="00077B13">
        <w:t>:</w:t>
      </w:r>
    </w:p>
    <w:p w14:paraId="1FC9B8B3" w14:textId="5F226053" w:rsidR="00077B13" w:rsidRDefault="00077B13" w:rsidP="00A67AE3">
      <w:pPr>
        <w:pStyle w:val="BodyText"/>
      </w:pPr>
      <w:r>
        <w:rPr>
          <w:noProof/>
        </w:rPr>
        <w:lastRenderedPageBreak/>
        <w:drawing>
          <wp:inline distT="0" distB="0" distL="0" distR="0" wp14:anchorId="009F0C48" wp14:editId="394D5C07">
            <wp:extent cx="5270444" cy="3762375"/>
            <wp:effectExtent l="0" t="0" r="6985" b="0"/>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email&#10;&#10;Description automatically generated"/>
                    <pic:cNvPicPr/>
                  </pic:nvPicPr>
                  <pic:blipFill>
                    <a:blip r:embed="rId19"/>
                    <a:stretch>
                      <a:fillRect/>
                    </a:stretch>
                  </pic:blipFill>
                  <pic:spPr>
                    <a:xfrm>
                      <a:off x="0" y="0"/>
                      <a:ext cx="5352261" cy="3820781"/>
                    </a:xfrm>
                    <a:prstGeom prst="rect">
                      <a:avLst/>
                    </a:prstGeom>
                  </pic:spPr>
                </pic:pic>
              </a:graphicData>
            </a:graphic>
          </wp:inline>
        </w:drawing>
      </w:r>
    </w:p>
    <w:p w14:paraId="44D64650" w14:textId="409D6550" w:rsidR="00077B13" w:rsidRDefault="000E1CF5" w:rsidP="00D546CA">
      <w:pPr>
        <w:pStyle w:val="Caption"/>
      </w:pPr>
      <w:bookmarkStart w:id="327" w:name="_Ref86928893"/>
      <w:bookmarkStart w:id="328" w:name="_Toc87263209"/>
      <w:r>
        <w:t xml:space="preserve">Figure </w:t>
      </w:r>
      <w:r w:rsidR="00005CFC">
        <w:fldChar w:fldCharType="begin"/>
      </w:r>
      <w:r w:rsidR="00005CFC">
        <w:instrText xml:space="preserve"> SEQ Figure \* ARABIC </w:instrText>
      </w:r>
      <w:r w:rsidR="00005CFC">
        <w:fldChar w:fldCharType="separate"/>
      </w:r>
      <w:r w:rsidR="008F60FD">
        <w:rPr>
          <w:noProof/>
        </w:rPr>
        <w:t>3</w:t>
      </w:r>
      <w:r w:rsidR="00005CFC">
        <w:rPr>
          <w:noProof/>
        </w:rPr>
        <w:fldChar w:fldCharType="end"/>
      </w:r>
      <w:bookmarkEnd w:id="327"/>
      <w:r>
        <w:t>:Gamgard assessment benchmarks</w:t>
      </w:r>
      <w:r w:rsidR="000B0B92">
        <w:t xml:space="preserve"> (Supplied by Dr Richard Wood </w:t>
      </w:r>
      <w:r w:rsidR="00491888">
        <w:t>of Gamgard.</w:t>
      </w:r>
      <w:bookmarkEnd w:id="328"/>
    </w:p>
    <w:p w14:paraId="1CC39153" w14:textId="30423013" w:rsidR="00A67AE3" w:rsidRDefault="00A67AE3" w:rsidP="00A67AE3">
      <w:pPr>
        <w:pStyle w:val="BodyText"/>
        <w:rPr>
          <w:rFonts w:eastAsia="Calibri"/>
        </w:rPr>
      </w:pPr>
      <w:r>
        <w:rPr>
          <w:rFonts w:eastAsia="Calibri"/>
        </w:rPr>
        <w:t xml:space="preserve">There is no </w:t>
      </w:r>
      <w:r w:rsidR="0065403C">
        <w:rPr>
          <w:rFonts w:eastAsia="Calibri"/>
        </w:rPr>
        <w:t>bottom-line</w:t>
      </w:r>
      <w:r>
        <w:rPr>
          <w:rFonts w:eastAsia="Calibri"/>
        </w:rPr>
        <w:t xml:space="preserve"> score for any of the risk factors above which the game must be rejected or amended. </w:t>
      </w:r>
      <w:r w:rsidR="008A6C4E">
        <w:t>Gamgard</w:t>
      </w:r>
      <w:r>
        <w:t xml:space="preserve"> provides each game tested with a total score, like a traffic-light rating. When a game is rated in the red or light red category, RG features can be introduced to reduce the risk rating, or the game can be rejected by stakeholders.  </w:t>
      </w:r>
      <w:r>
        <w:rPr>
          <w:rFonts w:eastAsia="Calibri"/>
        </w:rPr>
        <w:t xml:space="preserve">An example of a </w:t>
      </w:r>
      <w:r w:rsidR="008A6C4E">
        <w:rPr>
          <w:rFonts w:eastAsia="Calibri"/>
        </w:rPr>
        <w:t>Gamgard</w:t>
      </w:r>
      <w:r>
        <w:rPr>
          <w:rFonts w:eastAsia="Calibri"/>
        </w:rPr>
        <w:t xml:space="preserve"> 3.0 rating of a games is shown in Figure 2.</w:t>
      </w:r>
    </w:p>
    <w:p w14:paraId="396790CF" w14:textId="77777777" w:rsidR="00A67AE3" w:rsidRDefault="00A67AE3" w:rsidP="00A67AE3">
      <w:pPr>
        <w:pStyle w:val="BodyText"/>
        <w:keepNext/>
      </w:pPr>
      <w:r>
        <w:rPr>
          <w:noProof/>
        </w:rPr>
        <w:drawing>
          <wp:inline distT="0" distB="0" distL="0" distR="0" wp14:anchorId="3AF990A8" wp14:editId="0E1381FB">
            <wp:extent cx="5993764" cy="1457256"/>
            <wp:effectExtent l="0" t="0" r="6985" b="0"/>
            <wp:docPr id="1028" name="Picture 4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50"/>
                    <pic:cNvPicPr/>
                  </pic:nvPicPr>
                  <pic:blipFill>
                    <a:blip r:embed="rId20">
                      <a:extLst>
                        <a:ext uri="{28A0092B-C50C-407E-A947-70E740481C1C}">
                          <a14:useLocalDpi xmlns:a14="http://schemas.microsoft.com/office/drawing/2010/main" val="0"/>
                        </a:ext>
                      </a:extLst>
                    </a:blip>
                    <a:stretch>
                      <a:fillRect/>
                    </a:stretch>
                  </pic:blipFill>
                  <pic:spPr>
                    <a:xfrm>
                      <a:off x="0" y="0"/>
                      <a:ext cx="5993764" cy="1457256"/>
                    </a:xfrm>
                    <a:prstGeom prst="rect">
                      <a:avLst/>
                    </a:prstGeom>
                  </pic:spPr>
                </pic:pic>
              </a:graphicData>
            </a:graphic>
          </wp:inline>
        </w:drawing>
      </w:r>
    </w:p>
    <w:p w14:paraId="45460810" w14:textId="6DD6724F" w:rsidR="00471209" w:rsidRDefault="00A67AE3" w:rsidP="00A67AE3">
      <w:pPr>
        <w:pStyle w:val="Caption"/>
      </w:pPr>
      <w:bookmarkStart w:id="329" w:name="_Ref72401048"/>
      <w:bookmarkStart w:id="330" w:name="_Toc87263210"/>
      <w:r>
        <w:t xml:space="preserve">Figure </w:t>
      </w:r>
      <w:r>
        <w:fldChar w:fldCharType="begin"/>
      </w:r>
      <w:r>
        <w:instrText>SEQ Figure \* ARABIC</w:instrText>
      </w:r>
      <w:r>
        <w:fldChar w:fldCharType="separate"/>
      </w:r>
      <w:r w:rsidR="008F60FD">
        <w:rPr>
          <w:noProof/>
        </w:rPr>
        <w:t>4</w:t>
      </w:r>
      <w:r>
        <w:fldChar w:fldCharType="end"/>
      </w:r>
      <w:bookmarkEnd w:id="329"/>
      <w:r w:rsidR="009D0FD6">
        <w:t xml:space="preserve">. </w:t>
      </w:r>
      <w:r>
        <w:t xml:space="preserve"> An example of a </w:t>
      </w:r>
      <w:r w:rsidR="008A6C4E">
        <w:t>Gamgard</w:t>
      </w:r>
      <w:r>
        <w:t xml:space="preserve"> 3.0 </w:t>
      </w:r>
      <w:r w:rsidR="006E7369">
        <w:t xml:space="preserve">game </w:t>
      </w:r>
      <w:r>
        <w:t>rating</w:t>
      </w:r>
      <w:bookmarkEnd w:id="330"/>
    </w:p>
    <w:p w14:paraId="63EAA44C" w14:textId="67CD7062" w:rsidR="00A67AE3" w:rsidRDefault="00A67AE3" w:rsidP="00A67AE3">
      <w:pPr>
        <w:pStyle w:val="BodyText"/>
      </w:pPr>
      <w:r>
        <w:t xml:space="preserve">The tool then produces a risk wheel showing the assessed contribution of each risk factor to the game’s overall risk. Risk factors not shown on the wheel are those assessed to have zero contribution. An example risk wheel </w:t>
      </w:r>
      <w:r w:rsidR="00D97C96">
        <w:t>supplied by Dr Richard Wood</w:t>
      </w:r>
      <w:r>
        <w:t xml:space="preserve"> is shown in </w:t>
      </w:r>
      <w:r w:rsidR="00D86684">
        <w:fldChar w:fldCharType="begin"/>
      </w:r>
      <w:r w:rsidR="00D86684">
        <w:instrText xml:space="preserve"> REF _Ref72401064 \h </w:instrText>
      </w:r>
      <w:r w:rsidR="00D86684">
        <w:fldChar w:fldCharType="separate"/>
      </w:r>
      <w:r w:rsidR="00B24127">
        <w:t xml:space="preserve">Figure </w:t>
      </w:r>
      <w:r w:rsidR="00B24127">
        <w:rPr>
          <w:noProof/>
        </w:rPr>
        <w:t>3</w:t>
      </w:r>
      <w:r w:rsidR="00D86684">
        <w:fldChar w:fldCharType="end"/>
      </w:r>
      <w:r>
        <w:t>.</w:t>
      </w:r>
    </w:p>
    <w:p w14:paraId="0A817279" w14:textId="4F5D4FFE" w:rsidR="00A67AE3" w:rsidRDefault="00A67AE3" w:rsidP="00A67AE3">
      <w:pPr>
        <w:keepNext/>
        <w:spacing w:after="180"/>
        <w:contextualSpacing/>
      </w:pPr>
    </w:p>
    <w:p w14:paraId="17218697" w14:textId="28E3C975" w:rsidR="00A67AE3" w:rsidRPr="00340D9D" w:rsidRDefault="00A67AE3" w:rsidP="00A67AE3">
      <w:pPr>
        <w:pStyle w:val="Caption"/>
      </w:pPr>
      <w:bookmarkStart w:id="331" w:name="_Ref72401064"/>
      <w:bookmarkStart w:id="332" w:name="_Toc87263211"/>
      <w:r>
        <w:t xml:space="preserve">Figure </w:t>
      </w:r>
      <w:r>
        <w:fldChar w:fldCharType="begin"/>
      </w:r>
      <w:r>
        <w:instrText>SEQ Figure \* ARABIC</w:instrText>
      </w:r>
      <w:r>
        <w:fldChar w:fldCharType="separate"/>
      </w:r>
      <w:r w:rsidR="008F60FD">
        <w:rPr>
          <w:noProof/>
        </w:rPr>
        <w:t>5</w:t>
      </w:r>
      <w:r>
        <w:fldChar w:fldCharType="end"/>
      </w:r>
      <w:bookmarkEnd w:id="331"/>
      <w:r>
        <w:t xml:space="preserve">: </w:t>
      </w:r>
      <w:r w:rsidRPr="00340D9D">
        <w:t xml:space="preserve">An example of a </w:t>
      </w:r>
      <w:r w:rsidR="008A6C4E">
        <w:t>Gamgard</w:t>
      </w:r>
      <w:r w:rsidRPr="00340D9D">
        <w:t xml:space="preserve"> Risk Wheel</w:t>
      </w:r>
      <w:bookmarkEnd w:id="332"/>
    </w:p>
    <w:p w14:paraId="365F47BF" w14:textId="22274A28" w:rsidR="006B65B4" w:rsidRDefault="006B65B4" w:rsidP="00A67AE3">
      <w:pPr>
        <w:pStyle w:val="BodyText"/>
      </w:pPr>
      <w:r>
        <w:t>Source: ?</w:t>
      </w:r>
    </w:p>
    <w:p w14:paraId="127DED3A" w14:textId="476461D5" w:rsidR="00A67AE3" w:rsidRDefault="008A6C4E" w:rsidP="00A67AE3">
      <w:pPr>
        <w:pStyle w:val="BodyText"/>
      </w:pPr>
      <w:r>
        <w:t>Gamgard</w:t>
      </w:r>
      <w:r w:rsidR="00A67AE3">
        <w:t xml:space="preserve"> 3.0 improves a game’s score if the operator is using any of </w:t>
      </w:r>
      <w:r w:rsidR="005E5137">
        <w:t xml:space="preserve">four </w:t>
      </w:r>
      <w:r w:rsidR="00A67AE3">
        <w:t xml:space="preserve">specified interventions, not related to the structure of the game, which have been shown to reduce risk. These may be traded off against risky game elements to reduce </w:t>
      </w:r>
      <w:r w:rsidR="005E5137">
        <w:t xml:space="preserve">the </w:t>
      </w:r>
      <w:r w:rsidR="00A67AE3">
        <w:t>score (Cousins,</w:t>
      </w:r>
      <w:r w:rsidR="00A67AE3">
        <w:rPr>
          <w:lang w:val="en-US"/>
        </w:rPr>
        <w:t xml:space="preserve"> </w:t>
      </w:r>
      <w:r w:rsidR="00A67AE3">
        <w:t xml:space="preserve">2018). These interventions, called responsible gambling features by </w:t>
      </w:r>
      <w:r>
        <w:t>Gamgard</w:t>
      </w:r>
      <w:r w:rsidR="00A67AE3">
        <w:t xml:space="preserve"> are:</w:t>
      </w:r>
    </w:p>
    <w:p w14:paraId="04028977" w14:textId="77777777" w:rsidR="00A67AE3" w:rsidRPr="00353142" w:rsidRDefault="00A67AE3" w:rsidP="00A67AE3">
      <w:pPr>
        <w:pStyle w:val="ListBullet"/>
      </w:pPr>
      <w:r w:rsidRPr="00353142">
        <w:t>Popup reminders</w:t>
      </w:r>
    </w:p>
    <w:p w14:paraId="706040F7" w14:textId="77777777" w:rsidR="00A67AE3" w:rsidRDefault="00A67AE3" w:rsidP="00A67AE3">
      <w:pPr>
        <w:pStyle w:val="ListBullet"/>
      </w:pPr>
      <w:r>
        <w:t>Spend limits</w:t>
      </w:r>
    </w:p>
    <w:p w14:paraId="37A94069" w14:textId="77777777" w:rsidR="00A67AE3" w:rsidRDefault="00A67AE3" w:rsidP="00A67AE3">
      <w:pPr>
        <w:pStyle w:val="ListBullet"/>
      </w:pPr>
      <w:r>
        <w:lastRenderedPageBreak/>
        <w:t>Time limits</w:t>
      </w:r>
    </w:p>
    <w:p w14:paraId="7318DF92" w14:textId="77777777" w:rsidR="00A67AE3" w:rsidRDefault="00A67AE3" w:rsidP="00A67AE3">
      <w:pPr>
        <w:pStyle w:val="ListBullet"/>
      </w:pPr>
      <w:r>
        <w:t>Feedback tools</w:t>
      </w:r>
    </w:p>
    <w:p w14:paraId="1C45E5AB" w14:textId="7D8A65EE" w:rsidR="00A67AE3" w:rsidRDefault="00A67AE3" w:rsidP="00A67AE3">
      <w:pPr>
        <w:pStyle w:val="BodyText"/>
      </w:pPr>
      <w:r>
        <w:t xml:space="preserve">The number of responsible gambling features included is arbitrary and chosen on their effectiveness as judged by GamRes and its advisors. The limits considered here are voluntary as GamRes does not consider the research evidence </w:t>
      </w:r>
      <w:r w:rsidR="00330467">
        <w:t xml:space="preserve">base </w:t>
      </w:r>
      <w:r>
        <w:t xml:space="preserve">for mandatory limits adequate (Cousins, 2018). </w:t>
      </w:r>
    </w:p>
    <w:p w14:paraId="51B82337" w14:textId="4CA66DA3" w:rsidR="00A67AE3" w:rsidRDefault="00A67AE3" w:rsidP="00A67AE3">
      <w:pPr>
        <w:pStyle w:val="BodyText"/>
      </w:pPr>
      <w:r>
        <w:t xml:space="preserve">An example of </w:t>
      </w:r>
      <w:r w:rsidR="00695596">
        <w:t xml:space="preserve">how </w:t>
      </w:r>
      <w:r w:rsidR="00E379B5">
        <w:t xml:space="preserve">a risk rating may change with the addition of </w:t>
      </w:r>
      <w:r w:rsidR="00D33076">
        <w:t xml:space="preserve">RG </w:t>
      </w:r>
      <w:proofErr w:type="gramStart"/>
      <w:r w:rsidR="00D33076">
        <w:t xml:space="preserve">features </w:t>
      </w:r>
      <w:r>
        <w:t xml:space="preserve"> shown</w:t>
      </w:r>
      <w:proofErr w:type="gramEnd"/>
      <w:r>
        <w:t xml:space="preserve"> in </w:t>
      </w:r>
      <w:r w:rsidR="00D86684">
        <w:fldChar w:fldCharType="begin"/>
      </w:r>
      <w:r w:rsidR="00D86684">
        <w:instrText xml:space="preserve"> REF _Ref72401077 \h </w:instrText>
      </w:r>
      <w:r w:rsidR="00D86684">
        <w:fldChar w:fldCharType="separate"/>
      </w:r>
      <w:r w:rsidR="00B24127">
        <w:t xml:space="preserve">Figure </w:t>
      </w:r>
      <w:r w:rsidR="00B24127">
        <w:rPr>
          <w:noProof/>
        </w:rPr>
        <w:t>4</w:t>
      </w:r>
      <w:r w:rsidR="00D86684">
        <w:fldChar w:fldCharType="end"/>
      </w:r>
      <w:r w:rsidR="00485D37">
        <w:t>.</w:t>
      </w:r>
    </w:p>
    <w:p w14:paraId="24C6C6FD" w14:textId="55467022" w:rsidR="00485D37" w:rsidRDefault="00485D37" w:rsidP="00A67AE3">
      <w:pPr>
        <w:pStyle w:val="BodyText"/>
      </w:pPr>
      <w:r>
        <w:rPr>
          <w:noProof/>
        </w:rPr>
        <w:drawing>
          <wp:inline distT="0" distB="0" distL="0" distR="0" wp14:anchorId="7EC9432D" wp14:editId="52FD2A23">
            <wp:extent cx="5944235" cy="401764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4235" cy="4017645"/>
                    </a:xfrm>
                    <a:prstGeom prst="rect">
                      <a:avLst/>
                    </a:prstGeom>
                    <a:noFill/>
                  </pic:spPr>
                </pic:pic>
              </a:graphicData>
            </a:graphic>
          </wp:inline>
        </w:drawing>
      </w:r>
    </w:p>
    <w:p w14:paraId="3BADED9F" w14:textId="54E6A3B0" w:rsidR="00A67AE3" w:rsidRDefault="00A67AE3" w:rsidP="00D546CA">
      <w:pPr>
        <w:pStyle w:val="Caption"/>
        <w:keepNext/>
        <w:rPr>
          <w:rFonts w:eastAsia="Calibri"/>
        </w:rPr>
      </w:pPr>
      <w:bookmarkStart w:id="333" w:name="_Ref72401077"/>
      <w:bookmarkStart w:id="334" w:name="_Toc87263212"/>
      <w:r>
        <w:t xml:space="preserve">Figure </w:t>
      </w:r>
      <w:r>
        <w:fldChar w:fldCharType="begin"/>
      </w:r>
      <w:r>
        <w:instrText>SEQ Figure \* ARABIC</w:instrText>
      </w:r>
      <w:r>
        <w:fldChar w:fldCharType="separate"/>
      </w:r>
      <w:r w:rsidR="008F60FD">
        <w:rPr>
          <w:noProof/>
        </w:rPr>
        <w:t>6</w:t>
      </w:r>
      <w:r>
        <w:fldChar w:fldCharType="end"/>
      </w:r>
      <w:bookmarkEnd w:id="333"/>
      <w:r w:rsidR="000A7426">
        <w:t xml:space="preserve">: </w:t>
      </w:r>
      <w:r>
        <w:t xml:space="preserve"> </w:t>
      </w:r>
      <w:r w:rsidR="000A7426">
        <w:t>An example of how a risk rating may change with the addition of RG features</w:t>
      </w:r>
      <w:bookmarkEnd w:id="334"/>
      <w:r w:rsidR="000A7426">
        <w:t xml:space="preserve"> </w:t>
      </w:r>
    </w:p>
    <w:p w14:paraId="450E853A" w14:textId="2F227918" w:rsidR="006B65B4" w:rsidRDefault="006B65B4" w:rsidP="006B65B4">
      <w:r>
        <w:t>Source</w:t>
      </w:r>
      <w:r w:rsidR="000A7426">
        <w:t>: Supplied by Dr Richard Wood of Gamgard</w:t>
      </w:r>
    </w:p>
    <w:p w14:paraId="79A6E97A" w14:textId="77777777" w:rsidR="006B65B4" w:rsidRPr="00423E9F" w:rsidRDefault="006B65B4" w:rsidP="00423E9F">
      <w:pPr>
        <w:rPr>
          <w:i/>
          <w:iCs/>
        </w:rPr>
      </w:pPr>
    </w:p>
    <w:p w14:paraId="48F7A5DC" w14:textId="1B83EBEC" w:rsidR="00A67AE3" w:rsidRPr="00A67AE3" w:rsidRDefault="00A67AE3" w:rsidP="00A67AE3">
      <w:pPr>
        <w:pStyle w:val="BodyText"/>
      </w:pPr>
      <w:r w:rsidRPr="00A67AE3">
        <w:t xml:space="preserve">Different operators may use different thresholds on </w:t>
      </w:r>
      <w:r w:rsidR="008A6C4E">
        <w:t>Gamgard</w:t>
      </w:r>
      <w:r w:rsidRPr="00A67AE3">
        <w:t>’s traffic light-based assessment advice to accept, reject or amend games. The extent to which yellow or light red games are allowed to be used by operators is not clear from Cousins (2018) but there are some clues. One operator quoted by Cousins discussed how some lower risk rated games using version two became higher risk when using version 3, commenting:</w:t>
      </w:r>
    </w:p>
    <w:p w14:paraId="034CF68C" w14:textId="77777777" w:rsidR="00A67AE3" w:rsidRDefault="00A67AE3" w:rsidP="00A67AE3">
      <w:pPr>
        <w:pStyle w:val="Quote"/>
      </w:pPr>
      <w:r>
        <w:t>Some of the ‘yellow’ products went into ‘light red’ which meant that our policy had to be checked and we had to see what we would do with those products that were coming into the minefield of the ‘red’ area. (pg. 25)</w:t>
      </w:r>
    </w:p>
    <w:p w14:paraId="04952A01" w14:textId="77777777" w:rsidR="00A67AE3" w:rsidRDefault="00A67AE3" w:rsidP="00A67AE3">
      <w:pPr>
        <w:pStyle w:val="BodyText"/>
      </w:pPr>
    </w:p>
    <w:p w14:paraId="374B2D9F" w14:textId="220ACCB4" w:rsidR="00B822E9" w:rsidRDefault="00A67AE3" w:rsidP="00A67AE3">
      <w:pPr>
        <w:pStyle w:val="BodyText"/>
      </w:pPr>
      <w:r w:rsidRPr="00A67AE3">
        <w:t xml:space="preserve">This indicates that this operator was using a yellow rated product.  The actual scoring scheme, which includes inbuilt weights is depicted in </w:t>
      </w:r>
      <w:r w:rsidR="00D86684">
        <w:fldChar w:fldCharType="begin"/>
      </w:r>
      <w:r w:rsidR="00D86684">
        <w:instrText xml:space="preserve"> REF _Ref72401119 \h </w:instrText>
      </w:r>
      <w:r w:rsidR="00D86684">
        <w:fldChar w:fldCharType="separate"/>
      </w:r>
      <w:r w:rsidR="00B24127" w:rsidRPr="00A67AE3">
        <w:rPr>
          <w:i/>
          <w:iCs/>
        </w:rPr>
        <w:t xml:space="preserve">Table </w:t>
      </w:r>
      <w:r w:rsidR="00B24127">
        <w:rPr>
          <w:i/>
          <w:iCs/>
          <w:noProof/>
        </w:rPr>
        <w:t>1</w:t>
      </w:r>
      <w:r w:rsidR="00B24127">
        <w:rPr>
          <w:i/>
          <w:iCs/>
        </w:rPr>
        <w:noBreakHyphen/>
      </w:r>
      <w:r w:rsidR="00B24127">
        <w:rPr>
          <w:i/>
          <w:iCs/>
          <w:noProof/>
        </w:rPr>
        <w:t>1</w:t>
      </w:r>
      <w:r w:rsidR="00D86684">
        <w:fldChar w:fldCharType="end"/>
      </w:r>
      <w:r w:rsidRPr="00A67AE3">
        <w:t xml:space="preserve"> from Cousins (2018, pg. 14)). The table also contains brief details of changes between different versions of </w:t>
      </w:r>
      <w:r w:rsidR="008A6C4E">
        <w:t>Gamgard</w:t>
      </w:r>
      <w:r w:rsidRPr="00A67AE3">
        <w:t xml:space="preserve">.  There appear to have been quite substantial changes in scoring between versions 2 and 3. However, it is unclear by what weighting mechanism the scores are combined to provide a final overall score for the game. This is presumably for reasons of intellectual property. While recognising the limitation, the lack of transparency presents a barrier to a full assessment of </w:t>
      </w:r>
      <w:r w:rsidR="008A6C4E">
        <w:t>Gamgard</w:t>
      </w:r>
      <w:r w:rsidRPr="00A67AE3">
        <w:t xml:space="preserve">’s application in a different jurisdictional setting. </w:t>
      </w:r>
    </w:p>
    <w:p w14:paraId="6B6E374F" w14:textId="2EDCC470" w:rsidR="00A67AE3" w:rsidRPr="00A67AE3" w:rsidRDefault="008A6C4E" w:rsidP="00A67AE3">
      <w:pPr>
        <w:pStyle w:val="BodyText"/>
      </w:pPr>
      <w:r>
        <w:t>Gamgard</w:t>
      </w:r>
      <w:r w:rsidR="00A67AE3" w:rsidRPr="00A67AE3">
        <w:t xml:space="preserve"> seeks to be strictly evidence based, so no score decrease is given for measures which have good face validity but have not yet, in the opinion of GamRes</w:t>
      </w:r>
      <w:r w:rsidR="00B822E9">
        <w:t>,</w:t>
      </w:r>
      <w:r w:rsidR="00A67AE3" w:rsidRPr="00A67AE3">
        <w:t xml:space="preserve"> accumulated any research-based evidence of being </w:t>
      </w:r>
      <w:r w:rsidR="00A67AE3" w:rsidRPr="00A67AE3">
        <w:lastRenderedPageBreak/>
        <w:t xml:space="preserve">effective (Cousins, 2018). </w:t>
      </w:r>
      <w:r>
        <w:t>Gamgard</w:t>
      </w:r>
      <w:r w:rsidR="00A67AE3" w:rsidRPr="00A67AE3">
        <w:t xml:space="preserve"> regularly reviews the 10 factors and their weighting in the overall score to take into consideration the latest research evidence.</w:t>
      </w:r>
    </w:p>
    <w:p w14:paraId="0FCDA0CB" w14:textId="7CF5F8EF" w:rsidR="00A67AE3" w:rsidRPr="00A67AE3" w:rsidRDefault="00A67AE3" w:rsidP="00A67AE3">
      <w:pPr>
        <w:spacing w:after="180"/>
        <w:contextualSpacing/>
        <w:rPr>
          <w:rFonts w:eastAsia="Calibri"/>
          <w:i/>
          <w:iCs/>
        </w:rPr>
      </w:pPr>
      <w:bookmarkStart w:id="335" w:name="_Ref72401119"/>
      <w:bookmarkStart w:id="336" w:name="_Toc87263215"/>
      <w:r w:rsidRPr="00A67AE3">
        <w:rPr>
          <w:i/>
          <w:iCs/>
        </w:rPr>
        <w:t xml:space="preserve">Table </w:t>
      </w:r>
      <w:r w:rsidR="00B76156">
        <w:rPr>
          <w:i/>
          <w:iCs/>
        </w:rPr>
        <w:fldChar w:fldCharType="begin"/>
      </w:r>
      <w:r w:rsidR="00B76156">
        <w:rPr>
          <w:i/>
          <w:iCs/>
        </w:rPr>
        <w:instrText xml:space="preserve"> STYLEREF 1 \s </w:instrText>
      </w:r>
      <w:r w:rsidR="00B76156">
        <w:rPr>
          <w:i/>
          <w:iCs/>
        </w:rPr>
        <w:fldChar w:fldCharType="separate"/>
      </w:r>
      <w:r w:rsidR="00B24127">
        <w:rPr>
          <w:i/>
          <w:iCs/>
          <w:noProof/>
        </w:rPr>
        <w:t>1</w:t>
      </w:r>
      <w:r w:rsidR="00B76156">
        <w:rPr>
          <w:i/>
          <w:iCs/>
        </w:rPr>
        <w:fldChar w:fldCharType="end"/>
      </w:r>
      <w:r w:rsidR="00B76156">
        <w:rPr>
          <w:i/>
          <w:iCs/>
        </w:rPr>
        <w:noBreakHyphen/>
      </w:r>
      <w:r w:rsidR="00B76156">
        <w:rPr>
          <w:i/>
          <w:iCs/>
        </w:rPr>
        <w:fldChar w:fldCharType="begin"/>
      </w:r>
      <w:r w:rsidR="00B76156">
        <w:rPr>
          <w:i/>
          <w:iCs/>
        </w:rPr>
        <w:instrText xml:space="preserve"> SEQ Table \* ARABIC \s 1 </w:instrText>
      </w:r>
      <w:r w:rsidR="00B76156">
        <w:rPr>
          <w:i/>
          <w:iCs/>
        </w:rPr>
        <w:fldChar w:fldCharType="separate"/>
      </w:r>
      <w:r w:rsidR="00B24127">
        <w:rPr>
          <w:i/>
          <w:iCs/>
          <w:noProof/>
        </w:rPr>
        <w:t>1</w:t>
      </w:r>
      <w:r w:rsidR="00B76156">
        <w:rPr>
          <w:i/>
          <w:iCs/>
        </w:rPr>
        <w:fldChar w:fldCharType="end"/>
      </w:r>
      <w:bookmarkEnd w:id="335"/>
      <w:r w:rsidRPr="00A67AE3">
        <w:rPr>
          <w:i/>
          <w:iCs/>
        </w:rPr>
        <w:t xml:space="preserve">: </w:t>
      </w:r>
      <w:r w:rsidR="008A6C4E">
        <w:rPr>
          <w:rFonts w:eastAsia="Calibri"/>
          <w:i/>
          <w:iCs/>
        </w:rPr>
        <w:t>Gamgard</w:t>
      </w:r>
      <w:r w:rsidRPr="00A67AE3">
        <w:rPr>
          <w:rFonts w:eastAsia="Calibri"/>
          <w:i/>
          <w:iCs/>
        </w:rPr>
        <w:t xml:space="preserve"> scoring scheme and changes between versions</w:t>
      </w:r>
      <w:bookmarkEnd w:id="336"/>
      <w:r w:rsidRPr="00A67AE3">
        <w:rPr>
          <w:rFonts w:eastAsia="Calibri"/>
          <w:i/>
          <w:iCs/>
        </w:rPr>
        <w:t xml:space="preserve"> </w:t>
      </w:r>
    </w:p>
    <w:p w14:paraId="3CA91BCD" w14:textId="062E52F6" w:rsidR="00A67AE3" w:rsidRDefault="00A67AE3" w:rsidP="00A67AE3">
      <w:pPr>
        <w:pStyle w:val="Caption"/>
        <w:keepNext/>
      </w:pPr>
    </w:p>
    <w:tbl>
      <w:tblPr>
        <w:tblW w:w="10494" w:type="dxa"/>
        <w:tblInd w:w="-108" w:type="dxa"/>
        <w:tblBorders>
          <w:top w:val="nil"/>
          <w:left w:val="nil"/>
          <w:bottom w:val="nil"/>
          <w:right w:val="nil"/>
        </w:tblBorders>
        <w:tblLayout w:type="fixed"/>
        <w:tblLook w:val="0000" w:firstRow="0" w:lastRow="0" w:firstColumn="0" w:lastColumn="0" w:noHBand="0" w:noVBand="0"/>
      </w:tblPr>
      <w:tblGrid>
        <w:gridCol w:w="2093"/>
        <w:gridCol w:w="1623"/>
        <w:gridCol w:w="1531"/>
        <w:gridCol w:w="1531"/>
        <w:gridCol w:w="1127"/>
        <w:gridCol w:w="2589"/>
      </w:tblGrid>
      <w:tr w:rsidR="00E8725D" w:rsidRPr="002767CE" w14:paraId="561A6DC7" w14:textId="63EE9B44" w:rsidTr="0072478B">
        <w:trPr>
          <w:trHeight w:val="299"/>
        </w:trPr>
        <w:tc>
          <w:tcPr>
            <w:tcW w:w="2093" w:type="dxa"/>
          </w:tcPr>
          <w:p w14:paraId="2C818D13" w14:textId="77777777" w:rsidR="0072478B" w:rsidRPr="002767CE" w:rsidRDefault="0072478B" w:rsidP="00B636A3">
            <w:pPr>
              <w:autoSpaceDE w:val="0"/>
              <w:autoSpaceDN w:val="0"/>
              <w:adjustRightInd w:val="0"/>
              <w:rPr>
                <w:rFonts w:ascii="Garamond" w:hAnsi="Garamond" w:cs="Garamond"/>
                <w:color w:val="000000"/>
                <w:sz w:val="23"/>
                <w:szCs w:val="23"/>
              </w:rPr>
            </w:pPr>
            <w:r w:rsidRPr="002767CE">
              <w:rPr>
                <w:rFonts w:ascii="Garamond" w:hAnsi="Garamond" w:cs="Garamond"/>
                <w:b/>
                <w:bCs/>
                <w:color w:val="000000"/>
                <w:sz w:val="23"/>
                <w:szCs w:val="23"/>
              </w:rPr>
              <w:t xml:space="preserve">Item </w:t>
            </w:r>
          </w:p>
        </w:tc>
        <w:tc>
          <w:tcPr>
            <w:tcW w:w="1623" w:type="dxa"/>
          </w:tcPr>
          <w:p w14:paraId="010DD4BE" w14:textId="77777777" w:rsidR="0072478B" w:rsidRPr="002767CE" w:rsidRDefault="0072478B" w:rsidP="00B636A3">
            <w:pPr>
              <w:autoSpaceDE w:val="0"/>
              <w:autoSpaceDN w:val="0"/>
              <w:adjustRightInd w:val="0"/>
              <w:rPr>
                <w:rFonts w:ascii="Garamond" w:hAnsi="Garamond" w:cs="Garamond"/>
                <w:color w:val="000000"/>
                <w:sz w:val="23"/>
                <w:szCs w:val="23"/>
              </w:rPr>
            </w:pPr>
            <w:r w:rsidRPr="002767CE">
              <w:rPr>
                <w:rFonts w:ascii="Garamond" w:hAnsi="Garamond" w:cs="Garamond"/>
                <w:b/>
                <w:bCs/>
                <w:color w:val="000000"/>
                <w:sz w:val="23"/>
                <w:szCs w:val="23"/>
              </w:rPr>
              <w:t xml:space="preserve">V1.0 </w:t>
            </w:r>
          </w:p>
        </w:tc>
        <w:tc>
          <w:tcPr>
            <w:tcW w:w="1531" w:type="dxa"/>
          </w:tcPr>
          <w:p w14:paraId="0AA73167" w14:textId="77777777" w:rsidR="0072478B" w:rsidRPr="002767CE" w:rsidRDefault="0072478B" w:rsidP="00B636A3">
            <w:pPr>
              <w:autoSpaceDE w:val="0"/>
              <w:autoSpaceDN w:val="0"/>
              <w:adjustRightInd w:val="0"/>
              <w:rPr>
                <w:rFonts w:ascii="Garamond" w:hAnsi="Garamond" w:cs="Garamond"/>
                <w:color w:val="000000"/>
                <w:sz w:val="23"/>
                <w:szCs w:val="23"/>
              </w:rPr>
            </w:pPr>
            <w:r w:rsidRPr="002767CE">
              <w:rPr>
                <w:rFonts w:ascii="Garamond" w:hAnsi="Garamond" w:cs="Garamond"/>
                <w:b/>
                <w:bCs/>
                <w:color w:val="000000"/>
                <w:sz w:val="23"/>
                <w:szCs w:val="23"/>
              </w:rPr>
              <w:t xml:space="preserve">V1.1 </w:t>
            </w:r>
          </w:p>
        </w:tc>
        <w:tc>
          <w:tcPr>
            <w:tcW w:w="1531" w:type="dxa"/>
          </w:tcPr>
          <w:p w14:paraId="4B1EEE9F" w14:textId="77777777" w:rsidR="0072478B" w:rsidRPr="002767CE" w:rsidRDefault="0072478B" w:rsidP="00B636A3">
            <w:pPr>
              <w:autoSpaceDE w:val="0"/>
              <w:autoSpaceDN w:val="0"/>
              <w:adjustRightInd w:val="0"/>
              <w:rPr>
                <w:rFonts w:ascii="Garamond" w:hAnsi="Garamond" w:cs="Garamond"/>
                <w:color w:val="000000"/>
                <w:sz w:val="23"/>
                <w:szCs w:val="23"/>
              </w:rPr>
            </w:pPr>
            <w:r w:rsidRPr="002767CE">
              <w:rPr>
                <w:rFonts w:ascii="Garamond" w:hAnsi="Garamond" w:cs="Garamond"/>
                <w:b/>
                <w:bCs/>
                <w:color w:val="000000"/>
                <w:sz w:val="23"/>
                <w:szCs w:val="23"/>
              </w:rPr>
              <w:t xml:space="preserve">V 2.0-2.1 </w:t>
            </w:r>
          </w:p>
        </w:tc>
        <w:tc>
          <w:tcPr>
            <w:tcW w:w="1127" w:type="dxa"/>
          </w:tcPr>
          <w:p w14:paraId="7CB5238F" w14:textId="77777777" w:rsidR="0072478B" w:rsidRPr="002767CE" w:rsidRDefault="0072478B" w:rsidP="00B636A3">
            <w:pPr>
              <w:autoSpaceDE w:val="0"/>
              <w:autoSpaceDN w:val="0"/>
              <w:adjustRightInd w:val="0"/>
              <w:rPr>
                <w:rFonts w:ascii="Garamond" w:hAnsi="Garamond" w:cs="Garamond"/>
                <w:color w:val="000000"/>
                <w:sz w:val="23"/>
                <w:szCs w:val="23"/>
              </w:rPr>
            </w:pPr>
            <w:r w:rsidRPr="002767CE">
              <w:rPr>
                <w:rFonts w:ascii="Garamond" w:hAnsi="Garamond" w:cs="Garamond"/>
                <w:b/>
                <w:bCs/>
                <w:color w:val="000000"/>
                <w:sz w:val="23"/>
                <w:szCs w:val="23"/>
              </w:rPr>
              <w:t xml:space="preserve">V 3.0 </w:t>
            </w:r>
          </w:p>
        </w:tc>
        <w:tc>
          <w:tcPr>
            <w:tcW w:w="2589" w:type="dxa"/>
          </w:tcPr>
          <w:p w14:paraId="4C222CB8" w14:textId="77777777" w:rsidR="0072478B" w:rsidRPr="002767CE" w:rsidRDefault="0072478B" w:rsidP="00B636A3">
            <w:pPr>
              <w:autoSpaceDE w:val="0"/>
              <w:autoSpaceDN w:val="0"/>
              <w:adjustRightInd w:val="0"/>
              <w:rPr>
                <w:rFonts w:ascii="Garamond" w:hAnsi="Garamond" w:cs="Garamond"/>
                <w:color w:val="000000"/>
                <w:sz w:val="23"/>
                <w:szCs w:val="23"/>
              </w:rPr>
            </w:pPr>
            <w:r w:rsidRPr="002767CE">
              <w:rPr>
                <w:rFonts w:ascii="Garamond" w:hAnsi="Garamond" w:cs="Garamond"/>
                <w:b/>
                <w:bCs/>
                <w:color w:val="000000"/>
                <w:sz w:val="23"/>
                <w:szCs w:val="23"/>
              </w:rPr>
              <w:t xml:space="preserve">Adjustments to equate v 2.1 and earlier with v 3.0 </w:t>
            </w:r>
          </w:p>
        </w:tc>
      </w:tr>
      <w:tr w:rsidR="00E8725D" w:rsidRPr="002767CE" w14:paraId="29EF492C" w14:textId="0EE6AB7E" w:rsidTr="0072478B">
        <w:trPr>
          <w:trHeight w:val="164"/>
        </w:trPr>
        <w:tc>
          <w:tcPr>
            <w:tcW w:w="2093" w:type="dxa"/>
          </w:tcPr>
          <w:p w14:paraId="4EF24A74" w14:textId="77777777" w:rsidR="0072478B" w:rsidRPr="002767CE" w:rsidRDefault="0072478B" w:rsidP="00B636A3">
            <w:pPr>
              <w:autoSpaceDE w:val="0"/>
              <w:autoSpaceDN w:val="0"/>
              <w:adjustRightInd w:val="0"/>
              <w:rPr>
                <w:rFonts w:ascii="Garamond" w:hAnsi="Garamond" w:cs="Garamond"/>
                <w:color w:val="000000"/>
                <w:sz w:val="23"/>
                <w:szCs w:val="23"/>
              </w:rPr>
            </w:pPr>
            <w:r w:rsidRPr="002767CE">
              <w:rPr>
                <w:rFonts w:ascii="Garamond" w:hAnsi="Garamond" w:cs="Garamond"/>
                <w:color w:val="000000"/>
                <w:sz w:val="23"/>
                <w:szCs w:val="23"/>
              </w:rPr>
              <w:t xml:space="preserve">1. Event Frequency </w:t>
            </w:r>
          </w:p>
          <w:p w14:paraId="401F11D7" w14:textId="77777777" w:rsidR="0072478B" w:rsidRPr="002767CE" w:rsidRDefault="0072478B" w:rsidP="00B636A3">
            <w:pPr>
              <w:autoSpaceDE w:val="0"/>
              <w:autoSpaceDN w:val="0"/>
              <w:adjustRightInd w:val="0"/>
              <w:rPr>
                <w:rFonts w:ascii="Garamond" w:hAnsi="Garamond" w:cs="Garamond"/>
                <w:color w:val="000000"/>
                <w:sz w:val="23"/>
                <w:szCs w:val="23"/>
              </w:rPr>
            </w:pPr>
          </w:p>
        </w:tc>
        <w:tc>
          <w:tcPr>
            <w:tcW w:w="1623" w:type="dxa"/>
          </w:tcPr>
          <w:p w14:paraId="02FC4CCF" w14:textId="77777777" w:rsidR="0072478B" w:rsidRPr="002767CE" w:rsidRDefault="0072478B" w:rsidP="00B636A3">
            <w:pPr>
              <w:autoSpaceDE w:val="0"/>
              <w:autoSpaceDN w:val="0"/>
              <w:adjustRightInd w:val="0"/>
              <w:rPr>
                <w:rFonts w:ascii="Garamond" w:hAnsi="Garamond" w:cs="Garamond"/>
                <w:color w:val="000000"/>
                <w:sz w:val="23"/>
                <w:szCs w:val="23"/>
              </w:rPr>
            </w:pPr>
            <w:r w:rsidRPr="002767CE">
              <w:rPr>
                <w:rFonts w:ascii="Garamond" w:hAnsi="Garamond" w:cs="Garamond"/>
                <w:color w:val="000000"/>
                <w:sz w:val="23"/>
                <w:szCs w:val="23"/>
              </w:rPr>
              <w:t xml:space="preserve">Range: 1-20 </w:t>
            </w:r>
          </w:p>
        </w:tc>
        <w:tc>
          <w:tcPr>
            <w:tcW w:w="1531" w:type="dxa"/>
          </w:tcPr>
          <w:p w14:paraId="241B63AA" w14:textId="77777777" w:rsidR="0072478B" w:rsidRPr="002767CE" w:rsidRDefault="0072478B" w:rsidP="00B636A3">
            <w:pPr>
              <w:autoSpaceDE w:val="0"/>
              <w:autoSpaceDN w:val="0"/>
              <w:adjustRightInd w:val="0"/>
              <w:rPr>
                <w:rFonts w:ascii="Garamond" w:hAnsi="Garamond" w:cs="Garamond"/>
                <w:color w:val="000000"/>
                <w:sz w:val="23"/>
                <w:szCs w:val="23"/>
              </w:rPr>
            </w:pPr>
            <w:r w:rsidRPr="002767CE">
              <w:rPr>
                <w:rFonts w:ascii="Garamond" w:hAnsi="Garamond" w:cs="Garamond"/>
                <w:color w:val="000000"/>
                <w:sz w:val="23"/>
                <w:szCs w:val="23"/>
              </w:rPr>
              <w:t xml:space="preserve">Range: 1-20 </w:t>
            </w:r>
          </w:p>
        </w:tc>
        <w:tc>
          <w:tcPr>
            <w:tcW w:w="1531" w:type="dxa"/>
          </w:tcPr>
          <w:p w14:paraId="49CB28A8" w14:textId="77777777" w:rsidR="0072478B" w:rsidRPr="002767CE" w:rsidRDefault="0072478B" w:rsidP="00B636A3">
            <w:pPr>
              <w:autoSpaceDE w:val="0"/>
              <w:autoSpaceDN w:val="0"/>
              <w:adjustRightInd w:val="0"/>
              <w:rPr>
                <w:rFonts w:ascii="Garamond" w:hAnsi="Garamond" w:cs="Garamond"/>
                <w:color w:val="000000"/>
                <w:sz w:val="23"/>
                <w:szCs w:val="23"/>
              </w:rPr>
            </w:pPr>
            <w:r w:rsidRPr="002767CE">
              <w:rPr>
                <w:rFonts w:ascii="Garamond" w:hAnsi="Garamond" w:cs="Garamond"/>
                <w:color w:val="000000"/>
                <w:sz w:val="23"/>
                <w:szCs w:val="23"/>
              </w:rPr>
              <w:t xml:space="preserve">Range 1-20 </w:t>
            </w:r>
          </w:p>
        </w:tc>
        <w:tc>
          <w:tcPr>
            <w:tcW w:w="1127" w:type="dxa"/>
          </w:tcPr>
          <w:p w14:paraId="11E392D8" w14:textId="77777777" w:rsidR="0072478B" w:rsidRPr="002767CE" w:rsidRDefault="0072478B" w:rsidP="00B636A3">
            <w:pPr>
              <w:autoSpaceDE w:val="0"/>
              <w:autoSpaceDN w:val="0"/>
              <w:adjustRightInd w:val="0"/>
              <w:rPr>
                <w:rFonts w:ascii="Garamond" w:hAnsi="Garamond" w:cs="Garamond"/>
                <w:color w:val="000000"/>
                <w:sz w:val="23"/>
                <w:szCs w:val="23"/>
              </w:rPr>
            </w:pPr>
            <w:r w:rsidRPr="002767CE">
              <w:rPr>
                <w:rFonts w:ascii="Garamond" w:hAnsi="Garamond" w:cs="Garamond"/>
                <w:b/>
                <w:bCs/>
                <w:color w:val="000000"/>
                <w:sz w:val="23"/>
                <w:szCs w:val="23"/>
              </w:rPr>
              <w:t xml:space="preserve">Range 1-40 </w:t>
            </w:r>
          </w:p>
        </w:tc>
        <w:tc>
          <w:tcPr>
            <w:tcW w:w="2589" w:type="dxa"/>
          </w:tcPr>
          <w:p w14:paraId="62852BD4" w14:textId="77777777" w:rsidR="0072478B" w:rsidRPr="002767CE" w:rsidRDefault="0072478B" w:rsidP="00B636A3">
            <w:pPr>
              <w:autoSpaceDE w:val="0"/>
              <w:autoSpaceDN w:val="0"/>
              <w:adjustRightInd w:val="0"/>
              <w:rPr>
                <w:rFonts w:ascii="Garamond" w:hAnsi="Garamond" w:cs="Garamond"/>
                <w:color w:val="000000"/>
                <w:sz w:val="23"/>
                <w:szCs w:val="23"/>
              </w:rPr>
            </w:pPr>
            <w:r w:rsidRPr="002767CE">
              <w:rPr>
                <w:rFonts w:ascii="Garamond" w:hAnsi="Garamond" w:cs="Garamond"/>
                <w:color w:val="000000"/>
                <w:sz w:val="23"/>
                <w:szCs w:val="23"/>
              </w:rPr>
              <w:t xml:space="preserve">Double scores for v 2.1 and earlier </w:t>
            </w:r>
          </w:p>
        </w:tc>
      </w:tr>
      <w:tr w:rsidR="00E8725D" w:rsidRPr="002767CE" w14:paraId="0E9FFEA1" w14:textId="018B3DFE" w:rsidTr="0072478B">
        <w:trPr>
          <w:trHeight w:val="291"/>
        </w:trPr>
        <w:tc>
          <w:tcPr>
            <w:tcW w:w="2093" w:type="dxa"/>
          </w:tcPr>
          <w:p w14:paraId="5BD6D8B3" w14:textId="77777777" w:rsidR="0072478B" w:rsidRPr="002767CE" w:rsidRDefault="0072478B" w:rsidP="00B636A3">
            <w:pPr>
              <w:autoSpaceDE w:val="0"/>
              <w:autoSpaceDN w:val="0"/>
              <w:adjustRightInd w:val="0"/>
              <w:rPr>
                <w:rFonts w:ascii="Garamond" w:hAnsi="Garamond" w:cs="Garamond"/>
                <w:color w:val="000000"/>
                <w:sz w:val="23"/>
                <w:szCs w:val="23"/>
              </w:rPr>
            </w:pPr>
            <w:r w:rsidRPr="002767CE">
              <w:rPr>
                <w:rFonts w:ascii="Garamond" w:hAnsi="Garamond" w:cs="Garamond"/>
                <w:color w:val="000000"/>
                <w:sz w:val="23"/>
                <w:szCs w:val="23"/>
              </w:rPr>
              <w:t xml:space="preserve">2. Multi-game/stake opportunities </w:t>
            </w:r>
          </w:p>
          <w:p w14:paraId="5C444250" w14:textId="77777777" w:rsidR="0072478B" w:rsidRPr="002767CE" w:rsidRDefault="0072478B" w:rsidP="00B636A3">
            <w:pPr>
              <w:autoSpaceDE w:val="0"/>
              <w:autoSpaceDN w:val="0"/>
              <w:adjustRightInd w:val="0"/>
              <w:rPr>
                <w:rFonts w:ascii="Garamond" w:hAnsi="Garamond" w:cs="Garamond"/>
                <w:color w:val="000000"/>
                <w:sz w:val="23"/>
                <w:szCs w:val="23"/>
              </w:rPr>
            </w:pPr>
          </w:p>
        </w:tc>
        <w:tc>
          <w:tcPr>
            <w:tcW w:w="1623" w:type="dxa"/>
          </w:tcPr>
          <w:p w14:paraId="41B0D77F" w14:textId="77777777" w:rsidR="0072478B" w:rsidRPr="002767CE" w:rsidRDefault="0072478B" w:rsidP="00B636A3">
            <w:pPr>
              <w:autoSpaceDE w:val="0"/>
              <w:autoSpaceDN w:val="0"/>
              <w:adjustRightInd w:val="0"/>
              <w:rPr>
                <w:rFonts w:ascii="Garamond" w:hAnsi="Garamond" w:cs="Garamond"/>
                <w:color w:val="000000"/>
                <w:sz w:val="23"/>
                <w:szCs w:val="23"/>
              </w:rPr>
            </w:pPr>
            <w:r w:rsidRPr="002767CE">
              <w:rPr>
                <w:rFonts w:ascii="Garamond" w:hAnsi="Garamond" w:cs="Garamond"/>
                <w:color w:val="000000"/>
                <w:sz w:val="23"/>
                <w:szCs w:val="23"/>
              </w:rPr>
              <w:t xml:space="preserve">1,2,3 </w:t>
            </w:r>
          </w:p>
        </w:tc>
        <w:tc>
          <w:tcPr>
            <w:tcW w:w="1531" w:type="dxa"/>
          </w:tcPr>
          <w:p w14:paraId="3847F436" w14:textId="77777777" w:rsidR="0072478B" w:rsidRPr="002767CE" w:rsidRDefault="0072478B" w:rsidP="00B636A3">
            <w:pPr>
              <w:autoSpaceDE w:val="0"/>
              <w:autoSpaceDN w:val="0"/>
              <w:adjustRightInd w:val="0"/>
              <w:rPr>
                <w:rFonts w:ascii="Garamond" w:hAnsi="Garamond" w:cs="Garamond"/>
                <w:color w:val="000000"/>
                <w:sz w:val="23"/>
                <w:szCs w:val="23"/>
              </w:rPr>
            </w:pPr>
            <w:r w:rsidRPr="002767CE">
              <w:rPr>
                <w:rFonts w:ascii="Garamond" w:hAnsi="Garamond" w:cs="Garamond"/>
                <w:color w:val="000000"/>
                <w:sz w:val="23"/>
                <w:szCs w:val="23"/>
              </w:rPr>
              <w:t xml:space="preserve">1,2,3 </w:t>
            </w:r>
          </w:p>
        </w:tc>
        <w:tc>
          <w:tcPr>
            <w:tcW w:w="1531" w:type="dxa"/>
          </w:tcPr>
          <w:p w14:paraId="3B7083A0" w14:textId="77777777" w:rsidR="0072478B" w:rsidRPr="002767CE" w:rsidRDefault="0072478B" w:rsidP="00B636A3">
            <w:pPr>
              <w:autoSpaceDE w:val="0"/>
              <w:autoSpaceDN w:val="0"/>
              <w:adjustRightInd w:val="0"/>
              <w:rPr>
                <w:rFonts w:ascii="Garamond" w:hAnsi="Garamond" w:cs="Garamond"/>
                <w:color w:val="000000"/>
                <w:sz w:val="23"/>
                <w:szCs w:val="23"/>
              </w:rPr>
            </w:pPr>
            <w:r w:rsidRPr="002767CE">
              <w:rPr>
                <w:rFonts w:ascii="Garamond" w:hAnsi="Garamond" w:cs="Garamond"/>
                <w:color w:val="000000"/>
                <w:sz w:val="23"/>
                <w:szCs w:val="23"/>
              </w:rPr>
              <w:t xml:space="preserve">1,2,3 </w:t>
            </w:r>
          </w:p>
        </w:tc>
        <w:tc>
          <w:tcPr>
            <w:tcW w:w="1127" w:type="dxa"/>
          </w:tcPr>
          <w:p w14:paraId="667659F4" w14:textId="77777777" w:rsidR="0072478B" w:rsidRPr="002767CE" w:rsidRDefault="0072478B" w:rsidP="00B636A3">
            <w:pPr>
              <w:autoSpaceDE w:val="0"/>
              <w:autoSpaceDN w:val="0"/>
              <w:adjustRightInd w:val="0"/>
              <w:rPr>
                <w:rFonts w:ascii="Garamond" w:hAnsi="Garamond" w:cs="Garamond"/>
                <w:color w:val="000000"/>
                <w:sz w:val="23"/>
                <w:szCs w:val="23"/>
              </w:rPr>
            </w:pPr>
            <w:r w:rsidRPr="002767CE">
              <w:rPr>
                <w:rFonts w:ascii="Garamond" w:hAnsi="Garamond" w:cs="Garamond"/>
                <w:b/>
                <w:bCs/>
                <w:color w:val="000000"/>
                <w:sz w:val="23"/>
                <w:szCs w:val="23"/>
              </w:rPr>
              <w:t xml:space="preserve">2,4,6 </w:t>
            </w:r>
          </w:p>
        </w:tc>
        <w:tc>
          <w:tcPr>
            <w:tcW w:w="2589" w:type="dxa"/>
          </w:tcPr>
          <w:p w14:paraId="6565D4C2" w14:textId="77777777" w:rsidR="0072478B" w:rsidRPr="002767CE" w:rsidRDefault="0072478B" w:rsidP="00B636A3">
            <w:pPr>
              <w:autoSpaceDE w:val="0"/>
              <w:autoSpaceDN w:val="0"/>
              <w:adjustRightInd w:val="0"/>
              <w:rPr>
                <w:rFonts w:ascii="Garamond" w:hAnsi="Garamond" w:cs="Garamond"/>
                <w:color w:val="000000"/>
                <w:sz w:val="23"/>
                <w:szCs w:val="23"/>
              </w:rPr>
            </w:pPr>
            <w:r w:rsidRPr="002767CE">
              <w:rPr>
                <w:rFonts w:ascii="Garamond" w:hAnsi="Garamond" w:cs="Garamond"/>
                <w:color w:val="000000"/>
                <w:sz w:val="23"/>
                <w:szCs w:val="23"/>
              </w:rPr>
              <w:t xml:space="preserve">Double scores for v 2.1 and earlier </w:t>
            </w:r>
          </w:p>
        </w:tc>
      </w:tr>
      <w:tr w:rsidR="00E8725D" w:rsidRPr="002767CE" w14:paraId="231F5308" w14:textId="3BAE2B46" w:rsidTr="0072478B">
        <w:trPr>
          <w:trHeight w:val="290"/>
        </w:trPr>
        <w:tc>
          <w:tcPr>
            <w:tcW w:w="2093" w:type="dxa"/>
          </w:tcPr>
          <w:p w14:paraId="2AF82C66" w14:textId="77777777" w:rsidR="0072478B" w:rsidRPr="002767CE" w:rsidRDefault="0072478B" w:rsidP="00B636A3">
            <w:pPr>
              <w:autoSpaceDE w:val="0"/>
              <w:autoSpaceDN w:val="0"/>
              <w:adjustRightInd w:val="0"/>
              <w:rPr>
                <w:rFonts w:ascii="Garamond" w:hAnsi="Garamond" w:cs="Garamond"/>
                <w:color w:val="000000"/>
                <w:sz w:val="23"/>
                <w:szCs w:val="23"/>
              </w:rPr>
            </w:pPr>
            <w:r w:rsidRPr="002767CE">
              <w:rPr>
                <w:rFonts w:ascii="Garamond" w:hAnsi="Garamond" w:cs="Garamond"/>
                <w:color w:val="000000"/>
                <w:sz w:val="23"/>
                <w:szCs w:val="23"/>
              </w:rPr>
              <w:t xml:space="preserve">3. Variable/fixed stake size </w:t>
            </w:r>
          </w:p>
          <w:p w14:paraId="0DCC0A97" w14:textId="77777777" w:rsidR="0072478B" w:rsidRPr="002767CE" w:rsidRDefault="0072478B" w:rsidP="00B636A3">
            <w:pPr>
              <w:autoSpaceDE w:val="0"/>
              <w:autoSpaceDN w:val="0"/>
              <w:adjustRightInd w:val="0"/>
              <w:rPr>
                <w:rFonts w:ascii="Garamond" w:hAnsi="Garamond" w:cs="Garamond"/>
                <w:color w:val="000000"/>
                <w:sz w:val="23"/>
                <w:szCs w:val="23"/>
              </w:rPr>
            </w:pPr>
          </w:p>
        </w:tc>
        <w:tc>
          <w:tcPr>
            <w:tcW w:w="1623" w:type="dxa"/>
          </w:tcPr>
          <w:p w14:paraId="67BF0BE9" w14:textId="77777777" w:rsidR="0072478B" w:rsidRPr="002767CE" w:rsidRDefault="0072478B" w:rsidP="00B636A3">
            <w:pPr>
              <w:autoSpaceDE w:val="0"/>
              <w:autoSpaceDN w:val="0"/>
              <w:adjustRightInd w:val="0"/>
              <w:rPr>
                <w:rFonts w:ascii="Garamond" w:hAnsi="Garamond" w:cs="Garamond"/>
                <w:color w:val="000000"/>
                <w:sz w:val="23"/>
                <w:szCs w:val="23"/>
              </w:rPr>
            </w:pPr>
            <w:r w:rsidRPr="002767CE">
              <w:rPr>
                <w:rFonts w:ascii="Garamond" w:hAnsi="Garamond" w:cs="Garamond"/>
                <w:color w:val="000000"/>
                <w:sz w:val="23"/>
                <w:szCs w:val="23"/>
              </w:rPr>
              <w:t xml:space="preserve">1,3 </w:t>
            </w:r>
          </w:p>
        </w:tc>
        <w:tc>
          <w:tcPr>
            <w:tcW w:w="1531" w:type="dxa"/>
          </w:tcPr>
          <w:p w14:paraId="2738C74F" w14:textId="77777777" w:rsidR="0072478B" w:rsidRPr="002767CE" w:rsidRDefault="0072478B" w:rsidP="00B636A3">
            <w:pPr>
              <w:autoSpaceDE w:val="0"/>
              <w:autoSpaceDN w:val="0"/>
              <w:adjustRightInd w:val="0"/>
              <w:rPr>
                <w:rFonts w:ascii="Garamond" w:hAnsi="Garamond" w:cs="Garamond"/>
                <w:color w:val="000000"/>
                <w:sz w:val="23"/>
                <w:szCs w:val="23"/>
              </w:rPr>
            </w:pPr>
            <w:r w:rsidRPr="002767CE">
              <w:rPr>
                <w:rFonts w:ascii="Garamond" w:hAnsi="Garamond" w:cs="Garamond"/>
                <w:color w:val="000000"/>
                <w:sz w:val="23"/>
                <w:szCs w:val="23"/>
              </w:rPr>
              <w:t xml:space="preserve">1,3 </w:t>
            </w:r>
          </w:p>
        </w:tc>
        <w:tc>
          <w:tcPr>
            <w:tcW w:w="1531" w:type="dxa"/>
          </w:tcPr>
          <w:p w14:paraId="4842D71F" w14:textId="77777777" w:rsidR="0072478B" w:rsidRPr="002767CE" w:rsidRDefault="0072478B" w:rsidP="00B636A3">
            <w:pPr>
              <w:autoSpaceDE w:val="0"/>
              <w:autoSpaceDN w:val="0"/>
              <w:adjustRightInd w:val="0"/>
              <w:rPr>
                <w:rFonts w:ascii="Garamond" w:hAnsi="Garamond" w:cs="Garamond"/>
                <w:color w:val="000000"/>
                <w:sz w:val="23"/>
                <w:szCs w:val="23"/>
              </w:rPr>
            </w:pPr>
            <w:r w:rsidRPr="002767CE">
              <w:rPr>
                <w:rFonts w:ascii="Garamond" w:hAnsi="Garamond" w:cs="Garamond"/>
                <w:color w:val="000000"/>
                <w:sz w:val="23"/>
                <w:szCs w:val="23"/>
              </w:rPr>
              <w:t xml:space="preserve">1,3 </w:t>
            </w:r>
          </w:p>
        </w:tc>
        <w:tc>
          <w:tcPr>
            <w:tcW w:w="1127" w:type="dxa"/>
          </w:tcPr>
          <w:p w14:paraId="4743ADA8" w14:textId="77777777" w:rsidR="0072478B" w:rsidRPr="002767CE" w:rsidRDefault="0072478B" w:rsidP="00B636A3">
            <w:pPr>
              <w:autoSpaceDE w:val="0"/>
              <w:autoSpaceDN w:val="0"/>
              <w:adjustRightInd w:val="0"/>
              <w:rPr>
                <w:rFonts w:ascii="Garamond" w:hAnsi="Garamond" w:cs="Garamond"/>
                <w:color w:val="000000"/>
                <w:sz w:val="23"/>
                <w:szCs w:val="23"/>
              </w:rPr>
            </w:pPr>
            <w:r w:rsidRPr="002767CE">
              <w:rPr>
                <w:rFonts w:ascii="Garamond" w:hAnsi="Garamond" w:cs="Garamond"/>
                <w:b/>
                <w:bCs/>
                <w:color w:val="000000"/>
                <w:sz w:val="23"/>
                <w:szCs w:val="23"/>
              </w:rPr>
              <w:t xml:space="preserve">2,6,8 </w:t>
            </w:r>
          </w:p>
        </w:tc>
        <w:tc>
          <w:tcPr>
            <w:tcW w:w="2589" w:type="dxa"/>
          </w:tcPr>
          <w:p w14:paraId="0A69E75E" w14:textId="77777777" w:rsidR="0072478B" w:rsidRPr="002767CE" w:rsidRDefault="0072478B" w:rsidP="00B636A3">
            <w:pPr>
              <w:autoSpaceDE w:val="0"/>
              <w:autoSpaceDN w:val="0"/>
              <w:adjustRightInd w:val="0"/>
              <w:rPr>
                <w:rFonts w:ascii="Garamond" w:hAnsi="Garamond" w:cs="Garamond"/>
                <w:color w:val="000000"/>
                <w:sz w:val="23"/>
                <w:szCs w:val="23"/>
              </w:rPr>
            </w:pPr>
            <w:r w:rsidRPr="002767CE">
              <w:rPr>
                <w:rFonts w:ascii="Garamond" w:hAnsi="Garamond" w:cs="Garamond"/>
                <w:color w:val="000000"/>
                <w:sz w:val="23"/>
                <w:szCs w:val="23"/>
              </w:rPr>
              <w:t xml:space="preserve">Recode v2.1 and earlier: 1=4, 3=8 </w:t>
            </w:r>
          </w:p>
          <w:p w14:paraId="1BDDB2C1" w14:textId="77777777" w:rsidR="0072478B" w:rsidRPr="002767CE" w:rsidRDefault="0072478B" w:rsidP="00B636A3">
            <w:pPr>
              <w:autoSpaceDE w:val="0"/>
              <w:autoSpaceDN w:val="0"/>
              <w:adjustRightInd w:val="0"/>
              <w:rPr>
                <w:rFonts w:ascii="Garamond" w:hAnsi="Garamond" w:cs="Garamond"/>
                <w:color w:val="000000"/>
                <w:sz w:val="23"/>
                <w:szCs w:val="23"/>
              </w:rPr>
            </w:pPr>
            <w:r w:rsidRPr="002767CE">
              <w:rPr>
                <w:rFonts w:ascii="Garamond" w:hAnsi="Garamond" w:cs="Garamond"/>
                <w:color w:val="000000"/>
                <w:sz w:val="23"/>
                <w:szCs w:val="23"/>
              </w:rPr>
              <w:t xml:space="preserve">Note: low option split into 2 options </w:t>
            </w:r>
          </w:p>
        </w:tc>
      </w:tr>
      <w:tr w:rsidR="00E8725D" w:rsidRPr="002767CE" w14:paraId="47078EEA" w14:textId="53E864CC" w:rsidTr="0072478B">
        <w:trPr>
          <w:trHeight w:val="291"/>
        </w:trPr>
        <w:tc>
          <w:tcPr>
            <w:tcW w:w="2093" w:type="dxa"/>
          </w:tcPr>
          <w:p w14:paraId="03C1273C" w14:textId="77777777" w:rsidR="0072478B" w:rsidRPr="002767CE" w:rsidRDefault="0072478B" w:rsidP="00B636A3">
            <w:pPr>
              <w:autoSpaceDE w:val="0"/>
              <w:autoSpaceDN w:val="0"/>
              <w:adjustRightInd w:val="0"/>
              <w:rPr>
                <w:rFonts w:ascii="Garamond" w:hAnsi="Garamond" w:cs="Garamond"/>
                <w:color w:val="000000"/>
                <w:sz w:val="23"/>
                <w:szCs w:val="23"/>
              </w:rPr>
            </w:pPr>
            <w:r w:rsidRPr="002767CE">
              <w:rPr>
                <w:rFonts w:ascii="Garamond" w:hAnsi="Garamond" w:cs="Garamond"/>
                <w:color w:val="000000"/>
                <w:sz w:val="23"/>
                <w:szCs w:val="23"/>
              </w:rPr>
              <w:t xml:space="preserve">4. Prizeback percentage </w:t>
            </w:r>
          </w:p>
          <w:p w14:paraId="240AEDA8" w14:textId="77777777" w:rsidR="0072478B" w:rsidRPr="002767CE" w:rsidRDefault="0072478B" w:rsidP="00B636A3">
            <w:pPr>
              <w:autoSpaceDE w:val="0"/>
              <w:autoSpaceDN w:val="0"/>
              <w:adjustRightInd w:val="0"/>
              <w:rPr>
                <w:rFonts w:ascii="Garamond" w:hAnsi="Garamond" w:cs="Garamond"/>
                <w:color w:val="000000"/>
                <w:sz w:val="23"/>
                <w:szCs w:val="23"/>
              </w:rPr>
            </w:pPr>
          </w:p>
        </w:tc>
        <w:tc>
          <w:tcPr>
            <w:tcW w:w="1623" w:type="dxa"/>
          </w:tcPr>
          <w:p w14:paraId="524C1D19" w14:textId="77777777" w:rsidR="0072478B" w:rsidRPr="002767CE" w:rsidRDefault="0072478B" w:rsidP="00B636A3">
            <w:pPr>
              <w:autoSpaceDE w:val="0"/>
              <w:autoSpaceDN w:val="0"/>
              <w:adjustRightInd w:val="0"/>
              <w:rPr>
                <w:rFonts w:ascii="Garamond" w:hAnsi="Garamond" w:cs="Garamond"/>
                <w:color w:val="000000"/>
                <w:sz w:val="23"/>
                <w:szCs w:val="23"/>
              </w:rPr>
            </w:pPr>
            <w:r w:rsidRPr="002767CE">
              <w:rPr>
                <w:rFonts w:ascii="Garamond" w:hAnsi="Garamond" w:cs="Garamond"/>
                <w:color w:val="000000"/>
                <w:sz w:val="23"/>
                <w:szCs w:val="23"/>
              </w:rPr>
              <w:t xml:space="preserve">1,3,5 </w:t>
            </w:r>
          </w:p>
        </w:tc>
        <w:tc>
          <w:tcPr>
            <w:tcW w:w="1531" w:type="dxa"/>
          </w:tcPr>
          <w:p w14:paraId="4D052478" w14:textId="77777777" w:rsidR="0072478B" w:rsidRPr="002767CE" w:rsidRDefault="0072478B" w:rsidP="00B636A3">
            <w:pPr>
              <w:autoSpaceDE w:val="0"/>
              <w:autoSpaceDN w:val="0"/>
              <w:adjustRightInd w:val="0"/>
              <w:rPr>
                <w:rFonts w:ascii="Garamond" w:hAnsi="Garamond" w:cs="Garamond"/>
                <w:color w:val="000000"/>
                <w:sz w:val="23"/>
                <w:szCs w:val="23"/>
              </w:rPr>
            </w:pPr>
            <w:r w:rsidRPr="002767CE">
              <w:rPr>
                <w:rFonts w:ascii="Garamond" w:hAnsi="Garamond" w:cs="Garamond"/>
                <w:b/>
                <w:bCs/>
                <w:color w:val="000000"/>
                <w:sz w:val="23"/>
                <w:szCs w:val="23"/>
              </w:rPr>
              <w:t xml:space="preserve">1,2,3 </w:t>
            </w:r>
          </w:p>
        </w:tc>
        <w:tc>
          <w:tcPr>
            <w:tcW w:w="1531" w:type="dxa"/>
          </w:tcPr>
          <w:p w14:paraId="5954E802" w14:textId="77777777" w:rsidR="0072478B" w:rsidRPr="002767CE" w:rsidRDefault="0072478B" w:rsidP="00B636A3">
            <w:pPr>
              <w:autoSpaceDE w:val="0"/>
              <w:autoSpaceDN w:val="0"/>
              <w:adjustRightInd w:val="0"/>
              <w:rPr>
                <w:rFonts w:ascii="Garamond" w:hAnsi="Garamond" w:cs="Garamond"/>
                <w:color w:val="000000"/>
                <w:sz w:val="23"/>
                <w:szCs w:val="23"/>
              </w:rPr>
            </w:pPr>
            <w:r w:rsidRPr="002767CE">
              <w:rPr>
                <w:rFonts w:ascii="Garamond" w:hAnsi="Garamond" w:cs="Garamond"/>
                <w:color w:val="000000"/>
                <w:sz w:val="23"/>
                <w:szCs w:val="23"/>
              </w:rPr>
              <w:t xml:space="preserve">1,2,3 </w:t>
            </w:r>
          </w:p>
        </w:tc>
        <w:tc>
          <w:tcPr>
            <w:tcW w:w="1127" w:type="dxa"/>
          </w:tcPr>
          <w:p w14:paraId="29557B74" w14:textId="77777777" w:rsidR="0072478B" w:rsidRPr="002767CE" w:rsidRDefault="0072478B" w:rsidP="00B636A3">
            <w:pPr>
              <w:autoSpaceDE w:val="0"/>
              <w:autoSpaceDN w:val="0"/>
              <w:adjustRightInd w:val="0"/>
              <w:rPr>
                <w:rFonts w:ascii="Garamond" w:hAnsi="Garamond" w:cs="Garamond"/>
                <w:color w:val="000000"/>
                <w:sz w:val="23"/>
                <w:szCs w:val="23"/>
              </w:rPr>
            </w:pPr>
            <w:r w:rsidRPr="002767CE">
              <w:rPr>
                <w:rFonts w:ascii="Garamond" w:hAnsi="Garamond" w:cs="Garamond"/>
                <w:b/>
                <w:bCs/>
                <w:color w:val="000000"/>
                <w:sz w:val="23"/>
                <w:szCs w:val="23"/>
              </w:rPr>
              <w:t xml:space="preserve">2,4,6 </w:t>
            </w:r>
          </w:p>
        </w:tc>
        <w:tc>
          <w:tcPr>
            <w:tcW w:w="2589" w:type="dxa"/>
          </w:tcPr>
          <w:p w14:paraId="4F6DEC1A" w14:textId="77777777" w:rsidR="0072478B" w:rsidRPr="002767CE" w:rsidRDefault="0072478B" w:rsidP="00B636A3">
            <w:pPr>
              <w:autoSpaceDE w:val="0"/>
              <w:autoSpaceDN w:val="0"/>
              <w:adjustRightInd w:val="0"/>
              <w:rPr>
                <w:rFonts w:ascii="Garamond" w:hAnsi="Garamond" w:cs="Garamond"/>
                <w:color w:val="000000"/>
                <w:sz w:val="23"/>
                <w:szCs w:val="23"/>
              </w:rPr>
            </w:pPr>
            <w:r w:rsidRPr="002767CE">
              <w:rPr>
                <w:rFonts w:ascii="Garamond" w:hAnsi="Garamond" w:cs="Garamond"/>
                <w:color w:val="000000"/>
                <w:sz w:val="23"/>
                <w:szCs w:val="23"/>
              </w:rPr>
              <w:t xml:space="preserve">Recode v1.0:1=2, 3=4, 5=6; Double scores for v 1.1 through v 2.1 </w:t>
            </w:r>
          </w:p>
        </w:tc>
      </w:tr>
      <w:tr w:rsidR="00E8725D" w:rsidRPr="002767CE" w14:paraId="0F856492" w14:textId="49F6B093" w:rsidTr="0072478B">
        <w:trPr>
          <w:trHeight w:val="291"/>
        </w:trPr>
        <w:tc>
          <w:tcPr>
            <w:tcW w:w="2093" w:type="dxa"/>
          </w:tcPr>
          <w:p w14:paraId="08028F50" w14:textId="77777777" w:rsidR="0072478B" w:rsidRPr="002767CE" w:rsidRDefault="0072478B" w:rsidP="00B636A3">
            <w:pPr>
              <w:autoSpaceDE w:val="0"/>
              <w:autoSpaceDN w:val="0"/>
              <w:adjustRightInd w:val="0"/>
              <w:rPr>
                <w:rFonts w:ascii="Garamond" w:hAnsi="Garamond" w:cs="Garamond"/>
                <w:color w:val="000000"/>
                <w:sz w:val="23"/>
                <w:szCs w:val="23"/>
              </w:rPr>
            </w:pPr>
            <w:r w:rsidRPr="002767CE">
              <w:rPr>
                <w:rFonts w:ascii="Garamond" w:hAnsi="Garamond" w:cs="Garamond"/>
                <w:color w:val="000000"/>
                <w:sz w:val="23"/>
                <w:szCs w:val="23"/>
              </w:rPr>
              <w:t xml:space="preserve">5. Jackpot size </w:t>
            </w:r>
          </w:p>
          <w:p w14:paraId="65409D8B" w14:textId="77777777" w:rsidR="0072478B" w:rsidRPr="002767CE" w:rsidRDefault="0072478B" w:rsidP="00B636A3">
            <w:pPr>
              <w:autoSpaceDE w:val="0"/>
              <w:autoSpaceDN w:val="0"/>
              <w:adjustRightInd w:val="0"/>
              <w:rPr>
                <w:rFonts w:ascii="Garamond" w:hAnsi="Garamond" w:cs="Garamond"/>
                <w:color w:val="000000"/>
                <w:sz w:val="23"/>
                <w:szCs w:val="23"/>
              </w:rPr>
            </w:pPr>
          </w:p>
        </w:tc>
        <w:tc>
          <w:tcPr>
            <w:tcW w:w="1623" w:type="dxa"/>
          </w:tcPr>
          <w:p w14:paraId="7AE8C126" w14:textId="77777777" w:rsidR="0072478B" w:rsidRPr="002767CE" w:rsidRDefault="0072478B" w:rsidP="00B636A3">
            <w:pPr>
              <w:autoSpaceDE w:val="0"/>
              <w:autoSpaceDN w:val="0"/>
              <w:adjustRightInd w:val="0"/>
              <w:rPr>
                <w:rFonts w:ascii="Garamond" w:hAnsi="Garamond" w:cs="Garamond"/>
                <w:color w:val="000000"/>
                <w:sz w:val="23"/>
                <w:szCs w:val="23"/>
              </w:rPr>
            </w:pPr>
            <w:r w:rsidRPr="002767CE">
              <w:rPr>
                <w:rFonts w:ascii="Garamond" w:hAnsi="Garamond" w:cs="Garamond"/>
                <w:color w:val="000000"/>
                <w:sz w:val="23"/>
                <w:szCs w:val="23"/>
              </w:rPr>
              <w:t xml:space="preserve">0.5,1,1.5,2,2.5,3,1.5 </w:t>
            </w:r>
          </w:p>
        </w:tc>
        <w:tc>
          <w:tcPr>
            <w:tcW w:w="1531" w:type="dxa"/>
          </w:tcPr>
          <w:p w14:paraId="4E46BEF9" w14:textId="77777777" w:rsidR="0072478B" w:rsidRPr="002767CE" w:rsidRDefault="0072478B" w:rsidP="00B636A3">
            <w:pPr>
              <w:autoSpaceDE w:val="0"/>
              <w:autoSpaceDN w:val="0"/>
              <w:adjustRightInd w:val="0"/>
              <w:rPr>
                <w:rFonts w:ascii="Garamond" w:hAnsi="Garamond" w:cs="Garamond"/>
                <w:color w:val="000000"/>
                <w:sz w:val="23"/>
                <w:szCs w:val="23"/>
              </w:rPr>
            </w:pPr>
            <w:r w:rsidRPr="002767CE">
              <w:rPr>
                <w:rFonts w:ascii="Garamond" w:hAnsi="Garamond" w:cs="Garamond"/>
                <w:color w:val="000000"/>
                <w:sz w:val="23"/>
                <w:szCs w:val="23"/>
              </w:rPr>
              <w:t xml:space="preserve">0.5,1,1.5,2,2.5,3,1.5 </w:t>
            </w:r>
          </w:p>
        </w:tc>
        <w:tc>
          <w:tcPr>
            <w:tcW w:w="1531" w:type="dxa"/>
          </w:tcPr>
          <w:p w14:paraId="0B192D27" w14:textId="77777777" w:rsidR="0072478B" w:rsidRPr="002767CE" w:rsidRDefault="0072478B" w:rsidP="00B636A3">
            <w:pPr>
              <w:autoSpaceDE w:val="0"/>
              <w:autoSpaceDN w:val="0"/>
              <w:adjustRightInd w:val="0"/>
              <w:rPr>
                <w:rFonts w:ascii="Garamond" w:hAnsi="Garamond" w:cs="Garamond"/>
                <w:color w:val="000000"/>
                <w:sz w:val="23"/>
                <w:szCs w:val="23"/>
              </w:rPr>
            </w:pPr>
            <w:r w:rsidRPr="002767CE">
              <w:rPr>
                <w:rFonts w:ascii="Garamond" w:hAnsi="Garamond" w:cs="Garamond"/>
                <w:color w:val="000000"/>
                <w:sz w:val="23"/>
                <w:szCs w:val="23"/>
              </w:rPr>
              <w:t xml:space="preserve">0.5,1,1.5,2,2.5,3,1.5 </w:t>
            </w:r>
          </w:p>
        </w:tc>
        <w:tc>
          <w:tcPr>
            <w:tcW w:w="1127" w:type="dxa"/>
          </w:tcPr>
          <w:p w14:paraId="5FE5EAB6" w14:textId="77777777" w:rsidR="0072478B" w:rsidRPr="002767CE" w:rsidRDefault="0072478B" w:rsidP="00B636A3">
            <w:pPr>
              <w:autoSpaceDE w:val="0"/>
              <w:autoSpaceDN w:val="0"/>
              <w:adjustRightInd w:val="0"/>
              <w:rPr>
                <w:rFonts w:ascii="Garamond" w:hAnsi="Garamond" w:cs="Garamond"/>
                <w:color w:val="000000"/>
                <w:sz w:val="23"/>
                <w:szCs w:val="23"/>
              </w:rPr>
            </w:pPr>
            <w:r w:rsidRPr="002767CE">
              <w:rPr>
                <w:rFonts w:ascii="Garamond" w:hAnsi="Garamond" w:cs="Garamond"/>
                <w:b/>
                <w:bCs/>
                <w:color w:val="000000"/>
                <w:sz w:val="23"/>
                <w:szCs w:val="23"/>
              </w:rPr>
              <w:t xml:space="preserve">1,2,3,4,5,6,3 </w:t>
            </w:r>
          </w:p>
        </w:tc>
        <w:tc>
          <w:tcPr>
            <w:tcW w:w="2589" w:type="dxa"/>
          </w:tcPr>
          <w:p w14:paraId="126A3524" w14:textId="77777777" w:rsidR="0072478B" w:rsidRPr="002767CE" w:rsidRDefault="0072478B" w:rsidP="00B636A3">
            <w:pPr>
              <w:autoSpaceDE w:val="0"/>
              <w:autoSpaceDN w:val="0"/>
              <w:adjustRightInd w:val="0"/>
              <w:rPr>
                <w:rFonts w:ascii="Garamond" w:hAnsi="Garamond" w:cs="Garamond"/>
                <w:color w:val="000000"/>
                <w:sz w:val="23"/>
                <w:szCs w:val="23"/>
              </w:rPr>
            </w:pPr>
            <w:r w:rsidRPr="002767CE">
              <w:rPr>
                <w:rFonts w:ascii="Garamond" w:hAnsi="Garamond" w:cs="Garamond"/>
                <w:color w:val="000000"/>
                <w:sz w:val="23"/>
                <w:szCs w:val="23"/>
              </w:rPr>
              <w:t xml:space="preserve">Double scores for v2.1 and earlier </w:t>
            </w:r>
          </w:p>
        </w:tc>
      </w:tr>
      <w:tr w:rsidR="00E8725D" w:rsidRPr="002767CE" w14:paraId="062DDB03" w14:textId="201C4476" w:rsidTr="0072478B">
        <w:trPr>
          <w:trHeight w:val="290"/>
        </w:trPr>
        <w:tc>
          <w:tcPr>
            <w:tcW w:w="2093" w:type="dxa"/>
          </w:tcPr>
          <w:p w14:paraId="0B6FFB40" w14:textId="77777777" w:rsidR="0072478B" w:rsidRPr="002767CE" w:rsidRDefault="0072478B" w:rsidP="00B636A3">
            <w:pPr>
              <w:autoSpaceDE w:val="0"/>
              <w:autoSpaceDN w:val="0"/>
              <w:adjustRightInd w:val="0"/>
              <w:rPr>
                <w:rFonts w:ascii="Garamond" w:hAnsi="Garamond" w:cs="Garamond"/>
                <w:color w:val="000000"/>
                <w:sz w:val="23"/>
                <w:szCs w:val="23"/>
              </w:rPr>
            </w:pPr>
            <w:r w:rsidRPr="002767CE">
              <w:rPr>
                <w:rFonts w:ascii="Garamond" w:hAnsi="Garamond" w:cs="Garamond"/>
                <w:color w:val="000000"/>
                <w:sz w:val="23"/>
                <w:szCs w:val="23"/>
              </w:rPr>
              <w:t xml:space="preserve">6. Near win opportunities </w:t>
            </w:r>
          </w:p>
          <w:p w14:paraId="6206814B" w14:textId="77777777" w:rsidR="0072478B" w:rsidRPr="002767CE" w:rsidRDefault="0072478B" w:rsidP="00B636A3">
            <w:pPr>
              <w:autoSpaceDE w:val="0"/>
              <w:autoSpaceDN w:val="0"/>
              <w:adjustRightInd w:val="0"/>
              <w:rPr>
                <w:rFonts w:ascii="Garamond" w:hAnsi="Garamond" w:cs="Garamond"/>
                <w:color w:val="000000"/>
                <w:sz w:val="23"/>
                <w:szCs w:val="23"/>
              </w:rPr>
            </w:pPr>
          </w:p>
        </w:tc>
        <w:tc>
          <w:tcPr>
            <w:tcW w:w="1623" w:type="dxa"/>
          </w:tcPr>
          <w:p w14:paraId="2E9AF92E" w14:textId="77777777" w:rsidR="0072478B" w:rsidRPr="002767CE" w:rsidRDefault="0072478B" w:rsidP="00B636A3">
            <w:pPr>
              <w:autoSpaceDE w:val="0"/>
              <w:autoSpaceDN w:val="0"/>
              <w:adjustRightInd w:val="0"/>
              <w:rPr>
                <w:rFonts w:ascii="Garamond" w:hAnsi="Garamond" w:cs="Garamond"/>
                <w:color w:val="000000"/>
                <w:sz w:val="23"/>
                <w:szCs w:val="23"/>
              </w:rPr>
            </w:pPr>
            <w:r w:rsidRPr="002767CE">
              <w:rPr>
                <w:rFonts w:ascii="Garamond" w:hAnsi="Garamond" w:cs="Garamond"/>
                <w:color w:val="000000"/>
                <w:sz w:val="23"/>
                <w:szCs w:val="23"/>
              </w:rPr>
              <w:t xml:space="preserve">1,3 </w:t>
            </w:r>
          </w:p>
        </w:tc>
        <w:tc>
          <w:tcPr>
            <w:tcW w:w="1531" w:type="dxa"/>
          </w:tcPr>
          <w:p w14:paraId="0A5638E0" w14:textId="77777777" w:rsidR="0072478B" w:rsidRPr="002767CE" w:rsidRDefault="0072478B" w:rsidP="00B636A3">
            <w:pPr>
              <w:autoSpaceDE w:val="0"/>
              <w:autoSpaceDN w:val="0"/>
              <w:adjustRightInd w:val="0"/>
              <w:rPr>
                <w:rFonts w:ascii="Garamond" w:hAnsi="Garamond" w:cs="Garamond"/>
                <w:color w:val="000000"/>
                <w:sz w:val="23"/>
                <w:szCs w:val="23"/>
              </w:rPr>
            </w:pPr>
            <w:r w:rsidRPr="002767CE">
              <w:rPr>
                <w:rFonts w:ascii="Garamond" w:hAnsi="Garamond" w:cs="Garamond"/>
                <w:b/>
                <w:bCs/>
                <w:color w:val="000000"/>
                <w:sz w:val="23"/>
                <w:szCs w:val="23"/>
              </w:rPr>
              <w:t xml:space="preserve">0,2 </w:t>
            </w:r>
          </w:p>
        </w:tc>
        <w:tc>
          <w:tcPr>
            <w:tcW w:w="1531" w:type="dxa"/>
          </w:tcPr>
          <w:p w14:paraId="28D090B7" w14:textId="77777777" w:rsidR="0072478B" w:rsidRPr="002767CE" w:rsidRDefault="0072478B" w:rsidP="00B636A3">
            <w:pPr>
              <w:autoSpaceDE w:val="0"/>
              <w:autoSpaceDN w:val="0"/>
              <w:adjustRightInd w:val="0"/>
              <w:rPr>
                <w:rFonts w:ascii="Garamond" w:hAnsi="Garamond" w:cs="Garamond"/>
                <w:color w:val="000000"/>
                <w:sz w:val="23"/>
                <w:szCs w:val="23"/>
              </w:rPr>
            </w:pPr>
            <w:r w:rsidRPr="002767CE">
              <w:rPr>
                <w:rFonts w:ascii="Garamond" w:hAnsi="Garamond" w:cs="Garamond"/>
                <w:color w:val="000000"/>
                <w:sz w:val="23"/>
                <w:szCs w:val="23"/>
              </w:rPr>
              <w:t xml:space="preserve">0,2 </w:t>
            </w:r>
          </w:p>
        </w:tc>
        <w:tc>
          <w:tcPr>
            <w:tcW w:w="1127" w:type="dxa"/>
          </w:tcPr>
          <w:p w14:paraId="644C7DD1" w14:textId="77777777" w:rsidR="0072478B" w:rsidRPr="002767CE" w:rsidRDefault="0072478B" w:rsidP="00B636A3">
            <w:pPr>
              <w:autoSpaceDE w:val="0"/>
              <w:autoSpaceDN w:val="0"/>
              <w:adjustRightInd w:val="0"/>
              <w:rPr>
                <w:rFonts w:ascii="Garamond" w:hAnsi="Garamond" w:cs="Garamond"/>
                <w:color w:val="000000"/>
                <w:sz w:val="23"/>
                <w:szCs w:val="23"/>
              </w:rPr>
            </w:pPr>
            <w:r w:rsidRPr="002767CE">
              <w:rPr>
                <w:rFonts w:ascii="Garamond" w:hAnsi="Garamond" w:cs="Garamond"/>
                <w:b/>
                <w:bCs/>
                <w:color w:val="000000"/>
                <w:sz w:val="23"/>
                <w:szCs w:val="23"/>
              </w:rPr>
              <w:t xml:space="preserve">0,4 </w:t>
            </w:r>
          </w:p>
        </w:tc>
        <w:tc>
          <w:tcPr>
            <w:tcW w:w="2589" w:type="dxa"/>
          </w:tcPr>
          <w:p w14:paraId="6583A3C0" w14:textId="77777777" w:rsidR="0072478B" w:rsidRPr="002767CE" w:rsidRDefault="0072478B" w:rsidP="00B636A3">
            <w:pPr>
              <w:autoSpaceDE w:val="0"/>
              <w:autoSpaceDN w:val="0"/>
              <w:adjustRightInd w:val="0"/>
              <w:rPr>
                <w:rFonts w:ascii="Garamond" w:hAnsi="Garamond" w:cs="Garamond"/>
                <w:color w:val="000000"/>
                <w:sz w:val="23"/>
                <w:szCs w:val="23"/>
              </w:rPr>
            </w:pPr>
            <w:r w:rsidRPr="002767CE">
              <w:rPr>
                <w:rFonts w:ascii="Garamond" w:hAnsi="Garamond" w:cs="Garamond"/>
                <w:color w:val="000000"/>
                <w:sz w:val="23"/>
                <w:szCs w:val="23"/>
              </w:rPr>
              <w:t xml:space="preserve">Recode v1.0: 1=0, 3=2; Double scores for v 1.1 through v2.1 </w:t>
            </w:r>
          </w:p>
        </w:tc>
      </w:tr>
      <w:tr w:rsidR="00E8725D" w:rsidRPr="002767CE" w14:paraId="08C33F09" w14:textId="52AF6653" w:rsidTr="0072478B">
        <w:trPr>
          <w:trHeight w:val="426"/>
        </w:trPr>
        <w:tc>
          <w:tcPr>
            <w:tcW w:w="2093" w:type="dxa"/>
          </w:tcPr>
          <w:p w14:paraId="2837C8E6" w14:textId="77777777" w:rsidR="0072478B" w:rsidRPr="002767CE" w:rsidRDefault="0072478B" w:rsidP="00B636A3">
            <w:pPr>
              <w:autoSpaceDE w:val="0"/>
              <w:autoSpaceDN w:val="0"/>
              <w:adjustRightInd w:val="0"/>
              <w:rPr>
                <w:rFonts w:ascii="Garamond" w:hAnsi="Garamond" w:cs="Garamond"/>
                <w:color w:val="000000"/>
                <w:sz w:val="23"/>
                <w:szCs w:val="23"/>
              </w:rPr>
            </w:pPr>
            <w:r w:rsidRPr="002767CE">
              <w:rPr>
                <w:rFonts w:ascii="Garamond" w:hAnsi="Garamond" w:cs="Garamond"/>
                <w:color w:val="000000"/>
                <w:sz w:val="23"/>
                <w:szCs w:val="23"/>
              </w:rPr>
              <w:t xml:space="preserve">7. Continuity of play </w:t>
            </w:r>
          </w:p>
          <w:p w14:paraId="7F22EBFA" w14:textId="77777777" w:rsidR="0072478B" w:rsidRPr="002767CE" w:rsidRDefault="0072478B" w:rsidP="00B636A3">
            <w:pPr>
              <w:autoSpaceDE w:val="0"/>
              <w:autoSpaceDN w:val="0"/>
              <w:adjustRightInd w:val="0"/>
              <w:rPr>
                <w:rFonts w:ascii="Garamond" w:hAnsi="Garamond" w:cs="Garamond"/>
                <w:color w:val="000000"/>
                <w:sz w:val="23"/>
                <w:szCs w:val="23"/>
              </w:rPr>
            </w:pPr>
          </w:p>
        </w:tc>
        <w:tc>
          <w:tcPr>
            <w:tcW w:w="1623" w:type="dxa"/>
          </w:tcPr>
          <w:p w14:paraId="79C3E082" w14:textId="77777777" w:rsidR="0072478B" w:rsidRPr="002767CE" w:rsidRDefault="0072478B" w:rsidP="00B636A3">
            <w:pPr>
              <w:autoSpaceDE w:val="0"/>
              <w:autoSpaceDN w:val="0"/>
              <w:adjustRightInd w:val="0"/>
              <w:rPr>
                <w:rFonts w:ascii="Garamond" w:hAnsi="Garamond" w:cs="Garamond"/>
                <w:color w:val="000000"/>
                <w:sz w:val="23"/>
                <w:szCs w:val="23"/>
              </w:rPr>
            </w:pPr>
            <w:r w:rsidRPr="002767CE">
              <w:rPr>
                <w:rFonts w:ascii="Garamond" w:hAnsi="Garamond" w:cs="Garamond"/>
                <w:color w:val="000000"/>
                <w:sz w:val="23"/>
                <w:szCs w:val="23"/>
              </w:rPr>
              <w:t xml:space="preserve">1,2,3 </w:t>
            </w:r>
          </w:p>
        </w:tc>
        <w:tc>
          <w:tcPr>
            <w:tcW w:w="1531" w:type="dxa"/>
          </w:tcPr>
          <w:p w14:paraId="6A88E3D2" w14:textId="77777777" w:rsidR="0072478B" w:rsidRPr="002767CE" w:rsidRDefault="0072478B" w:rsidP="00B636A3">
            <w:pPr>
              <w:autoSpaceDE w:val="0"/>
              <w:autoSpaceDN w:val="0"/>
              <w:adjustRightInd w:val="0"/>
              <w:rPr>
                <w:rFonts w:ascii="Garamond" w:hAnsi="Garamond" w:cs="Garamond"/>
                <w:color w:val="000000"/>
                <w:sz w:val="23"/>
                <w:szCs w:val="23"/>
              </w:rPr>
            </w:pPr>
            <w:r w:rsidRPr="002767CE">
              <w:rPr>
                <w:rFonts w:ascii="Garamond" w:hAnsi="Garamond" w:cs="Garamond"/>
                <w:color w:val="000000"/>
                <w:sz w:val="23"/>
                <w:szCs w:val="23"/>
              </w:rPr>
              <w:t xml:space="preserve">1,2,3 </w:t>
            </w:r>
          </w:p>
        </w:tc>
        <w:tc>
          <w:tcPr>
            <w:tcW w:w="1531" w:type="dxa"/>
          </w:tcPr>
          <w:p w14:paraId="2098CE3A" w14:textId="77777777" w:rsidR="0072478B" w:rsidRPr="002767CE" w:rsidRDefault="0072478B" w:rsidP="00B636A3">
            <w:pPr>
              <w:autoSpaceDE w:val="0"/>
              <w:autoSpaceDN w:val="0"/>
              <w:adjustRightInd w:val="0"/>
              <w:rPr>
                <w:rFonts w:ascii="Garamond" w:hAnsi="Garamond" w:cs="Garamond"/>
                <w:color w:val="000000"/>
                <w:sz w:val="23"/>
                <w:szCs w:val="23"/>
              </w:rPr>
            </w:pPr>
            <w:r w:rsidRPr="002767CE">
              <w:rPr>
                <w:rFonts w:ascii="Garamond" w:hAnsi="Garamond" w:cs="Garamond"/>
                <w:b/>
                <w:bCs/>
                <w:color w:val="000000"/>
                <w:sz w:val="23"/>
                <w:szCs w:val="23"/>
              </w:rPr>
              <w:t xml:space="preserve">1,2,3,4,5 </w:t>
            </w:r>
          </w:p>
        </w:tc>
        <w:tc>
          <w:tcPr>
            <w:tcW w:w="1127" w:type="dxa"/>
          </w:tcPr>
          <w:p w14:paraId="212C3FDE" w14:textId="77777777" w:rsidR="0072478B" w:rsidRPr="002767CE" w:rsidRDefault="0072478B" w:rsidP="00B636A3">
            <w:pPr>
              <w:autoSpaceDE w:val="0"/>
              <w:autoSpaceDN w:val="0"/>
              <w:adjustRightInd w:val="0"/>
              <w:rPr>
                <w:rFonts w:ascii="Garamond" w:hAnsi="Garamond" w:cs="Garamond"/>
                <w:color w:val="000000"/>
                <w:sz w:val="23"/>
                <w:szCs w:val="23"/>
              </w:rPr>
            </w:pPr>
            <w:r w:rsidRPr="002767CE">
              <w:rPr>
                <w:rFonts w:ascii="Garamond" w:hAnsi="Garamond" w:cs="Garamond"/>
                <w:b/>
                <w:bCs/>
                <w:color w:val="000000"/>
                <w:sz w:val="23"/>
                <w:szCs w:val="23"/>
              </w:rPr>
              <w:t xml:space="preserve">0,6,10 </w:t>
            </w:r>
          </w:p>
        </w:tc>
        <w:tc>
          <w:tcPr>
            <w:tcW w:w="2589" w:type="dxa"/>
          </w:tcPr>
          <w:p w14:paraId="399AF55A" w14:textId="77777777" w:rsidR="0072478B" w:rsidRPr="002767CE" w:rsidRDefault="0072478B" w:rsidP="00B636A3">
            <w:pPr>
              <w:autoSpaceDE w:val="0"/>
              <w:autoSpaceDN w:val="0"/>
              <w:adjustRightInd w:val="0"/>
              <w:rPr>
                <w:rFonts w:ascii="Garamond" w:hAnsi="Garamond" w:cs="Garamond"/>
                <w:color w:val="000000"/>
                <w:sz w:val="23"/>
                <w:szCs w:val="23"/>
              </w:rPr>
            </w:pPr>
            <w:r w:rsidRPr="002767CE">
              <w:rPr>
                <w:rFonts w:ascii="Garamond" w:hAnsi="Garamond" w:cs="Garamond"/>
                <w:color w:val="000000"/>
                <w:sz w:val="23"/>
                <w:szCs w:val="23"/>
              </w:rPr>
              <w:t xml:space="preserve">Recode v 1.0 and v 1.1: 1=0, 2=6, 3=10. Recode v 2.1 and earlier; 1=0, 2&amp;3=6, 4&amp;5=10 </w:t>
            </w:r>
          </w:p>
        </w:tc>
      </w:tr>
      <w:tr w:rsidR="00E8725D" w:rsidRPr="002767CE" w14:paraId="17FE4B97" w14:textId="2087303E" w:rsidTr="0072478B">
        <w:trPr>
          <w:trHeight w:val="164"/>
        </w:trPr>
        <w:tc>
          <w:tcPr>
            <w:tcW w:w="2093" w:type="dxa"/>
          </w:tcPr>
          <w:p w14:paraId="4555FEBB" w14:textId="77777777" w:rsidR="0072478B" w:rsidRPr="002767CE" w:rsidRDefault="0072478B" w:rsidP="00B636A3">
            <w:pPr>
              <w:autoSpaceDE w:val="0"/>
              <w:autoSpaceDN w:val="0"/>
              <w:adjustRightInd w:val="0"/>
              <w:rPr>
                <w:rFonts w:ascii="Garamond" w:hAnsi="Garamond" w:cs="Garamond"/>
                <w:color w:val="000000"/>
                <w:sz w:val="23"/>
                <w:szCs w:val="23"/>
              </w:rPr>
            </w:pPr>
            <w:r w:rsidRPr="002767CE">
              <w:rPr>
                <w:rFonts w:ascii="Garamond" w:hAnsi="Garamond" w:cs="Garamond"/>
                <w:color w:val="000000"/>
                <w:sz w:val="23"/>
                <w:szCs w:val="23"/>
              </w:rPr>
              <w:t xml:space="preserve">8. Accessibility points </w:t>
            </w:r>
          </w:p>
          <w:p w14:paraId="0F1A2A32" w14:textId="77777777" w:rsidR="0072478B" w:rsidRPr="002767CE" w:rsidRDefault="0072478B" w:rsidP="00B636A3">
            <w:pPr>
              <w:autoSpaceDE w:val="0"/>
              <w:autoSpaceDN w:val="0"/>
              <w:adjustRightInd w:val="0"/>
              <w:rPr>
                <w:rFonts w:ascii="Garamond" w:hAnsi="Garamond" w:cs="Garamond"/>
                <w:color w:val="000000"/>
                <w:sz w:val="23"/>
                <w:szCs w:val="23"/>
              </w:rPr>
            </w:pPr>
          </w:p>
        </w:tc>
        <w:tc>
          <w:tcPr>
            <w:tcW w:w="1623" w:type="dxa"/>
          </w:tcPr>
          <w:p w14:paraId="79D186F8" w14:textId="77777777" w:rsidR="0072478B" w:rsidRPr="002767CE" w:rsidRDefault="0072478B" w:rsidP="00B636A3">
            <w:pPr>
              <w:autoSpaceDE w:val="0"/>
              <w:autoSpaceDN w:val="0"/>
              <w:adjustRightInd w:val="0"/>
              <w:rPr>
                <w:rFonts w:ascii="Garamond" w:hAnsi="Garamond" w:cs="Garamond"/>
                <w:color w:val="000000"/>
                <w:sz w:val="23"/>
                <w:szCs w:val="23"/>
              </w:rPr>
            </w:pPr>
            <w:r w:rsidRPr="002767CE">
              <w:rPr>
                <w:rFonts w:ascii="Garamond" w:hAnsi="Garamond" w:cs="Garamond"/>
                <w:color w:val="000000"/>
                <w:sz w:val="23"/>
                <w:szCs w:val="23"/>
              </w:rPr>
              <w:t xml:space="preserve">1,3,5 </w:t>
            </w:r>
          </w:p>
        </w:tc>
        <w:tc>
          <w:tcPr>
            <w:tcW w:w="1531" w:type="dxa"/>
          </w:tcPr>
          <w:p w14:paraId="7633CAE2" w14:textId="77777777" w:rsidR="0072478B" w:rsidRPr="002767CE" w:rsidRDefault="0072478B" w:rsidP="00B636A3">
            <w:pPr>
              <w:autoSpaceDE w:val="0"/>
              <w:autoSpaceDN w:val="0"/>
              <w:adjustRightInd w:val="0"/>
              <w:rPr>
                <w:rFonts w:ascii="Garamond" w:hAnsi="Garamond" w:cs="Garamond"/>
                <w:color w:val="000000"/>
                <w:sz w:val="23"/>
                <w:szCs w:val="23"/>
              </w:rPr>
            </w:pPr>
            <w:r w:rsidRPr="002767CE">
              <w:rPr>
                <w:rFonts w:ascii="Garamond" w:hAnsi="Garamond" w:cs="Garamond"/>
                <w:color w:val="000000"/>
                <w:sz w:val="23"/>
                <w:szCs w:val="23"/>
              </w:rPr>
              <w:t xml:space="preserve">1,3,5 </w:t>
            </w:r>
          </w:p>
        </w:tc>
        <w:tc>
          <w:tcPr>
            <w:tcW w:w="1531" w:type="dxa"/>
          </w:tcPr>
          <w:p w14:paraId="3BFB246E" w14:textId="77777777" w:rsidR="0072478B" w:rsidRPr="002767CE" w:rsidRDefault="0072478B" w:rsidP="00B636A3">
            <w:pPr>
              <w:autoSpaceDE w:val="0"/>
              <w:autoSpaceDN w:val="0"/>
              <w:adjustRightInd w:val="0"/>
              <w:rPr>
                <w:rFonts w:ascii="Garamond" w:hAnsi="Garamond" w:cs="Garamond"/>
                <w:color w:val="000000"/>
                <w:sz w:val="23"/>
                <w:szCs w:val="23"/>
              </w:rPr>
            </w:pPr>
            <w:r w:rsidRPr="002767CE">
              <w:rPr>
                <w:rFonts w:ascii="Garamond" w:hAnsi="Garamond" w:cs="Garamond"/>
                <w:color w:val="000000"/>
                <w:sz w:val="23"/>
                <w:szCs w:val="23"/>
              </w:rPr>
              <w:t xml:space="preserve">1,3,5 </w:t>
            </w:r>
          </w:p>
        </w:tc>
        <w:tc>
          <w:tcPr>
            <w:tcW w:w="1127" w:type="dxa"/>
          </w:tcPr>
          <w:p w14:paraId="2CB17232" w14:textId="77777777" w:rsidR="0072478B" w:rsidRPr="002767CE" w:rsidRDefault="0072478B" w:rsidP="00B636A3">
            <w:pPr>
              <w:autoSpaceDE w:val="0"/>
              <w:autoSpaceDN w:val="0"/>
              <w:adjustRightInd w:val="0"/>
              <w:rPr>
                <w:rFonts w:ascii="Garamond" w:hAnsi="Garamond" w:cs="Garamond"/>
                <w:color w:val="000000"/>
                <w:sz w:val="23"/>
                <w:szCs w:val="23"/>
              </w:rPr>
            </w:pPr>
            <w:r w:rsidRPr="002767CE">
              <w:rPr>
                <w:rFonts w:ascii="Garamond" w:hAnsi="Garamond" w:cs="Garamond"/>
                <w:b/>
                <w:bCs/>
                <w:color w:val="000000"/>
                <w:sz w:val="23"/>
                <w:szCs w:val="23"/>
              </w:rPr>
              <w:t xml:space="preserve">2,4,6 </w:t>
            </w:r>
          </w:p>
        </w:tc>
        <w:tc>
          <w:tcPr>
            <w:tcW w:w="2589" w:type="dxa"/>
          </w:tcPr>
          <w:p w14:paraId="2E76A0A9" w14:textId="77777777" w:rsidR="0072478B" w:rsidRPr="002767CE" w:rsidRDefault="0072478B" w:rsidP="00B636A3">
            <w:pPr>
              <w:autoSpaceDE w:val="0"/>
              <w:autoSpaceDN w:val="0"/>
              <w:adjustRightInd w:val="0"/>
              <w:rPr>
                <w:rFonts w:ascii="Garamond" w:hAnsi="Garamond" w:cs="Garamond"/>
                <w:color w:val="000000"/>
                <w:sz w:val="23"/>
                <w:szCs w:val="23"/>
              </w:rPr>
            </w:pPr>
            <w:r w:rsidRPr="002767CE">
              <w:rPr>
                <w:rFonts w:ascii="Garamond" w:hAnsi="Garamond" w:cs="Garamond"/>
                <w:color w:val="000000"/>
                <w:sz w:val="23"/>
                <w:szCs w:val="23"/>
              </w:rPr>
              <w:t xml:space="preserve">Double scores for v 2.1 and earlier </w:t>
            </w:r>
          </w:p>
        </w:tc>
      </w:tr>
      <w:tr w:rsidR="00E8725D" w:rsidRPr="002767CE" w14:paraId="1C0437C2" w14:textId="153191AC" w:rsidTr="0072478B">
        <w:trPr>
          <w:trHeight w:val="291"/>
        </w:trPr>
        <w:tc>
          <w:tcPr>
            <w:tcW w:w="2093" w:type="dxa"/>
          </w:tcPr>
          <w:p w14:paraId="11A68B51" w14:textId="77777777" w:rsidR="0072478B" w:rsidRPr="002767CE" w:rsidRDefault="0072478B" w:rsidP="00B636A3">
            <w:pPr>
              <w:autoSpaceDE w:val="0"/>
              <w:autoSpaceDN w:val="0"/>
              <w:adjustRightInd w:val="0"/>
              <w:rPr>
                <w:rFonts w:ascii="Garamond" w:hAnsi="Garamond" w:cs="Garamond"/>
                <w:color w:val="000000"/>
                <w:sz w:val="23"/>
                <w:szCs w:val="23"/>
              </w:rPr>
            </w:pPr>
            <w:r w:rsidRPr="002767CE">
              <w:rPr>
                <w:rFonts w:ascii="Garamond" w:hAnsi="Garamond" w:cs="Garamond"/>
                <w:color w:val="000000"/>
                <w:sz w:val="23"/>
                <w:szCs w:val="23"/>
              </w:rPr>
              <w:t xml:space="preserve">9. Payment options </w:t>
            </w:r>
          </w:p>
          <w:p w14:paraId="3D3B6364" w14:textId="77777777" w:rsidR="0072478B" w:rsidRPr="002767CE" w:rsidRDefault="0072478B" w:rsidP="00B636A3">
            <w:pPr>
              <w:autoSpaceDE w:val="0"/>
              <w:autoSpaceDN w:val="0"/>
              <w:adjustRightInd w:val="0"/>
              <w:rPr>
                <w:rFonts w:ascii="Garamond" w:hAnsi="Garamond" w:cs="Garamond"/>
                <w:color w:val="000000"/>
                <w:sz w:val="23"/>
                <w:szCs w:val="23"/>
              </w:rPr>
            </w:pPr>
          </w:p>
        </w:tc>
        <w:tc>
          <w:tcPr>
            <w:tcW w:w="1623" w:type="dxa"/>
          </w:tcPr>
          <w:p w14:paraId="2A60B950" w14:textId="77777777" w:rsidR="0072478B" w:rsidRPr="002767CE" w:rsidRDefault="0072478B" w:rsidP="00B636A3">
            <w:pPr>
              <w:autoSpaceDE w:val="0"/>
              <w:autoSpaceDN w:val="0"/>
              <w:adjustRightInd w:val="0"/>
              <w:rPr>
                <w:rFonts w:ascii="Garamond" w:hAnsi="Garamond" w:cs="Garamond"/>
                <w:color w:val="000000"/>
                <w:sz w:val="23"/>
                <w:szCs w:val="23"/>
              </w:rPr>
            </w:pPr>
            <w:r w:rsidRPr="002767CE">
              <w:rPr>
                <w:rFonts w:ascii="Garamond" w:hAnsi="Garamond" w:cs="Garamond"/>
                <w:color w:val="000000"/>
                <w:sz w:val="23"/>
                <w:szCs w:val="23"/>
              </w:rPr>
              <w:t xml:space="preserve">1,2,3 </w:t>
            </w:r>
          </w:p>
        </w:tc>
        <w:tc>
          <w:tcPr>
            <w:tcW w:w="1531" w:type="dxa"/>
          </w:tcPr>
          <w:p w14:paraId="5BB1FE90" w14:textId="77777777" w:rsidR="0072478B" w:rsidRPr="002767CE" w:rsidRDefault="0072478B" w:rsidP="00B636A3">
            <w:pPr>
              <w:autoSpaceDE w:val="0"/>
              <w:autoSpaceDN w:val="0"/>
              <w:adjustRightInd w:val="0"/>
              <w:rPr>
                <w:rFonts w:ascii="Garamond" w:hAnsi="Garamond" w:cs="Garamond"/>
                <w:color w:val="000000"/>
                <w:sz w:val="23"/>
                <w:szCs w:val="23"/>
              </w:rPr>
            </w:pPr>
            <w:r w:rsidRPr="002767CE">
              <w:rPr>
                <w:rFonts w:ascii="Garamond" w:hAnsi="Garamond" w:cs="Garamond"/>
                <w:color w:val="000000"/>
                <w:sz w:val="23"/>
                <w:szCs w:val="23"/>
              </w:rPr>
              <w:t xml:space="preserve">1,2,3 </w:t>
            </w:r>
          </w:p>
        </w:tc>
        <w:tc>
          <w:tcPr>
            <w:tcW w:w="1531" w:type="dxa"/>
          </w:tcPr>
          <w:p w14:paraId="567FC59C" w14:textId="77777777" w:rsidR="0072478B" w:rsidRPr="002767CE" w:rsidRDefault="0072478B" w:rsidP="00B636A3">
            <w:pPr>
              <w:autoSpaceDE w:val="0"/>
              <w:autoSpaceDN w:val="0"/>
              <w:adjustRightInd w:val="0"/>
              <w:rPr>
                <w:rFonts w:ascii="Garamond" w:hAnsi="Garamond" w:cs="Garamond"/>
                <w:color w:val="000000"/>
                <w:sz w:val="23"/>
                <w:szCs w:val="23"/>
              </w:rPr>
            </w:pPr>
            <w:r w:rsidRPr="002767CE">
              <w:rPr>
                <w:rFonts w:ascii="Garamond" w:hAnsi="Garamond" w:cs="Garamond"/>
                <w:b/>
                <w:bCs/>
                <w:color w:val="000000"/>
                <w:sz w:val="23"/>
                <w:szCs w:val="23"/>
              </w:rPr>
              <w:t xml:space="preserve">0,0.5,1,2,3 </w:t>
            </w:r>
          </w:p>
        </w:tc>
        <w:tc>
          <w:tcPr>
            <w:tcW w:w="1127" w:type="dxa"/>
          </w:tcPr>
          <w:p w14:paraId="7ECCCFB4" w14:textId="77777777" w:rsidR="0072478B" w:rsidRPr="002767CE" w:rsidRDefault="0072478B" w:rsidP="00B636A3">
            <w:pPr>
              <w:autoSpaceDE w:val="0"/>
              <w:autoSpaceDN w:val="0"/>
              <w:adjustRightInd w:val="0"/>
              <w:rPr>
                <w:rFonts w:ascii="Garamond" w:hAnsi="Garamond" w:cs="Garamond"/>
                <w:color w:val="000000"/>
                <w:sz w:val="23"/>
                <w:szCs w:val="23"/>
              </w:rPr>
            </w:pPr>
            <w:r w:rsidRPr="002767CE">
              <w:rPr>
                <w:rFonts w:ascii="Garamond" w:hAnsi="Garamond" w:cs="Garamond"/>
                <w:b/>
                <w:bCs/>
                <w:color w:val="000000"/>
                <w:sz w:val="23"/>
                <w:szCs w:val="23"/>
              </w:rPr>
              <w:t xml:space="preserve">0,1,2,4,6 </w:t>
            </w:r>
          </w:p>
        </w:tc>
        <w:tc>
          <w:tcPr>
            <w:tcW w:w="2589" w:type="dxa"/>
          </w:tcPr>
          <w:p w14:paraId="12492B06" w14:textId="77777777" w:rsidR="0072478B" w:rsidRPr="002767CE" w:rsidRDefault="0072478B" w:rsidP="00B636A3">
            <w:pPr>
              <w:autoSpaceDE w:val="0"/>
              <w:autoSpaceDN w:val="0"/>
              <w:adjustRightInd w:val="0"/>
              <w:rPr>
                <w:rFonts w:ascii="Garamond" w:hAnsi="Garamond" w:cs="Garamond"/>
                <w:color w:val="000000"/>
                <w:sz w:val="23"/>
                <w:szCs w:val="23"/>
              </w:rPr>
            </w:pPr>
            <w:r w:rsidRPr="002767CE">
              <w:rPr>
                <w:rFonts w:ascii="Garamond" w:hAnsi="Garamond" w:cs="Garamond"/>
                <w:color w:val="000000"/>
                <w:sz w:val="23"/>
                <w:szCs w:val="23"/>
              </w:rPr>
              <w:t xml:space="preserve">Add options in v 2.0 &amp; v 2.1: 0, 0.5: Double scores for v 2.1 and earlier </w:t>
            </w:r>
          </w:p>
        </w:tc>
      </w:tr>
      <w:tr w:rsidR="00E8725D" w:rsidRPr="002767CE" w14:paraId="028D6083" w14:textId="1CB0598E" w:rsidTr="0072478B">
        <w:trPr>
          <w:trHeight w:hRule="exact" w:val="567"/>
        </w:trPr>
        <w:tc>
          <w:tcPr>
            <w:tcW w:w="2093" w:type="dxa"/>
          </w:tcPr>
          <w:p w14:paraId="68DBD841" w14:textId="77777777" w:rsidR="0072478B" w:rsidRPr="002767CE" w:rsidRDefault="0072478B" w:rsidP="00B636A3">
            <w:pPr>
              <w:autoSpaceDE w:val="0"/>
              <w:autoSpaceDN w:val="0"/>
              <w:adjustRightInd w:val="0"/>
              <w:rPr>
                <w:rFonts w:ascii="Garamond" w:hAnsi="Garamond" w:cs="Garamond"/>
                <w:color w:val="000000"/>
                <w:sz w:val="23"/>
                <w:szCs w:val="23"/>
              </w:rPr>
            </w:pPr>
            <w:r w:rsidRPr="002767CE">
              <w:rPr>
                <w:rFonts w:ascii="Garamond" w:hAnsi="Garamond" w:cs="Garamond"/>
                <w:color w:val="000000"/>
                <w:sz w:val="23"/>
                <w:szCs w:val="23"/>
              </w:rPr>
              <w:t xml:space="preserve">10. Illusion of Control </w:t>
            </w:r>
          </w:p>
          <w:p w14:paraId="55041A17" w14:textId="77777777" w:rsidR="0072478B" w:rsidRPr="002767CE" w:rsidRDefault="0072478B" w:rsidP="00B636A3">
            <w:pPr>
              <w:autoSpaceDE w:val="0"/>
              <w:autoSpaceDN w:val="0"/>
              <w:adjustRightInd w:val="0"/>
              <w:rPr>
                <w:rFonts w:ascii="Garamond" w:hAnsi="Garamond" w:cs="Garamond"/>
                <w:color w:val="000000"/>
                <w:sz w:val="23"/>
                <w:szCs w:val="23"/>
              </w:rPr>
            </w:pPr>
          </w:p>
        </w:tc>
        <w:tc>
          <w:tcPr>
            <w:tcW w:w="1623" w:type="dxa"/>
          </w:tcPr>
          <w:p w14:paraId="1969D473" w14:textId="77777777" w:rsidR="0072478B" w:rsidRPr="002767CE" w:rsidRDefault="0072478B" w:rsidP="00B636A3">
            <w:pPr>
              <w:autoSpaceDE w:val="0"/>
              <w:autoSpaceDN w:val="0"/>
              <w:adjustRightInd w:val="0"/>
              <w:rPr>
                <w:rFonts w:ascii="Garamond" w:hAnsi="Garamond" w:cs="Garamond"/>
                <w:color w:val="000000"/>
                <w:sz w:val="23"/>
                <w:szCs w:val="23"/>
              </w:rPr>
            </w:pPr>
            <w:r w:rsidRPr="002767CE">
              <w:rPr>
                <w:rFonts w:ascii="Garamond" w:hAnsi="Garamond" w:cs="Garamond"/>
                <w:color w:val="000000"/>
                <w:sz w:val="23"/>
                <w:szCs w:val="23"/>
              </w:rPr>
              <w:t xml:space="preserve">1,3 </w:t>
            </w:r>
          </w:p>
        </w:tc>
        <w:tc>
          <w:tcPr>
            <w:tcW w:w="1531" w:type="dxa"/>
          </w:tcPr>
          <w:p w14:paraId="0C080F6E" w14:textId="77777777" w:rsidR="0072478B" w:rsidRPr="002767CE" w:rsidRDefault="0072478B" w:rsidP="00B636A3">
            <w:pPr>
              <w:autoSpaceDE w:val="0"/>
              <w:autoSpaceDN w:val="0"/>
              <w:adjustRightInd w:val="0"/>
              <w:rPr>
                <w:rFonts w:ascii="Garamond" w:hAnsi="Garamond" w:cs="Garamond"/>
                <w:color w:val="000000"/>
                <w:sz w:val="23"/>
                <w:szCs w:val="23"/>
              </w:rPr>
            </w:pPr>
            <w:r w:rsidRPr="002767CE">
              <w:rPr>
                <w:rFonts w:ascii="Garamond" w:hAnsi="Garamond" w:cs="Garamond"/>
                <w:b/>
                <w:bCs/>
                <w:color w:val="000000"/>
                <w:sz w:val="23"/>
                <w:szCs w:val="23"/>
              </w:rPr>
              <w:t xml:space="preserve">0,2 </w:t>
            </w:r>
          </w:p>
        </w:tc>
        <w:tc>
          <w:tcPr>
            <w:tcW w:w="1531" w:type="dxa"/>
          </w:tcPr>
          <w:p w14:paraId="2C44A5A9" w14:textId="77777777" w:rsidR="0072478B" w:rsidRPr="002767CE" w:rsidRDefault="0072478B" w:rsidP="00B636A3">
            <w:pPr>
              <w:autoSpaceDE w:val="0"/>
              <w:autoSpaceDN w:val="0"/>
              <w:adjustRightInd w:val="0"/>
              <w:rPr>
                <w:rFonts w:ascii="Garamond" w:hAnsi="Garamond" w:cs="Garamond"/>
                <w:color w:val="000000"/>
                <w:sz w:val="23"/>
                <w:szCs w:val="23"/>
              </w:rPr>
            </w:pPr>
            <w:r w:rsidRPr="002767CE">
              <w:rPr>
                <w:rFonts w:ascii="Garamond" w:hAnsi="Garamond" w:cs="Garamond"/>
                <w:color w:val="000000"/>
                <w:sz w:val="23"/>
                <w:szCs w:val="23"/>
              </w:rPr>
              <w:t xml:space="preserve">0,2 </w:t>
            </w:r>
          </w:p>
        </w:tc>
        <w:tc>
          <w:tcPr>
            <w:tcW w:w="1127" w:type="dxa"/>
          </w:tcPr>
          <w:p w14:paraId="60940ECC" w14:textId="77777777" w:rsidR="0072478B" w:rsidRPr="002767CE" w:rsidRDefault="0072478B" w:rsidP="00B636A3">
            <w:pPr>
              <w:autoSpaceDE w:val="0"/>
              <w:autoSpaceDN w:val="0"/>
              <w:adjustRightInd w:val="0"/>
              <w:rPr>
                <w:rFonts w:ascii="Garamond" w:hAnsi="Garamond" w:cs="Garamond"/>
                <w:color w:val="000000"/>
                <w:sz w:val="23"/>
                <w:szCs w:val="23"/>
              </w:rPr>
            </w:pPr>
            <w:r w:rsidRPr="002767CE">
              <w:rPr>
                <w:rFonts w:ascii="Garamond" w:hAnsi="Garamond" w:cs="Garamond"/>
                <w:b/>
                <w:bCs/>
                <w:color w:val="000000"/>
                <w:sz w:val="23"/>
                <w:szCs w:val="23"/>
              </w:rPr>
              <w:t xml:space="preserve">0,4 </w:t>
            </w:r>
          </w:p>
        </w:tc>
        <w:tc>
          <w:tcPr>
            <w:tcW w:w="2589" w:type="dxa"/>
          </w:tcPr>
          <w:p w14:paraId="2B08901D" w14:textId="77777777" w:rsidR="0072478B" w:rsidRPr="002767CE" w:rsidRDefault="0072478B" w:rsidP="00B636A3">
            <w:pPr>
              <w:autoSpaceDE w:val="0"/>
              <w:autoSpaceDN w:val="0"/>
              <w:adjustRightInd w:val="0"/>
              <w:rPr>
                <w:rFonts w:ascii="Garamond" w:hAnsi="Garamond" w:cs="Garamond"/>
                <w:color w:val="000000"/>
                <w:sz w:val="23"/>
                <w:szCs w:val="23"/>
              </w:rPr>
            </w:pPr>
            <w:r w:rsidRPr="002767CE">
              <w:rPr>
                <w:rFonts w:ascii="Garamond" w:hAnsi="Garamond" w:cs="Garamond"/>
                <w:color w:val="000000"/>
                <w:sz w:val="23"/>
                <w:szCs w:val="23"/>
              </w:rPr>
              <w:t xml:space="preserve">Recode v2.0: 1=0, 3=4; Double scores for v2.1 </w:t>
            </w:r>
          </w:p>
        </w:tc>
      </w:tr>
    </w:tbl>
    <w:p w14:paraId="2CC59D4C" w14:textId="77777777" w:rsidR="00A67AE3" w:rsidRDefault="00A67AE3" w:rsidP="00A67AE3">
      <w:pPr>
        <w:pStyle w:val="BodyText"/>
      </w:pPr>
    </w:p>
    <w:p w14:paraId="414227FD" w14:textId="1357E655" w:rsidR="00A67AE3" w:rsidRDefault="00A67AE3" w:rsidP="00A67AE3">
      <w:pPr>
        <w:pStyle w:val="BodyText"/>
      </w:pPr>
      <w:r w:rsidRPr="00BE5BF5">
        <w:t>Note: Cell entries for middle columns correspond to values associated with item options. Bolded</w:t>
      </w:r>
      <w:r w:rsidRPr="00BE5BF5">
        <w:rPr>
          <w:b/>
          <w:bCs/>
        </w:rPr>
        <w:t xml:space="preserve"> </w:t>
      </w:r>
      <w:r w:rsidRPr="00BE5BF5">
        <w:t>entries correspond to changes made from previous version</w:t>
      </w:r>
      <w:r>
        <w:t>.</w:t>
      </w:r>
    </w:p>
    <w:p w14:paraId="2E2C0BD8" w14:textId="1A5D879D" w:rsidR="006B65B4" w:rsidRDefault="006B65B4" w:rsidP="00A67AE3">
      <w:pPr>
        <w:pStyle w:val="BodyText"/>
      </w:pPr>
      <w:r>
        <w:t>Source: Cousins, 2018</w:t>
      </w:r>
      <w:r w:rsidR="00CF331D">
        <w:t>,</w:t>
      </w:r>
      <w:r>
        <w:t>p.14.</w:t>
      </w:r>
    </w:p>
    <w:p w14:paraId="0447B544" w14:textId="51EDFD98" w:rsidR="00A67AE3" w:rsidRDefault="00A67AE3" w:rsidP="004C15A0">
      <w:pPr>
        <w:pStyle w:val="Heading2"/>
      </w:pPr>
      <w:bookmarkStart w:id="337" w:name="_Toc87263179"/>
      <w:r>
        <w:t>Are the design elements appropriate/fit for purpose?</w:t>
      </w:r>
      <w:bookmarkEnd w:id="337"/>
    </w:p>
    <w:p w14:paraId="6D3E7E5C" w14:textId="1324F4A5" w:rsidR="00DC2689" w:rsidRDefault="00200256" w:rsidP="00DC2689">
      <w:pPr>
        <w:pStyle w:val="BodyText"/>
      </w:pPr>
      <w:r>
        <w:t xml:space="preserve">According to Griffiths et al (2008) and the </w:t>
      </w:r>
      <w:r w:rsidR="008A6C4E">
        <w:t>Gamgard</w:t>
      </w:r>
      <w:r>
        <w:t xml:space="preserve"> web site the original development of </w:t>
      </w:r>
      <w:r w:rsidR="008A6C4E">
        <w:t>Gamgard</w:t>
      </w:r>
      <w:r>
        <w:t xml:space="preserve"> was carried out in consultation with an expert advisory panel using the Delphi method </w:t>
      </w:r>
      <w:r w:rsidR="00DC2689">
        <w:t xml:space="preserve">as outlined by </w:t>
      </w:r>
      <w:r>
        <w:t xml:space="preserve">Hader </w:t>
      </w:r>
      <w:r w:rsidR="00DC2689">
        <w:t xml:space="preserve">and </w:t>
      </w:r>
      <w:r>
        <w:t>Hader</w:t>
      </w:r>
      <w:r w:rsidR="00DC2689">
        <w:t xml:space="preserve"> (</w:t>
      </w:r>
      <w:r>
        <w:t xml:space="preserve">2000). </w:t>
      </w:r>
      <w:r w:rsidR="00DC2689">
        <w:t>Delphi is an accepted methodology to solicit expert consensus on complex problems</w:t>
      </w:r>
      <w:r w:rsidR="00DC2689" w:rsidDel="00AA175E">
        <w:t xml:space="preserve"> </w:t>
      </w:r>
      <w:r w:rsidR="00DC2689">
        <w:t>(Okoli &amp; Pawlowski, 2004; Thangaratinam &amp; Redman, 2005).</w:t>
      </w:r>
    </w:p>
    <w:p w14:paraId="6A0B59E1" w14:textId="5C014DF9" w:rsidR="00200256" w:rsidRPr="004041F7" w:rsidRDefault="00200256" w:rsidP="00200256">
      <w:pPr>
        <w:pStyle w:val="BodyText"/>
        <w:rPr>
          <w:i/>
        </w:rPr>
      </w:pPr>
      <w:r w:rsidRPr="00A10668">
        <w:t xml:space="preserve">The </w:t>
      </w:r>
      <w:r w:rsidR="004511E1">
        <w:t>expert</w:t>
      </w:r>
      <w:r w:rsidR="004511E1" w:rsidRPr="00A10668">
        <w:t xml:space="preserve"> </w:t>
      </w:r>
      <w:r w:rsidRPr="00A10668">
        <w:t>p</w:t>
      </w:r>
      <w:r>
        <w:t>a</w:t>
      </w:r>
      <w:r w:rsidRPr="00A10668">
        <w:t xml:space="preserve">nel </w:t>
      </w:r>
      <w:r w:rsidR="004511E1">
        <w:t xml:space="preserve">for the original Delphi consisted </w:t>
      </w:r>
      <w:r w:rsidR="005F6CED">
        <w:t>o</w:t>
      </w:r>
      <w:r>
        <w:t>f 20 people</w:t>
      </w:r>
      <w:r w:rsidR="005F6CED">
        <w:t xml:space="preserve">. </w:t>
      </w:r>
      <w:r>
        <w:t xml:space="preserve"> </w:t>
      </w:r>
      <w:r w:rsidR="005F6CED">
        <w:t xml:space="preserve">Fifteen experts were </w:t>
      </w:r>
      <w:r w:rsidR="008C168C">
        <w:t xml:space="preserve">part of </w:t>
      </w:r>
      <w:r w:rsidRPr="00A10668">
        <w:t>the I</w:t>
      </w:r>
      <w:r w:rsidR="005F6CED">
        <w:t xml:space="preserve">nternational </w:t>
      </w:r>
      <w:r w:rsidRPr="00A10668">
        <w:t>G</w:t>
      </w:r>
      <w:r w:rsidR="005F6CED">
        <w:t xml:space="preserve">ambling </w:t>
      </w:r>
      <w:r w:rsidRPr="00A10668">
        <w:t>R</w:t>
      </w:r>
      <w:r w:rsidR="005F6CED">
        <w:t>esearch Un</w:t>
      </w:r>
      <w:r w:rsidR="008C168C">
        <w:t>it (IGRU)</w:t>
      </w:r>
      <w:r w:rsidRPr="00A10668">
        <w:t xml:space="preserve"> team</w:t>
      </w:r>
      <w:r w:rsidR="002D1337">
        <w:t xml:space="preserve"> at Nottingham Trent University</w:t>
      </w:r>
      <w:r w:rsidR="008C168C">
        <w:t>, and five were international experts</w:t>
      </w:r>
      <w:r w:rsidRPr="00A10668">
        <w:t xml:space="preserve"> from the US (Dr</w:t>
      </w:r>
      <w:r w:rsidR="002D1337">
        <w:t>.</w:t>
      </w:r>
      <w:r>
        <w:t xml:space="preserve"> </w:t>
      </w:r>
      <w:r w:rsidRPr="00A10668">
        <w:t>Henry Lesieur), Canada (Dr</w:t>
      </w:r>
      <w:r w:rsidR="002D1337">
        <w:t>.</w:t>
      </w:r>
      <w:r>
        <w:t xml:space="preserve"> </w:t>
      </w:r>
      <w:r w:rsidRPr="00A10668">
        <w:t>Robert Ladouceur</w:t>
      </w:r>
      <w:r>
        <w:t xml:space="preserve">, </w:t>
      </w:r>
      <w:r w:rsidRPr="00A10668">
        <w:t>Dr</w:t>
      </w:r>
      <w:r w:rsidR="002D1337">
        <w:t>.</w:t>
      </w:r>
      <w:r>
        <w:t xml:space="preserve"> </w:t>
      </w:r>
      <w:r w:rsidRPr="00A10668">
        <w:t>Jeff</w:t>
      </w:r>
      <w:r w:rsidR="002D1337">
        <w:t>rey</w:t>
      </w:r>
      <w:r w:rsidRPr="00A10668">
        <w:t xml:space="preserve"> Derevensky</w:t>
      </w:r>
      <w:r w:rsidR="002D1337">
        <w:t>)</w:t>
      </w:r>
      <w:r>
        <w:t xml:space="preserve">, </w:t>
      </w:r>
      <w:r w:rsidRPr="00A10668">
        <w:t>Australia (Dr</w:t>
      </w:r>
      <w:r w:rsidR="002D1337">
        <w:t>.</w:t>
      </w:r>
      <w:r>
        <w:t xml:space="preserve"> </w:t>
      </w:r>
      <w:r w:rsidRPr="00A10668">
        <w:t>Alex Blasczcynski</w:t>
      </w:r>
      <w:r w:rsidR="002D1337">
        <w:t>)</w:t>
      </w:r>
      <w:r>
        <w:t>, and</w:t>
      </w:r>
      <w:r w:rsidRPr="00A10668">
        <w:t xml:space="preserve"> Germany (Dr</w:t>
      </w:r>
      <w:r w:rsidR="002D1337">
        <w:t>.</w:t>
      </w:r>
      <w:r>
        <w:t xml:space="preserve"> </w:t>
      </w:r>
      <w:r w:rsidRPr="00A10668">
        <w:t>Gerhard Meyer</w:t>
      </w:r>
      <w:r>
        <w:t xml:space="preserve">). All international members of the panel were academic psychologists with an interest in problem gambling, as were the IGRU members. The stated aim was to examine available evidence world-wide and develop a tool incorporating the latest findings on </w:t>
      </w:r>
      <w:r w:rsidRPr="004041F7">
        <w:rPr>
          <w:i/>
        </w:rPr>
        <w:t>the impact of the specific elements of a game for influencing vulnerable players</w:t>
      </w:r>
      <w:r>
        <w:rPr>
          <w:i/>
        </w:rPr>
        <w:t xml:space="preserve"> (pg. 15)</w:t>
      </w:r>
      <w:r w:rsidRPr="004041F7">
        <w:rPr>
          <w:i/>
        </w:rPr>
        <w:t xml:space="preserve">. </w:t>
      </w:r>
    </w:p>
    <w:p w14:paraId="751F4927" w14:textId="33B5E4CD" w:rsidR="00200256" w:rsidRDefault="00200256" w:rsidP="00200256">
      <w:pPr>
        <w:pStyle w:val="BodyText"/>
      </w:pPr>
      <w:r>
        <w:lastRenderedPageBreak/>
        <w:t xml:space="preserve">It would be </w:t>
      </w:r>
      <w:r w:rsidR="00A035D4">
        <w:t xml:space="preserve">helpful </w:t>
      </w:r>
      <w:r>
        <w:t xml:space="preserve">to have more information about the IGRU members of the panel. Useful information would include who they </w:t>
      </w:r>
      <w:r w:rsidR="00A035D4">
        <w:t>were</w:t>
      </w:r>
      <w:r>
        <w:t xml:space="preserve">, to what extent they </w:t>
      </w:r>
      <w:r w:rsidR="00A035D4">
        <w:t xml:space="preserve">had </w:t>
      </w:r>
      <w:r>
        <w:t>published or participated in the gambling studies community</w:t>
      </w:r>
      <w:r w:rsidR="00A035D4">
        <w:t>,</w:t>
      </w:r>
      <w:r>
        <w:t xml:space="preserve"> and in what specific area(s) </w:t>
      </w:r>
      <w:r w:rsidR="00A035D4">
        <w:t xml:space="preserve">did </w:t>
      </w:r>
      <w:r>
        <w:t xml:space="preserve">they have expertise? If they </w:t>
      </w:r>
      <w:r w:rsidR="00A035D4">
        <w:t xml:space="preserve">were </w:t>
      </w:r>
      <w:r>
        <w:t>clinicians, how long had they been working in this area? A clue may lie in the recruitment criterion mentioned in Wood et al</w:t>
      </w:r>
      <w:r w:rsidR="00A035D4">
        <w:t>.</w:t>
      </w:r>
      <w:r>
        <w:t xml:space="preserve"> (2014) </w:t>
      </w:r>
      <w:r w:rsidR="00A035D4">
        <w:t xml:space="preserve">that </w:t>
      </w:r>
      <w:r>
        <w:t>described a Delphi process</w:t>
      </w:r>
      <w:r w:rsidR="00A035D4">
        <w:t xml:space="preserve"> for a</w:t>
      </w:r>
      <w:r w:rsidR="00A035D4" w:rsidRPr="00A035D4">
        <w:t xml:space="preserve"> </w:t>
      </w:r>
      <w:r w:rsidR="00A035D4">
        <w:t xml:space="preserve">later </w:t>
      </w:r>
      <w:r w:rsidR="008A6C4E">
        <w:t>Gamgard</w:t>
      </w:r>
      <w:r w:rsidR="00A035D4">
        <w:t xml:space="preserve"> version</w:t>
      </w:r>
      <w:r>
        <w:t xml:space="preserve">. It is not stated whether this was the same exercise used to update </w:t>
      </w:r>
      <w:r w:rsidR="008A6C4E">
        <w:t>Gamgard</w:t>
      </w:r>
      <w:r>
        <w:t xml:space="preserve"> from version 2</w:t>
      </w:r>
      <w:r w:rsidR="00A268B4">
        <w:t>.0</w:t>
      </w:r>
      <w:r>
        <w:t xml:space="preserve"> to version 3</w:t>
      </w:r>
      <w:r w:rsidR="00AC2250">
        <w:t>.0</w:t>
      </w:r>
      <w:r>
        <w:t>.</w:t>
      </w:r>
    </w:p>
    <w:p w14:paraId="4C464159" w14:textId="7B4A0331" w:rsidR="00200256" w:rsidRDefault="00200256" w:rsidP="00200256">
      <w:pPr>
        <w:pStyle w:val="BodyText"/>
      </w:pPr>
      <w:r>
        <w:t>The stated criterion for the experts in the panel were</w:t>
      </w:r>
      <w:r w:rsidR="00D21070">
        <w:t xml:space="preserve"> having published at</w:t>
      </w:r>
      <w:r>
        <w:t xml:space="preserve"> least 10 peer reviewed papers relating to the field of RG</w:t>
      </w:r>
      <w:r w:rsidR="00D21070">
        <w:t>.</w:t>
      </w:r>
    </w:p>
    <w:p w14:paraId="16082C3B" w14:textId="27F71A73" w:rsidR="00200256" w:rsidRDefault="00200256" w:rsidP="00200256">
      <w:pPr>
        <w:pStyle w:val="BodyText"/>
      </w:pPr>
      <w:r>
        <w:t xml:space="preserve">Subsequent updates of </w:t>
      </w:r>
      <w:r w:rsidR="008A6C4E">
        <w:t>Gamgard</w:t>
      </w:r>
      <w:r>
        <w:t xml:space="preserve"> have been carried out by GamRes based on literature reviews carried out by Dr Wood and Dr Griffiths and in consultation, via the Delphi method with panels of international gambling researchers and clinicians. The </w:t>
      </w:r>
      <w:r w:rsidR="008A6C4E">
        <w:t>Gamgard</w:t>
      </w:r>
      <w:r>
        <w:t xml:space="preserve"> web site indicates that the upgrade to the latest version </w:t>
      </w:r>
      <w:r w:rsidR="008A6C4E">
        <w:t>Gamgard</w:t>
      </w:r>
      <w:r>
        <w:t xml:space="preserve"> 3.0 used a Delphi panel of 20 researchers and 20 problem gambling </w:t>
      </w:r>
      <w:r w:rsidR="006C6DD0">
        <w:t>clinicians and</w:t>
      </w:r>
      <w:r>
        <w:t xml:space="preserve"> included feedback from 20 recovered problem gamblers.</w:t>
      </w:r>
    </w:p>
    <w:p w14:paraId="7DDF4250" w14:textId="1061D658" w:rsidR="00200256" w:rsidRDefault="00200256" w:rsidP="00200256">
      <w:pPr>
        <w:pStyle w:val="BodyText"/>
      </w:pPr>
      <w:r>
        <w:t>Insight into the type of Delphi approach used may be gained from a detailed description by Dr Wood (Wood et al, 2014</w:t>
      </w:r>
      <w:r w:rsidR="001D6BCA">
        <w:t>a</w:t>
      </w:r>
      <w:r>
        <w:t xml:space="preserve">) of a later project involving him and Professor Griffiths, which also used a Delphi approach to information gathering. </w:t>
      </w:r>
    </w:p>
    <w:p w14:paraId="0B34461E" w14:textId="1C712FB1" w:rsidR="00200256" w:rsidRDefault="00200256" w:rsidP="00200256">
      <w:pPr>
        <w:pStyle w:val="BodyText"/>
      </w:pPr>
      <w:r>
        <w:t xml:space="preserve">According to its web site </w:t>
      </w:r>
      <w:r w:rsidR="008A6C4E">
        <w:t>Gamgard</w:t>
      </w:r>
      <w:r>
        <w:t xml:space="preserve"> was initially tested against 40 existing games</w:t>
      </w:r>
      <w:r w:rsidR="00014081">
        <w:t xml:space="preserve">. </w:t>
      </w:r>
      <w:r w:rsidR="00302CF8">
        <w:t>Following</w:t>
      </w:r>
      <w:r>
        <w:t xml:space="preserve"> that testing</w:t>
      </w:r>
      <w:r w:rsidR="00302CF8">
        <w:t>,</w:t>
      </w:r>
      <w:r>
        <w:t xml:space="preserve"> the developers were satisfied that </w:t>
      </w:r>
      <w:r w:rsidR="008A6C4E">
        <w:t>Gamgard</w:t>
      </w:r>
      <w:r w:rsidR="00302CF8">
        <w:t xml:space="preserve"> </w:t>
      </w:r>
      <w:r>
        <w:t xml:space="preserve">accurately reflected the known impact of </w:t>
      </w:r>
      <w:r w:rsidR="009A5C16">
        <w:t xml:space="preserve">the tested </w:t>
      </w:r>
      <w:r>
        <w:t xml:space="preserve">games on problem gambling behaviour. The web site does not </w:t>
      </w:r>
      <w:r w:rsidR="009A5C16">
        <w:t xml:space="preserve">provide </w:t>
      </w:r>
      <w:r>
        <w:t>a definition of problem gambling behaviour</w:t>
      </w:r>
      <w:r w:rsidR="009A5C16">
        <w:t xml:space="preserve">. </w:t>
      </w:r>
      <w:r w:rsidR="002E3C7E">
        <w:t>Rather, it</w:t>
      </w:r>
      <w:r>
        <w:t xml:space="preserve"> emphasises that </w:t>
      </w:r>
      <w:r w:rsidR="008A6C4E">
        <w:t>Gamgard</w:t>
      </w:r>
      <w:r>
        <w:t xml:space="preserve"> is aimed at vulnerable players rather than players with an existing gambling problem. However, it does state that</w:t>
      </w:r>
      <w:r>
        <w:rPr>
          <w:rStyle w:val="FootnoteReference"/>
        </w:rPr>
        <w:footnoteReference w:id="14"/>
      </w:r>
      <w:r>
        <w:t>:</w:t>
      </w:r>
    </w:p>
    <w:p w14:paraId="1A825FEE" w14:textId="3D3F4F2D" w:rsidR="00200256" w:rsidRPr="00BE5BF5" w:rsidRDefault="002E3C7E" w:rsidP="00200256">
      <w:pPr>
        <w:pStyle w:val="Quote"/>
      </w:pPr>
      <w:r>
        <w:t>A</w:t>
      </w:r>
      <w:r w:rsidRPr="00BE5BF5">
        <w:t xml:space="preserve"> </w:t>
      </w:r>
      <w:r w:rsidR="00200256" w:rsidRPr="00BE5BF5">
        <w:t>person with a gambling problem cannot usually make rational decisions about their gambling behaviour and they may dissociate (zone out) whilst playing.</w:t>
      </w:r>
    </w:p>
    <w:p w14:paraId="16A6F206" w14:textId="77777777" w:rsidR="00200256" w:rsidRPr="00BE5BF5" w:rsidRDefault="00200256" w:rsidP="00200256">
      <w:pPr>
        <w:spacing w:after="180"/>
        <w:contextualSpacing/>
        <w:rPr>
          <w:i/>
        </w:rPr>
      </w:pPr>
    </w:p>
    <w:p w14:paraId="1D9F8B60" w14:textId="50628A3E" w:rsidR="00200256" w:rsidRDefault="008A6C4E" w:rsidP="00200256">
      <w:pPr>
        <w:spacing w:after="180"/>
        <w:contextualSpacing/>
      </w:pPr>
      <w:r>
        <w:rPr>
          <w:rFonts w:eastAsia="Calibri"/>
        </w:rPr>
        <w:t>Gamgard</w:t>
      </w:r>
      <w:r w:rsidR="00200256">
        <w:rPr>
          <w:rFonts w:eastAsia="Calibri"/>
        </w:rPr>
        <w:t xml:space="preserve"> has continued to state that it has a policy of continuous improvement incorporating the latest research findings presumably gathered from the literature and through interactions with its advisory panel. Unlike Asterig (discussed in section 10) it does not appear to have interviewed gamblers as part of original development the process. </w:t>
      </w:r>
      <w:r w:rsidR="00200256">
        <w:t xml:space="preserve">However, according to </w:t>
      </w:r>
      <w:r>
        <w:t>Gamgard</w:t>
      </w:r>
      <w:r w:rsidR="00200256">
        <w:t xml:space="preserve">, the updating to </w:t>
      </w:r>
      <w:r>
        <w:t>Gamgard</w:t>
      </w:r>
      <w:r w:rsidR="00200256">
        <w:t xml:space="preserve"> 3.0 involved input from 20 leading researchers, 20 problem gambling clinicians and feedback from 20 recovered severe problem gamblers. This resulted in adding consideration of the impact of four responsible gambling features, external to the structure of the game being considered</w:t>
      </w:r>
      <w:r w:rsidR="00CD3981">
        <w:t>.</w:t>
      </w:r>
      <w:r w:rsidR="00417D82">
        <w:t xml:space="preserve"> These fea</w:t>
      </w:r>
      <w:r w:rsidR="00D104F4">
        <w:t>t</w:t>
      </w:r>
      <w:r w:rsidR="00417D82">
        <w:t>ures</w:t>
      </w:r>
      <w:r w:rsidR="00200256">
        <w:t xml:space="preserve"> have been empirically shown to lower the risk of associated gambling games. Also, according to GamRes</w:t>
      </w:r>
      <w:r w:rsidR="00D104F4">
        <w:t>:</w:t>
      </w:r>
      <w:r w:rsidR="00200256">
        <w:rPr>
          <w:rStyle w:val="FootnoteReference"/>
        </w:rPr>
        <w:footnoteReference w:id="15"/>
      </w:r>
    </w:p>
    <w:p w14:paraId="0CB2A863" w14:textId="77777777" w:rsidR="00200256" w:rsidRDefault="00200256" w:rsidP="00200256">
      <w:pPr>
        <w:spacing w:after="180"/>
        <w:contextualSpacing/>
      </w:pPr>
    </w:p>
    <w:p w14:paraId="3CF28E85" w14:textId="2DB424C8" w:rsidR="00200256" w:rsidRDefault="00200256" w:rsidP="00200256">
      <w:pPr>
        <w:pStyle w:val="Quote"/>
        <w:rPr>
          <w:rFonts w:ascii="Helvetica" w:hAnsi="Helvetica" w:cs="Helvetica"/>
          <w:color w:val="676B6D"/>
          <w:sz w:val="23"/>
          <w:szCs w:val="23"/>
          <w:shd w:val="clear" w:color="auto" w:fill="FFFFFF"/>
        </w:rPr>
      </w:pPr>
      <w:r w:rsidRPr="002D21A9">
        <w:t xml:space="preserve">The final version of </w:t>
      </w:r>
      <w:r w:rsidR="008A6C4E">
        <w:t>Gamgard</w:t>
      </w:r>
      <w:r w:rsidRPr="002D21A9">
        <w:t xml:space="preserve"> 3.0 was then tested against a range of games to ensure that it correctly assigned risk according to the known risk associated with those game types (e.g., slot machines, weekly lottery draws, etc.) as reported by treatment provider reports</w:t>
      </w:r>
      <w:r>
        <w:rPr>
          <w:rFonts w:ascii="Helvetica" w:hAnsi="Helvetica" w:cs="Helvetica"/>
          <w:color w:val="676B6D"/>
          <w:sz w:val="23"/>
          <w:szCs w:val="23"/>
          <w:shd w:val="clear" w:color="auto" w:fill="FFFFFF"/>
        </w:rPr>
        <w:t>.</w:t>
      </w:r>
    </w:p>
    <w:p w14:paraId="405252C4" w14:textId="77777777" w:rsidR="00200256" w:rsidRDefault="00200256" w:rsidP="00200256">
      <w:pPr>
        <w:spacing w:after="180"/>
        <w:contextualSpacing/>
        <w:rPr>
          <w:rFonts w:ascii="Helvetica" w:hAnsi="Helvetica" w:cs="Helvetica"/>
          <w:color w:val="676B6D"/>
          <w:sz w:val="23"/>
          <w:szCs w:val="23"/>
          <w:shd w:val="clear" w:color="auto" w:fill="FFFFFF"/>
        </w:rPr>
      </w:pPr>
    </w:p>
    <w:p w14:paraId="313E09DD" w14:textId="358BB77D" w:rsidR="00200256" w:rsidRDefault="00200256" w:rsidP="00200256">
      <w:pPr>
        <w:pStyle w:val="BodyText"/>
      </w:pPr>
      <w:r>
        <w:t xml:space="preserve">The design element or risk factors used in </w:t>
      </w:r>
      <w:r w:rsidR="008A6C4E">
        <w:t>Gamgard</w:t>
      </w:r>
      <w:r>
        <w:t xml:space="preserve"> were the result of a Delphi approach to gathering information from an expert panel. There would have been a much larger list to start with which would have been whittled down to the core ten during the Delphi process. The risk factors used are certainly considered important in the problem gambling literature (Parke et al, 2016) and have considerable commonality with those used in the similar German product, Asterig, which used a broadly similar Delphi approach with a different panel, and input from gamblers.  Therefore, </w:t>
      </w:r>
      <w:r w:rsidR="00417D82">
        <w:t xml:space="preserve">the factors </w:t>
      </w:r>
      <w:r>
        <w:t xml:space="preserve">appear to be fit for purpose, although there will always be argument as to their level of optimality in terms of their number and their appropriateness as time goes by.  As game characteristics change and knowledge increases, GamRes has considered </w:t>
      </w:r>
      <w:r w:rsidR="00E21598">
        <w:t>whether</w:t>
      </w:r>
      <w:r>
        <w:t xml:space="preserve"> this list</w:t>
      </w:r>
      <w:r w:rsidR="00E21598">
        <w:t xml:space="preserve"> needs</w:t>
      </w:r>
      <w:r>
        <w:t xml:space="preserve"> to be changed and/or expanded. Consequently, </w:t>
      </w:r>
      <w:r w:rsidR="00E21598">
        <w:t>the developers</w:t>
      </w:r>
      <w:r w:rsidR="00145E49">
        <w:t xml:space="preserve"> have</w:t>
      </w:r>
      <w:r>
        <w:t xml:space="preserve"> changed how the factors in the list are defined and scored</w:t>
      </w:r>
      <w:r w:rsidR="00145E49" w:rsidRPr="00145E49">
        <w:t xml:space="preserve"> </w:t>
      </w:r>
      <w:r w:rsidR="00145E49">
        <w:t>in some cases</w:t>
      </w:r>
      <w:r>
        <w:t xml:space="preserve">. A </w:t>
      </w:r>
      <w:r w:rsidR="00145E49">
        <w:t>timeline</w:t>
      </w:r>
      <w:r>
        <w:t xml:space="preserve"> for these changes is given in </w:t>
      </w:r>
      <w:r w:rsidR="008A6C4E">
        <w:t>Gamgard</w:t>
      </w:r>
      <w:r>
        <w:t xml:space="preserve"> </w:t>
      </w:r>
      <w:r w:rsidR="00145E49">
        <w:t>(</w:t>
      </w:r>
      <w:r>
        <w:t>n. d.</w:t>
      </w:r>
      <w:r w:rsidR="00145E49">
        <w:t>)</w:t>
      </w:r>
      <w:r>
        <w:t>.</w:t>
      </w:r>
    </w:p>
    <w:p w14:paraId="7700B38F" w14:textId="5CB818BC" w:rsidR="00200256" w:rsidRDefault="00200256" w:rsidP="00200256">
      <w:pPr>
        <w:pStyle w:val="BodyText"/>
      </w:pPr>
      <w:r>
        <w:t>There are four responsible gambling features.  In Wood et al</w:t>
      </w:r>
      <w:r w:rsidR="00D67940">
        <w:t>.</w:t>
      </w:r>
      <w:r>
        <w:t xml:space="preserve"> (2014a) the proprietor of </w:t>
      </w:r>
      <w:r w:rsidR="008A6C4E">
        <w:t>Gamgard</w:t>
      </w:r>
      <w:r>
        <w:t xml:space="preserve"> lists many more recommended features. The paper promises an online resource which would deal in more depth with </w:t>
      </w:r>
      <w:r>
        <w:lastRenderedPageBreak/>
        <w:t>selecting RG features. This resource was p</w:t>
      </w:r>
      <w:r w:rsidR="00D67940">
        <w:t>ublished</w:t>
      </w:r>
      <w:r>
        <w:t xml:space="preserve"> as a paper (Wood et al</w:t>
      </w:r>
      <w:r w:rsidR="00D67940">
        <w:t>.</w:t>
      </w:r>
      <w:r>
        <w:t xml:space="preserve">, 2014) in the </w:t>
      </w:r>
      <w:r w:rsidRPr="00423E9F">
        <w:rPr>
          <w:i/>
          <w:iCs/>
        </w:rPr>
        <w:t>International Journal of Mental Health and Addiction</w:t>
      </w:r>
      <w:r>
        <w:t>.</w:t>
      </w:r>
    </w:p>
    <w:p w14:paraId="113AC656" w14:textId="6FE50B12" w:rsidR="00200256" w:rsidRDefault="00200256" w:rsidP="00200256">
      <w:pPr>
        <w:pStyle w:val="BodyText"/>
      </w:pPr>
      <w:r>
        <w:t>In addition, a review paper of harm-minimisation tools available for electronic gambling (Harris and Griffiths, 201</w:t>
      </w:r>
      <w:r w:rsidR="005D7E7A">
        <w:t>7</w:t>
      </w:r>
      <w:r>
        <w:t xml:space="preserve">) includes consideration of the four responsible gambling features included in </w:t>
      </w:r>
      <w:r w:rsidR="008A6C4E">
        <w:t>Gamgard</w:t>
      </w:r>
      <w:r>
        <w:t xml:space="preserve"> scores plus some other different harm minimisation tools.</w:t>
      </w:r>
    </w:p>
    <w:p w14:paraId="64BADC23" w14:textId="13B12A69" w:rsidR="00200256" w:rsidRDefault="008A6C4E" w:rsidP="00200256">
      <w:pPr>
        <w:pStyle w:val="BodyText"/>
      </w:pPr>
      <w:r>
        <w:t>Gamgard</w:t>
      </w:r>
      <w:r w:rsidR="00200256">
        <w:t xml:space="preserve"> is an online tool and clients may commission </w:t>
      </w:r>
      <w:r>
        <w:t>Gamgard</w:t>
      </w:r>
      <w:r w:rsidR="00200256">
        <w:t xml:space="preserve"> to apply it to candidate games in consultation with them or they may have their own staff apply it themselves. Inter-rater differences may apply. Operator concerns regarding differences between their ratings and the rating of GamRes and regulators are mentioned in Cousins (2018). Cousins (2018) also compared user generated and GamRes generated risk scores for online slot games.</w:t>
      </w:r>
      <w:r w:rsidR="00200256" w:rsidRPr="00210272">
        <w:rPr>
          <w:sz w:val="23"/>
          <w:szCs w:val="23"/>
        </w:rPr>
        <w:t xml:space="preserve"> </w:t>
      </w:r>
      <w:r w:rsidR="00295FD2" w:rsidRPr="00423E9F">
        <w:t xml:space="preserve">Using </w:t>
      </w:r>
      <w:r w:rsidR="00200256" w:rsidRPr="00423E9F">
        <w:t>the Mann-Whitney nonparametric test of group differences</w:t>
      </w:r>
      <w:r w:rsidR="00770F5D">
        <w:t>, he</w:t>
      </w:r>
      <w:r w:rsidR="00200256">
        <w:t xml:space="preserve"> had </w:t>
      </w:r>
      <w:r w:rsidR="00770F5D">
        <w:t xml:space="preserve">nine </w:t>
      </w:r>
      <w:r w:rsidR="00200256">
        <w:t xml:space="preserve">user ratings and 11 </w:t>
      </w:r>
      <w:r>
        <w:t>Gamgard</w:t>
      </w:r>
      <w:r w:rsidR="00200256">
        <w:t xml:space="preserve"> ratings at his disposal. Not unsurprisingly, given the small number of ratings and the fact that the ratings were not of the same game but of the same game type, no significant difference was detected. Given these results</w:t>
      </w:r>
      <w:r w:rsidR="00D104F4">
        <w:t>,</w:t>
      </w:r>
      <w:r w:rsidR="00200256">
        <w:t xml:space="preserve"> Cousins recommended a </w:t>
      </w:r>
      <w:r w:rsidR="00770F5D">
        <w:t xml:space="preserve">rigorous </w:t>
      </w:r>
      <w:r w:rsidR="00200256">
        <w:t>research study</w:t>
      </w:r>
      <w:r w:rsidR="00770F5D">
        <w:t xml:space="preserve"> be</w:t>
      </w:r>
      <w:r w:rsidR="00200256">
        <w:t xml:space="preserve"> </w:t>
      </w:r>
      <w:r w:rsidR="00D104F4">
        <w:t>conducted</w:t>
      </w:r>
      <w:r w:rsidR="00770F5D">
        <w:t xml:space="preserve"> </w:t>
      </w:r>
      <w:r w:rsidR="00200256">
        <w:t>on this question.</w:t>
      </w:r>
    </w:p>
    <w:p w14:paraId="32269AD8" w14:textId="56B84EC3" w:rsidR="00A67AE3" w:rsidRDefault="00200256" w:rsidP="004C15A0">
      <w:pPr>
        <w:pStyle w:val="Heading2"/>
      </w:pPr>
      <w:bookmarkStart w:id="338" w:name="_Toc87263180"/>
      <w:r>
        <w:t>The question of sensory cues</w:t>
      </w:r>
      <w:bookmarkEnd w:id="338"/>
    </w:p>
    <w:p w14:paraId="7C8E1B28" w14:textId="0C41ECA2" w:rsidR="00200256" w:rsidRPr="00986BC3" w:rsidRDefault="00200256" w:rsidP="00200256">
      <w:pPr>
        <w:pStyle w:val="BodyText"/>
      </w:pPr>
      <w:r>
        <w:t xml:space="preserve">A conspicuous omission from </w:t>
      </w:r>
      <w:r w:rsidR="008A6C4E">
        <w:t>Gamgard</w:t>
      </w:r>
      <w:r>
        <w:t xml:space="preserve"> is consideration of controls on sensory cues </w:t>
      </w:r>
      <w:r w:rsidR="008D2021" w:rsidRPr="006332C5">
        <w:t>(e.g.</w:t>
      </w:r>
      <w:r w:rsidR="008D2021">
        <w:t>,</w:t>
      </w:r>
      <w:r w:rsidR="008D2021" w:rsidRPr="006332C5">
        <w:t xml:space="preserve"> blinking lights, exciting jingles</w:t>
      </w:r>
      <w:r w:rsidR="008D2021">
        <w:t>,</w:t>
      </w:r>
      <w:r w:rsidR="008D2021" w:rsidRPr="006332C5">
        <w:t xml:space="preserve"> the simulated clatter of coins</w:t>
      </w:r>
      <w:r w:rsidR="008D2021">
        <w:t>, and olfactory effects)</w:t>
      </w:r>
      <w:r w:rsidR="008D2021" w:rsidRPr="006332C5">
        <w:t xml:space="preserve"> </w:t>
      </w:r>
      <w:r>
        <w:t>(Cherkasova et al</w:t>
      </w:r>
      <w:r w:rsidR="008D2021">
        <w:t>.</w:t>
      </w:r>
      <w:r>
        <w:t>, 2018</w:t>
      </w:r>
      <w:r w:rsidR="008D2021">
        <w:t>;</w:t>
      </w:r>
      <w:r>
        <w:t xml:space="preserve"> </w:t>
      </w:r>
      <w:hyperlink r:id="rId22" w:history="1">
        <w:r w:rsidRPr="006332C5">
          <w:t>Chóliz</w:t>
        </w:r>
      </w:hyperlink>
      <w:r w:rsidRPr="006332C5">
        <w:t xml:space="preserve">, 2018). These are important features of gambling environments which can increase the chances of gamblers making riskier choices.  </w:t>
      </w:r>
      <w:r>
        <w:t>Cherkasova et al</w:t>
      </w:r>
      <w:r w:rsidR="006E7C31">
        <w:t>.</w:t>
      </w:r>
      <w:r>
        <w:t xml:space="preserve"> (2018) </w:t>
      </w:r>
      <w:r w:rsidRPr="00986BC3">
        <w:t>found that more risks were taken, with little regard to the odds</w:t>
      </w:r>
      <w:r>
        <w:t>,</w:t>
      </w:r>
      <w:r w:rsidRPr="00986BC3">
        <w:t xml:space="preserve"> when casino-like audio-visual features were presented to subjects in a laboratory gambling game. Subjects showed more pupil dilation, suggesting more arousal or engagement where wins </w:t>
      </w:r>
      <w:r w:rsidR="006E7C31">
        <w:t>were accompanied by</w:t>
      </w:r>
      <w:r w:rsidRPr="00986BC3">
        <w:t xml:space="preserve"> sensory cues. Without the </w:t>
      </w:r>
      <w:r>
        <w:t xml:space="preserve">cues, </w:t>
      </w:r>
      <w:r w:rsidRPr="00986BC3">
        <w:t>decisions of subjects were more restrained.</w:t>
      </w:r>
      <w:r>
        <w:t xml:space="preserve"> </w:t>
      </w:r>
      <w:hyperlink r:id="rId23" w:history="1">
        <w:r w:rsidRPr="006332C5">
          <w:t>Chóliz</w:t>
        </w:r>
      </w:hyperlink>
      <w:r>
        <w:t xml:space="preserve"> (</w:t>
      </w:r>
      <w:r w:rsidRPr="006332C5">
        <w:t>2018</w:t>
      </w:r>
      <w:r>
        <w:t>)</w:t>
      </w:r>
      <w:r w:rsidR="006E7C31">
        <w:t>,</w:t>
      </w:r>
      <w:r>
        <w:t xml:space="preserve"> writing from a public health perspective, recommends </w:t>
      </w:r>
      <w:r w:rsidRPr="00986BC3">
        <w:t xml:space="preserve">minimising sensory cues associated with wins and maximising those associated with losses. </w:t>
      </w:r>
      <w:r w:rsidR="00884611">
        <w:t xml:space="preserve">Gamgards’s </w:t>
      </w:r>
      <w:r w:rsidR="00790593">
        <w:t>opinion</w:t>
      </w:r>
      <w:r w:rsidR="00296335">
        <w:t>,</w:t>
      </w:r>
      <w:r w:rsidR="00790593">
        <w:t xml:space="preserve"> </w:t>
      </w:r>
      <w:r w:rsidR="00296335">
        <w:t xml:space="preserve">as indicated by Dr Richard Wood, </w:t>
      </w:r>
      <w:r w:rsidR="00790593">
        <w:t>i</w:t>
      </w:r>
      <w:r w:rsidR="00FF1094">
        <w:t xml:space="preserve">s that there is at present </w:t>
      </w:r>
      <w:r w:rsidR="00D3254F">
        <w:t xml:space="preserve">insufficient research evidence </w:t>
      </w:r>
      <w:r w:rsidR="001E0182">
        <w:t>to include them</w:t>
      </w:r>
      <w:r w:rsidR="00FF1094">
        <w:t>.</w:t>
      </w:r>
    </w:p>
    <w:p w14:paraId="77B285AC" w14:textId="0C2CAA3E" w:rsidR="00200256" w:rsidRDefault="00200256" w:rsidP="004C15A0">
      <w:pPr>
        <w:pStyle w:val="Heading2"/>
      </w:pPr>
      <w:bookmarkStart w:id="339" w:name="_Toc87263181"/>
      <w:r>
        <w:t>Manner of presentation to end-users</w:t>
      </w:r>
      <w:bookmarkEnd w:id="339"/>
    </w:p>
    <w:p w14:paraId="441E771F" w14:textId="28865389" w:rsidR="00200256" w:rsidRPr="00F33750" w:rsidRDefault="00200256" w:rsidP="00200256">
      <w:pPr>
        <w:pStyle w:val="BodyText"/>
      </w:pPr>
      <w:r w:rsidRPr="00F33750">
        <w:t>End</w:t>
      </w:r>
      <w:r>
        <w:t xml:space="preserve"> </w:t>
      </w:r>
      <w:r w:rsidRPr="00F33750">
        <w:t xml:space="preserve">users of </w:t>
      </w:r>
      <w:r w:rsidR="008A6C4E">
        <w:t>Gamgard</w:t>
      </w:r>
      <w:r w:rsidRPr="00F33750">
        <w:t xml:space="preserve"> include, but are not limited to</w:t>
      </w:r>
      <w:r>
        <w:t>,</w:t>
      </w:r>
      <w:r w:rsidRPr="00F33750">
        <w:t xml:space="preserve"> the gambling industry, including providers and game developers, gambling harm minimisation providers and regulators. </w:t>
      </w:r>
      <w:r w:rsidR="008A6C4E">
        <w:t>Gamgard</w:t>
      </w:r>
      <w:r w:rsidR="00FB0749" w:rsidRPr="00F33750">
        <w:t>’s</w:t>
      </w:r>
      <w:r w:rsidRPr="00F33750">
        <w:t xml:space="preserve"> detailed presentation of its tool can be found on its web site. As a commercial operator GamRes, the developer and marketer of </w:t>
      </w:r>
      <w:r w:rsidR="008A6C4E">
        <w:t>Gamgard</w:t>
      </w:r>
      <w:r>
        <w:t>,</w:t>
      </w:r>
      <w:r w:rsidRPr="00F33750">
        <w:t xml:space="preserve"> naturally recommends use of its own consultancy services and its other product</w:t>
      </w:r>
      <w:r w:rsidR="001D1DBC">
        <w:t>,</w:t>
      </w:r>
      <w:r w:rsidRPr="00F33750">
        <w:t xml:space="preserve"> Positive </w:t>
      </w:r>
      <w:r w:rsidR="001D1DBC">
        <w:t>P</w:t>
      </w:r>
      <w:r w:rsidR="001D1DBC" w:rsidRPr="00F33750">
        <w:t>lay</w:t>
      </w:r>
      <w:r w:rsidR="001D1DBC">
        <w:t>,</w:t>
      </w:r>
      <w:r w:rsidR="001D1DBC" w:rsidRPr="00F33750">
        <w:t xml:space="preserve"> </w:t>
      </w:r>
      <w:r w:rsidRPr="00F33750">
        <w:t xml:space="preserve">in addition to </w:t>
      </w:r>
      <w:r w:rsidR="008A6C4E">
        <w:t>Gamgard</w:t>
      </w:r>
      <w:r w:rsidRPr="00F33750">
        <w:t xml:space="preserve">. The recommendation is for operators to use </w:t>
      </w:r>
      <w:r w:rsidR="008A6C4E">
        <w:t>Gamgard</w:t>
      </w:r>
      <w:r w:rsidRPr="00F33750">
        <w:t xml:space="preserve"> to remove inappropriate elements from games and measure the overall gambling health of their clientele using Positive Play. Positive Play is a tool which measures responsible gambling-related beliefs and behaviours amongst players. It is a psychometric tool using a scale, the Positive Play Scale (PPS) (Wood, Wohl, Tabri &amp; Philander, 2017). This is a standardised scale to measure responsible gambling-related beliefs and behaviours amongst players. </w:t>
      </w:r>
      <w:r w:rsidR="008A6C4E">
        <w:t>Gamgard</w:t>
      </w:r>
      <w:r w:rsidRPr="00F33750">
        <w:t xml:space="preserve"> connects on the website to </w:t>
      </w:r>
      <w:r>
        <w:t>P</w:t>
      </w:r>
      <w:r w:rsidRPr="00F33750">
        <w:t xml:space="preserve">ositive </w:t>
      </w:r>
      <w:r>
        <w:t>P</w:t>
      </w:r>
      <w:r w:rsidRPr="00F33750">
        <w:t xml:space="preserve">lay by stating that it is part of the Positive Play initiative. </w:t>
      </w:r>
    </w:p>
    <w:p w14:paraId="4BF82A06" w14:textId="7E3273F4" w:rsidR="00200256" w:rsidRDefault="00200256" w:rsidP="00200256">
      <w:pPr>
        <w:pStyle w:val="BodyText"/>
        <w:rPr>
          <w:rFonts w:eastAsia="Calibri"/>
        </w:rPr>
      </w:pPr>
      <w:r>
        <w:rPr>
          <w:rFonts w:eastAsia="Calibri"/>
          <w:color w:val="000000"/>
        </w:rPr>
        <w:t xml:space="preserve">The description of </w:t>
      </w:r>
      <w:r w:rsidR="008A6C4E">
        <w:rPr>
          <w:rFonts w:eastAsia="Calibri"/>
          <w:color w:val="000000"/>
        </w:rPr>
        <w:t>Gamgard</w:t>
      </w:r>
      <w:r>
        <w:rPr>
          <w:rFonts w:eastAsia="Calibri"/>
          <w:color w:val="000000"/>
        </w:rPr>
        <w:t xml:space="preserve"> on the </w:t>
      </w:r>
      <w:r w:rsidR="008A6C4E">
        <w:rPr>
          <w:rFonts w:eastAsia="Calibri"/>
        </w:rPr>
        <w:t>Gamgard</w:t>
      </w:r>
      <w:r>
        <w:rPr>
          <w:rFonts w:eastAsia="Calibri"/>
        </w:rPr>
        <w:t xml:space="preserve"> web site</w:t>
      </w:r>
      <w:r>
        <w:rPr>
          <w:rStyle w:val="FootnoteReference"/>
          <w:rFonts w:eastAsia="Calibri"/>
        </w:rPr>
        <w:footnoteReference w:id="16"/>
      </w:r>
      <w:r>
        <w:rPr>
          <w:rFonts w:eastAsia="Calibri"/>
        </w:rPr>
        <w:t xml:space="preserve"> is led by the following </w:t>
      </w:r>
      <w:r w:rsidR="00077513">
        <w:rPr>
          <w:rFonts w:eastAsia="Calibri"/>
        </w:rPr>
        <w:t>“</w:t>
      </w:r>
      <w:r>
        <w:rPr>
          <w:rFonts w:eastAsia="Calibri"/>
        </w:rPr>
        <w:t xml:space="preserve">Why use </w:t>
      </w:r>
      <w:r w:rsidR="008A6C4E">
        <w:rPr>
          <w:rFonts w:eastAsia="Calibri"/>
        </w:rPr>
        <w:t>Gamgard</w:t>
      </w:r>
      <w:r>
        <w:rPr>
          <w:rFonts w:eastAsia="Calibri"/>
        </w:rPr>
        <w:t>?</w:t>
      </w:r>
      <w:r w:rsidR="00077513">
        <w:rPr>
          <w:rFonts w:eastAsia="Calibri"/>
        </w:rPr>
        <w:t>”</w:t>
      </w:r>
      <w:r>
        <w:rPr>
          <w:rFonts w:eastAsia="Calibri"/>
        </w:rPr>
        <w:t xml:space="preserve"> statements (Table </w:t>
      </w:r>
      <w:r w:rsidR="0013032C">
        <w:rPr>
          <w:rFonts w:eastAsia="Calibri"/>
        </w:rPr>
        <w:t>1-</w:t>
      </w:r>
      <w:r>
        <w:rPr>
          <w:rFonts w:eastAsia="Calibri"/>
        </w:rPr>
        <w:t xml:space="preserve">2), adapted from the </w:t>
      </w:r>
      <w:r w:rsidRPr="00F33750">
        <w:rPr>
          <w:rFonts w:eastAsia="Calibri"/>
          <w:i/>
        </w:rPr>
        <w:t xml:space="preserve">Why use </w:t>
      </w:r>
      <w:r w:rsidR="008A6C4E">
        <w:rPr>
          <w:rFonts w:eastAsia="Calibri"/>
          <w:i/>
        </w:rPr>
        <w:t>Gamgard</w:t>
      </w:r>
      <w:r w:rsidRPr="00F33750">
        <w:rPr>
          <w:rFonts w:eastAsia="Calibri"/>
          <w:i/>
        </w:rPr>
        <w:t>?</w:t>
      </w:r>
      <w:r>
        <w:rPr>
          <w:rFonts w:eastAsia="Calibri"/>
        </w:rPr>
        <w:t xml:space="preserve"> section of the web site. </w:t>
      </w:r>
      <w:r w:rsidR="00DC0FA1">
        <w:rPr>
          <w:rFonts w:eastAsia="Calibri"/>
        </w:rPr>
        <w:t xml:space="preserve">The table </w:t>
      </w:r>
      <w:r>
        <w:rPr>
          <w:rFonts w:eastAsia="Calibri"/>
        </w:rPr>
        <w:t xml:space="preserve">is included to explain what the proprietors of </w:t>
      </w:r>
      <w:r w:rsidR="008A6C4E">
        <w:rPr>
          <w:rFonts w:eastAsia="Calibri"/>
        </w:rPr>
        <w:t>Gamgard</w:t>
      </w:r>
      <w:r>
        <w:rPr>
          <w:rFonts w:eastAsia="Calibri"/>
        </w:rPr>
        <w:t xml:space="preserve"> see as features </w:t>
      </w:r>
      <w:r w:rsidR="0065758A">
        <w:rPr>
          <w:rFonts w:eastAsia="Calibri"/>
        </w:rPr>
        <w:t xml:space="preserve">that would </w:t>
      </w:r>
      <w:r>
        <w:rPr>
          <w:rFonts w:eastAsia="Calibri"/>
        </w:rPr>
        <w:t>make it appeal</w:t>
      </w:r>
      <w:r w:rsidR="0065758A">
        <w:rPr>
          <w:rFonts w:eastAsia="Calibri"/>
        </w:rPr>
        <w:t>ing</w:t>
      </w:r>
      <w:r>
        <w:rPr>
          <w:rFonts w:eastAsia="Calibri"/>
        </w:rPr>
        <w:t xml:space="preserve"> to potential users.</w:t>
      </w:r>
    </w:p>
    <w:p w14:paraId="62382A2A" w14:textId="69BA8F97" w:rsidR="00200256" w:rsidRDefault="00200256" w:rsidP="00200256">
      <w:pPr>
        <w:pStyle w:val="Caption"/>
        <w:keepNext/>
      </w:pPr>
      <w:bookmarkStart w:id="340" w:name="_Toc87263216"/>
      <w:r>
        <w:t xml:space="preserve">Table </w:t>
      </w:r>
      <w:r>
        <w:fldChar w:fldCharType="begin"/>
      </w:r>
      <w:r>
        <w:instrText>STYLEREF 1 \s</w:instrText>
      </w:r>
      <w:r>
        <w:fldChar w:fldCharType="separate"/>
      </w:r>
      <w:r w:rsidR="00B24127">
        <w:rPr>
          <w:noProof/>
        </w:rPr>
        <w:t>1</w:t>
      </w:r>
      <w:r>
        <w:fldChar w:fldCharType="end"/>
      </w:r>
      <w:r w:rsidR="00B76156">
        <w:noBreakHyphen/>
      </w:r>
      <w:r>
        <w:fldChar w:fldCharType="begin"/>
      </w:r>
      <w:r>
        <w:instrText>SEQ Table \* ARABIC \s 1</w:instrText>
      </w:r>
      <w:r>
        <w:fldChar w:fldCharType="separate"/>
      </w:r>
      <w:r w:rsidR="00B24127">
        <w:rPr>
          <w:noProof/>
        </w:rPr>
        <w:t>2</w:t>
      </w:r>
      <w:r>
        <w:fldChar w:fldCharType="end"/>
      </w:r>
      <w:r>
        <w:t xml:space="preserve"> </w:t>
      </w:r>
      <w:r w:rsidRPr="007310AC">
        <w:t xml:space="preserve">Why use </w:t>
      </w:r>
      <w:r w:rsidR="008A6C4E">
        <w:t>Gamgard</w:t>
      </w:r>
      <w:r w:rsidRPr="007310AC">
        <w:t xml:space="preserve">? </w:t>
      </w:r>
      <w:r>
        <w:t>S</w:t>
      </w:r>
      <w:r w:rsidRPr="007310AC">
        <w:t xml:space="preserve">tatements from the </w:t>
      </w:r>
      <w:r w:rsidR="008A6C4E">
        <w:t>Gamgard</w:t>
      </w:r>
      <w:r w:rsidRPr="007310AC">
        <w:t xml:space="preserve"> web site (www.</w:t>
      </w:r>
      <w:r w:rsidR="008A6C4E">
        <w:t>Gamgard</w:t>
      </w:r>
      <w:r w:rsidRPr="007310AC">
        <w:t>.com)</w:t>
      </w:r>
      <w:bookmarkEnd w:id="340"/>
    </w:p>
    <w:tbl>
      <w:tblPr>
        <w:tblStyle w:val="TableGrid"/>
        <w:tblW w:w="9493" w:type="dxa"/>
        <w:tblLayout w:type="fixed"/>
        <w:tblLook w:val="04A0" w:firstRow="1" w:lastRow="0" w:firstColumn="1" w:lastColumn="0" w:noHBand="0" w:noVBand="1"/>
      </w:tblPr>
      <w:tblGrid>
        <w:gridCol w:w="2273"/>
        <w:gridCol w:w="3392"/>
        <w:gridCol w:w="3828"/>
      </w:tblGrid>
      <w:tr w:rsidR="00200256" w14:paraId="7700D4E3" w14:textId="77777777" w:rsidTr="00423E9F">
        <w:trPr>
          <w:trHeight w:hRule="exact" w:val="511"/>
        </w:trPr>
        <w:tc>
          <w:tcPr>
            <w:tcW w:w="2273" w:type="dxa"/>
          </w:tcPr>
          <w:p w14:paraId="17BEF614" w14:textId="77777777" w:rsidR="00200256" w:rsidRDefault="00200256" w:rsidP="00B636A3">
            <w:pPr>
              <w:pStyle w:val="BodyText"/>
              <w:rPr>
                <w:rFonts w:ascii="Tahoma" w:hAnsi="Tahoma"/>
                <w:b/>
                <w:color w:val="000000"/>
                <w:spacing w:val="7"/>
              </w:rPr>
            </w:pPr>
            <w:r>
              <w:rPr>
                <w:rFonts w:ascii="Tahoma" w:hAnsi="Tahoma"/>
                <w:b/>
                <w:color w:val="000000"/>
                <w:spacing w:val="7"/>
              </w:rPr>
              <w:t>World-Leading Standards</w:t>
            </w:r>
          </w:p>
          <w:p w14:paraId="13F31D7B" w14:textId="77777777" w:rsidR="00200256" w:rsidRDefault="00200256" w:rsidP="00B636A3">
            <w:pPr>
              <w:pStyle w:val="BodyText"/>
              <w:rPr>
                <w:rFonts w:ascii="Tahoma" w:hAnsi="Tahoma"/>
                <w:b/>
                <w:color w:val="000000"/>
                <w:spacing w:val="7"/>
              </w:rPr>
            </w:pPr>
          </w:p>
        </w:tc>
        <w:tc>
          <w:tcPr>
            <w:tcW w:w="3392" w:type="dxa"/>
          </w:tcPr>
          <w:p w14:paraId="70BEC4B5" w14:textId="77777777" w:rsidR="00200256" w:rsidRDefault="00200256" w:rsidP="00B636A3">
            <w:pPr>
              <w:pStyle w:val="BodyText"/>
              <w:rPr>
                <w:rFonts w:ascii="Tahoma" w:hAnsi="Tahoma"/>
                <w:b/>
                <w:color w:val="000000"/>
                <w:spacing w:val="7"/>
              </w:rPr>
            </w:pPr>
            <w:r>
              <w:rPr>
                <w:rFonts w:ascii="Tahoma" w:hAnsi="Tahoma"/>
                <w:b/>
                <w:color w:val="000000"/>
                <w:spacing w:val="7"/>
              </w:rPr>
              <w:t>Build Smarter &amp; Safer</w:t>
            </w:r>
          </w:p>
          <w:p w14:paraId="618D4977" w14:textId="77777777" w:rsidR="00200256" w:rsidRDefault="00200256" w:rsidP="00B636A3">
            <w:pPr>
              <w:pStyle w:val="BodyText"/>
              <w:rPr>
                <w:rFonts w:ascii="Tahoma" w:hAnsi="Tahoma"/>
                <w:b/>
                <w:color w:val="000000"/>
                <w:spacing w:val="7"/>
              </w:rPr>
            </w:pPr>
          </w:p>
        </w:tc>
        <w:tc>
          <w:tcPr>
            <w:tcW w:w="3828" w:type="dxa"/>
          </w:tcPr>
          <w:p w14:paraId="044841DC" w14:textId="77777777" w:rsidR="00200256" w:rsidRDefault="00200256" w:rsidP="00B636A3">
            <w:pPr>
              <w:pStyle w:val="BodyText"/>
              <w:rPr>
                <w:rFonts w:ascii="Tahoma" w:hAnsi="Tahoma"/>
                <w:b/>
                <w:color w:val="000000"/>
                <w:spacing w:val="7"/>
              </w:rPr>
            </w:pPr>
            <w:r>
              <w:rPr>
                <w:rFonts w:ascii="Tahoma" w:hAnsi="Tahoma"/>
                <w:b/>
                <w:color w:val="000000"/>
                <w:spacing w:val="7"/>
              </w:rPr>
              <w:t>Promotes Responsible Gambling</w:t>
            </w:r>
          </w:p>
          <w:p w14:paraId="6313506A" w14:textId="77777777" w:rsidR="00200256" w:rsidRDefault="00200256" w:rsidP="00B636A3">
            <w:pPr>
              <w:pStyle w:val="BodyText"/>
              <w:rPr>
                <w:rFonts w:ascii="Tahoma" w:hAnsi="Tahoma"/>
                <w:b/>
                <w:color w:val="000000"/>
                <w:spacing w:val="7"/>
              </w:rPr>
            </w:pPr>
          </w:p>
        </w:tc>
      </w:tr>
      <w:tr w:rsidR="00200256" w14:paraId="59B62EBF" w14:textId="77777777" w:rsidTr="00423E9F">
        <w:trPr>
          <w:trHeight w:hRule="exact" w:val="511"/>
        </w:trPr>
        <w:tc>
          <w:tcPr>
            <w:tcW w:w="2273" w:type="dxa"/>
          </w:tcPr>
          <w:p w14:paraId="75F3F542" w14:textId="77777777" w:rsidR="00200256" w:rsidRDefault="00200256" w:rsidP="00B636A3">
            <w:pPr>
              <w:spacing w:after="180"/>
              <w:contextualSpacing/>
              <w:rPr>
                <w:color w:val="000000"/>
                <w:lang w:eastAsia="zh-CN"/>
              </w:rPr>
            </w:pPr>
            <w:r>
              <w:rPr>
                <w:color w:val="000000"/>
                <w:lang w:eastAsia="zh-CN"/>
              </w:rPr>
              <w:t>Recognised by the WLA as meeting level IV RG standards</w:t>
            </w:r>
          </w:p>
          <w:p w14:paraId="2B14DB4A" w14:textId="77777777" w:rsidR="00200256" w:rsidRDefault="00200256" w:rsidP="00B636A3">
            <w:pPr>
              <w:spacing w:after="180"/>
              <w:contextualSpacing/>
              <w:rPr>
                <w:color w:val="000000"/>
                <w:lang w:eastAsia="zh-CN"/>
              </w:rPr>
            </w:pPr>
          </w:p>
        </w:tc>
        <w:tc>
          <w:tcPr>
            <w:tcW w:w="3392" w:type="dxa"/>
          </w:tcPr>
          <w:p w14:paraId="5A2D7887" w14:textId="77777777" w:rsidR="00200256" w:rsidRDefault="00200256" w:rsidP="00B636A3">
            <w:pPr>
              <w:spacing w:after="180"/>
              <w:contextualSpacing/>
              <w:rPr>
                <w:color w:val="000000"/>
                <w:lang w:eastAsia="zh-CN"/>
              </w:rPr>
            </w:pPr>
            <w:r>
              <w:rPr>
                <w:color w:val="000000"/>
                <w:lang w:eastAsia="zh-CN"/>
              </w:rPr>
              <w:t>Balance fun with risk and identify issues before a game is launched</w:t>
            </w:r>
          </w:p>
        </w:tc>
        <w:tc>
          <w:tcPr>
            <w:tcW w:w="3828" w:type="dxa"/>
          </w:tcPr>
          <w:p w14:paraId="1D75BA4C" w14:textId="77777777" w:rsidR="00200256" w:rsidRDefault="00200256" w:rsidP="00B636A3">
            <w:pPr>
              <w:spacing w:after="180"/>
              <w:contextualSpacing/>
              <w:rPr>
                <w:color w:val="000000"/>
                <w:lang w:eastAsia="zh-CN"/>
              </w:rPr>
            </w:pPr>
            <w:r>
              <w:rPr>
                <w:color w:val="000000"/>
                <w:lang w:eastAsia="zh-CN"/>
              </w:rPr>
              <w:t>Responsible game design is the foundation of a good responsible gaming strategy</w:t>
            </w:r>
          </w:p>
          <w:p w14:paraId="4878B4A0" w14:textId="77777777" w:rsidR="00200256" w:rsidRDefault="00200256" w:rsidP="00B636A3">
            <w:pPr>
              <w:spacing w:after="180"/>
              <w:contextualSpacing/>
              <w:rPr>
                <w:color w:val="000000"/>
                <w:lang w:eastAsia="zh-CN"/>
              </w:rPr>
            </w:pPr>
          </w:p>
        </w:tc>
      </w:tr>
      <w:tr w:rsidR="00200256" w14:paraId="4071DC5E" w14:textId="77777777" w:rsidTr="00423E9F">
        <w:trPr>
          <w:trHeight w:hRule="exact" w:val="511"/>
        </w:trPr>
        <w:tc>
          <w:tcPr>
            <w:tcW w:w="2273" w:type="dxa"/>
          </w:tcPr>
          <w:p w14:paraId="3D2C404F" w14:textId="77777777" w:rsidR="00200256" w:rsidRDefault="00200256" w:rsidP="00B636A3">
            <w:pPr>
              <w:spacing w:after="180"/>
              <w:contextualSpacing/>
              <w:rPr>
                <w:color w:val="000000"/>
                <w:lang w:eastAsia="zh-CN"/>
              </w:rPr>
            </w:pPr>
            <w:r>
              <w:rPr>
                <w:color w:val="000000"/>
                <w:lang w:eastAsia="zh-CN"/>
              </w:rPr>
              <w:t>Evidence-based by applying up-to-date research knowledge</w:t>
            </w:r>
          </w:p>
          <w:p w14:paraId="65ABF841" w14:textId="77777777" w:rsidR="00200256" w:rsidRDefault="00200256" w:rsidP="00B636A3">
            <w:pPr>
              <w:spacing w:after="180"/>
              <w:contextualSpacing/>
              <w:rPr>
                <w:color w:val="000000"/>
                <w:lang w:eastAsia="zh-CN"/>
              </w:rPr>
            </w:pPr>
          </w:p>
        </w:tc>
        <w:tc>
          <w:tcPr>
            <w:tcW w:w="3392" w:type="dxa"/>
          </w:tcPr>
          <w:p w14:paraId="115FC27D" w14:textId="77777777" w:rsidR="00200256" w:rsidRDefault="00200256" w:rsidP="00B636A3">
            <w:pPr>
              <w:spacing w:after="180"/>
              <w:contextualSpacing/>
              <w:rPr>
                <w:color w:val="000000"/>
                <w:lang w:eastAsia="zh-CN"/>
              </w:rPr>
            </w:pPr>
            <w:r>
              <w:rPr>
                <w:color w:val="000000"/>
                <w:lang w:eastAsia="zh-CN"/>
              </w:rPr>
              <w:t>Ensure that all games go through the same objective and documented process</w:t>
            </w:r>
          </w:p>
        </w:tc>
        <w:tc>
          <w:tcPr>
            <w:tcW w:w="3828" w:type="dxa"/>
          </w:tcPr>
          <w:p w14:paraId="21B4E5F7" w14:textId="77777777" w:rsidR="00200256" w:rsidRDefault="00200256" w:rsidP="00B636A3">
            <w:pPr>
              <w:spacing w:after="180"/>
              <w:contextualSpacing/>
              <w:rPr>
                <w:color w:val="000000"/>
                <w:lang w:eastAsia="zh-CN"/>
              </w:rPr>
            </w:pPr>
            <w:r>
              <w:rPr>
                <w:color w:val="000000"/>
                <w:lang w:eastAsia="zh-CN"/>
              </w:rPr>
              <w:t>Helps train staff to understand key responsible gaming principles</w:t>
            </w:r>
          </w:p>
          <w:p w14:paraId="33E7032E" w14:textId="77777777" w:rsidR="00200256" w:rsidRDefault="00200256" w:rsidP="00B636A3">
            <w:pPr>
              <w:spacing w:after="180"/>
              <w:contextualSpacing/>
              <w:rPr>
                <w:color w:val="000000"/>
                <w:lang w:eastAsia="zh-CN"/>
              </w:rPr>
            </w:pPr>
          </w:p>
        </w:tc>
      </w:tr>
      <w:tr w:rsidR="00200256" w14:paraId="0314C113" w14:textId="77777777" w:rsidTr="00423E9F">
        <w:trPr>
          <w:trHeight w:val="511"/>
        </w:trPr>
        <w:tc>
          <w:tcPr>
            <w:tcW w:w="2273" w:type="dxa"/>
          </w:tcPr>
          <w:p w14:paraId="6B1FE820" w14:textId="77777777" w:rsidR="00200256" w:rsidRDefault="00200256" w:rsidP="00B636A3">
            <w:pPr>
              <w:spacing w:after="180"/>
              <w:contextualSpacing/>
              <w:rPr>
                <w:color w:val="000000"/>
                <w:lang w:eastAsia="zh-CN"/>
              </w:rPr>
            </w:pPr>
            <w:r>
              <w:rPr>
                <w:color w:val="000000"/>
                <w:lang w:eastAsia="zh-CN"/>
              </w:rPr>
              <w:t>Developed by leading researchers in the field</w:t>
            </w:r>
          </w:p>
          <w:p w14:paraId="4218F5A2" w14:textId="77777777" w:rsidR="00200256" w:rsidRDefault="00200256" w:rsidP="00B636A3">
            <w:pPr>
              <w:spacing w:after="180"/>
              <w:contextualSpacing/>
              <w:rPr>
                <w:color w:val="000000"/>
                <w:lang w:eastAsia="zh-CN"/>
              </w:rPr>
            </w:pPr>
          </w:p>
        </w:tc>
        <w:tc>
          <w:tcPr>
            <w:tcW w:w="3392" w:type="dxa"/>
          </w:tcPr>
          <w:p w14:paraId="529411CE" w14:textId="77777777" w:rsidR="00200256" w:rsidRDefault="00200256" w:rsidP="00B636A3">
            <w:pPr>
              <w:spacing w:after="180"/>
              <w:contextualSpacing/>
              <w:rPr>
                <w:color w:val="000000"/>
                <w:lang w:eastAsia="zh-CN"/>
              </w:rPr>
            </w:pPr>
            <w:r>
              <w:rPr>
                <w:color w:val="000000"/>
                <w:lang w:eastAsia="zh-CN"/>
              </w:rPr>
              <w:t>Avoid punitive repercussions resulting from overly risky game development</w:t>
            </w:r>
          </w:p>
        </w:tc>
        <w:tc>
          <w:tcPr>
            <w:tcW w:w="3828" w:type="dxa"/>
          </w:tcPr>
          <w:p w14:paraId="157BF065" w14:textId="77777777" w:rsidR="00200256" w:rsidRDefault="00200256" w:rsidP="00B636A3">
            <w:pPr>
              <w:spacing w:after="180"/>
              <w:contextualSpacing/>
              <w:rPr>
                <w:color w:val="000000"/>
                <w:lang w:eastAsia="zh-CN"/>
              </w:rPr>
            </w:pPr>
            <w:r>
              <w:rPr>
                <w:color w:val="000000"/>
                <w:lang w:eastAsia="zh-CN"/>
              </w:rPr>
              <w:t>Maintain player trust and company integrity</w:t>
            </w:r>
          </w:p>
          <w:p w14:paraId="4EC1FD06" w14:textId="77777777" w:rsidR="00200256" w:rsidRDefault="00200256" w:rsidP="00B636A3">
            <w:pPr>
              <w:spacing w:after="180"/>
              <w:contextualSpacing/>
              <w:rPr>
                <w:color w:val="000000"/>
                <w:lang w:eastAsia="zh-CN"/>
              </w:rPr>
            </w:pPr>
          </w:p>
        </w:tc>
      </w:tr>
    </w:tbl>
    <w:p w14:paraId="288BCFBC" w14:textId="1C676FC3" w:rsidR="00200256" w:rsidRDefault="00200256" w:rsidP="00200256">
      <w:pPr>
        <w:pStyle w:val="BodyText"/>
      </w:pPr>
    </w:p>
    <w:p w14:paraId="70C3FBFE" w14:textId="7C22430F" w:rsidR="00200256" w:rsidRDefault="008A6C4E" w:rsidP="00200256">
      <w:pPr>
        <w:pStyle w:val="BodyText"/>
      </w:pPr>
      <w:r>
        <w:t>Gamgard</w:t>
      </w:r>
      <w:r w:rsidR="00200256">
        <w:t xml:space="preserve"> identifies itself as a measure aimed at vulnerable players to help prevent them </w:t>
      </w:r>
      <w:r w:rsidR="00C10FD5">
        <w:t xml:space="preserve">from </w:t>
      </w:r>
      <w:r w:rsidR="00200256">
        <w:t>developing into problem gamblers</w:t>
      </w:r>
      <w:r w:rsidR="00543F4A">
        <w:t>. It does so</w:t>
      </w:r>
      <w:r w:rsidR="00200256">
        <w:t xml:space="preserve"> by amending risk features to maintain a responsible balance between excitement and overall risk. A statement from </w:t>
      </w:r>
      <w:r>
        <w:t>Gamgard</w:t>
      </w:r>
      <w:r w:rsidR="00200256">
        <w:t>’s web site</w:t>
      </w:r>
      <w:r w:rsidR="00200256">
        <w:rPr>
          <w:rStyle w:val="FootnoteReference"/>
          <w:rFonts w:eastAsia="Calibri"/>
        </w:rPr>
        <w:footnoteReference w:id="17"/>
      </w:r>
      <w:r w:rsidR="00200256">
        <w:t xml:space="preserve"> that:</w:t>
      </w:r>
    </w:p>
    <w:p w14:paraId="0C2A6BE3" w14:textId="55057590" w:rsidR="00200256" w:rsidRDefault="00200256" w:rsidP="00200256">
      <w:pPr>
        <w:pStyle w:val="Quote"/>
      </w:pPr>
      <w:r w:rsidRPr="009E28B9">
        <w:t>By examining the specific risk features of a game, it is possible to pinpoint exactly where the problematic elements of a game lie</w:t>
      </w:r>
      <w:r w:rsidR="001C35F3">
        <w:t xml:space="preserve"> </w:t>
      </w:r>
    </w:p>
    <w:p w14:paraId="5279991D" w14:textId="77777777" w:rsidR="00200256" w:rsidRDefault="00200256" w:rsidP="00200256">
      <w:pPr>
        <w:spacing w:after="80"/>
        <w:contextualSpacing/>
        <w:rPr>
          <w:rFonts w:eastAsia="Calibri"/>
        </w:rPr>
      </w:pPr>
    </w:p>
    <w:p w14:paraId="1DF3C979" w14:textId="3D828B75" w:rsidR="00200256" w:rsidRDefault="00200256" w:rsidP="00200256">
      <w:pPr>
        <w:pStyle w:val="BodyText"/>
      </w:pPr>
      <w:r>
        <w:t xml:space="preserve">This statement </w:t>
      </w:r>
      <w:r w:rsidR="001C35F3">
        <w:t xml:space="preserve">is true </w:t>
      </w:r>
      <w:r>
        <w:t>but somewhat optimistic if applied to</w:t>
      </w:r>
      <w:r w:rsidR="0097528F">
        <w:t xml:space="preserve"> the</w:t>
      </w:r>
      <w:r>
        <w:t xml:space="preserve"> </w:t>
      </w:r>
      <w:r w:rsidR="008A6C4E">
        <w:t>Gamgard</w:t>
      </w:r>
      <w:r w:rsidR="00EB1289">
        <w:t xml:space="preserve"> </w:t>
      </w:r>
      <w:r>
        <w:t xml:space="preserve">assessment only. This is because </w:t>
      </w:r>
      <w:r w:rsidR="008A6C4E">
        <w:t>Gamgard</w:t>
      </w:r>
      <w:r>
        <w:t xml:space="preserve"> is a preliminary screening tool considering a relatively small (albeit important) selection of the possible factors which might </w:t>
      </w:r>
      <w:r w:rsidR="0097528F">
        <w:t>influence</w:t>
      </w:r>
      <w:r>
        <w:t xml:space="preserve"> the risk profile of a game.  </w:t>
      </w:r>
    </w:p>
    <w:p w14:paraId="47375B57" w14:textId="371B51A4" w:rsidR="00200256" w:rsidRDefault="00575802" w:rsidP="004C15A0">
      <w:pPr>
        <w:pStyle w:val="Heading2"/>
      </w:pPr>
      <w:bookmarkStart w:id="341" w:name="_Toc87263182"/>
      <w:r>
        <w:t xml:space="preserve">Alternatives to </w:t>
      </w:r>
      <w:r w:rsidR="008A6C4E">
        <w:t>Gamgard</w:t>
      </w:r>
      <w:bookmarkEnd w:id="341"/>
    </w:p>
    <w:p w14:paraId="2C2C367B" w14:textId="45794A96" w:rsidR="00575802" w:rsidRDefault="00575802" w:rsidP="004C15A0">
      <w:pPr>
        <w:pStyle w:val="Heading3"/>
      </w:pPr>
      <w:r>
        <w:t>Other preliminary screening tools</w:t>
      </w:r>
    </w:p>
    <w:p w14:paraId="2DBCBAB8" w14:textId="597A36E1" w:rsidR="00575802" w:rsidRDefault="008F7C5C" w:rsidP="00575802">
      <w:pPr>
        <w:pStyle w:val="BodyText"/>
      </w:pPr>
      <w:r>
        <w:t>F</w:t>
      </w:r>
      <w:r w:rsidR="00575802">
        <w:t xml:space="preserve">our tools with similar objectives to </w:t>
      </w:r>
      <w:r w:rsidR="008A6C4E">
        <w:t>Gamgard</w:t>
      </w:r>
      <w:r w:rsidR="00575802">
        <w:t xml:space="preserve"> </w:t>
      </w:r>
      <w:r>
        <w:t xml:space="preserve">were </w:t>
      </w:r>
      <w:r w:rsidR="0094690B">
        <w:t>identified. They</w:t>
      </w:r>
      <w:r w:rsidR="00575802">
        <w:t xml:space="preserve"> are described below.</w:t>
      </w:r>
    </w:p>
    <w:p w14:paraId="3C53E55C" w14:textId="2B0188B9" w:rsidR="00575802" w:rsidRDefault="00575802" w:rsidP="004C15A0">
      <w:pPr>
        <w:pStyle w:val="Heading4"/>
        <w:numPr>
          <w:ilvl w:val="0"/>
          <w:numId w:val="0"/>
        </w:numPr>
        <w:ind w:left="567"/>
      </w:pPr>
      <w:bookmarkStart w:id="342" w:name="_Toc45639481"/>
      <w:r>
        <w:t>Asterig</w:t>
      </w:r>
      <w:bookmarkEnd w:id="342"/>
    </w:p>
    <w:p w14:paraId="23F3DDB0" w14:textId="2C852E7D" w:rsidR="005A745E" w:rsidRDefault="00575802" w:rsidP="006B081E">
      <w:pPr>
        <w:pStyle w:val="BodyText"/>
      </w:pPr>
      <w:r w:rsidRPr="006B081E">
        <w:t>The development of Asterig was commissioned by Aktion Mensch (a German social services organisation funded through a lottery) and ARD TV Lottery (one of two German TV lottery operators). Its development is discussed in Peren (2010) and Blanco et al</w:t>
      </w:r>
      <w:r w:rsidR="004061C9">
        <w:t>.</w:t>
      </w:r>
      <w:r w:rsidRPr="006B081E">
        <w:t xml:space="preserve"> (2013). The development was</w:t>
      </w:r>
      <w:r w:rsidR="004061C9">
        <w:t>,</w:t>
      </w:r>
      <w:r w:rsidRPr="006B081E">
        <w:t xml:space="preserve"> in essence</w:t>
      </w:r>
      <w:r w:rsidR="004061C9">
        <w:t>,</w:t>
      </w:r>
      <w:r w:rsidRPr="006B081E">
        <w:t xml:space="preserve"> similar to that of </w:t>
      </w:r>
      <w:r w:rsidR="008A6C4E">
        <w:t>Gamgard</w:t>
      </w:r>
      <w:r w:rsidRPr="006B081E">
        <w:t xml:space="preserve"> involving application of a Delphi approach (discussed in Peren, 2010 and Blaszczynski et al</w:t>
      </w:r>
      <w:r w:rsidR="004061C9">
        <w:t>.</w:t>
      </w:r>
      <w:r w:rsidRPr="006B081E">
        <w:t>, 2015) to a panel of experts augmented with interviews of ordinary gamblers, problem gamblers and morbid gamblers (</w:t>
      </w:r>
      <w:r w:rsidR="004061C9">
        <w:t xml:space="preserve">i.e., </w:t>
      </w:r>
      <w:r w:rsidR="00164474">
        <w:t>people</w:t>
      </w:r>
      <w:r w:rsidR="004061C9" w:rsidRPr="006B081E">
        <w:t xml:space="preserve"> </w:t>
      </w:r>
      <w:r w:rsidRPr="006B081E">
        <w:t xml:space="preserve">who continue to gamble when the pastime has ceased to afford them any pleasure). </w:t>
      </w:r>
      <w:r w:rsidR="00516117">
        <w:t>A</w:t>
      </w:r>
      <w:r w:rsidRPr="006B081E">
        <w:t>long with a literature review</w:t>
      </w:r>
      <w:r w:rsidR="00516117">
        <w:t xml:space="preserve">, </w:t>
      </w:r>
      <w:r w:rsidR="00314744">
        <w:t>t</w:t>
      </w:r>
      <w:r w:rsidRPr="006B081E">
        <w:t xml:space="preserve">his process reduced an original list of 61 risk factors progressively down to ten. </w:t>
      </w:r>
    </w:p>
    <w:p w14:paraId="7992BCF4" w14:textId="4BDEB161" w:rsidR="00575802" w:rsidRPr="006B081E" w:rsidRDefault="00575802" w:rsidP="006B081E">
      <w:pPr>
        <w:pStyle w:val="BodyText"/>
      </w:pPr>
      <w:r w:rsidRPr="006B081E">
        <w:t xml:space="preserve">The main difference between </w:t>
      </w:r>
      <w:r w:rsidR="00164474">
        <w:t xml:space="preserve">Asterig’s and </w:t>
      </w:r>
      <w:r w:rsidR="008A6C4E">
        <w:t>Gamgard</w:t>
      </w:r>
      <w:r w:rsidR="00164474">
        <w:t>’s</w:t>
      </w:r>
      <w:r w:rsidRPr="006B081E">
        <w:t xml:space="preserve"> process</w:t>
      </w:r>
      <w:r w:rsidR="00164474">
        <w:t>es</w:t>
      </w:r>
      <w:r w:rsidRPr="006B081E">
        <w:t xml:space="preserve"> was </w:t>
      </w:r>
      <w:r w:rsidR="00164474">
        <w:t xml:space="preserve">that </w:t>
      </w:r>
      <w:r w:rsidR="008A6C4E">
        <w:t>Gamgard</w:t>
      </w:r>
      <w:r w:rsidR="00164474">
        <w:t xml:space="preserve"> omitted people who gamble</w:t>
      </w:r>
      <w:r w:rsidR="00A61CA1">
        <w:t xml:space="preserve"> </w:t>
      </w:r>
      <w:r w:rsidR="0014396A">
        <w:t>during the development of</w:t>
      </w:r>
      <w:r w:rsidR="00A61CA1">
        <w:t xml:space="preserve"> earlier versions, whereas they were always included for Asterig.</w:t>
      </w:r>
      <w:r w:rsidRPr="006B081E">
        <w:t xml:space="preserve"> </w:t>
      </w:r>
      <w:r w:rsidR="008A6C4E">
        <w:t>Gamgard</w:t>
      </w:r>
      <w:r w:rsidRPr="006B081E">
        <w:t xml:space="preserve"> subsequently addressed this omission when developing V.3.</w:t>
      </w:r>
      <w:r w:rsidR="005A745E">
        <w:t xml:space="preserve"> </w:t>
      </w:r>
      <w:r w:rsidRPr="006B081E">
        <w:t>Asterig</w:t>
      </w:r>
      <w:r w:rsidR="00F3475A">
        <w:rPr>
          <w:vertAlign w:val="superscript"/>
        </w:rPr>
        <w:t>3</w:t>
      </w:r>
      <w:r w:rsidRPr="006B081E">
        <w:t xml:space="preserve"> rates gambling products based on </w:t>
      </w:r>
      <w:r w:rsidR="00EE2DD1" w:rsidRPr="006B081E">
        <w:t>th</w:t>
      </w:r>
      <w:r w:rsidR="00EE2DD1">
        <w:t>e</w:t>
      </w:r>
      <w:r w:rsidR="00EE2DD1" w:rsidRPr="006B081E">
        <w:t xml:space="preserve"> </w:t>
      </w:r>
      <w:r w:rsidRPr="006B081E">
        <w:t xml:space="preserve">10 factors. Those factors and their weightings and the range of possible scores are shown below in </w:t>
      </w:r>
      <w:r w:rsidR="005C53E3">
        <w:t>T</w:t>
      </w:r>
      <w:r w:rsidRPr="006B081E">
        <w:t xml:space="preserve">able </w:t>
      </w:r>
      <w:r w:rsidR="00D56248">
        <w:t>1-</w:t>
      </w:r>
      <w:r w:rsidRPr="006B081E">
        <w:t xml:space="preserve">3 from Mörsen (2014). The weighting approach is completely transparent. This differs from </w:t>
      </w:r>
      <w:r w:rsidR="008A6C4E">
        <w:t>Gamgard</w:t>
      </w:r>
      <w:r w:rsidRPr="006B081E">
        <w:t xml:space="preserve"> where weighting information is proprietary and not publicly available. Detailed definitions of the Asterig risk factors are found in Clement </w:t>
      </w:r>
      <w:r w:rsidR="00621504">
        <w:t>et al</w:t>
      </w:r>
      <w:r w:rsidR="00C4612A">
        <w:t xml:space="preserve"> </w:t>
      </w:r>
      <w:r w:rsidRPr="006B081E">
        <w:t>(2012)</w:t>
      </w:r>
      <w:r w:rsidR="00D00182">
        <w:t>,</w:t>
      </w:r>
      <w:r w:rsidRPr="006B081E">
        <w:t xml:space="preserve"> with a detailed table of Asterig’s Scoring/weighting system.</w:t>
      </w:r>
    </w:p>
    <w:p w14:paraId="40C83E3E" w14:textId="1E1D229D" w:rsidR="00575802" w:rsidRDefault="00575802" w:rsidP="00575802">
      <w:pPr>
        <w:pStyle w:val="Caption"/>
        <w:keepNext/>
      </w:pPr>
      <w:bookmarkStart w:id="343" w:name="_Ref72401627"/>
      <w:bookmarkStart w:id="344" w:name="_Toc87263217"/>
      <w:r>
        <w:lastRenderedPageBreak/>
        <w:t xml:space="preserve">Table </w:t>
      </w:r>
      <w:r>
        <w:fldChar w:fldCharType="begin"/>
      </w:r>
      <w:r>
        <w:instrText>STYLEREF 1 \s</w:instrText>
      </w:r>
      <w:r>
        <w:fldChar w:fldCharType="separate"/>
      </w:r>
      <w:r w:rsidR="00B24127">
        <w:rPr>
          <w:noProof/>
        </w:rPr>
        <w:t>1</w:t>
      </w:r>
      <w:r>
        <w:fldChar w:fldCharType="end"/>
      </w:r>
      <w:r w:rsidR="00B76156">
        <w:noBreakHyphen/>
      </w:r>
      <w:r>
        <w:fldChar w:fldCharType="begin"/>
      </w:r>
      <w:r>
        <w:instrText>SEQ Table \* ARABIC \s 1</w:instrText>
      </w:r>
      <w:r>
        <w:fldChar w:fldCharType="separate"/>
      </w:r>
      <w:r w:rsidR="00B24127">
        <w:rPr>
          <w:noProof/>
        </w:rPr>
        <w:t>3</w:t>
      </w:r>
      <w:r>
        <w:fldChar w:fldCharType="end"/>
      </w:r>
      <w:bookmarkEnd w:id="343"/>
      <w:r>
        <w:t xml:space="preserve"> Asterig's risk factors and their scores from Mörsen (2014), slide 12</w:t>
      </w:r>
      <w:bookmarkEnd w:id="344"/>
    </w:p>
    <w:p w14:paraId="592F3295" w14:textId="245EA530" w:rsidR="00575802" w:rsidRDefault="00575802" w:rsidP="00575802">
      <w:pPr>
        <w:pStyle w:val="BodyText"/>
      </w:pPr>
      <w:r>
        <w:rPr>
          <w:noProof/>
        </w:rPr>
        <w:drawing>
          <wp:inline distT="0" distB="0" distL="0" distR="0" wp14:anchorId="716F833D" wp14:editId="4C0C64B9">
            <wp:extent cx="5162550" cy="3000375"/>
            <wp:effectExtent l="0" t="0" r="0" b="0"/>
            <wp:docPr id="103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24" cstate="print"/>
                    <a:srcRect/>
                    <a:stretch/>
                  </pic:blipFill>
                  <pic:spPr>
                    <a:xfrm>
                      <a:off x="0" y="0"/>
                      <a:ext cx="5162550" cy="3000375"/>
                    </a:xfrm>
                    <a:prstGeom prst="rect">
                      <a:avLst/>
                    </a:prstGeom>
                    <a:ln>
                      <a:noFill/>
                    </a:ln>
                  </pic:spPr>
                </pic:pic>
              </a:graphicData>
            </a:graphic>
          </wp:inline>
        </w:drawing>
      </w:r>
    </w:p>
    <w:p w14:paraId="47E0AEC8" w14:textId="05383F9D" w:rsidR="00575802" w:rsidRDefault="0065248E" w:rsidP="00575802">
      <w:pPr>
        <w:pStyle w:val="BodyText"/>
      </w:pPr>
      <w:r>
        <w:t>The</w:t>
      </w:r>
      <w:r w:rsidR="00575802">
        <w:t xml:space="preserve"> scoring systems of different tools will provide different weights for their factors. In Asterig, the raw values of the aggregated factor scores </w:t>
      </w:r>
      <w:r w:rsidR="005C4824">
        <w:t>can</w:t>
      </w:r>
      <w:r w:rsidR="00575802">
        <w:t xml:space="preserve"> range from 0 to 620 and are transformed into a score between 0 and 10 by dividing by 62. </w:t>
      </w:r>
      <w:r w:rsidR="005C4824">
        <w:t>L</w:t>
      </w:r>
      <w:r w:rsidR="00575802">
        <w:t xml:space="preserve">ater, the original Asterig was amended to better evaluate online games, </w:t>
      </w:r>
      <w:r w:rsidR="002571CE">
        <w:t>in particular, to</w:t>
      </w:r>
      <w:r w:rsidR="00575802">
        <w:t xml:space="preserve"> evaluate the online game Texas Hold’em Poker No Limit</w:t>
      </w:r>
      <w:r w:rsidR="004E148F">
        <w:t xml:space="preserve"> (Perez &amp; Reiner, 2012)</w:t>
      </w:r>
      <w:r w:rsidR="00575802">
        <w:t>. This change involved the addition of an illusion of control factor</w:t>
      </w:r>
      <w:r w:rsidR="008D2522">
        <w:t>,</w:t>
      </w:r>
      <w:r w:rsidR="00575802">
        <w:t xml:space="preserve"> similar to that in </w:t>
      </w:r>
      <w:r w:rsidR="008A6C4E">
        <w:t>Gamgard</w:t>
      </w:r>
      <w:r w:rsidR="008D2522">
        <w:t>,</w:t>
      </w:r>
      <w:r w:rsidR="00575802">
        <w:t xml:space="preserve"> and splitting the event frequency factor into two sub-factors. These were event frequency- game speed and event frequency-reaction time. </w:t>
      </w:r>
    </w:p>
    <w:p w14:paraId="75D5AC06" w14:textId="32A834F7" w:rsidR="00575802" w:rsidRPr="006B081E" w:rsidRDefault="00575802" w:rsidP="00575802">
      <w:pPr>
        <w:pStyle w:val="BodyText"/>
      </w:pPr>
      <w:r>
        <w:t>Peren and Reiner</w:t>
      </w:r>
      <w:r w:rsidR="008D2522">
        <w:t xml:space="preserve"> (</w:t>
      </w:r>
      <w:r>
        <w:t>2012</w:t>
      </w:r>
      <w:r w:rsidR="00F560F8">
        <w:t>)</w:t>
      </w:r>
      <w:r>
        <w:t xml:space="preserve"> also recommended operator behaviour, which they state </w:t>
      </w:r>
      <w:r w:rsidRPr="00F33750">
        <w:rPr>
          <w:rFonts w:cs="AdvPSA88A"/>
          <w:i/>
        </w:rPr>
        <w:t>might significantly influence the addiction potential of games of chance and games of skill</w:t>
      </w:r>
      <w:r>
        <w:rPr>
          <w:rFonts w:cs="AdvPSA88A"/>
        </w:rPr>
        <w:t xml:space="preserve"> (</w:t>
      </w:r>
      <w:r w:rsidR="00F560F8">
        <w:rPr>
          <w:rFonts w:cs="AdvPSA88A"/>
        </w:rPr>
        <w:t xml:space="preserve">p. </w:t>
      </w:r>
      <w:r>
        <w:rPr>
          <w:rFonts w:cs="AdvPSA88A"/>
        </w:rPr>
        <w:t xml:space="preserve">4) </w:t>
      </w:r>
      <w:r w:rsidRPr="006B081E">
        <w:t xml:space="preserve">as a material factor worthy of further investigation. No information on industry use of Asterig in English speaking countries has been found although it can reasonably be expected to be in use by the German lotteries associated with its commissioning, particularly given that </w:t>
      </w:r>
      <w:r w:rsidR="008A6C4E">
        <w:t>Gamgard</w:t>
      </w:r>
      <w:r w:rsidRPr="006B081E">
        <w:t xml:space="preserve"> has no German clients. It was used</w:t>
      </w:r>
      <w:r w:rsidR="00CF630C">
        <w:t>,</w:t>
      </w:r>
      <w:r w:rsidRPr="006B081E">
        <w:t xml:space="preserve"> </w:t>
      </w:r>
      <w:r w:rsidR="00CF630C" w:rsidRPr="006B081E">
        <w:t>however</w:t>
      </w:r>
      <w:r w:rsidR="00CF630C">
        <w:t>,</w:t>
      </w:r>
      <w:r w:rsidR="00CF630C" w:rsidRPr="006B081E">
        <w:t xml:space="preserve"> </w:t>
      </w:r>
      <w:r w:rsidRPr="006B081E">
        <w:t>as the basis for a survey of perceptions of industry and researchers on the relative risk of various gambling products by the University of Sydney (Blaszczynski et al, 2015).</w:t>
      </w:r>
    </w:p>
    <w:p w14:paraId="21354E3A" w14:textId="7E5DE7C7" w:rsidR="00575802" w:rsidRDefault="001E3959" w:rsidP="004C15A0">
      <w:pPr>
        <w:pStyle w:val="Heading4"/>
        <w:numPr>
          <w:ilvl w:val="0"/>
          <w:numId w:val="0"/>
        </w:numPr>
        <w:ind w:left="567"/>
      </w:pPr>
      <w:r>
        <w:t>RaVa</w:t>
      </w:r>
    </w:p>
    <w:p w14:paraId="1506DE37" w14:textId="244EE688" w:rsidR="00575802" w:rsidRDefault="001E3959" w:rsidP="00575802">
      <w:pPr>
        <w:pStyle w:val="BodyText"/>
      </w:pPr>
      <w:r>
        <w:t>RaVa</w:t>
      </w:r>
      <w:r w:rsidR="00575802">
        <w:t xml:space="preserve"> (Ethical Evaluator Tool). is used in Finland by Veikkaus</w:t>
      </w:r>
      <w:r w:rsidR="00575802">
        <w:rPr>
          <w:rStyle w:val="FootnoteReference"/>
          <w:sz w:val="23"/>
          <w:szCs w:val="23"/>
        </w:rPr>
        <w:footnoteReference w:id="18"/>
      </w:r>
      <w:r w:rsidR="00575802">
        <w:t xml:space="preserve"> the Finnish State Gaming Company. It is the only Finnish gambling game operator and develops many, if not all, of its own games. It assesses its products from an ethical perspective, </w:t>
      </w:r>
      <w:r w:rsidR="00F347C0">
        <w:t xml:space="preserve">during </w:t>
      </w:r>
      <w:r w:rsidR="00575802">
        <w:t xml:space="preserve">all stages of game development. </w:t>
      </w:r>
      <w:r>
        <w:t>RaVa</w:t>
      </w:r>
      <w:r w:rsidR="00575802">
        <w:t xml:space="preserve"> contains nine components aimed at measuring possible addiction-provoking features in a game or a game idea, how the game is marketed and social aspects. The components contain several detailed questions to </w:t>
      </w:r>
      <w:r w:rsidR="00CE2150">
        <w:t>examine</w:t>
      </w:r>
      <w:r w:rsidR="00575802">
        <w:t xml:space="preserve"> the game’s features from multiple angles. The results may lead to possible restrictions either on the game, its setting</w:t>
      </w:r>
      <w:r w:rsidR="00CE2150">
        <w:t>,</w:t>
      </w:r>
      <w:r w:rsidR="00575802">
        <w:t xml:space="preserve"> or its marketing. The components are:</w:t>
      </w:r>
    </w:p>
    <w:p w14:paraId="4387A0F9" w14:textId="77777777" w:rsidR="00575802" w:rsidRDefault="00575802" w:rsidP="00575802">
      <w:pPr>
        <w:pStyle w:val="ListBullet"/>
      </w:pPr>
      <w:r>
        <w:t>Risk of financial loss</w:t>
      </w:r>
    </w:p>
    <w:p w14:paraId="453744C0" w14:textId="77777777" w:rsidR="00575802" w:rsidRDefault="00575802" w:rsidP="00575802">
      <w:pPr>
        <w:pStyle w:val="ListBullet"/>
      </w:pPr>
      <w:r>
        <w:t>Profit/Stake structure</w:t>
      </w:r>
    </w:p>
    <w:p w14:paraId="745560D9" w14:textId="77777777" w:rsidR="00575802" w:rsidRDefault="00575802" w:rsidP="00575802">
      <w:pPr>
        <w:pStyle w:val="ListBullet"/>
      </w:pPr>
      <w:r>
        <w:t>The role of skills, information, chance, and rules</w:t>
      </w:r>
    </w:p>
    <w:p w14:paraId="0A7162A4" w14:textId="77777777" w:rsidR="00575802" w:rsidRDefault="00575802" w:rsidP="00575802">
      <w:pPr>
        <w:pStyle w:val="ListBullet"/>
      </w:pPr>
      <w:r>
        <w:t>The attractiveness of the game and the gaming environment</w:t>
      </w:r>
    </w:p>
    <w:p w14:paraId="3AE1E028" w14:textId="77777777" w:rsidR="00575802" w:rsidRDefault="00575802" w:rsidP="00575802">
      <w:pPr>
        <w:pStyle w:val="ListBullet"/>
      </w:pPr>
      <w:r>
        <w:t>Additional attractions</w:t>
      </w:r>
    </w:p>
    <w:p w14:paraId="06612950" w14:textId="77777777" w:rsidR="00575802" w:rsidRDefault="00575802" w:rsidP="00575802">
      <w:pPr>
        <w:pStyle w:val="ListBullet"/>
      </w:pPr>
      <w:r>
        <w:t>Social features</w:t>
      </w:r>
    </w:p>
    <w:p w14:paraId="587AA02D" w14:textId="77777777" w:rsidR="00575802" w:rsidRDefault="00575802" w:rsidP="00575802">
      <w:pPr>
        <w:pStyle w:val="ListBullet"/>
      </w:pPr>
      <w:r>
        <w:t>Availability</w:t>
      </w:r>
    </w:p>
    <w:p w14:paraId="735FCE70" w14:textId="77777777" w:rsidR="00575802" w:rsidRDefault="00575802" w:rsidP="00575802">
      <w:pPr>
        <w:pStyle w:val="ListBullet"/>
      </w:pPr>
      <w:r>
        <w:t>Marketing</w:t>
      </w:r>
    </w:p>
    <w:p w14:paraId="62787429" w14:textId="77777777" w:rsidR="00575802" w:rsidRDefault="00575802" w:rsidP="00575802">
      <w:pPr>
        <w:pStyle w:val="BodyText"/>
      </w:pPr>
      <w:r>
        <w:lastRenderedPageBreak/>
        <w:t>Basic guidelines for interpretation of its outputs (Airas, 2011) include:</w:t>
      </w:r>
    </w:p>
    <w:p w14:paraId="420D40A1" w14:textId="01EEB0D3" w:rsidR="00575802" w:rsidRDefault="00575802" w:rsidP="00575802">
      <w:pPr>
        <w:pStyle w:val="ListBullet"/>
      </w:pPr>
      <w:r>
        <w:t>The higher the values are</w:t>
      </w:r>
      <w:r w:rsidR="00105C05">
        <w:t>,</w:t>
      </w:r>
      <w:r>
        <w:t xml:space="preserve"> the more hazardous the product potentially </w:t>
      </w:r>
      <w:r w:rsidR="00105C05">
        <w:t>can be</w:t>
      </w:r>
      <w:r>
        <w:t xml:space="preserve">. </w:t>
      </w:r>
    </w:p>
    <w:p w14:paraId="1175445F" w14:textId="77777777" w:rsidR="00575802" w:rsidRDefault="00575802" w:rsidP="00575802">
      <w:pPr>
        <w:pStyle w:val="ListBullet"/>
      </w:pPr>
      <w:r>
        <w:t xml:space="preserve">High values should be analysed with particular care. </w:t>
      </w:r>
    </w:p>
    <w:p w14:paraId="5ACCA8DB" w14:textId="77777777" w:rsidR="00575802" w:rsidRDefault="00575802" w:rsidP="00575802">
      <w:pPr>
        <w:pStyle w:val="ListBullet"/>
      </w:pPr>
      <w:r>
        <w:t xml:space="preserve">Even though a product would seem particularly attractive in one aspect, the qualities of another aspect may compensate for that. </w:t>
      </w:r>
    </w:p>
    <w:p w14:paraId="7876CA2C" w14:textId="77777777" w:rsidR="00575802" w:rsidRDefault="00575802" w:rsidP="00575802">
      <w:pPr>
        <w:pStyle w:val="ListBullet"/>
      </w:pPr>
      <w:r>
        <w:t xml:space="preserve">Some qualities are ambiguous, e.g., social aspects of gaming can prevent, or encourage addictive behaviour. </w:t>
      </w:r>
    </w:p>
    <w:p w14:paraId="0036FA6A" w14:textId="3D0231B8" w:rsidR="00575802" w:rsidRDefault="001E3959" w:rsidP="00575802">
      <w:pPr>
        <w:pStyle w:val="BodyText"/>
      </w:pPr>
      <w:r>
        <w:t>RaVa</w:t>
      </w:r>
      <w:r w:rsidR="00105C05">
        <w:t xml:space="preserve"> has</w:t>
      </w:r>
      <w:r w:rsidR="00575802">
        <w:t xml:space="preserve"> a wider scope than </w:t>
      </w:r>
      <w:r w:rsidR="008A6C4E">
        <w:t>Gamgard</w:t>
      </w:r>
      <w:r w:rsidR="00575802">
        <w:t xml:space="preserve"> as it touches on issues well outside the game itself like marketing, the gaming environment and social aspects. A personal communication from Veikkaus indicates that it needs updating but there are no immediate plans to do so.</w:t>
      </w:r>
    </w:p>
    <w:p w14:paraId="583174DF" w14:textId="77777777" w:rsidR="00575802" w:rsidRDefault="00575802" w:rsidP="004C15A0">
      <w:pPr>
        <w:pStyle w:val="Heading4"/>
        <w:numPr>
          <w:ilvl w:val="0"/>
          <w:numId w:val="0"/>
        </w:numPr>
        <w:ind w:left="567"/>
      </w:pPr>
      <w:bookmarkStart w:id="345" w:name="_Toc45639483"/>
      <w:r w:rsidRPr="00575802">
        <w:t>Serenigame</w:t>
      </w:r>
      <w:r>
        <w:rPr>
          <w:rStyle w:val="FootnoteReference"/>
        </w:rPr>
        <w:footnoteReference w:id="19"/>
      </w:r>
      <w:r w:rsidRPr="00F33750">
        <w:rPr>
          <w:vertAlign w:val="superscript"/>
        </w:rPr>
        <w:t>,</w:t>
      </w:r>
      <w:r>
        <w:rPr>
          <w:rStyle w:val="FootnoteReference"/>
        </w:rPr>
        <w:footnoteReference w:id="20"/>
      </w:r>
      <w:bookmarkEnd w:id="345"/>
    </w:p>
    <w:p w14:paraId="7C5D69F9" w14:textId="0CCF56BC" w:rsidR="00575802" w:rsidRDefault="00575802" w:rsidP="00575802">
      <w:pPr>
        <w:pStyle w:val="BodyText"/>
      </w:pPr>
      <w:r>
        <w:t xml:space="preserve">Serenigame, is a tool used by Francaise des Jeux (FDJ) the operator of France’s National Lottery games. It is described as a risk prevention matrix aimed at measuring the level of potential risk of games upstream or at the time of their design. There is no further information </w:t>
      </w:r>
      <w:r w:rsidR="00B92422">
        <w:t xml:space="preserve">regarding this tool currently </w:t>
      </w:r>
      <w:r>
        <w:t>available .</w:t>
      </w:r>
    </w:p>
    <w:p w14:paraId="6682EDA4" w14:textId="77777777" w:rsidR="00575802" w:rsidRDefault="00575802" w:rsidP="004C15A0">
      <w:pPr>
        <w:pStyle w:val="Heading4"/>
        <w:numPr>
          <w:ilvl w:val="0"/>
          <w:numId w:val="0"/>
        </w:numPr>
        <w:ind w:left="567"/>
      </w:pPr>
      <w:bookmarkStart w:id="346" w:name="_Toc45639484"/>
      <w:r>
        <w:t>Hungarian tool</w:t>
      </w:r>
      <w:bookmarkEnd w:id="346"/>
    </w:p>
    <w:p w14:paraId="47E395C7" w14:textId="597A5B4B" w:rsidR="00575802" w:rsidRPr="00F33750" w:rsidRDefault="00575802" w:rsidP="00575802">
      <w:pPr>
        <w:pStyle w:val="BodyText"/>
      </w:pPr>
      <w:r>
        <w:t xml:space="preserve">A Hungarian tool, which does not appear to have a name was described at the </w:t>
      </w:r>
      <w:r w:rsidRPr="00F33750">
        <w:t xml:space="preserve">2nd International Conference on Behavioral Addictions by Paksi et al (2015). The tool was developed in five consecutive and separate phases. The first </w:t>
      </w:r>
      <w:r w:rsidR="00A54607">
        <w:t>three</w:t>
      </w:r>
      <w:r w:rsidR="00A54607" w:rsidRPr="00F33750">
        <w:t xml:space="preserve"> </w:t>
      </w:r>
      <w:r w:rsidRPr="00F33750">
        <w:t xml:space="preserve">phases were similar to those used in the development of </w:t>
      </w:r>
      <w:r w:rsidR="008A6C4E">
        <w:t>Gamgard</w:t>
      </w:r>
      <w:r w:rsidRPr="00F33750">
        <w:t xml:space="preserve"> and Asterig but with a </w:t>
      </w:r>
      <w:r w:rsidRPr="00D81D23">
        <w:t>special</w:t>
      </w:r>
      <w:r w:rsidRPr="00F33750">
        <w:t xml:space="preserve"> focus on Hungarian gambling products. Phase four reassessed the measurement using quantitative</w:t>
      </w:r>
      <w:r>
        <w:t xml:space="preserve"> </w:t>
      </w:r>
      <w:r w:rsidRPr="00F33750">
        <w:t xml:space="preserve">data from population-wide surveys. </w:t>
      </w:r>
      <w:r w:rsidRPr="00D81D23">
        <w:t>The</w:t>
      </w:r>
      <w:r w:rsidRPr="00F33750">
        <w:t xml:space="preserve"> risk potential of a game as estimated by the assessment tool was compared with the rate </w:t>
      </w:r>
      <w:r w:rsidRPr="00482172">
        <w:t>of problematic</w:t>
      </w:r>
      <w:r w:rsidRPr="00F33750">
        <w:t xml:space="preserve"> or pathological gambling</w:t>
      </w:r>
      <w:r>
        <w:t xml:space="preserve"> </w:t>
      </w:r>
      <w:r w:rsidRPr="00F33750">
        <w:t xml:space="preserve">associated with the same type of game.  The survey data was combined with the characteristics of the preferred game and </w:t>
      </w:r>
      <w:r w:rsidRPr="00482172">
        <w:t>correlated with</w:t>
      </w:r>
      <w:r w:rsidRPr="00F33750">
        <w:t xml:space="preserve"> the total PGSI score.</w:t>
      </w:r>
      <w:r>
        <w:t xml:space="preserve"> In </w:t>
      </w:r>
      <w:r w:rsidR="00A54607">
        <w:t xml:space="preserve">Phase five, </w:t>
      </w:r>
      <w:r>
        <w:t xml:space="preserve">the tool was applied. </w:t>
      </w:r>
      <w:r w:rsidRPr="00F33750">
        <w:t xml:space="preserve">The instrument includes ten items </w:t>
      </w:r>
      <w:r w:rsidRPr="00482172">
        <w:t>and the</w:t>
      </w:r>
      <w:r w:rsidRPr="00F33750">
        <w:t xml:space="preserve"> total score ranges between 34 and 144. Games </w:t>
      </w:r>
      <w:r w:rsidRPr="00482172">
        <w:t>are classified</w:t>
      </w:r>
      <w:r w:rsidRPr="00F33750">
        <w:t xml:space="preserve"> </w:t>
      </w:r>
      <w:r w:rsidRPr="00482172">
        <w:t>as low</w:t>
      </w:r>
      <w:r w:rsidRPr="00F33750">
        <w:t xml:space="preserve"> risk, moderate risk, high risk and very high risk. The importance of the population reassessment is highlighted by the fact that the reassessment had a substantive impact on the weights from </w:t>
      </w:r>
      <w:r w:rsidRPr="00482172">
        <w:t>the qualitative</w:t>
      </w:r>
      <w:r w:rsidRPr="00F33750">
        <w:t xml:space="preserve"> phase bas</w:t>
      </w:r>
      <w:r>
        <w:t>ed on</w:t>
      </w:r>
      <w:r w:rsidRPr="00F33750">
        <w:t xml:space="preserve"> the total PGSI points.</w:t>
      </w:r>
      <w:r>
        <w:t xml:space="preserve"> This approach looks technically sound. However, the population assessment can presumably only be done if that type of game is already in use in the relevant jurisdiction.</w:t>
      </w:r>
    </w:p>
    <w:p w14:paraId="00F5CE09" w14:textId="637C7344" w:rsidR="00575802" w:rsidRDefault="00575802" w:rsidP="004C15A0">
      <w:pPr>
        <w:pStyle w:val="Heading3"/>
      </w:pPr>
      <w:r>
        <w:t xml:space="preserve">Comparison of the factors/elements used in </w:t>
      </w:r>
      <w:r w:rsidR="008A6C4E">
        <w:t>Gamgard</w:t>
      </w:r>
      <w:r>
        <w:t xml:space="preserve">, Asterig and </w:t>
      </w:r>
      <w:r w:rsidR="001E3959">
        <w:t>RaVa</w:t>
      </w:r>
    </w:p>
    <w:p w14:paraId="1DDB1195" w14:textId="2FC0A52D" w:rsidR="00575802" w:rsidRDefault="00575802" w:rsidP="00575802">
      <w:pPr>
        <w:pStyle w:val="BodyText"/>
      </w:pPr>
      <w:r>
        <w:t xml:space="preserve">The three tools, </w:t>
      </w:r>
      <w:r w:rsidR="008A6C4E">
        <w:t>Gamgard</w:t>
      </w:r>
      <w:r>
        <w:t xml:space="preserve">, Asterig and </w:t>
      </w:r>
      <w:r w:rsidR="001E3959">
        <w:t>RaVa</w:t>
      </w:r>
      <w:r>
        <w:t xml:space="preserve">, for which details are available, have lists of risk factors (or gaming elements in </w:t>
      </w:r>
      <w:r w:rsidR="001E3959">
        <w:t>RaVa</w:t>
      </w:r>
      <w:r w:rsidR="006E0386">
        <w:t xml:space="preserve">’s </w:t>
      </w:r>
      <w:r>
        <w:t xml:space="preserve">case). These are augmented in </w:t>
      </w:r>
      <w:r w:rsidR="008A6C4E">
        <w:t>Gamgard</w:t>
      </w:r>
      <w:r>
        <w:t xml:space="preserve"> by an allowance for external responsible gaming featur</w:t>
      </w:r>
      <w:r w:rsidR="00CB13B9">
        <w:t>e</w:t>
      </w:r>
      <w:r w:rsidR="006B6B47">
        <w:t>.</w:t>
      </w:r>
      <w:r w:rsidR="00CB13B9">
        <w:t xml:space="preserve"> </w:t>
      </w:r>
      <w:r w:rsidR="00CB13B9">
        <w:fldChar w:fldCharType="begin"/>
      </w:r>
      <w:r w:rsidR="00CB13B9">
        <w:instrText xml:space="preserve"> REF _Ref72401630 \h </w:instrText>
      </w:r>
      <w:r w:rsidR="00CB13B9">
        <w:fldChar w:fldCharType="separate"/>
      </w:r>
      <w:r w:rsidR="00B24127">
        <w:t xml:space="preserve">Table </w:t>
      </w:r>
      <w:r w:rsidR="00B24127">
        <w:rPr>
          <w:noProof/>
        </w:rPr>
        <w:t>1</w:t>
      </w:r>
      <w:r w:rsidR="00B24127">
        <w:noBreakHyphen/>
      </w:r>
      <w:r w:rsidR="00B24127">
        <w:rPr>
          <w:noProof/>
        </w:rPr>
        <w:t>4</w:t>
      </w:r>
      <w:r w:rsidR="00CB13B9">
        <w:fldChar w:fldCharType="end"/>
      </w:r>
      <w:r w:rsidR="00DE6495">
        <w:t xml:space="preserve"> </w:t>
      </w:r>
      <w:r>
        <w:t>is a comparison of the three</w:t>
      </w:r>
      <w:r w:rsidR="006E0386">
        <w:t xml:space="preserve"> tools</w:t>
      </w:r>
      <w:r>
        <w:t>. Where the factors/elements exhibit some commonality, they are listed in the same row of the table.</w:t>
      </w:r>
    </w:p>
    <w:p w14:paraId="0C8D77BB" w14:textId="2A37063E" w:rsidR="007B16DF" w:rsidRDefault="007B16DF" w:rsidP="00575802">
      <w:pPr>
        <w:pStyle w:val="BodyText"/>
      </w:pPr>
    </w:p>
    <w:p w14:paraId="1BF7530A" w14:textId="77777777" w:rsidR="007B16DF" w:rsidRDefault="007B16DF" w:rsidP="00575802">
      <w:pPr>
        <w:pStyle w:val="BodyText"/>
      </w:pPr>
    </w:p>
    <w:p w14:paraId="63CAD49F" w14:textId="5CA73406" w:rsidR="00575802" w:rsidRDefault="00575802" w:rsidP="00575802">
      <w:pPr>
        <w:pStyle w:val="Caption"/>
        <w:keepNext/>
      </w:pPr>
      <w:bookmarkStart w:id="347" w:name="_Ref72401630"/>
      <w:bookmarkStart w:id="348" w:name="_Toc87263218"/>
      <w:r>
        <w:t xml:space="preserve">Table </w:t>
      </w:r>
      <w:r>
        <w:fldChar w:fldCharType="begin"/>
      </w:r>
      <w:r>
        <w:instrText>STYLEREF 1 \s</w:instrText>
      </w:r>
      <w:r>
        <w:fldChar w:fldCharType="separate"/>
      </w:r>
      <w:r w:rsidR="00B24127">
        <w:rPr>
          <w:noProof/>
        </w:rPr>
        <w:t>1</w:t>
      </w:r>
      <w:r>
        <w:fldChar w:fldCharType="end"/>
      </w:r>
      <w:r w:rsidR="00B76156">
        <w:noBreakHyphen/>
      </w:r>
      <w:r>
        <w:fldChar w:fldCharType="begin"/>
      </w:r>
      <w:r>
        <w:instrText>SEQ Table \* ARABIC \s 1</w:instrText>
      </w:r>
      <w:r>
        <w:fldChar w:fldCharType="separate"/>
      </w:r>
      <w:r w:rsidR="00B24127">
        <w:rPr>
          <w:noProof/>
        </w:rPr>
        <w:t>4</w:t>
      </w:r>
      <w:r>
        <w:fldChar w:fldCharType="end"/>
      </w:r>
      <w:bookmarkEnd w:id="347"/>
      <w:r>
        <w:t xml:space="preserve"> Comparison of factors used in </w:t>
      </w:r>
      <w:r w:rsidR="008A6C4E">
        <w:t>Gamgard</w:t>
      </w:r>
      <w:r>
        <w:t xml:space="preserve">, Asterig and </w:t>
      </w:r>
      <w:r w:rsidR="001E3959">
        <w:t>RaVa</w:t>
      </w:r>
      <w:bookmarkEnd w:id="348"/>
    </w:p>
    <w:tbl>
      <w:tblPr>
        <w:tblStyle w:val="TableGrid"/>
        <w:tblW w:w="8222"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970"/>
        <w:gridCol w:w="2566"/>
        <w:gridCol w:w="3686"/>
      </w:tblGrid>
      <w:tr w:rsidR="00575802" w14:paraId="3F272956" w14:textId="77777777" w:rsidTr="00B636A3">
        <w:tc>
          <w:tcPr>
            <w:tcW w:w="8222" w:type="dxa"/>
            <w:gridSpan w:val="3"/>
            <w:shd w:val="clear" w:color="auto" w:fill="BFBFBF"/>
            <w:vAlign w:val="center"/>
          </w:tcPr>
          <w:p w14:paraId="4A01B91B" w14:textId="31E4D9FC" w:rsidR="00575802" w:rsidRDefault="00575802" w:rsidP="00B636A3">
            <w:pPr>
              <w:spacing w:after="180"/>
              <w:contextualSpacing/>
              <w:jc w:val="center"/>
              <w:rPr>
                <w:b/>
              </w:rPr>
            </w:pPr>
            <w:r>
              <w:rPr>
                <w:b/>
              </w:rPr>
              <w:t xml:space="preserve">Risk factors/Gaming elements scored by </w:t>
            </w:r>
            <w:r w:rsidR="008A6C4E">
              <w:rPr>
                <w:b/>
              </w:rPr>
              <w:t>Gamgard</w:t>
            </w:r>
            <w:r>
              <w:rPr>
                <w:b/>
              </w:rPr>
              <w:t xml:space="preserve">, Asterig and </w:t>
            </w:r>
            <w:r w:rsidR="001E3959">
              <w:rPr>
                <w:b/>
              </w:rPr>
              <w:t>R</w:t>
            </w:r>
            <w:r w:rsidR="00956469">
              <w:rPr>
                <w:b/>
              </w:rPr>
              <w:t>a</w:t>
            </w:r>
            <w:r w:rsidR="001E3959">
              <w:rPr>
                <w:b/>
              </w:rPr>
              <w:t>V</w:t>
            </w:r>
            <w:r w:rsidR="00956469">
              <w:rPr>
                <w:b/>
              </w:rPr>
              <w:t>a</w:t>
            </w:r>
          </w:p>
        </w:tc>
      </w:tr>
      <w:tr w:rsidR="00575802" w14:paraId="2E7AAD92" w14:textId="77777777" w:rsidTr="00B636A3">
        <w:tc>
          <w:tcPr>
            <w:tcW w:w="1970" w:type="dxa"/>
            <w:shd w:val="clear" w:color="auto" w:fill="BFBFBF"/>
            <w:vAlign w:val="center"/>
          </w:tcPr>
          <w:p w14:paraId="5C699617" w14:textId="65BA25B7" w:rsidR="00575802" w:rsidRDefault="008A6C4E" w:rsidP="00B636A3">
            <w:pPr>
              <w:spacing w:after="180"/>
              <w:contextualSpacing/>
              <w:jc w:val="center"/>
            </w:pPr>
            <w:r>
              <w:t>Gamgard</w:t>
            </w:r>
          </w:p>
        </w:tc>
        <w:tc>
          <w:tcPr>
            <w:tcW w:w="2566" w:type="dxa"/>
            <w:shd w:val="clear" w:color="auto" w:fill="BFBFBF"/>
            <w:vAlign w:val="center"/>
          </w:tcPr>
          <w:p w14:paraId="59AFE5FE" w14:textId="77777777" w:rsidR="00575802" w:rsidRDefault="00575802" w:rsidP="00B636A3">
            <w:pPr>
              <w:spacing w:after="180"/>
              <w:contextualSpacing/>
              <w:jc w:val="center"/>
            </w:pPr>
            <w:r>
              <w:t>Asterig</w:t>
            </w:r>
          </w:p>
        </w:tc>
        <w:tc>
          <w:tcPr>
            <w:tcW w:w="3686" w:type="dxa"/>
            <w:shd w:val="clear" w:color="auto" w:fill="BFBFBF"/>
            <w:vAlign w:val="center"/>
          </w:tcPr>
          <w:p w14:paraId="4C1721DB" w14:textId="416DD870" w:rsidR="00575802" w:rsidRDefault="001E3959" w:rsidP="00B636A3">
            <w:pPr>
              <w:spacing w:after="180"/>
              <w:contextualSpacing/>
              <w:jc w:val="center"/>
            </w:pPr>
            <w:r>
              <w:t>R</w:t>
            </w:r>
            <w:r w:rsidR="00956469">
              <w:t>a</w:t>
            </w:r>
            <w:r>
              <w:t>V</w:t>
            </w:r>
            <w:r w:rsidR="00956469">
              <w:t>a</w:t>
            </w:r>
          </w:p>
        </w:tc>
      </w:tr>
      <w:tr w:rsidR="00575802" w14:paraId="0552E070" w14:textId="77777777" w:rsidTr="00B636A3">
        <w:tc>
          <w:tcPr>
            <w:tcW w:w="1970" w:type="dxa"/>
            <w:vAlign w:val="center"/>
          </w:tcPr>
          <w:p w14:paraId="336179CE" w14:textId="77777777" w:rsidR="00575802" w:rsidRDefault="00575802" w:rsidP="00B636A3">
            <w:pPr>
              <w:spacing w:after="180"/>
              <w:contextualSpacing/>
              <w:rPr>
                <w:highlight w:val="green"/>
              </w:rPr>
            </w:pPr>
            <w:r>
              <w:rPr>
                <w:highlight w:val="green"/>
              </w:rPr>
              <w:t>Event frequency</w:t>
            </w:r>
          </w:p>
        </w:tc>
        <w:tc>
          <w:tcPr>
            <w:tcW w:w="2566" w:type="dxa"/>
            <w:vAlign w:val="center"/>
          </w:tcPr>
          <w:p w14:paraId="3D8A9D6A" w14:textId="77777777" w:rsidR="00575802" w:rsidRDefault="00575802" w:rsidP="00B636A3">
            <w:pPr>
              <w:spacing w:after="180"/>
              <w:contextualSpacing/>
              <w:rPr>
                <w:highlight w:val="green"/>
              </w:rPr>
            </w:pPr>
            <w:r>
              <w:rPr>
                <w:highlight w:val="green"/>
              </w:rPr>
              <w:t>Event frequency</w:t>
            </w:r>
          </w:p>
        </w:tc>
        <w:tc>
          <w:tcPr>
            <w:tcW w:w="3686" w:type="dxa"/>
            <w:vAlign w:val="center"/>
          </w:tcPr>
          <w:p w14:paraId="09C5D396" w14:textId="77777777" w:rsidR="00575802" w:rsidRDefault="00575802" w:rsidP="00B636A3">
            <w:pPr>
              <w:spacing w:after="180"/>
              <w:contextualSpacing/>
            </w:pPr>
            <w:r>
              <w:t>.</w:t>
            </w:r>
          </w:p>
        </w:tc>
      </w:tr>
      <w:tr w:rsidR="00575802" w14:paraId="1DC4ACA0" w14:textId="77777777" w:rsidTr="00B636A3">
        <w:tc>
          <w:tcPr>
            <w:tcW w:w="1970" w:type="dxa"/>
            <w:vAlign w:val="center"/>
          </w:tcPr>
          <w:p w14:paraId="5778CBFA" w14:textId="77777777" w:rsidR="00575802" w:rsidRDefault="00575802" w:rsidP="00B636A3">
            <w:pPr>
              <w:spacing w:after="180"/>
              <w:contextualSpacing/>
              <w:rPr>
                <w:highlight w:val="green"/>
              </w:rPr>
            </w:pPr>
            <w:r>
              <w:rPr>
                <w:highlight w:val="green"/>
              </w:rPr>
              <w:t>Payment options</w:t>
            </w:r>
          </w:p>
        </w:tc>
        <w:tc>
          <w:tcPr>
            <w:tcW w:w="2566" w:type="dxa"/>
            <w:vAlign w:val="center"/>
          </w:tcPr>
          <w:p w14:paraId="503624DD" w14:textId="77777777" w:rsidR="00575802" w:rsidRDefault="00575802" w:rsidP="00B636A3">
            <w:pPr>
              <w:spacing w:after="180"/>
              <w:contextualSpacing/>
              <w:rPr>
                <w:highlight w:val="green"/>
              </w:rPr>
            </w:pPr>
            <w:r>
              <w:rPr>
                <w:highlight w:val="green"/>
              </w:rPr>
              <w:t>Interval of payback</w:t>
            </w:r>
          </w:p>
        </w:tc>
        <w:tc>
          <w:tcPr>
            <w:tcW w:w="3686" w:type="dxa"/>
            <w:vAlign w:val="center"/>
          </w:tcPr>
          <w:p w14:paraId="48311378" w14:textId="77777777" w:rsidR="00575802" w:rsidRDefault="00575802" w:rsidP="00B636A3">
            <w:pPr>
              <w:spacing w:after="180"/>
              <w:contextualSpacing/>
            </w:pPr>
          </w:p>
        </w:tc>
      </w:tr>
      <w:tr w:rsidR="00575802" w14:paraId="4C914B76" w14:textId="77777777" w:rsidTr="00B636A3">
        <w:tc>
          <w:tcPr>
            <w:tcW w:w="1970" w:type="dxa"/>
            <w:vAlign w:val="center"/>
          </w:tcPr>
          <w:p w14:paraId="1D1F3B49" w14:textId="77777777" w:rsidR="00575802" w:rsidRDefault="00575802" w:rsidP="00B636A3">
            <w:pPr>
              <w:spacing w:after="180"/>
              <w:contextualSpacing/>
              <w:rPr>
                <w:highlight w:val="green"/>
              </w:rPr>
            </w:pPr>
            <w:r>
              <w:rPr>
                <w:highlight w:val="green"/>
              </w:rPr>
              <w:t>Jackpot</w:t>
            </w:r>
          </w:p>
        </w:tc>
        <w:tc>
          <w:tcPr>
            <w:tcW w:w="2566" w:type="dxa"/>
            <w:vAlign w:val="center"/>
          </w:tcPr>
          <w:p w14:paraId="52322C18" w14:textId="77777777" w:rsidR="00575802" w:rsidRDefault="00575802" w:rsidP="00B636A3">
            <w:pPr>
              <w:spacing w:after="180"/>
              <w:contextualSpacing/>
              <w:rPr>
                <w:highlight w:val="green"/>
              </w:rPr>
            </w:pPr>
            <w:r>
              <w:rPr>
                <w:highlight w:val="green"/>
              </w:rPr>
              <w:t>Jackpot</w:t>
            </w:r>
          </w:p>
        </w:tc>
        <w:tc>
          <w:tcPr>
            <w:tcW w:w="3686" w:type="dxa"/>
            <w:vAlign w:val="center"/>
          </w:tcPr>
          <w:p w14:paraId="69D286FB" w14:textId="77777777" w:rsidR="00575802" w:rsidRDefault="00575802" w:rsidP="00B636A3">
            <w:pPr>
              <w:spacing w:after="180"/>
              <w:contextualSpacing/>
            </w:pPr>
          </w:p>
        </w:tc>
      </w:tr>
      <w:tr w:rsidR="00575802" w14:paraId="04CE46A3" w14:textId="77777777" w:rsidTr="00B636A3">
        <w:tc>
          <w:tcPr>
            <w:tcW w:w="1970" w:type="dxa"/>
            <w:vAlign w:val="center"/>
          </w:tcPr>
          <w:p w14:paraId="7D08C681" w14:textId="77777777" w:rsidR="00575802" w:rsidRDefault="00575802" w:rsidP="00B636A3">
            <w:pPr>
              <w:spacing w:after="180"/>
              <w:contextualSpacing/>
              <w:rPr>
                <w:highlight w:val="green"/>
              </w:rPr>
            </w:pPr>
            <w:r>
              <w:rPr>
                <w:highlight w:val="green"/>
              </w:rPr>
              <w:t>Continuity</w:t>
            </w:r>
          </w:p>
        </w:tc>
        <w:tc>
          <w:tcPr>
            <w:tcW w:w="2566" w:type="dxa"/>
            <w:vAlign w:val="center"/>
          </w:tcPr>
          <w:p w14:paraId="54B43E7E" w14:textId="77777777" w:rsidR="00575802" w:rsidRDefault="00575802" w:rsidP="00B636A3">
            <w:pPr>
              <w:spacing w:after="180"/>
              <w:contextualSpacing/>
              <w:rPr>
                <w:highlight w:val="green"/>
              </w:rPr>
            </w:pPr>
            <w:r>
              <w:rPr>
                <w:highlight w:val="green"/>
              </w:rPr>
              <w:t>Continuity of playing</w:t>
            </w:r>
          </w:p>
        </w:tc>
        <w:tc>
          <w:tcPr>
            <w:tcW w:w="3686" w:type="dxa"/>
            <w:vAlign w:val="center"/>
          </w:tcPr>
          <w:p w14:paraId="21CE5CE3" w14:textId="77777777" w:rsidR="00575802" w:rsidRDefault="00575802" w:rsidP="00B636A3">
            <w:pPr>
              <w:spacing w:after="180"/>
              <w:contextualSpacing/>
            </w:pPr>
          </w:p>
        </w:tc>
      </w:tr>
      <w:tr w:rsidR="00575802" w14:paraId="089B214D" w14:textId="77777777" w:rsidTr="00B636A3">
        <w:tc>
          <w:tcPr>
            <w:tcW w:w="1970" w:type="dxa"/>
            <w:vAlign w:val="center"/>
          </w:tcPr>
          <w:p w14:paraId="78788A57" w14:textId="77777777" w:rsidR="00575802" w:rsidRDefault="00575802" w:rsidP="00B636A3">
            <w:pPr>
              <w:spacing w:after="180"/>
              <w:contextualSpacing/>
              <w:rPr>
                <w:highlight w:val="green"/>
              </w:rPr>
            </w:pPr>
            <w:r>
              <w:rPr>
                <w:highlight w:val="green"/>
              </w:rPr>
              <w:t>Fixed/variable stake</w:t>
            </w:r>
          </w:p>
        </w:tc>
        <w:tc>
          <w:tcPr>
            <w:tcW w:w="2566" w:type="dxa"/>
            <w:vAlign w:val="center"/>
          </w:tcPr>
          <w:p w14:paraId="43603579" w14:textId="77777777" w:rsidR="00575802" w:rsidRDefault="00575802" w:rsidP="00B636A3">
            <w:pPr>
              <w:spacing w:after="180"/>
              <w:contextualSpacing/>
              <w:rPr>
                <w:highlight w:val="green"/>
              </w:rPr>
            </w:pPr>
            <w:r>
              <w:rPr>
                <w:highlight w:val="green"/>
              </w:rPr>
              <w:t>Variable stake amount</w:t>
            </w:r>
          </w:p>
        </w:tc>
        <w:tc>
          <w:tcPr>
            <w:tcW w:w="3686" w:type="dxa"/>
            <w:vAlign w:val="center"/>
          </w:tcPr>
          <w:p w14:paraId="5CF04530" w14:textId="77777777" w:rsidR="00575802" w:rsidRDefault="00575802" w:rsidP="00B636A3">
            <w:pPr>
              <w:spacing w:after="180"/>
              <w:contextualSpacing/>
              <w:rPr>
                <w:highlight w:val="cyan"/>
              </w:rPr>
            </w:pPr>
            <w:r>
              <w:rPr>
                <w:highlight w:val="cyan"/>
              </w:rPr>
              <w:t>Profit/Stake structure</w:t>
            </w:r>
          </w:p>
        </w:tc>
      </w:tr>
      <w:tr w:rsidR="00575802" w14:paraId="1FCF5376" w14:textId="77777777" w:rsidTr="00B636A3">
        <w:tc>
          <w:tcPr>
            <w:tcW w:w="1970" w:type="dxa"/>
            <w:vAlign w:val="center"/>
          </w:tcPr>
          <w:p w14:paraId="425938CD" w14:textId="77777777" w:rsidR="00575802" w:rsidRDefault="00575802" w:rsidP="00B636A3">
            <w:pPr>
              <w:spacing w:after="180"/>
              <w:contextualSpacing/>
              <w:rPr>
                <w:highlight w:val="green"/>
              </w:rPr>
            </w:pPr>
            <w:r>
              <w:rPr>
                <w:highlight w:val="green"/>
              </w:rPr>
              <w:t>Near Win</w:t>
            </w:r>
          </w:p>
        </w:tc>
        <w:tc>
          <w:tcPr>
            <w:tcW w:w="2566" w:type="dxa"/>
            <w:vAlign w:val="center"/>
          </w:tcPr>
          <w:p w14:paraId="73E4E24B" w14:textId="77777777" w:rsidR="00575802" w:rsidRDefault="00575802" w:rsidP="00B636A3">
            <w:pPr>
              <w:spacing w:after="180"/>
              <w:contextualSpacing/>
              <w:rPr>
                <w:highlight w:val="green"/>
              </w:rPr>
            </w:pPr>
            <w:r>
              <w:rPr>
                <w:highlight w:val="green"/>
              </w:rPr>
              <w:t>Near win</w:t>
            </w:r>
          </w:p>
        </w:tc>
        <w:tc>
          <w:tcPr>
            <w:tcW w:w="3686" w:type="dxa"/>
            <w:vAlign w:val="center"/>
          </w:tcPr>
          <w:p w14:paraId="2ECA3E93" w14:textId="77777777" w:rsidR="00575802" w:rsidRDefault="00575802" w:rsidP="00B636A3">
            <w:pPr>
              <w:spacing w:after="180"/>
              <w:contextualSpacing/>
              <w:rPr>
                <w:highlight w:val="cyan"/>
              </w:rPr>
            </w:pPr>
          </w:p>
        </w:tc>
      </w:tr>
      <w:tr w:rsidR="00575802" w14:paraId="0C1650D9" w14:textId="77777777" w:rsidTr="00B636A3">
        <w:tc>
          <w:tcPr>
            <w:tcW w:w="1970" w:type="dxa"/>
            <w:vAlign w:val="center"/>
          </w:tcPr>
          <w:p w14:paraId="6FC1A956" w14:textId="77777777" w:rsidR="00575802" w:rsidRDefault="00575802" w:rsidP="00B636A3">
            <w:pPr>
              <w:spacing w:after="180"/>
              <w:contextualSpacing/>
              <w:rPr>
                <w:highlight w:val="green"/>
              </w:rPr>
            </w:pPr>
            <w:r>
              <w:rPr>
                <w:highlight w:val="green"/>
              </w:rPr>
              <w:t>Multigame</w:t>
            </w:r>
          </w:p>
        </w:tc>
        <w:tc>
          <w:tcPr>
            <w:tcW w:w="2566" w:type="dxa"/>
            <w:vAlign w:val="center"/>
          </w:tcPr>
          <w:p w14:paraId="738A2F6A" w14:textId="77777777" w:rsidR="00575802" w:rsidRDefault="00575802" w:rsidP="00B636A3">
            <w:pPr>
              <w:spacing w:after="180"/>
              <w:contextualSpacing/>
              <w:rPr>
                <w:highlight w:val="green"/>
              </w:rPr>
            </w:pPr>
            <w:r>
              <w:rPr>
                <w:highlight w:val="green"/>
              </w:rPr>
              <w:t>Multiple playing/stake opportunities</w:t>
            </w:r>
          </w:p>
        </w:tc>
        <w:tc>
          <w:tcPr>
            <w:tcW w:w="3686" w:type="dxa"/>
            <w:vAlign w:val="center"/>
          </w:tcPr>
          <w:p w14:paraId="1749FA5C" w14:textId="77777777" w:rsidR="00575802" w:rsidRDefault="00575802" w:rsidP="00B636A3">
            <w:pPr>
              <w:spacing w:after="180"/>
              <w:contextualSpacing/>
              <w:rPr>
                <w:highlight w:val="cyan"/>
              </w:rPr>
            </w:pPr>
          </w:p>
        </w:tc>
      </w:tr>
      <w:tr w:rsidR="00575802" w14:paraId="045F2212" w14:textId="77777777" w:rsidTr="00B636A3">
        <w:tc>
          <w:tcPr>
            <w:tcW w:w="1970" w:type="dxa"/>
            <w:vAlign w:val="center"/>
          </w:tcPr>
          <w:p w14:paraId="4F285BDD" w14:textId="77777777" w:rsidR="00575802" w:rsidRDefault="00575802" w:rsidP="00B636A3">
            <w:pPr>
              <w:spacing w:after="180"/>
              <w:contextualSpacing/>
              <w:rPr>
                <w:highlight w:val="green"/>
              </w:rPr>
            </w:pPr>
            <w:r>
              <w:rPr>
                <w:highlight w:val="green"/>
              </w:rPr>
              <w:lastRenderedPageBreak/>
              <w:t>Accessibility</w:t>
            </w:r>
          </w:p>
        </w:tc>
        <w:tc>
          <w:tcPr>
            <w:tcW w:w="2566" w:type="dxa"/>
            <w:vAlign w:val="center"/>
          </w:tcPr>
          <w:p w14:paraId="5A590E9E" w14:textId="77777777" w:rsidR="00575802" w:rsidRDefault="00575802" w:rsidP="00B636A3">
            <w:pPr>
              <w:spacing w:after="180"/>
              <w:contextualSpacing/>
              <w:rPr>
                <w:highlight w:val="green"/>
              </w:rPr>
            </w:pPr>
            <w:r>
              <w:rPr>
                <w:highlight w:val="green"/>
              </w:rPr>
              <w:t>Availability</w:t>
            </w:r>
          </w:p>
        </w:tc>
        <w:tc>
          <w:tcPr>
            <w:tcW w:w="3686" w:type="dxa"/>
            <w:vAlign w:val="center"/>
          </w:tcPr>
          <w:p w14:paraId="25929B5E" w14:textId="77777777" w:rsidR="00575802" w:rsidRDefault="00575802" w:rsidP="00B636A3">
            <w:pPr>
              <w:spacing w:after="180"/>
              <w:contextualSpacing/>
              <w:rPr>
                <w:highlight w:val="cyan"/>
              </w:rPr>
            </w:pPr>
            <w:r>
              <w:rPr>
                <w:highlight w:val="cyan"/>
              </w:rPr>
              <w:t>Availability</w:t>
            </w:r>
          </w:p>
        </w:tc>
      </w:tr>
      <w:tr w:rsidR="00575802" w14:paraId="1C09C9D2" w14:textId="77777777" w:rsidTr="00B636A3">
        <w:tc>
          <w:tcPr>
            <w:tcW w:w="1970" w:type="dxa"/>
            <w:vAlign w:val="center"/>
          </w:tcPr>
          <w:p w14:paraId="50AAB380" w14:textId="77777777" w:rsidR="00575802" w:rsidRDefault="00575802" w:rsidP="00B636A3">
            <w:pPr>
              <w:spacing w:after="180"/>
              <w:contextualSpacing/>
              <w:rPr>
                <w:highlight w:val="green"/>
              </w:rPr>
            </w:pPr>
            <w:r>
              <w:rPr>
                <w:highlight w:val="green"/>
              </w:rPr>
              <w:t>Prizeback</w:t>
            </w:r>
          </w:p>
        </w:tc>
        <w:tc>
          <w:tcPr>
            <w:tcW w:w="2566" w:type="dxa"/>
            <w:vAlign w:val="center"/>
          </w:tcPr>
          <w:p w14:paraId="3FB520B9" w14:textId="77777777" w:rsidR="00575802" w:rsidRDefault="00575802" w:rsidP="00B636A3">
            <w:pPr>
              <w:spacing w:after="180"/>
              <w:contextualSpacing/>
              <w:rPr>
                <w:highlight w:val="green"/>
              </w:rPr>
            </w:pPr>
            <w:r>
              <w:rPr>
                <w:highlight w:val="green"/>
              </w:rPr>
              <w:t>Chance of winning</w:t>
            </w:r>
          </w:p>
        </w:tc>
        <w:tc>
          <w:tcPr>
            <w:tcW w:w="3686" w:type="dxa"/>
            <w:vAlign w:val="center"/>
          </w:tcPr>
          <w:p w14:paraId="22B53047" w14:textId="77777777" w:rsidR="00575802" w:rsidRDefault="00575802" w:rsidP="00B636A3">
            <w:pPr>
              <w:spacing w:after="180"/>
              <w:contextualSpacing/>
              <w:rPr>
                <w:highlight w:val="cyan"/>
              </w:rPr>
            </w:pPr>
            <w:r>
              <w:rPr>
                <w:highlight w:val="cyan"/>
              </w:rPr>
              <w:t>Risk of financial loss</w:t>
            </w:r>
          </w:p>
        </w:tc>
      </w:tr>
      <w:tr w:rsidR="00575802" w14:paraId="57F95B93" w14:textId="77777777" w:rsidTr="00B636A3">
        <w:tc>
          <w:tcPr>
            <w:tcW w:w="1970" w:type="dxa"/>
            <w:vAlign w:val="center"/>
          </w:tcPr>
          <w:p w14:paraId="3E902F57" w14:textId="77777777" w:rsidR="00575802" w:rsidRPr="004A1D11" w:rsidRDefault="00575802" w:rsidP="00B636A3">
            <w:pPr>
              <w:spacing w:after="180"/>
              <w:contextualSpacing/>
              <w:rPr>
                <w:highlight w:val="green"/>
              </w:rPr>
            </w:pPr>
            <w:r w:rsidRPr="004A1D11">
              <w:rPr>
                <w:highlight w:val="green"/>
              </w:rPr>
              <w:t>Illusions of control</w:t>
            </w:r>
          </w:p>
        </w:tc>
        <w:tc>
          <w:tcPr>
            <w:tcW w:w="2566" w:type="dxa"/>
            <w:vAlign w:val="center"/>
          </w:tcPr>
          <w:p w14:paraId="3C750355" w14:textId="77777777" w:rsidR="00575802" w:rsidRPr="004A1D11" w:rsidRDefault="00575802" w:rsidP="00B636A3">
            <w:pPr>
              <w:spacing w:after="180"/>
              <w:contextualSpacing/>
              <w:rPr>
                <w:highlight w:val="green"/>
              </w:rPr>
            </w:pPr>
            <w:r w:rsidRPr="004A1D11">
              <w:rPr>
                <w:highlight w:val="green"/>
              </w:rPr>
              <w:t>Illusions of control</w:t>
            </w:r>
            <w:r>
              <w:rPr>
                <w:rStyle w:val="FootnoteReference"/>
                <w:highlight w:val="green"/>
              </w:rPr>
              <w:footnoteReference w:id="21"/>
            </w:r>
          </w:p>
        </w:tc>
        <w:tc>
          <w:tcPr>
            <w:tcW w:w="3686" w:type="dxa"/>
            <w:vAlign w:val="center"/>
          </w:tcPr>
          <w:p w14:paraId="700DAED7" w14:textId="77777777" w:rsidR="00575802" w:rsidRDefault="00575802" w:rsidP="00B636A3">
            <w:pPr>
              <w:spacing w:after="180"/>
              <w:contextualSpacing/>
            </w:pPr>
          </w:p>
        </w:tc>
      </w:tr>
      <w:tr w:rsidR="00575802" w14:paraId="31F32426" w14:textId="77777777" w:rsidTr="00B636A3">
        <w:tc>
          <w:tcPr>
            <w:tcW w:w="1970" w:type="dxa"/>
            <w:vAlign w:val="center"/>
          </w:tcPr>
          <w:p w14:paraId="143AFEC8" w14:textId="77777777" w:rsidR="00575802" w:rsidRDefault="00575802" w:rsidP="00B636A3">
            <w:pPr>
              <w:spacing w:after="180"/>
              <w:contextualSpacing/>
            </w:pPr>
          </w:p>
        </w:tc>
        <w:tc>
          <w:tcPr>
            <w:tcW w:w="2566" w:type="dxa"/>
            <w:vAlign w:val="center"/>
          </w:tcPr>
          <w:p w14:paraId="364CF31B" w14:textId="77777777" w:rsidR="00575802" w:rsidRDefault="00575802" w:rsidP="00B636A3">
            <w:pPr>
              <w:spacing w:after="180"/>
              <w:contextualSpacing/>
            </w:pPr>
            <w:r>
              <w:t>Sensory product design</w:t>
            </w:r>
          </w:p>
        </w:tc>
        <w:tc>
          <w:tcPr>
            <w:tcW w:w="3686" w:type="dxa"/>
            <w:vAlign w:val="center"/>
          </w:tcPr>
          <w:p w14:paraId="41173258" w14:textId="77777777" w:rsidR="00575802" w:rsidRDefault="00575802" w:rsidP="00B636A3">
            <w:pPr>
              <w:spacing w:after="180"/>
              <w:contextualSpacing/>
            </w:pPr>
            <w:r>
              <w:t>The attractiveness of the game and the gaming environment</w:t>
            </w:r>
          </w:p>
        </w:tc>
      </w:tr>
      <w:tr w:rsidR="00575802" w14:paraId="21CA0F93" w14:textId="77777777" w:rsidTr="00B636A3">
        <w:tc>
          <w:tcPr>
            <w:tcW w:w="1970" w:type="dxa"/>
            <w:vAlign w:val="center"/>
          </w:tcPr>
          <w:p w14:paraId="57BE98E6" w14:textId="77777777" w:rsidR="00575802" w:rsidRDefault="00575802" w:rsidP="00B636A3">
            <w:pPr>
              <w:spacing w:after="180"/>
              <w:contextualSpacing/>
            </w:pPr>
          </w:p>
        </w:tc>
        <w:tc>
          <w:tcPr>
            <w:tcW w:w="2566" w:type="dxa"/>
            <w:vAlign w:val="center"/>
          </w:tcPr>
          <w:p w14:paraId="45FC9A41" w14:textId="77777777" w:rsidR="00575802" w:rsidRDefault="00575802" w:rsidP="00B636A3">
            <w:pPr>
              <w:spacing w:after="180"/>
              <w:contextualSpacing/>
            </w:pPr>
          </w:p>
        </w:tc>
        <w:tc>
          <w:tcPr>
            <w:tcW w:w="3686" w:type="dxa"/>
            <w:vAlign w:val="center"/>
          </w:tcPr>
          <w:p w14:paraId="06B67C45" w14:textId="77777777" w:rsidR="00575802" w:rsidRDefault="00575802" w:rsidP="00B636A3">
            <w:pPr>
              <w:spacing w:after="180"/>
              <w:contextualSpacing/>
            </w:pPr>
            <w:r>
              <w:t>Additional attractions</w:t>
            </w:r>
          </w:p>
        </w:tc>
      </w:tr>
      <w:tr w:rsidR="00575802" w14:paraId="5E549963" w14:textId="77777777" w:rsidTr="00B636A3">
        <w:tc>
          <w:tcPr>
            <w:tcW w:w="1970" w:type="dxa"/>
            <w:vAlign w:val="center"/>
          </w:tcPr>
          <w:p w14:paraId="5FC45032" w14:textId="77777777" w:rsidR="00575802" w:rsidRDefault="00575802" w:rsidP="00B636A3">
            <w:pPr>
              <w:spacing w:after="180"/>
              <w:contextualSpacing/>
            </w:pPr>
          </w:p>
        </w:tc>
        <w:tc>
          <w:tcPr>
            <w:tcW w:w="2566" w:type="dxa"/>
            <w:vAlign w:val="center"/>
          </w:tcPr>
          <w:p w14:paraId="0945672F" w14:textId="77777777" w:rsidR="00575802" w:rsidRDefault="00575802" w:rsidP="00B636A3">
            <w:pPr>
              <w:spacing w:after="180"/>
              <w:contextualSpacing/>
            </w:pPr>
          </w:p>
        </w:tc>
        <w:tc>
          <w:tcPr>
            <w:tcW w:w="3686" w:type="dxa"/>
            <w:vAlign w:val="center"/>
          </w:tcPr>
          <w:p w14:paraId="46942175" w14:textId="77777777" w:rsidR="00575802" w:rsidRDefault="00575802" w:rsidP="00B636A3">
            <w:pPr>
              <w:spacing w:after="180"/>
              <w:contextualSpacing/>
            </w:pPr>
            <w:r>
              <w:t>The role of skills, information,</w:t>
            </w:r>
          </w:p>
          <w:p w14:paraId="3BD465DD" w14:textId="77777777" w:rsidR="00575802" w:rsidRDefault="00575802" w:rsidP="00B636A3">
            <w:pPr>
              <w:spacing w:after="180"/>
              <w:contextualSpacing/>
            </w:pPr>
            <w:r>
              <w:t xml:space="preserve"> chance, and rules</w:t>
            </w:r>
          </w:p>
        </w:tc>
      </w:tr>
      <w:tr w:rsidR="00575802" w14:paraId="77907634" w14:textId="77777777" w:rsidTr="00B636A3">
        <w:tc>
          <w:tcPr>
            <w:tcW w:w="1970" w:type="dxa"/>
            <w:vAlign w:val="center"/>
          </w:tcPr>
          <w:p w14:paraId="6E8D5D74" w14:textId="77777777" w:rsidR="00575802" w:rsidRDefault="00575802" w:rsidP="00B636A3">
            <w:pPr>
              <w:spacing w:after="180"/>
              <w:contextualSpacing/>
            </w:pPr>
          </w:p>
        </w:tc>
        <w:tc>
          <w:tcPr>
            <w:tcW w:w="2566" w:type="dxa"/>
            <w:vAlign w:val="center"/>
          </w:tcPr>
          <w:p w14:paraId="404719F6" w14:textId="77777777" w:rsidR="00575802" w:rsidRDefault="00575802" w:rsidP="00B636A3">
            <w:pPr>
              <w:spacing w:after="180"/>
              <w:contextualSpacing/>
            </w:pPr>
          </w:p>
        </w:tc>
        <w:tc>
          <w:tcPr>
            <w:tcW w:w="3686" w:type="dxa"/>
            <w:vAlign w:val="center"/>
          </w:tcPr>
          <w:p w14:paraId="02BBBEB9" w14:textId="77777777" w:rsidR="00575802" w:rsidRDefault="00575802" w:rsidP="00B636A3">
            <w:pPr>
              <w:spacing w:after="180"/>
              <w:contextualSpacing/>
            </w:pPr>
            <w:r>
              <w:t>Social features</w:t>
            </w:r>
          </w:p>
        </w:tc>
      </w:tr>
      <w:tr w:rsidR="00575802" w14:paraId="66C1BF37" w14:textId="77777777" w:rsidTr="00B636A3">
        <w:tc>
          <w:tcPr>
            <w:tcW w:w="1970" w:type="dxa"/>
            <w:vAlign w:val="center"/>
          </w:tcPr>
          <w:p w14:paraId="7C138F2B" w14:textId="77777777" w:rsidR="00575802" w:rsidRDefault="00575802" w:rsidP="00B636A3">
            <w:pPr>
              <w:spacing w:after="180"/>
              <w:contextualSpacing/>
            </w:pPr>
          </w:p>
        </w:tc>
        <w:tc>
          <w:tcPr>
            <w:tcW w:w="2566" w:type="dxa"/>
            <w:vAlign w:val="center"/>
          </w:tcPr>
          <w:p w14:paraId="15685325" w14:textId="77777777" w:rsidR="00575802" w:rsidRDefault="00575802" w:rsidP="00B636A3">
            <w:pPr>
              <w:spacing w:after="180"/>
              <w:contextualSpacing/>
            </w:pPr>
          </w:p>
        </w:tc>
        <w:tc>
          <w:tcPr>
            <w:tcW w:w="3686" w:type="dxa"/>
            <w:vAlign w:val="center"/>
          </w:tcPr>
          <w:p w14:paraId="5E4A62EB" w14:textId="77777777" w:rsidR="00575802" w:rsidRDefault="00575802" w:rsidP="00B636A3">
            <w:pPr>
              <w:spacing w:after="180"/>
              <w:contextualSpacing/>
            </w:pPr>
            <w:r>
              <w:t>Marketing</w:t>
            </w:r>
          </w:p>
        </w:tc>
      </w:tr>
      <w:tr w:rsidR="00575802" w14:paraId="4E054914" w14:textId="77777777" w:rsidTr="00B636A3">
        <w:tc>
          <w:tcPr>
            <w:tcW w:w="8222" w:type="dxa"/>
            <w:gridSpan w:val="3"/>
            <w:vAlign w:val="center"/>
          </w:tcPr>
          <w:p w14:paraId="31D185C3" w14:textId="5F4260A9" w:rsidR="00575802" w:rsidRDefault="00575802" w:rsidP="00B636A3">
            <w:pPr>
              <w:spacing w:after="180"/>
              <w:contextualSpacing/>
              <w:jc w:val="center"/>
              <w:rPr>
                <w:b/>
              </w:rPr>
            </w:pPr>
            <w:r>
              <w:rPr>
                <w:b/>
              </w:rPr>
              <w:t xml:space="preserve">Responsible gaming features </w:t>
            </w:r>
            <w:r w:rsidR="008A6C4E">
              <w:rPr>
                <w:b/>
              </w:rPr>
              <w:t>Gamgard</w:t>
            </w:r>
            <w:r>
              <w:rPr>
                <w:b/>
              </w:rPr>
              <w:t xml:space="preserve"> only)</w:t>
            </w:r>
          </w:p>
        </w:tc>
      </w:tr>
      <w:tr w:rsidR="00575802" w14:paraId="6BD46F4E" w14:textId="77777777" w:rsidTr="00B636A3">
        <w:tc>
          <w:tcPr>
            <w:tcW w:w="8222" w:type="dxa"/>
            <w:gridSpan w:val="3"/>
            <w:vAlign w:val="center"/>
          </w:tcPr>
          <w:p w14:paraId="3BD169CB" w14:textId="77777777" w:rsidR="00575802" w:rsidRDefault="00575802" w:rsidP="00B636A3">
            <w:pPr>
              <w:spacing w:after="180"/>
              <w:contextualSpacing/>
              <w:jc w:val="center"/>
            </w:pPr>
            <w:r>
              <w:t>Popup reminders</w:t>
            </w:r>
          </w:p>
        </w:tc>
      </w:tr>
      <w:tr w:rsidR="00575802" w14:paraId="698B09D5" w14:textId="77777777" w:rsidTr="00B636A3">
        <w:tc>
          <w:tcPr>
            <w:tcW w:w="8222" w:type="dxa"/>
            <w:gridSpan w:val="3"/>
            <w:vAlign w:val="center"/>
          </w:tcPr>
          <w:p w14:paraId="4FBEE604" w14:textId="77777777" w:rsidR="00575802" w:rsidRDefault="00575802" w:rsidP="00B636A3">
            <w:pPr>
              <w:spacing w:after="180"/>
              <w:contextualSpacing/>
              <w:jc w:val="center"/>
            </w:pPr>
            <w:r>
              <w:t>Spend limits</w:t>
            </w:r>
          </w:p>
        </w:tc>
      </w:tr>
      <w:tr w:rsidR="00575802" w14:paraId="5D3D174B" w14:textId="77777777" w:rsidTr="00B636A3">
        <w:tc>
          <w:tcPr>
            <w:tcW w:w="8222" w:type="dxa"/>
            <w:gridSpan w:val="3"/>
            <w:vAlign w:val="center"/>
          </w:tcPr>
          <w:p w14:paraId="16051D2D" w14:textId="77777777" w:rsidR="00575802" w:rsidRDefault="00575802" w:rsidP="00B636A3">
            <w:pPr>
              <w:spacing w:after="180"/>
              <w:contextualSpacing/>
              <w:jc w:val="center"/>
            </w:pPr>
            <w:r>
              <w:t>Time limits</w:t>
            </w:r>
          </w:p>
        </w:tc>
      </w:tr>
      <w:tr w:rsidR="00575802" w14:paraId="02D571FF" w14:textId="77777777" w:rsidTr="00B636A3">
        <w:tc>
          <w:tcPr>
            <w:tcW w:w="8222" w:type="dxa"/>
            <w:gridSpan w:val="3"/>
            <w:vAlign w:val="center"/>
          </w:tcPr>
          <w:p w14:paraId="0BB3912F" w14:textId="77777777" w:rsidR="00575802" w:rsidRDefault="00575802" w:rsidP="00B636A3">
            <w:pPr>
              <w:spacing w:after="180"/>
              <w:contextualSpacing/>
              <w:jc w:val="center"/>
            </w:pPr>
            <w:r>
              <w:t>Feedback tools</w:t>
            </w:r>
          </w:p>
        </w:tc>
      </w:tr>
    </w:tbl>
    <w:p w14:paraId="2115327F" w14:textId="77777777" w:rsidR="00575802" w:rsidRPr="00575802" w:rsidRDefault="00575802" w:rsidP="00575802">
      <w:pPr>
        <w:pStyle w:val="BodyText"/>
      </w:pPr>
    </w:p>
    <w:p w14:paraId="4FB03CC5" w14:textId="0B0702D6" w:rsidR="00575802" w:rsidRDefault="00575802" w:rsidP="00CB13B9">
      <w:pPr>
        <w:pStyle w:val="BodyText"/>
      </w:pPr>
      <w:r>
        <w:t xml:space="preserve">Eight of the factors used between </w:t>
      </w:r>
      <w:r w:rsidR="008A6C4E">
        <w:t>Gamgard</w:t>
      </w:r>
      <w:r>
        <w:t xml:space="preserve"> and Asterig show some commonality</w:t>
      </w:r>
      <w:r w:rsidR="008E639A">
        <w:t>.</w:t>
      </w:r>
      <w:r>
        <w:t xml:space="preserve"> Peren (2010) mentions this commonality with </w:t>
      </w:r>
      <w:r w:rsidR="008A6C4E">
        <w:t>Gamgard</w:t>
      </w:r>
      <w:r>
        <w:t xml:space="preserve"> as an indication of validity of Asterig. These factors are highlighted in green in the table with the main difference between the </w:t>
      </w:r>
      <w:r w:rsidR="008A6C4E">
        <w:t>Gamgard</w:t>
      </w:r>
      <w:r>
        <w:t xml:space="preserve"> factors and the Asterig factors being the absence of a sensory product design factor in </w:t>
      </w:r>
      <w:r w:rsidR="008A6C4E">
        <w:t>Gamgard</w:t>
      </w:r>
      <w:r>
        <w:t xml:space="preserve">. Only three of the </w:t>
      </w:r>
      <w:r w:rsidR="001E3959">
        <w:t>RaVa</w:t>
      </w:r>
      <w:r w:rsidR="00482AEB">
        <w:t xml:space="preserve"> </w:t>
      </w:r>
      <w:r>
        <w:t>elements show some degree of commonality with factors in the other two tools. These are highlighted in blue.</w:t>
      </w:r>
    </w:p>
    <w:p w14:paraId="359C4293" w14:textId="0FD7E5C4" w:rsidR="00575802" w:rsidRDefault="00575802" w:rsidP="004C15A0">
      <w:pPr>
        <w:pStyle w:val="Heading3"/>
      </w:pPr>
      <w:bookmarkStart w:id="349" w:name="_Toc43462919"/>
      <w:bookmarkStart w:id="350" w:name="_Toc43462920"/>
      <w:bookmarkStart w:id="351" w:name="_Toc45639486"/>
      <w:bookmarkEnd w:id="349"/>
      <w:bookmarkEnd w:id="350"/>
      <w:r w:rsidRPr="00575802">
        <w:t>Evaluation</w:t>
      </w:r>
      <w:r>
        <w:t xml:space="preserve"> of games without using a preliminary screen</w:t>
      </w:r>
      <w:bookmarkEnd w:id="351"/>
      <w:r w:rsidR="006C589B">
        <w:t xml:space="preserve"> or in conjunction with one</w:t>
      </w:r>
    </w:p>
    <w:p w14:paraId="46B2D240" w14:textId="541B40C1" w:rsidR="00575802" w:rsidRDefault="00575802" w:rsidP="00575802">
      <w:pPr>
        <w:pStyle w:val="BodyText"/>
      </w:pPr>
      <w:r w:rsidRPr="00575802">
        <w:t xml:space="preserve">Not all gambling providers/regulators use a preliminary screen in their game evaluation process. As mentioned earlier, the proprietors of </w:t>
      </w:r>
      <w:r w:rsidR="008A6C4E">
        <w:t>Gamgard</w:t>
      </w:r>
      <w:r w:rsidRPr="00575802">
        <w:t xml:space="preserve"> (Wood et al, 2014) have produced a resource dealing in more depth with selecting RG features.  </w:t>
      </w:r>
      <w:r w:rsidR="00AE3C50">
        <w:t xml:space="preserve">According </w:t>
      </w:r>
      <w:r w:rsidRPr="00575802">
        <w:t xml:space="preserve">GamRes may use this information to assist its clients with more detailed assessments than </w:t>
      </w:r>
      <w:r w:rsidR="00C33EFA">
        <w:t>are</w:t>
      </w:r>
      <w:r w:rsidR="00C33EFA" w:rsidRPr="00575802">
        <w:t xml:space="preserve"> </w:t>
      </w:r>
      <w:r w:rsidRPr="00575802">
        <w:t xml:space="preserve">available from </w:t>
      </w:r>
      <w:r w:rsidR="008A6C4E">
        <w:t>Gamgard</w:t>
      </w:r>
      <w:r w:rsidRPr="00575802">
        <w:t>.</w:t>
      </w:r>
      <w:r w:rsidR="00103923">
        <w:t xml:space="preserve"> According to Dr Richard Wo</w:t>
      </w:r>
      <w:r w:rsidR="00D071A3">
        <w:t>od</w:t>
      </w:r>
      <w:r w:rsidR="007941FB">
        <w:t>:</w:t>
      </w:r>
    </w:p>
    <w:p w14:paraId="53073BC3" w14:textId="77777777" w:rsidR="007941FB" w:rsidRPr="00D546CA" w:rsidRDefault="007941FB" w:rsidP="00D546CA">
      <w:pPr>
        <w:spacing w:after="160" w:line="259" w:lineRule="auto"/>
        <w:jc w:val="both"/>
        <w:rPr>
          <w:i/>
          <w:iCs/>
        </w:rPr>
      </w:pPr>
      <w:r w:rsidRPr="00D546CA">
        <w:rPr>
          <w:i/>
          <w:iCs/>
        </w:rPr>
        <w:t>Gamres often undertakes expert reviews of potential new games (as do other RG experts) in conjunction with a Gamgard assessment. These reviews allow for a wider scope of consideration to be included (e.g., potential appeal to children). Furthermore, expert reviews may be useful when a very novel game is being proposed and there is little or no empirical evidence by which to quantify the risk. In such cases, theoretical comparisons may be made to related games or activities (e.g., video game research). In fact, many gaming companies world-wide make use of expert reviews in addition to Gamgard.</w:t>
      </w:r>
    </w:p>
    <w:p w14:paraId="074090FF" w14:textId="77777777" w:rsidR="007941FB" w:rsidRPr="00575802" w:rsidRDefault="007941FB" w:rsidP="00575802">
      <w:pPr>
        <w:pStyle w:val="BodyText"/>
      </w:pPr>
    </w:p>
    <w:p w14:paraId="5538BAB7" w14:textId="7288B967" w:rsidR="00575802" w:rsidRPr="00575802" w:rsidRDefault="00575802" w:rsidP="00575802">
      <w:pPr>
        <w:pStyle w:val="BodyText"/>
      </w:pPr>
      <w:r w:rsidRPr="00575802">
        <w:t xml:space="preserve">There are various levels of detail at which such an evaluation might be </w:t>
      </w:r>
      <w:r w:rsidR="00C33EFA">
        <w:t>conducted</w:t>
      </w:r>
      <w:r w:rsidRPr="00575802">
        <w:t>. Ontario, Canada has its own game testing laboratories which carry out testing of games, including gambling risk testing. Ontario’s gaming regulator, the Ontario Alcohol and Gaming Commission (AGCO) has an ISO 17025:2005 accredited laboratory</w:t>
      </w:r>
      <w:r w:rsidRPr="00F613C8">
        <w:rPr>
          <w:vertAlign w:val="superscript"/>
        </w:rPr>
        <w:footnoteReference w:id="22"/>
      </w:r>
      <w:r w:rsidRPr="00575802">
        <w:t xml:space="preserve"> which covers a wide range of games.</w:t>
      </w:r>
    </w:p>
    <w:p w14:paraId="7C5FD3AC" w14:textId="77777777" w:rsidR="00575802" w:rsidRPr="00575802" w:rsidRDefault="00575802" w:rsidP="00575802">
      <w:pPr>
        <w:pStyle w:val="BodyText"/>
      </w:pPr>
      <w:r w:rsidRPr="00575802">
        <w:t>Other providers/regulators may use independent private laboratories (several are available) to carry out their testing. An example of such laboratory providers is Gaming Laboratories International (GLI)</w:t>
      </w:r>
      <w:r w:rsidRPr="007D5E19">
        <w:rPr>
          <w:rStyle w:val="FootnoteReference"/>
        </w:rPr>
        <w:footnoteReference w:id="23"/>
      </w:r>
      <w:r w:rsidRPr="007D5E19">
        <w:rPr>
          <w:vertAlign w:val="superscript"/>
        </w:rPr>
        <w:t xml:space="preserve"> </w:t>
      </w:r>
      <w:r w:rsidRPr="00575802">
        <w:t>which appears to mainly work in North America. One of the many services offered on its web site is to:</w:t>
      </w:r>
    </w:p>
    <w:p w14:paraId="03485B7C" w14:textId="023D8A2D" w:rsidR="00575802" w:rsidRDefault="00C33EFA" w:rsidP="00575802">
      <w:pPr>
        <w:pStyle w:val="Quote"/>
      </w:pPr>
      <w:r>
        <w:t>R</w:t>
      </w:r>
      <w:r w:rsidRPr="00BE5BF5">
        <w:t xml:space="preserve">eview </w:t>
      </w:r>
      <w:r w:rsidR="00575802" w:rsidRPr="00BE5BF5">
        <w:t>your operation’s existing RG programs, personnel, resources and performance metrics to assess how they align with the legal, cultural and socio-economic conditions in the jurisdiction</w:t>
      </w:r>
      <w:r>
        <w:t xml:space="preserve"> </w:t>
      </w:r>
      <w:r w:rsidR="00ED7CE1">
        <w:t>(ref).</w:t>
      </w:r>
    </w:p>
    <w:p w14:paraId="3F44F187" w14:textId="77777777" w:rsidR="00575802" w:rsidRDefault="00575802" w:rsidP="00575802">
      <w:pPr>
        <w:pStyle w:val="BodyText"/>
      </w:pPr>
    </w:p>
    <w:p w14:paraId="09EA4A0A" w14:textId="0DEA873D" w:rsidR="00575802" w:rsidRPr="00575802" w:rsidRDefault="00575802" w:rsidP="00575802">
      <w:pPr>
        <w:pStyle w:val="BodyText"/>
      </w:pPr>
      <w:r w:rsidRPr="00575802">
        <w:t xml:space="preserve">There is no information on how </w:t>
      </w:r>
      <w:r w:rsidR="00ED7CE1">
        <w:t>GLI</w:t>
      </w:r>
      <w:r w:rsidR="00ED7CE1" w:rsidRPr="00575802">
        <w:t xml:space="preserve"> </w:t>
      </w:r>
      <w:r w:rsidRPr="00575802">
        <w:t>evaluate</w:t>
      </w:r>
      <w:r w:rsidR="00ED7CE1">
        <w:t>s</w:t>
      </w:r>
      <w:r w:rsidRPr="00575802">
        <w:t xml:space="preserve"> games. </w:t>
      </w:r>
    </w:p>
    <w:p w14:paraId="7C2718A1" w14:textId="77777777" w:rsidR="00575802" w:rsidRDefault="00575802" w:rsidP="00575802">
      <w:pPr>
        <w:pStyle w:val="BodyText"/>
      </w:pPr>
      <w:r>
        <w:rPr>
          <w:rFonts w:eastAsia="Calibri"/>
        </w:rPr>
        <w:lastRenderedPageBreak/>
        <w:t xml:space="preserve">A worldwide list of gaming laboratories is available at </w:t>
      </w:r>
      <w:hyperlink r:id="rId25" w:history="1">
        <w:r>
          <w:rPr>
            <w:rStyle w:val="Hyperlink"/>
          </w:rPr>
          <w:t>https://www.vegasslotsonline.com/gaming-fairness-and-testing-companies/</w:t>
        </w:r>
      </w:hyperlink>
      <w:r>
        <w:t>.</w:t>
      </w:r>
    </w:p>
    <w:p w14:paraId="02E8D5C3" w14:textId="7D5CFDE9" w:rsidR="00575802" w:rsidRPr="00575802" w:rsidRDefault="00575802" w:rsidP="00575802">
      <w:pPr>
        <w:pStyle w:val="BodyText"/>
      </w:pPr>
      <w:r w:rsidRPr="00575802">
        <w:t>The list includes operations in many countries including the United Kingdom, US, Australia, Canada, Macau, Philippines, Italy and the Netherlands. There is not a lot of information given on their foci, but they seem to cover a wide range of game types and levels of risk.</w:t>
      </w:r>
    </w:p>
    <w:p w14:paraId="5DF3DE9A" w14:textId="7385CCF3" w:rsidR="00575802" w:rsidRDefault="008A6C4E" w:rsidP="004C15A0">
      <w:pPr>
        <w:pStyle w:val="Heading2"/>
      </w:pPr>
      <w:bookmarkStart w:id="352" w:name="_Toc87263183"/>
      <w:r>
        <w:t>Gamgard</w:t>
      </w:r>
      <w:r w:rsidR="00575802">
        <w:t xml:space="preserve"> ratings compared to opinions of </w:t>
      </w:r>
      <w:r w:rsidR="00544F60">
        <w:t>high-risk</w:t>
      </w:r>
      <w:r w:rsidR="00575802">
        <w:t xml:space="preserve"> gamblers</w:t>
      </w:r>
      <w:bookmarkEnd w:id="352"/>
    </w:p>
    <w:p w14:paraId="280795B0" w14:textId="183AC5E1" w:rsidR="00575802" w:rsidRPr="00383AFA" w:rsidRDefault="00B14DE4" w:rsidP="00383AFA">
      <w:pPr>
        <w:pStyle w:val="BodyText"/>
      </w:pPr>
      <w:r>
        <w:t>This section addresses the extent to which</w:t>
      </w:r>
      <w:r w:rsidR="00575802" w:rsidRPr="00383AFA">
        <w:t xml:space="preserve"> problem gambling service provider reports indicate that games identified as high-risk by </w:t>
      </w:r>
      <w:r w:rsidR="008A6C4E">
        <w:t>Gamgard</w:t>
      </w:r>
      <w:r w:rsidR="00575802" w:rsidRPr="00383AFA">
        <w:t xml:space="preserve"> are also those games that their clients report as having the most negative impact</w:t>
      </w:r>
      <w:r>
        <w:t>.</w:t>
      </w:r>
      <w:r w:rsidRPr="00383AFA">
        <w:t xml:space="preserve">  </w:t>
      </w:r>
      <w:r>
        <w:t>T</w:t>
      </w:r>
      <w:r w:rsidR="00575802" w:rsidRPr="00383AFA">
        <w:t>wo studies provide relevant information.</w:t>
      </w:r>
    </w:p>
    <w:p w14:paraId="5EC52BB3" w14:textId="2F1160BB" w:rsidR="00575802" w:rsidRPr="00383AFA" w:rsidRDefault="00575802" w:rsidP="00383AFA">
      <w:pPr>
        <w:pStyle w:val="BodyText"/>
      </w:pPr>
      <w:r w:rsidRPr="00383AFA">
        <w:t xml:space="preserve">Cousins (2018) reported that rank ordered </w:t>
      </w:r>
      <w:r w:rsidR="008A6C4E">
        <w:t>Gamgard</w:t>
      </w:r>
      <w:r w:rsidRPr="00383AFA">
        <w:t xml:space="preserve"> game risk ratings from six game types included in the </w:t>
      </w:r>
      <w:r w:rsidR="008A6C4E">
        <w:t>Gamgard</w:t>
      </w:r>
      <w:r w:rsidRPr="00383AFA">
        <w:t xml:space="preserve"> data file supplied to him by </w:t>
      </w:r>
      <w:r w:rsidR="008A6C4E">
        <w:t>Gamgard</w:t>
      </w:r>
      <w:r w:rsidRPr="00383AFA">
        <w:t xml:space="preserve"> were compared with rank-ordered game risks reported by treatment service providers. The six game types were video lottery, online slots, bingo online, online scratch, casino online, and lotto draw games. Therefore, the results are specific to those </w:t>
      </w:r>
      <w:r w:rsidR="00CB4737">
        <w:t>specific</w:t>
      </w:r>
      <w:r w:rsidR="00CB4737" w:rsidRPr="00383AFA">
        <w:t xml:space="preserve"> </w:t>
      </w:r>
      <w:r w:rsidRPr="00383AFA">
        <w:t xml:space="preserve">games, in the context in which they were provided by the gambling providers. </w:t>
      </w:r>
    </w:p>
    <w:p w14:paraId="40167DC7" w14:textId="41BF5DDF" w:rsidR="00575802" w:rsidRPr="00383AFA" w:rsidRDefault="00575802" w:rsidP="00383AFA">
      <w:pPr>
        <w:pStyle w:val="BodyText"/>
      </w:pPr>
      <w:r w:rsidRPr="00383AFA">
        <w:t xml:space="preserve">Notwithstanding an elevated level of variation within the small sample of providers, Cousins’ conclusion, using non-parametric </w:t>
      </w:r>
      <w:r w:rsidR="00D93841">
        <w:t>S</w:t>
      </w:r>
      <w:r w:rsidR="00D93841" w:rsidRPr="00383AFA">
        <w:t xml:space="preserve">pearmen </w:t>
      </w:r>
      <w:r w:rsidRPr="00383AFA">
        <w:t>rank order correlations</w:t>
      </w:r>
      <w:r w:rsidR="00D93841">
        <w:t>,</w:t>
      </w:r>
      <w:r w:rsidRPr="00383AFA">
        <w:t xml:space="preserve"> was that it appeared</w:t>
      </w:r>
      <w:r w:rsidR="00D93841">
        <w:t>,</w:t>
      </w:r>
      <w:r w:rsidRPr="00383AFA">
        <w:t xml:space="preserve"> overall</w:t>
      </w:r>
      <w:r w:rsidR="00D93841">
        <w:t>,</w:t>
      </w:r>
      <w:r w:rsidRPr="00383AFA">
        <w:t xml:space="preserve"> that games with higher risk </w:t>
      </w:r>
      <w:r w:rsidR="008A6C4E">
        <w:t>Gamgard</w:t>
      </w:r>
      <w:r w:rsidRPr="00383AFA">
        <w:t xml:space="preserve"> scores were those most often reported as problematic by treatment service providers.  However, when his </w:t>
      </w:r>
      <w:r w:rsidR="00F26AD6">
        <w:t>T</w:t>
      </w:r>
      <w:r w:rsidR="00F26AD6" w:rsidRPr="00383AFA">
        <w:t xml:space="preserve">able </w:t>
      </w:r>
      <w:r w:rsidRPr="00383AFA">
        <w:t xml:space="preserve">6 of results is viewed, it </w:t>
      </w:r>
      <w:r w:rsidR="00F26AD6">
        <w:t>seems</w:t>
      </w:r>
      <w:r w:rsidRPr="00383AFA">
        <w:t xml:space="preserve"> that only five of </w:t>
      </w:r>
      <w:r w:rsidR="00F26AD6">
        <w:t>the</w:t>
      </w:r>
      <w:r w:rsidR="00F26AD6" w:rsidRPr="00383AFA">
        <w:t xml:space="preserve"> </w:t>
      </w:r>
      <w:r w:rsidRPr="00383AFA">
        <w:t xml:space="preserve">nine service provider reports pertained to reports from </w:t>
      </w:r>
      <w:r w:rsidR="00F26AD6">
        <w:t xml:space="preserve">people with </w:t>
      </w:r>
      <w:r w:rsidRPr="00383AFA">
        <w:t xml:space="preserve">problem </w:t>
      </w:r>
      <w:r w:rsidR="00F26AD6" w:rsidRPr="00383AFA">
        <w:t>gambl</w:t>
      </w:r>
      <w:r w:rsidR="00F26AD6">
        <w:t>ing. T</w:t>
      </w:r>
      <w:r w:rsidRPr="00383AFA">
        <w:t xml:space="preserve">he remainder </w:t>
      </w:r>
      <w:r w:rsidR="00F26AD6">
        <w:t>were</w:t>
      </w:r>
      <w:r w:rsidR="00F26AD6" w:rsidRPr="00383AFA">
        <w:t xml:space="preserve"> </w:t>
      </w:r>
      <w:r w:rsidRPr="00383AFA">
        <w:t>related to gambling activity or</w:t>
      </w:r>
      <w:r w:rsidR="00F26AD6">
        <w:t>,</w:t>
      </w:r>
      <w:r w:rsidRPr="00383AFA">
        <w:t xml:space="preserve"> in one case</w:t>
      </w:r>
      <w:r w:rsidR="00F26AD6">
        <w:t>,</w:t>
      </w:r>
      <w:r w:rsidRPr="00383AFA">
        <w:t xml:space="preserve"> the conclusions of studies. </w:t>
      </w:r>
    </w:p>
    <w:p w14:paraId="7DDAAD38" w14:textId="47079832" w:rsidR="00575802" w:rsidRPr="00383AFA" w:rsidRDefault="00575802" w:rsidP="00383AFA">
      <w:pPr>
        <w:pStyle w:val="BodyText"/>
      </w:pPr>
      <w:r w:rsidRPr="00383AFA">
        <w:t xml:space="preserve">The two providers with significant correlations were from Canada, one using numbers of studies that found the game type associated with problem gambling (which does not relate to the opinions of problem gamblers), and the other based on the activity of problem gamblers.  The </w:t>
      </w:r>
      <w:r w:rsidR="00491C9A">
        <w:t>five</w:t>
      </w:r>
      <w:r w:rsidR="00491C9A" w:rsidRPr="00383AFA">
        <w:t xml:space="preserve"> </w:t>
      </w:r>
      <w:r w:rsidRPr="00383AFA">
        <w:t xml:space="preserve">providers who were reporting ratings based on reports </w:t>
      </w:r>
      <w:r w:rsidR="00491C9A">
        <w:t xml:space="preserve"> of people with </w:t>
      </w:r>
      <w:r w:rsidR="00491C9A" w:rsidRPr="00383AFA">
        <w:t>problem gambl</w:t>
      </w:r>
      <w:r w:rsidR="00491C9A">
        <w:t>ing</w:t>
      </w:r>
      <w:r w:rsidR="00491C9A" w:rsidRPr="00383AFA">
        <w:t xml:space="preserve"> </w:t>
      </w:r>
      <w:r w:rsidRPr="00383AFA">
        <w:t xml:space="preserve">had </w:t>
      </w:r>
      <w:r w:rsidR="00491C9A">
        <w:t>highly</w:t>
      </w:r>
      <w:r w:rsidR="00491C9A" w:rsidRPr="00383AFA">
        <w:t xml:space="preserve"> </w:t>
      </w:r>
      <w:r w:rsidRPr="00383AFA">
        <w:t xml:space="preserve">variable and non-significant correlations with the </w:t>
      </w:r>
      <w:r w:rsidR="008A6C4E">
        <w:t>Gamgard</w:t>
      </w:r>
      <w:r w:rsidRPr="00383AFA">
        <w:t xml:space="preserve"> scores.</w:t>
      </w:r>
    </w:p>
    <w:p w14:paraId="7318E1D0" w14:textId="7D36F447" w:rsidR="00575802" w:rsidRPr="00383AFA" w:rsidRDefault="00575802" w:rsidP="00383AFA">
      <w:pPr>
        <w:pStyle w:val="BodyText"/>
      </w:pPr>
      <w:r w:rsidRPr="00383AFA">
        <w:t>In the other study, Lyk-Jensen</w:t>
      </w:r>
      <w:r w:rsidR="00D06A55">
        <w:t xml:space="preserve"> (</w:t>
      </w:r>
      <w:r w:rsidRPr="00383AFA">
        <w:t>2010</w:t>
      </w:r>
      <w:r w:rsidR="00D06A55">
        <w:t>)</w:t>
      </w:r>
      <w:r w:rsidRPr="00383AFA">
        <w:t xml:space="preserve"> </w:t>
      </w:r>
      <w:r w:rsidR="00D06A55">
        <w:t>assessed</w:t>
      </w:r>
      <w:r w:rsidRPr="00383AFA">
        <w:t xml:space="preserve"> 4932 Danish players and found that those who </w:t>
      </w:r>
      <w:r w:rsidR="00D06A55" w:rsidRPr="00383AFA">
        <w:t>play</w:t>
      </w:r>
      <w:r w:rsidR="00D06A55">
        <w:t>ed</w:t>
      </w:r>
      <w:r w:rsidR="00D06A55" w:rsidRPr="00383AFA">
        <w:t xml:space="preserve"> </w:t>
      </w:r>
      <w:r w:rsidRPr="00383AFA">
        <w:t xml:space="preserve">games classified high-risk by </w:t>
      </w:r>
      <w:r w:rsidR="008A6C4E">
        <w:t>Gamgard</w:t>
      </w:r>
      <w:r w:rsidRPr="00383AFA">
        <w:t xml:space="preserve"> were most likely to be identified as at-risk players by The National Opinion Research Center DSM Screen for Gambling Problems (NODS) (Gerstein et al., 1999)</w:t>
      </w:r>
      <w:r w:rsidR="00D06A55">
        <w:t>.</w:t>
      </w:r>
      <w:r w:rsidRPr="00383AFA">
        <w:t xml:space="preserve"> (NODS is another alternative to the PGSI).</w:t>
      </w:r>
    </w:p>
    <w:p w14:paraId="255A0C39" w14:textId="2197022A" w:rsidR="00575802" w:rsidRPr="00383AFA" w:rsidRDefault="00575802" w:rsidP="00383AFA">
      <w:pPr>
        <w:pStyle w:val="BodyText"/>
      </w:pPr>
      <w:r w:rsidRPr="00383AFA">
        <w:t xml:space="preserve">It must be remembered that the development of </w:t>
      </w:r>
      <w:r w:rsidR="008A6C4E">
        <w:t>Gamgard</w:t>
      </w:r>
      <w:r w:rsidRPr="00383AFA">
        <w:t xml:space="preserve"> 3.0 included input from</w:t>
      </w:r>
      <w:r w:rsidR="00AB11C6">
        <w:t xml:space="preserve"> people who had</w:t>
      </w:r>
      <w:r w:rsidRPr="00383AFA">
        <w:t xml:space="preserve"> recovered </w:t>
      </w:r>
      <w:r w:rsidR="00AB11C6">
        <w:t xml:space="preserve">from </w:t>
      </w:r>
      <w:r w:rsidRPr="00383AFA">
        <w:t xml:space="preserve">problem </w:t>
      </w:r>
      <w:r w:rsidR="00AB11C6" w:rsidRPr="00383AFA">
        <w:t>gambl</w:t>
      </w:r>
      <w:r w:rsidR="00AB11C6">
        <w:t>ing</w:t>
      </w:r>
      <w:r w:rsidRPr="00383AFA">
        <w:t xml:space="preserve">. However, we do not know </w:t>
      </w:r>
      <w:r w:rsidR="00AB11C6">
        <w:t xml:space="preserve">how </w:t>
      </w:r>
      <w:r w:rsidRPr="00383AFA">
        <w:t>their opinions compared to other members of the Delphi group</w:t>
      </w:r>
      <w:r w:rsidR="00AB11C6">
        <w:t>.</w:t>
      </w:r>
    </w:p>
    <w:p w14:paraId="1BC312D6" w14:textId="772CD244" w:rsidR="00575802" w:rsidRDefault="008A6C4E" w:rsidP="004C15A0">
      <w:pPr>
        <w:pStyle w:val="Heading2"/>
      </w:pPr>
      <w:bookmarkStart w:id="353" w:name="_Toc87263184"/>
      <w:r>
        <w:t>Gamgard</w:t>
      </w:r>
      <w:r w:rsidR="00383AFA">
        <w:t>’s fit in the overall harm prevention-minimisation space</w:t>
      </w:r>
      <w:bookmarkEnd w:id="353"/>
    </w:p>
    <w:p w14:paraId="40432A4F" w14:textId="393ADAC0" w:rsidR="00383AFA" w:rsidRPr="00383AFA" w:rsidRDefault="00383AFA" w:rsidP="00383AFA">
      <w:pPr>
        <w:pStyle w:val="BodyText"/>
      </w:pPr>
      <w:r w:rsidRPr="00383AFA">
        <w:t xml:space="preserve">The game characteristics measured by tools like </w:t>
      </w:r>
      <w:r w:rsidR="008A6C4E">
        <w:t>Gamgard</w:t>
      </w:r>
      <w:r w:rsidRPr="00383AFA">
        <w:t xml:space="preserve"> are only part of the total gaming environment to which a gambler is exposed. To achieve a responsible gambling operation, in accord with the provisions of the Gambling Act 2003, an operator will need to provide an appropriate overall environment to minimise </w:t>
      </w:r>
      <w:r w:rsidR="00B50161" w:rsidRPr="00383AFA">
        <w:t>gambl</w:t>
      </w:r>
      <w:r w:rsidR="00B50161">
        <w:t>ing</w:t>
      </w:r>
      <w:r w:rsidR="00B50161" w:rsidRPr="00383AFA">
        <w:t xml:space="preserve"> </w:t>
      </w:r>
      <w:r w:rsidRPr="00383AFA">
        <w:t>harm. This includes offering games with characteristics which are in accord with a responsible approach to gambling as interpreted by the Act (See section 1 of this review).  Relevant here is Tse et al</w:t>
      </w:r>
      <w:r w:rsidR="00C06D80">
        <w:t>.</w:t>
      </w:r>
      <w:r w:rsidRPr="00383AFA">
        <w:t xml:space="preserve"> (2005)</w:t>
      </w:r>
      <w:r w:rsidR="001E4AE1">
        <w:t xml:space="preserve"> on the subject of host responsi</w:t>
      </w:r>
      <w:r w:rsidR="00642B05">
        <w:t>bility</w:t>
      </w:r>
      <w:r w:rsidRPr="00383AFA">
        <w:t>.</w:t>
      </w:r>
    </w:p>
    <w:p w14:paraId="7F111D21" w14:textId="0E0A75DC" w:rsidR="00383AFA" w:rsidRPr="00383AFA" w:rsidRDefault="00383AFA" w:rsidP="00383AFA">
      <w:pPr>
        <w:pStyle w:val="BodyText"/>
      </w:pPr>
      <w:r w:rsidRPr="00383AFA">
        <w:t xml:space="preserve">Gainsbury &amp; Blaszczynski (2012) mention that tools to minimise harm can be accompanied by tools to reduce demand like warning messages, various game modifications (some of these are incorporated into </w:t>
      </w:r>
      <w:r w:rsidR="008A6C4E">
        <w:t>Gamgard</w:t>
      </w:r>
      <w:r w:rsidRPr="00383AFA">
        <w:t xml:space="preserve"> assessments as responsible gambling features), venue modification, precommitment strategies and marketing restrictions. Supply restrictions may also be imposed by regulators.</w:t>
      </w:r>
    </w:p>
    <w:p w14:paraId="21447C3E" w14:textId="21E6DB42" w:rsidR="00383AFA" w:rsidRPr="00383AFA" w:rsidRDefault="00383AFA" w:rsidP="00383AFA">
      <w:pPr>
        <w:pStyle w:val="BodyText"/>
      </w:pPr>
      <w:r w:rsidRPr="00383AFA">
        <w:t xml:space="preserve">Therefore, products like </w:t>
      </w:r>
      <w:r w:rsidR="008A6C4E">
        <w:t>Gamgard</w:t>
      </w:r>
      <w:r w:rsidRPr="00383AFA">
        <w:t xml:space="preserve"> can provide only a part of the solution to the challenge of providing a responsible gambling environment. </w:t>
      </w:r>
      <w:r w:rsidR="00EE4F84">
        <w:t>T</w:t>
      </w:r>
      <w:r w:rsidRPr="00383AFA">
        <w:t xml:space="preserve">he operator will need to take other complementary measures to achieve such an environment. These come under the categories of operator-based’ and ‘community-based’ measures (Blaszczynski et al, 2014).  </w:t>
      </w:r>
    </w:p>
    <w:p w14:paraId="6CC3DD7B" w14:textId="30762ED8" w:rsidR="00383AFA" w:rsidRPr="00383AFA" w:rsidRDefault="00383AFA" w:rsidP="00383AFA">
      <w:pPr>
        <w:pStyle w:val="BodyText"/>
      </w:pPr>
      <w:r w:rsidRPr="00383AFA">
        <w:lastRenderedPageBreak/>
        <w:t xml:space="preserve">According to Blaszczynski et al (2014), </w:t>
      </w:r>
      <w:r w:rsidR="00AD4302" w:rsidRPr="00383AFA">
        <w:t>operator-based</w:t>
      </w:r>
      <w:r w:rsidRPr="00383AFA">
        <w:t xml:space="preserve"> measures involve:</w:t>
      </w:r>
    </w:p>
    <w:p w14:paraId="02BFB290" w14:textId="40EFF354" w:rsidR="00383AFA" w:rsidRDefault="00EE4F84" w:rsidP="00383AFA">
      <w:pPr>
        <w:pStyle w:val="Quote"/>
      </w:pPr>
      <w:r>
        <w:t>H</w:t>
      </w:r>
      <w:r w:rsidRPr="00F33750">
        <w:t xml:space="preserve">arm </w:t>
      </w:r>
      <w:r w:rsidR="00383AFA" w:rsidRPr="00F33750">
        <w:t>minimisation strategies</w:t>
      </w:r>
      <w:r w:rsidR="00383AFA">
        <w:t xml:space="preserve"> </w:t>
      </w:r>
      <w:r w:rsidR="00383AFA" w:rsidRPr="00F33750">
        <w:t>that are enacted through a gambling operator’s website, land-based venue or by direct</w:t>
      </w:r>
      <w:r w:rsidR="00383AFA">
        <w:t xml:space="preserve"> </w:t>
      </w:r>
      <w:r w:rsidR="00383AFA" w:rsidRPr="00F33750">
        <w:t>marketing</w:t>
      </w:r>
      <w:r w:rsidR="00383AFA">
        <w:t xml:space="preserve"> (pg 17)</w:t>
      </w:r>
      <w:r w:rsidR="00383AFA" w:rsidRPr="00F33750">
        <w:t>.</w:t>
      </w:r>
      <w:r w:rsidR="00383AFA">
        <w:t xml:space="preserve"> </w:t>
      </w:r>
    </w:p>
    <w:p w14:paraId="0B0FB8CF" w14:textId="77777777" w:rsidR="00383AFA" w:rsidRDefault="00383AFA" w:rsidP="00383AFA">
      <w:pPr>
        <w:pStyle w:val="Quote"/>
      </w:pPr>
      <w:r>
        <w:t xml:space="preserve">Community based approaches </w:t>
      </w:r>
      <w:r w:rsidRPr="0075301F">
        <w:t>encompass</w:t>
      </w:r>
      <w:r>
        <w:t>:</w:t>
      </w:r>
    </w:p>
    <w:p w14:paraId="0AEC7E7D" w14:textId="5056B5B5" w:rsidR="00383AFA" w:rsidRDefault="00EE4F84" w:rsidP="001A4A1D">
      <w:pPr>
        <w:pStyle w:val="Quote"/>
        <w:ind w:left="1440"/>
        <w:rPr>
          <w:rFonts w:ascii="TT159t00" w:hAnsi="TT159t00" w:cs="TT159t00"/>
        </w:rPr>
      </w:pPr>
      <w:r>
        <w:t>A</w:t>
      </w:r>
      <w:r w:rsidRPr="00F33750">
        <w:t xml:space="preserve">ll </w:t>
      </w:r>
      <w:r w:rsidR="00383AFA" w:rsidRPr="00F33750">
        <w:t>efforts beyond modifications to the game or approaches executed at venue or site-level</w:t>
      </w:r>
      <w:r w:rsidR="00383AFA">
        <w:t xml:space="preserve"> (pg 19)</w:t>
      </w:r>
      <w:r w:rsidR="00383AFA" w:rsidRPr="00F33750">
        <w:rPr>
          <w:rFonts w:ascii="TT159t00" w:hAnsi="TT159t00" w:cs="TT159t00"/>
        </w:rPr>
        <w:t>.</w:t>
      </w:r>
    </w:p>
    <w:p w14:paraId="2DBD284D" w14:textId="77777777" w:rsidR="00383AFA" w:rsidRDefault="00383AFA" w:rsidP="00383AFA">
      <w:pPr>
        <w:spacing w:after="180"/>
        <w:contextualSpacing/>
        <w:rPr>
          <w:rFonts w:ascii="TT159t00" w:hAnsi="TT159t00" w:cs="TT159t00"/>
          <w:i/>
        </w:rPr>
      </w:pPr>
    </w:p>
    <w:p w14:paraId="4CBFCFDD" w14:textId="092098BB" w:rsidR="00383AFA" w:rsidRDefault="00383AFA" w:rsidP="00383AFA">
      <w:pPr>
        <w:pStyle w:val="BodyText"/>
      </w:pPr>
      <w:r>
        <w:t>Korn and Shaffer (1999)</w:t>
      </w:r>
      <w:r w:rsidR="00070986">
        <w:t>,</w:t>
      </w:r>
      <w:r>
        <w:t xml:space="preserve"> as quoted in adapted form in Parke (2016)</w:t>
      </w:r>
      <w:r w:rsidR="00070986">
        <w:t>,</w:t>
      </w:r>
      <w:r>
        <w:t xml:space="preserve"> illustrate the influences which can come together to produce problem</w:t>
      </w:r>
      <w:r w:rsidR="00070986">
        <w:t>, or “</w:t>
      </w:r>
      <w:r>
        <w:t>disordered</w:t>
      </w:r>
      <w:r w:rsidR="00070986">
        <w:t xml:space="preserve">”, </w:t>
      </w:r>
      <w:r>
        <w:t>gambling.  These interactions involve characteristics of the gamblers, the environment of the gambling and the characteristics of the game. Specifically mentioned are:</w:t>
      </w:r>
    </w:p>
    <w:p w14:paraId="75962C78" w14:textId="77777777" w:rsidR="00383AFA" w:rsidRDefault="00383AFA" w:rsidP="00383AFA">
      <w:pPr>
        <w:pStyle w:val="ListBullet"/>
      </w:pPr>
      <w:r>
        <w:t>The gambler: Individual differences, resilience, self -control, motives and demographic variable</w:t>
      </w:r>
    </w:p>
    <w:p w14:paraId="1D34F9F9" w14:textId="77777777" w:rsidR="00383AFA" w:rsidRDefault="00383AFA" w:rsidP="00383AFA">
      <w:pPr>
        <w:pStyle w:val="ListBullet"/>
      </w:pPr>
      <w:r>
        <w:t>The environment: V</w:t>
      </w:r>
      <w:r w:rsidRPr="002F097C">
        <w:t>enue characteristics. delivery channel. accessibility. culture. regulatory framework. advertising, social support. leisure options. community support and treatment)</w:t>
      </w:r>
    </w:p>
    <w:p w14:paraId="14667B09" w14:textId="77777777" w:rsidR="00383AFA" w:rsidRDefault="00383AFA" w:rsidP="00383AFA">
      <w:pPr>
        <w:pStyle w:val="ListBullet"/>
      </w:pPr>
      <w:r>
        <w:t>The game: S</w:t>
      </w:r>
      <w:r w:rsidRPr="002F097C">
        <w:t xml:space="preserve">taking and payment options. game speed. frequency of betting opportunities. size and structure of prizes. visual and audio effects. </w:t>
      </w:r>
      <w:r>
        <w:t>li</w:t>
      </w:r>
      <w:r w:rsidRPr="002F097C">
        <w:t>cencing and themes, return-to-player</w:t>
      </w:r>
    </w:p>
    <w:p w14:paraId="76968876" w14:textId="2BC35CBC" w:rsidR="00383AFA" w:rsidRDefault="00070986" w:rsidP="00383AFA">
      <w:pPr>
        <w:pStyle w:val="BodyText"/>
      </w:pPr>
      <w:r>
        <w:t>I</w:t>
      </w:r>
      <w:r w:rsidR="00383AFA">
        <w:t xml:space="preserve">t is worth </w:t>
      </w:r>
      <w:r w:rsidR="00CB2E3F">
        <w:t xml:space="preserve">noting </w:t>
      </w:r>
      <w:r w:rsidR="00383AFA">
        <w:t xml:space="preserve">the relative risks of various forms of gambling. An article by Delfabbro and King (2019) places the more discontinuous forms, like </w:t>
      </w:r>
      <w:r w:rsidR="00CB2E3F">
        <w:t xml:space="preserve">bingo </w:t>
      </w:r>
      <w:r w:rsidR="00383AFA">
        <w:t xml:space="preserve">and </w:t>
      </w:r>
      <w:r w:rsidR="00CB2E3F">
        <w:t xml:space="preserve">lotto </w:t>
      </w:r>
      <w:r w:rsidR="00383AFA">
        <w:t>at the lower risk end of the spectrum and the more continuous</w:t>
      </w:r>
      <w:r w:rsidR="00CB2E3F">
        <w:t xml:space="preserve"> forms, like</w:t>
      </w:r>
      <w:r w:rsidR="00383AFA">
        <w:t xml:space="preserve"> EGMs</w:t>
      </w:r>
      <w:r w:rsidR="00CB2E3F">
        <w:t>,</w:t>
      </w:r>
      <w:r w:rsidR="00383AFA">
        <w:t xml:space="preserve"> at the higher risk end.</w:t>
      </w:r>
    </w:p>
    <w:p w14:paraId="07FE15F3" w14:textId="4AF2FCF9" w:rsidR="00383AFA" w:rsidRDefault="00383AFA" w:rsidP="00383AFA">
      <w:pPr>
        <w:pStyle w:val="BodyText"/>
      </w:pPr>
      <w:r>
        <w:t xml:space="preserve">The authors indicate that tools like </w:t>
      </w:r>
      <w:r w:rsidR="008A6C4E">
        <w:t>Gamgard</w:t>
      </w:r>
      <w:r>
        <w:t xml:space="preserve"> may be of use to classify the risk associated with various forms of gambling and show that EGMs are a higher risk activity because of multiple features</w:t>
      </w:r>
      <w:r w:rsidR="005471D0">
        <w:t xml:space="preserve">. They </w:t>
      </w:r>
      <w:r>
        <w:t>predict that modern multiline machines will be more problematic than early generation machines</w:t>
      </w:r>
      <w:r w:rsidR="005471D0">
        <w:t>, but they</w:t>
      </w:r>
      <w:r>
        <w:t xml:space="preserve"> imply a higher level of difficulty in predicting the risk of modern multiline machines. This view is supported by Gainsbury and Blaszczynski (2012) who describe EGMs as the primary form associated with problem gambling and its rapid development.   This indicates that there may be limits to the effective game coverage of tools like </w:t>
      </w:r>
      <w:r w:rsidR="008A6C4E">
        <w:t>Gamgard</w:t>
      </w:r>
      <w:r>
        <w:t xml:space="preserve"> as they are configured at present. This view is supported by the increased number of harm minimisation tools or Responsible Gaming Features discussed in Wood et al</w:t>
      </w:r>
      <w:r w:rsidR="00C71227">
        <w:t>.</w:t>
      </w:r>
      <w:r>
        <w:t xml:space="preserve"> (2014) and Harris and Griffiths (2018). </w:t>
      </w:r>
    </w:p>
    <w:p w14:paraId="7DF9F755" w14:textId="7D94B2D6" w:rsidR="00383AFA" w:rsidRDefault="00383AFA" w:rsidP="004C15A0">
      <w:pPr>
        <w:pStyle w:val="Heading2"/>
      </w:pPr>
      <w:bookmarkStart w:id="354" w:name="_Toc87263185"/>
      <w:r>
        <w:t>Conclusions</w:t>
      </w:r>
      <w:bookmarkEnd w:id="354"/>
    </w:p>
    <w:p w14:paraId="2E7C240E" w14:textId="6CBD8B1A" w:rsidR="00383AFA" w:rsidRPr="00F33750" w:rsidRDefault="00F05E10" w:rsidP="00383AFA">
      <w:pPr>
        <w:pStyle w:val="BodyText"/>
      </w:pPr>
      <w:r>
        <w:t>I</w:t>
      </w:r>
      <w:r w:rsidR="00383AFA" w:rsidRPr="00F33750">
        <w:t xml:space="preserve">ssues related to </w:t>
      </w:r>
      <w:r w:rsidR="008A6C4E">
        <w:t>Gamgard</w:t>
      </w:r>
      <w:r w:rsidR="00383AFA" w:rsidRPr="00F33750">
        <w:t xml:space="preserve"> that should be considered by a </w:t>
      </w:r>
      <w:r w:rsidR="008A6C4E">
        <w:t>Gamgard</w:t>
      </w:r>
      <w:r w:rsidR="00383AFA" w:rsidRPr="00F33750">
        <w:t xml:space="preserve"> user or regulator before adopting it as a risk prevention and minimisation tool for vulnerable populations are</w:t>
      </w:r>
      <w:r w:rsidR="005062AF">
        <w:t>, as follows:</w:t>
      </w:r>
    </w:p>
    <w:p w14:paraId="6B800174" w14:textId="3AF4564F" w:rsidR="00383AFA" w:rsidRDefault="008A6C4E" w:rsidP="00352919">
      <w:pPr>
        <w:pStyle w:val="ListNumber"/>
        <w:numPr>
          <w:ilvl w:val="0"/>
          <w:numId w:val="25"/>
        </w:numPr>
      </w:pPr>
      <w:r>
        <w:t>Gamgard</w:t>
      </w:r>
      <w:r w:rsidR="00383AFA">
        <w:t xml:space="preserve"> is a preliminary screen, not a precision tool. It considers a relatively small (albeit important) selection of the possible factors which might impact on the risk profile of a game.</w:t>
      </w:r>
    </w:p>
    <w:p w14:paraId="1C35C404" w14:textId="77777777" w:rsidR="00383AFA" w:rsidRDefault="00383AFA" w:rsidP="00352919">
      <w:pPr>
        <w:pStyle w:val="ListNumber"/>
        <w:numPr>
          <w:ilvl w:val="0"/>
          <w:numId w:val="25"/>
        </w:numPr>
      </w:pPr>
      <w:r>
        <w:t>Are preliminary screens necessary? They are not universally used, with some providers testing games in house and others using the services of external laboratories.</w:t>
      </w:r>
    </w:p>
    <w:p w14:paraId="7D2C5123" w14:textId="0B475631" w:rsidR="00383AFA" w:rsidRDefault="00383AFA" w:rsidP="00352919">
      <w:pPr>
        <w:pStyle w:val="ListNumber"/>
        <w:numPr>
          <w:ilvl w:val="0"/>
          <w:numId w:val="25"/>
        </w:numPr>
      </w:pPr>
      <w:r>
        <w:t xml:space="preserve">Inter-rater reliability-particularly between </w:t>
      </w:r>
      <w:r w:rsidR="008A6C4E">
        <w:t>Gamgard</w:t>
      </w:r>
      <w:r>
        <w:t xml:space="preserve"> provided ratings and ratings carried out by providers. A game’s rating should be the same irrespective of whether it is provided by </w:t>
      </w:r>
      <w:r w:rsidR="008A6C4E">
        <w:t>Gamgard</w:t>
      </w:r>
      <w:r>
        <w:t xml:space="preserve"> or by a customer of </w:t>
      </w:r>
      <w:r w:rsidR="008A6C4E">
        <w:t>Gamgard</w:t>
      </w:r>
      <w:r>
        <w:t xml:space="preserve"> using </w:t>
      </w:r>
      <w:r w:rsidR="008A6C4E">
        <w:t>Gamgard</w:t>
      </w:r>
      <w:r>
        <w:t>.</w:t>
      </w:r>
    </w:p>
    <w:p w14:paraId="13CB51A3" w14:textId="776789AB" w:rsidR="00383AFA" w:rsidRDefault="00E510D8" w:rsidP="00352919">
      <w:pPr>
        <w:pStyle w:val="ListNumber"/>
        <w:numPr>
          <w:ilvl w:val="0"/>
          <w:numId w:val="25"/>
        </w:numPr>
      </w:pPr>
      <w:r>
        <w:t xml:space="preserve">Do </w:t>
      </w:r>
      <w:r w:rsidR="00383AFA">
        <w:t>the prime risk factors used, which were developed in a UK context require</w:t>
      </w:r>
      <w:r>
        <w:t>,</w:t>
      </w:r>
      <w:r w:rsidR="00383AFA">
        <w:t xml:space="preserve"> any tailoring to the New Zealand context and to particular game types</w:t>
      </w:r>
      <w:r>
        <w:t xml:space="preserve">? </w:t>
      </w:r>
    </w:p>
    <w:p w14:paraId="0FF0242C" w14:textId="3490183C" w:rsidR="00383AFA" w:rsidRDefault="00383AFA" w:rsidP="00352919">
      <w:pPr>
        <w:pStyle w:val="ListNumber"/>
        <w:numPr>
          <w:ilvl w:val="0"/>
          <w:numId w:val="25"/>
        </w:numPr>
      </w:pPr>
      <w:r>
        <w:t xml:space="preserve">To what extent are </w:t>
      </w:r>
      <w:r w:rsidR="008A6C4E">
        <w:t>Gamgard</w:t>
      </w:r>
      <w:r>
        <w:t xml:space="preserve">’s four responsible gaming features (popup reminders, spend limits, time limits and feedback tools) adequately covering the field in New Zealand over the range of games </w:t>
      </w:r>
      <w:r w:rsidR="008A6C4E">
        <w:t>Gamgard</w:t>
      </w:r>
      <w:r>
        <w:t xml:space="preserve"> is used to assess in New Zealand</w:t>
      </w:r>
      <w:r w:rsidR="00500954">
        <w:t>?</w:t>
      </w:r>
      <w:r>
        <w:t xml:space="preserve"> </w:t>
      </w:r>
      <w:r w:rsidR="00500954">
        <w:t>W</w:t>
      </w:r>
      <w:r>
        <w:t xml:space="preserve">hat other such features </w:t>
      </w:r>
      <w:r w:rsidR="00500954">
        <w:t xml:space="preserve">also </w:t>
      </w:r>
      <w:r>
        <w:t>need to be considered? There are a large number of features mentioned in the literature and serious consideration</w:t>
      </w:r>
      <w:r w:rsidR="00230112">
        <w:t xml:space="preserve">, including </w:t>
      </w:r>
      <w:r w:rsidR="00527A62">
        <w:t>a possible need for further research,</w:t>
      </w:r>
      <w:r w:rsidR="00E478E3">
        <w:t xml:space="preserve"> </w:t>
      </w:r>
      <w:r>
        <w:t>is required to weight their importance in a New Zealand context.</w:t>
      </w:r>
    </w:p>
    <w:p w14:paraId="248E4DE3" w14:textId="7F246D38" w:rsidR="00383AFA" w:rsidRDefault="003571D8" w:rsidP="00352919">
      <w:pPr>
        <w:pStyle w:val="ListNumber"/>
        <w:numPr>
          <w:ilvl w:val="0"/>
          <w:numId w:val="25"/>
        </w:numPr>
      </w:pPr>
      <w:r>
        <w:t xml:space="preserve">It is </w:t>
      </w:r>
      <w:r w:rsidR="00FD6613">
        <w:t xml:space="preserve">the </w:t>
      </w:r>
      <w:r w:rsidR="006E7828">
        <w:t xml:space="preserve">providers role, working within the </w:t>
      </w:r>
      <w:r w:rsidR="007E7AE4">
        <w:t>applicable law</w:t>
      </w:r>
      <w:r w:rsidR="00896B2C">
        <w:t xml:space="preserve">s , </w:t>
      </w:r>
      <w:r w:rsidR="00FD6613">
        <w:t>to assess information and make its own decision about the acceptability of a game</w:t>
      </w:r>
      <w:r w:rsidR="00C770F0">
        <w:t>,</w:t>
      </w:r>
      <w:r w:rsidR="00FD6613">
        <w:t xml:space="preserve"> </w:t>
      </w:r>
      <w:r w:rsidR="00896B2C">
        <w:t xml:space="preserve">in </w:t>
      </w:r>
      <w:r w:rsidR="00C87FB6">
        <w:t>the circumstances in which the game is to be used</w:t>
      </w:r>
      <w:r w:rsidR="00C770F0">
        <w:t xml:space="preserve">. </w:t>
      </w:r>
      <w:r w:rsidR="003A3712">
        <w:t>In this context</w:t>
      </w:r>
      <w:r w:rsidR="00074163">
        <w:t xml:space="preserve">. </w:t>
      </w:r>
      <w:r w:rsidR="00C3156A">
        <w:t>a</w:t>
      </w:r>
      <w:r w:rsidR="00383AFA">
        <w:t xml:space="preserve">t what level on the </w:t>
      </w:r>
      <w:r w:rsidR="008A6C4E">
        <w:t>Gamgard</w:t>
      </w:r>
      <w:r w:rsidR="00383AFA">
        <w:t xml:space="preserve"> traffic light scale of five colours, each with a cut-off point should a game be considered unacceptable without amendment? The scoring details used to derive the scale are not known, because they are not publicly available.</w:t>
      </w:r>
    </w:p>
    <w:p w14:paraId="2087D7FC" w14:textId="5FEB6474" w:rsidR="00383AFA" w:rsidRDefault="00383AFA" w:rsidP="00352919">
      <w:pPr>
        <w:pStyle w:val="ListNumber"/>
        <w:numPr>
          <w:ilvl w:val="0"/>
          <w:numId w:val="25"/>
        </w:numPr>
      </w:pPr>
      <w:r>
        <w:lastRenderedPageBreak/>
        <w:t>Where would</w:t>
      </w:r>
      <w:r w:rsidR="007027E1">
        <w:t xml:space="preserve"> </w:t>
      </w:r>
      <w:r w:rsidR="008A6C4E">
        <w:t>Gamgard</w:t>
      </w:r>
      <w:r w:rsidR="007027E1">
        <w:t xml:space="preserve"> be</w:t>
      </w:r>
      <w:r>
        <w:t xml:space="preserve"> sit</w:t>
      </w:r>
      <w:r w:rsidR="007027E1">
        <w:t>uated</w:t>
      </w:r>
      <w:r>
        <w:t xml:space="preserve"> in a wraparound package of measures to minimise gambling harm, in the context of the Government’s Strategy to Prevent and Minimise Gambling Harm 2019/20 to 2021/22 and the Gambling Act 2003’s definition of responsible gambling?</w:t>
      </w:r>
      <w:r w:rsidR="008552A0">
        <w:t xml:space="preserve"> A wraparound</w:t>
      </w:r>
      <w:r>
        <w:t xml:space="preserve"> package could include such measures as additional responsible gaming features, gambling supply controls and easy availability of treatments like counselling.</w:t>
      </w:r>
    </w:p>
    <w:p w14:paraId="37479AAA" w14:textId="2D861287" w:rsidR="00383AFA" w:rsidRDefault="008552A0" w:rsidP="00352919">
      <w:pPr>
        <w:pStyle w:val="ListNumber"/>
        <w:numPr>
          <w:ilvl w:val="0"/>
          <w:numId w:val="25"/>
        </w:numPr>
      </w:pPr>
      <w:r>
        <w:t xml:space="preserve">Are </w:t>
      </w:r>
      <w:r w:rsidR="00383AFA">
        <w:t xml:space="preserve">wider contextual elements like marketing and social features are appropriate to be included in a preliminary screening tool (as in </w:t>
      </w:r>
      <w:r w:rsidR="001E3959">
        <w:t>RaVa</w:t>
      </w:r>
      <w:r w:rsidR="00383AFA">
        <w:t xml:space="preserve">) or should </w:t>
      </w:r>
      <w:r>
        <w:t xml:space="preserve">they </w:t>
      </w:r>
      <w:r w:rsidR="00383AFA">
        <w:t>be considered separately</w:t>
      </w:r>
      <w:r>
        <w:t xml:space="preserve">? </w:t>
      </w:r>
      <w:r w:rsidR="00383AFA">
        <w:t>These features may have an impact on game uptake.</w:t>
      </w:r>
    </w:p>
    <w:p w14:paraId="53C45F50" w14:textId="49F51E6C" w:rsidR="00383AFA" w:rsidRPr="007D7257" w:rsidRDefault="008A6C4E" w:rsidP="00352919">
      <w:pPr>
        <w:pStyle w:val="ListNumber"/>
        <w:numPr>
          <w:ilvl w:val="0"/>
          <w:numId w:val="25"/>
        </w:numPr>
      </w:pPr>
      <w:r>
        <w:t>Gamgard</w:t>
      </w:r>
      <w:r w:rsidR="00383AFA">
        <w:t xml:space="preserve"> does not appear to have any serious competitors at present in the preliminary screen space in the English-speaking world. However, </w:t>
      </w:r>
      <w:r w:rsidR="00383AFA" w:rsidRPr="007D7257">
        <w:t xml:space="preserve">Asterig </w:t>
      </w:r>
      <w:r w:rsidR="008552A0">
        <w:t>seem</w:t>
      </w:r>
      <w:r w:rsidR="008552A0" w:rsidRPr="007D7257">
        <w:t xml:space="preserve">s </w:t>
      </w:r>
      <w:r w:rsidR="00383AFA" w:rsidRPr="007D7257">
        <w:t>to dominate the preliminary screening tools market for German speaking countries.</w:t>
      </w:r>
      <w:r w:rsidR="00B45EAE">
        <w:t xml:space="preserve"> </w:t>
      </w:r>
      <w:r w:rsidR="00AD0592">
        <w:t xml:space="preserve">Dr Richard Wood has supplied information that </w:t>
      </w:r>
      <w:r w:rsidR="00EB712D">
        <w:t xml:space="preserve">Gamgard does have </w:t>
      </w:r>
      <w:r w:rsidR="00A1639C">
        <w:t xml:space="preserve">some </w:t>
      </w:r>
      <w:r w:rsidR="00BC2CC9">
        <w:t>German clients.</w:t>
      </w:r>
    </w:p>
    <w:p w14:paraId="4C9DB20E" w14:textId="2D779AB4" w:rsidR="00383AFA" w:rsidRDefault="00383AFA" w:rsidP="004C15A0">
      <w:pPr>
        <w:pStyle w:val="Heading2"/>
      </w:pPr>
      <w:bookmarkStart w:id="355" w:name="_Toc87263186"/>
      <w:r>
        <w:t>Recommendations</w:t>
      </w:r>
      <w:bookmarkEnd w:id="355"/>
    </w:p>
    <w:p w14:paraId="5125DDB3" w14:textId="77777777" w:rsidR="00383AFA" w:rsidRPr="00F33750" w:rsidRDefault="00383AFA" w:rsidP="00383AFA">
      <w:pPr>
        <w:pStyle w:val="BodyText"/>
      </w:pPr>
      <w:r w:rsidRPr="00F33750">
        <w:t>Based on information presented in the literature review we recommend that</w:t>
      </w:r>
      <w:r>
        <w:t xml:space="preserve"> the following higher-level policy related points should be considered by the Ministry of Health.</w:t>
      </w:r>
    </w:p>
    <w:p w14:paraId="544AA2D6" w14:textId="217BDF64" w:rsidR="000E4F52" w:rsidRDefault="000E4F52" w:rsidP="00352919">
      <w:pPr>
        <w:pStyle w:val="ListNumber"/>
        <w:numPr>
          <w:ilvl w:val="0"/>
          <w:numId w:val="31"/>
        </w:numPr>
        <w:spacing w:after="120" w:line="240" w:lineRule="auto"/>
        <w:contextualSpacing w:val="0"/>
      </w:pPr>
      <w:r>
        <w:t>Aspects offered in other tools could be more directly imbedded into a standardised wrap-</w:t>
      </w:r>
      <w:r w:rsidRPr="00D47F9E">
        <w:t>around</w:t>
      </w:r>
      <w:r>
        <w:t xml:space="preserve"> process involving </w:t>
      </w:r>
      <w:r w:rsidR="008A6C4E">
        <w:t>Gamgard</w:t>
      </w:r>
      <w:r>
        <w:t>. For example, a more in-depth assessment in the evaluation process</w:t>
      </w:r>
      <w:r w:rsidR="008552A0">
        <w:t xml:space="preserve"> could include</w:t>
      </w:r>
      <w:r>
        <w:t xml:space="preserve"> active assessment of the</w:t>
      </w:r>
      <w:r w:rsidR="008552A0">
        <w:t xml:space="preserve"> sensory</w:t>
      </w:r>
      <w:r>
        <w:t xml:space="preserve"> stimulation level of each product (</w:t>
      </w:r>
      <w:r w:rsidR="008552A0">
        <w:t>i.e.,</w:t>
      </w:r>
      <w:r>
        <w:t xml:space="preserve"> noise and light) as this relates to gambling harm. </w:t>
      </w:r>
    </w:p>
    <w:p w14:paraId="4E55C5F5" w14:textId="2835CB3B" w:rsidR="000E4F52" w:rsidRDefault="000E4F52" w:rsidP="00352919">
      <w:pPr>
        <w:pStyle w:val="ListNumber"/>
        <w:numPr>
          <w:ilvl w:val="0"/>
          <w:numId w:val="31"/>
        </w:numPr>
        <w:spacing w:after="120" w:line="240" w:lineRule="auto"/>
        <w:contextualSpacing w:val="0"/>
      </w:pPr>
      <w:r>
        <w:t xml:space="preserve">Recognise the large weighting factor placed on Risk </w:t>
      </w:r>
      <w:r w:rsidR="00105120">
        <w:t xml:space="preserve">Factor </w:t>
      </w:r>
      <w:r>
        <w:t xml:space="preserve">1, event frequency, and that very few games will fall into the very high-risk factor once this score is applied. </w:t>
      </w:r>
    </w:p>
    <w:p w14:paraId="4B981627" w14:textId="685CDEF8" w:rsidR="000E4F52" w:rsidRDefault="000E4F52" w:rsidP="00352919">
      <w:pPr>
        <w:pStyle w:val="ListNumber"/>
        <w:numPr>
          <w:ilvl w:val="0"/>
          <w:numId w:val="31"/>
        </w:numPr>
        <w:spacing w:after="120" w:line="240" w:lineRule="auto"/>
        <w:contextualSpacing w:val="0"/>
      </w:pPr>
      <w:r>
        <w:t xml:space="preserve">Evaluate suitability of </w:t>
      </w:r>
      <w:r w:rsidR="00105120">
        <w:t xml:space="preserve">Risk Factor </w:t>
      </w:r>
      <w:r>
        <w:t>5, jackpot size bands, and update to reflect NZ currency prize ranges.</w:t>
      </w:r>
    </w:p>
    <w:p w14:paraId="2496C151" w14:textId="3CCCF5CE" w:rsidR="000E4F52" w:rsidRPr="00A474F1" w:rsidRDefault="000E4F52" w:rsidP="00352919">
      <w:pPr>
        <w:pStyle w:val="ListNumber"/>
        <w:numPr>
          <w:ilvl w:val="0"/>
          <w:numId w:val="31"/>
        </w:numPr>
        <w:spacing w:after="120" w:line="240" w:lineRule="auto"/>
        <w:contextualSpacing w:val="0"/>
      </w:pPr>
      <w:r>
        <w:t xml:space="preserve">Control </w:t>
      </w:r>
      <w:r w:rsidR="00586451">
        <w:t xml:space="preserve">the </w:t>
      </w:r>
      <w:r>
        <w:t xml:space="preserve">potential for variability in scoring for some risk factors in </w:t>
      </w:r>
      <w:r w:rsidR="008A6C4E">
        <w:t>Gamgard</w:t>
      </w:r>
      <w:r>
        <w:t xml:space="preserve"> through the development of guidelines for application in New Zealand.  These could be developed jointly by the Ministry of Health and Lotto NZ to promote consistency in ratings and thus improve detection of harm.</w:t>
      </w:r>
    </w:p>
    <w:p w14:paraId="46831086" w14:textId="39FB6FEF" w:rsidR="000E4F52" w:rsidRDefault="00586451" w:rsidP="00352919">
      <w:pPr>
        <w:pStyle w:val="ListNumber"/>
        <w:numPr>
          <w:ilvl w:val="0"/>
          <w:numId w:val="31"/>
        </w:numPr>
        <w:spacing w:after="120" w:line="240" w:lineRule="auto"/>
        <w:contextualSpacing w:val="0"/>
      </w:pPr>
      <w:r>
        <w:t xml:space="preserve">The use </w:t>
      </w:r>
      <w:r w:rsidR="000E4F52">
        <w:t xml:space="preserve">of </w:t>
      </w:r>
      <w:r w:rsidR="008A6C4E">
        <w:t>Gamgard</w:t>
      </w:r>
      <w:r w:rsidR="000E4F52">
        <w:t xml:space="preserve"> to independently score games under review by agencies like Ministry of Health/DIA could be beneficial</w:t>
      </w:r>
      <w:r w:rsidR="0031383F">
        <w:t xml:space="preserve">, </w:t>
      </w:r>
      <w:r w:rsidR="00927FA3">
        <w:t xml:space="preserve">as it would provide </w:t>
      </w:r>
      <w:r w:rsidR="00927FA3" w:rsidRPr="00BC7E3F">
        <w:t>another point of comparison for Lotto ratings</w:t>
      </w:r>
      <w:r w:rsidR="00927FA3">
        <w:t xml:space="preserve"> </w:t>
      </w:r>
      <w:r w:rsidR="0050092A">
        <w:t>and those o</w:t>
      </w:r>
      <w:r w:rsidR="00E01A3D">
        <w:t>f other possible fu</w:t>
      </w:r>
      <w:r w:rsidR="00AF2D7F">
        <w:t>t</w:t>
      </w:r>
      <w:r w:rsidR="00E01A3D">
        <w:t>ure Gamgard users</w:t>
      </w:r>
      <w:r w:rsidR="00AF2D7F">
        <w:t xml:space="preserve"> </w:t>
      </w:r>
      <w:r w:rsidR="00927FA3">
        <w:t>and also provide</w:t>
      </w:r>
      <w:r w:rsidR="00C878B1">
        <w:t xml:space="preserve"> Ministry of Health and DIA with access to a screening tool.</w:t>
      </w:r>
    </w:p>
    <w:p w14:paraId="2D1DC530" w14:textId="77777777" w:rsidR="000E4F52" w:rsidRDefault="000E4F52" w:rsidP="00352919">
      <w:pPr>
        <w:pStyle w:val="ListNumber"/>
        <w:numPr>
          <w:ilvl w:val="0"/>
          <w:numId w:val="31"/>
        </w:numPr>
        <w:spacing w:after="120" w:line="240" w:lineRule="auto"/>
        <w:contextualSpacing w:val="0"/>
      </w:pPr>
      <w:r>
        <w:t xml:space="preserve">Guidance around the acceptance thresholds for games in New Zealand and the appropriateness of controls could be developed and regularly reviewed. </w:t>
      </w:r>
    </w:p>
    <w:p w14:paraId="6A229A7A" w14:textId="10AE6D2C" w:rsidR="000E4F52" w:rsidRPr="00624279" w:rsidRDefault="000E4F52" w:rsidP="00352919">
      <w:pPr>
        <w:pStyle w:val="ListNumber"/>
        <w:numPr>
          <w:ilvl w:val="0"/>
          <w:numId w:val="31"/>
        </w:numPr>
        <w:spacing w:after="120" w:line="240" w:lineRule="auto"/>
        <w:contextualSpacing w:val="0"/>
      </w:pPr>
      <w:r>
        <w:t xml:space="preserve">Data based on game types would benefit from being collected at a more detailed level. This would help clarify understanding of where control and regulation around game types are best targeted and inform acceptance thresholds for games. </w:t>
      </w:r>
    </w:p>
    <w:p w14:paraId="500A09EC" w14:textId="77777777" w:rsidR="00F43848" w:rsidRDefault="00F43848">
      <w:r>
        <w:br w:type="page"/>
      </w:r>
    </w:p>
    <w:p w14:paraId="47CAC56B" w14:textId="77777777" w:rsidR="00810732" w:rsidRDefault="00810732" w:rsidP="00F53229">
      <w:pPr>
        <w:pStyle w:val="Heading1"/>
      </w:pPr>
      <w:bookmarkStart w:id="356" w:name="_Toc87263187"/>
      <w:r>
        <w:lastRenderedPageBreak/>
        <w:t>Expert Interviews</w:t>
      </w:r>
      <w:bookmarkEnd w:id="356"/>
    </w:p>
    <w:p w14:paraId="2FF0EBB5" w14:textId="7BDC26D5" w:rsidR="00F53229" w:rsidRDefault="00F53229" w:rsidP="00810732">
      <w:pPr>
        <w:pStyle w:val="Heading2"/>
      </w:pPr>
      <w:bookmarkStart w:id="357" w:name="_Toc87263188"/>
      <w:r>
        <w:t>Purpose and background</w:t>
      </w:r>
      <w:bookmarkEnd w:id="357"/>
    </w:p>
    <w:p w14:paraId="3F49F63A" w14:textId="337B9F3D" w:rsidR="00F53229" w:rsidRDefault="00F53229" w:rsidP="00F53229">
      <w:pPr>
        <w:pStyle w:val="BodyText"/>
      </w:pPr>
      <w:r w:rsidRPr="009827F3">
        <w:t>Expert interviews were the second of the three evaluation components requested by the Ministry. They contribute to the overarching project goal, which is to inform NZ government agency</w:t>
      </w:r>
      <w:r w:rsidR="006F1A52">
        <w:t xml:space="preserve">. </w:t>
      </w:r>
      <w:r w:rsidRPr="009827F3">
        <w:t xml:space="preserve"> </w:t>
      </w:r>
      <w:r w:rsidR="006F1A52">
        <w:t xml:space="preserve">This includes consideration of </w:t>
      </w:r>
      <w:r w:rsidRPr="009827F3">
        <w:t xml:space="preserve">the utility of the </w:t>
      </w:r>
      <w:r w:rsidR="008A6C4E">
        <w:t>Gamgard</w:t>
      </w:r>
      <w:r w:rsidRPr="009827F3">
        <w:t xml:space="preserve"> product with regards to regulatory decision making and gambling harm minimisation within current policy settings, as well as to NZ gambling providers. The evaluation concerns </w:t>
      </w:r>
      <w:r w:rsidR="008A6C4E">
        <w:t>Gamgard</w:t>
      </w:r>
      <w:r w:rsidRPr="009827F3">
        <w:t xml:space="preserve">’s overall design philosophy, utility and fit as a risk rating tool for detecting how likely it is that a game </w:t>
      </w:r>
      <w:r w:rsidR="00B866B1">
        <w:t>could lead to gambling problems among people who are vulnerable.</w:t>
      </w:r>
    </w:p>
    <w:p w14:paraId="45F8B89F" w14:textId="273465C7" w:rsidR="00F53229" w:rsidRDefault="00F53229" w:rsidP="00810732">
      <w:pPr>
        <w:pStyle w:val="Heading2"/>
      </w:pPr>
      <w:bookmarkStart w:id="358" w:name="_Toc87263189"/>
      <w:r>
        <w:t>Method</w:t>
      </w:r>
      <w:bookmarkEnd w:id="358"/>
    </w:p>
    <w:p w14:paraId="30194606" w14:textId="0E9D97A6" w:rsidR="00F53229" w:rsidRPr="009827F3" w:rsidRDefault="00F53229" w:rsidP="00F53229">
      <w:pPr>
        <w:pStyle w:val="BodyText"/>
      </w:pPr>
      <w:r w:rsidRPr="009827F3">
        <w:t>Expert interviews can gather information that reflects the experiences and perspectives of experts from diverse fields</w:t>
      </w:r>
      <w:r w:rsidR="00C70BA4">
        <w:t>. They can also</w:t>
      </w:r>
      <w:r w:rsidR="00A22150">
        <w:t xml:space="preserve"> </w:t>
      </w:r>
      <w:r w:rsidR="00B866B1">
        <w:t>help to develop</w:t>
      </w:r>
      <w:r w:rsidR="00A22150">
        <w:t xml:space="preserve"> </w:t>
      </w:r>
      <w:r w:rsidRPr="009827F3">
        <w:t xml:space="preserve">a depth of understanding about the </w:t>
      </w:r>
      <w:r w:rsidR="008A6C4E">
        <w:t>Gamgard</w:t>
      </w:r>
      <w:r w:rsidRPr="009827F3">
        <w:t xml:space="preserve"> tool that will help to: address the research questions, fill in knowledge gaps identified in the published literature, and either support (or refute) the findings of articles and reports presented in the literature review.</w:t>
      </w:r>
    </w:p>
    <w:p w14:paraId="54A0173D" w14:textId="61A4B877" w:rsidR="00F53229" w:rsidRDefault="00F53229" w:rsidP="00F53229">
      <w:pPr>
        <w:pStyle w:val="BodyText"/>
      </w:pPr>
      <w:r w:rsidRPr="009827F3">
        <w:t>Specifically, questions</w:t>
      </w:r>
      <w:r w:rsidR="00D34817">
        <w:t xml:space="preserve"> were posed</w:t>
      </w:r>
      <w:r w:rsidRPr="009827F3">
        <w:t xml:space="preserve"> regarding the role of game design within a harm minimisation and responsible gambling context; game design features and associations with risk of harm;</w:t>
      </w:r>
      <w:r w:rsidR="00CC1817">
        <w:t xml:space="preserve"> and</w:t>
      </w:r>
      <w:r w:rsidRPr="009827F3">
        <w:t xml:space="preserve"> their impression</w:t>
      </w:r>
      <w:r w:rsidR="00CC1817">
        <w:t>s</w:t>
      </w:r>
      <w:r w:rsidRPr="009827F3">
        <w:t xml:space="preserve"> of </w:t>
      </w:r>
      <w:r w:rsidR="008A6C4E">
        <w:t>Gamgard</w:t>
      </w:r>
      <w:r w:rsidRPr="009827F3">
        <w:t xml:space="preserve">’s background, function, </w:t>
      </w:r>
      <w:r w:rsidR="00BD610F">
        <w:t xml:space="preserve">and </w:t>
      </w:r>
      <w:r w:rsidR="006C6DD0" w:rsidRPr="009827F3">
        <w:t>use</w:t>
      </w:r>
      <w:r w:rsidR="006C6DD0">
        <w:t>.</w:t>
      </w:r>
      <w:r w:rsidRPr="009827F3">
        <w:t xml:space="preserve"> </w:t>
      </w:r>
      <w:r w:rsidR="00CC1817">
        <w:t>A</w:t>
      </w:r>
      <w:r w:rsidRPr="009827F3">
        <w:t xml:space="preserve"> full list of the interview questions and prompts</w:t>
      </w:r>
      <w:r w:rsidR="00CC1817">
        <w:t xml:space="preserve"> is available in the</w:t>
      </w:r>
      <w:r w:rsidRPr="009827F3">
        <w:t xml:space="preserve"> </w:t>
      </w:r>
      <w:r w:rsidR="00476B76" w:rsidRPr="009827F3">
        <w:t>Appendi</w:t>
      </w:r>
      <w:r w:rsidR="00476B76">
        <w:t>ces</w:t>
      </w:r>
      <w:r w:rsidR="00CC1817">
        <w:t>.</w:t>
      </w:r>
      <w:r w:rsidRPr="009827F3">
        <w:t xml:space="preserve"> The interview questions were reviewed by the Ministry of Health </w:t>
      </w:r>
      <w:r w:rsidR="001A3715">
        <w:t>and by</w:t>
      </w:r>
      <w:r w:rsidRPr="009827F3">
        <w:t xml:space="preserve"> the research reference group. </w:t>
      </w:r>
    </w:p>
    <w:p w14:paraId="219BF498" w14:textId="57607EBE" w:rsidR="00F53229" w:rsidRDefault="00F53229" w:rsidP="00810732">
      <w:pPr>
        <w:pStyle w:val="Heading3"/>
      </w:pPr>
      <w:r>
        <w:t>Participants</w:t>
      </w:r>
    </w:p>
    <w:p w14:paraId="3FB679B6" w14:textId="1F300F32" w:rsidR="00F53229" w:rsidRPr="009827F3" w:rsidRDefault="00F53229" w:rsidP="00F53229">
      <w:pPr>
        <w:pStyle w:val="BodyText"/>
      </w:pPr>
      <w:r w:rsidRPr="009827F3">
        <w:t>Potential academic candidates for the expert interviews were identified by the research team, the stakeholder reference group, the Ministry of Health, and by the expert peer</w:t>
      </w:r>
      <w:r w:rsidR="00F55A08">
        <w:t xml:space="preserve"> </w:t>
      </w:r>
      <w:r w:rsidRPr="009827F3">
        <w:t>reviewer. The initial list was short</w:t>
      </w:r>
      <w:r w:rsidR="007933D6">
        <w:t>ened</w:t>
      </w:r>
      <w:r w:rsidRPr="009827F3">
        <w:t xml:space="preserve"> through mutual agreement between the research team and the Ministry of Health to candidates who would represent a range of backgrounds, and both New Zealand and international perspectives. </w:t>
      </w:r>
    </w:p>
    <w:p w14:paraId="721B4B1F" w14:textId="394F1211" w:rsidR="00F53229" w:rsidRPr="009827F3" w:rsidRDefault="00F53229" w:rsidP="00F53229">
      <w:pPr>
        <w:pStyle w:val="BodyText"/>
      </w:pPr>
      <w:r w:rsidRPr="009827F3">
        <w:t>Short-listed candidates were contacted by email</w:t>
      </w:r>
      <w:r w:rsidR="00DF0B09">
        <w:t xml:space="preserve"> </w:t>
      </w:r>
      <w:r w:rsidRPr="009827F3">
        <w:t xml:space="preserve">with information about the project and </w:t>
      </w:r>
      <w:r w:rsidR="00DF0B09">
        <w:t xml:space="preserve">an invitation </w:t>
      </w:r>
      <w:r w:rsidRPr="009827F3">
        <w:t>to participate in a telephone interview (see Appendix</w:t>
      </w:r>
      <w:r w:rsidR="00CB13B9">
        <w:t xml:space="preserve"> </w:t>
      </w:r>
      <w:r w:rsidR="00476B76">
        <w:t>A</w:t>
      </w:r>
      <w:r w:rsidRPr="009827F3">
        <w:t>). A reminder email was sent one week later if the candidate had not responded. If</w:t>
      </w:r>
      <w:r w:rsidR="00832147">
        <w:t>,</w:t>
      </w:r>
      <w:r w:rsidRPr="009827F3">
        <w:t xml:space="preserve"> at this stage</w:t>
      </w:r>
      <w:r w:rsidR="00832147">
        <w:t>,</w:t>
      </w:r>
      <w:r w:rsidRPr="009827F3">
        <w:t xml:space="preserve"> the candidate did not respond</w:t>
      </w:r>
      <w:r w:rsidR="00832147">
        <w:t>,</w:t>
      </w:r>
      <w:r w:rsidRPr="009827F3">
        <w:t xml:space="preserve"> a phone call was attempted. If there was no response to the phone call, then the research team assumed the candidate was not available for the interview and a new candidate was selected from the short-list. </w:t>
      </w:r>
    </w:p>
    <w:p w14:paraId="4017CEE5" w14:textId="599DB652" w:rsidR="00F53229" w:rsidRPr="009827F3" w:rsidRDefault="00F53229" w:rsidP="00F53229">
      <w:pPr>
        <w:pStyle w:val="BodyText"/>
      </w:pPr>
      <w:r w:rsidRPr="009827F3">
        <w:t>In total</w:t>
      </w:r>
      <w:r w:rsidR="00832147">
        <w:t>,</w:t>
      </w:r>
      <w:r w:rsidRPr="009827F3">
        <w:t xml:space="preserve"> nine candidates were contacted, three declined to participate, and two did not respond to contact attempts. In total, four experts were interviewed during January and February 2020. All of the participants had academic backgrounds specialising in gambling research. </w:t>
      </w:r>
    </w:p>
    <w:p w14:paraId="11B2D498" w14:textId="50104BB3" w:rsidR="00F53229" w:rsidRPr="009827F3" w:rsidRDefault="00F53229" w:rsidP="00F53229">
      <w:pPr>
        <w:pStyle w:val="BodyText"/>
      </w:pPr>
      <w:r w:rsidRPr="009827F3">
        <w:t xml:space="preserve">Participants are identified in this report by using an alpha-numeric label to maintain confidentiality. The label assigned represents the background of the participant. Participants A1 and A2 were (A) academics currently employed by Universities in New Zealand and Australia respectively. Participant G1 was directly associated with the (G) </w:t>
      </w:r>
      <w:r w:rsidR="008A6C4E">
        <w:t>Gamgard</w:t>
      </w:r>
      <w:r w:rsidRPr="009827F3">
        <w:t xml:space="preserve"> business. Participant R1 was based in Canada and employed as a researcher by an independent, non-profit (R) responsible gambling organisation. </w:t>
      </w:r>
    </w:p>
    <w:p w14:paraId="2BEB2DD8" w14:textId="2FEEB78E" w:rsidR="00F53229" w:rsidRDefault="00F53229" w:rsidP="00810732">
      <w:pPr>
        <w:pStyle w:val="Heading3"/>
      </w:pPr>
      <w:r>
        <w:t>Interviews</w:t>
      </w:r>
    </w:p>
    <w:p w14:paraId="6E1D2D8D" w14:textId="12684A2C" w:rsidR="00F53229" w:rsidRDefault="00F53229" w:rsidP="00F53229">
      <w:pPr>
        <w:pStyle w:val="BodyText"/>
      </w:pPr>
      <w:r w:rsidRPr="009827F3">
        <w:t>The interviews lasted between 30-45 minutes and were recorded for later analysis with the interviewees</w:t>
      </w:r>
      <w:r w:rsidR="00133343">
        <w:t>’</w:t>
      </w:r>
      <w:r w:rsidRPr="009827F3">
        <w:t xml:space="preserve"> consent. One interview was unable to be recorded due to technical difficulties. For this interview</w:t>
      </w:r>
      <w:r w:rsidR="00133343">
        <w:t>,</w:t>
      </w:r>
      <w:r w:rsidRPr="009827F3">
        <w:t xml:space="preserve"> the interviewer took comprehensive notes that were checked and approved by the </w:t>
      </w:r>
      <w:r w:rsidR="00265CFA">
        <w:t>participant</w:t>
      </w:r>
      <w:r w:rsidR="00265CFA" w:rsidRPr="009827F3">
        <w:t xml:space="preserve"> </w:t>
      </w:r>
      <w:r w:rsidRPr="009827F3">
        <w:t xml:space="preserve">for content and accuracy. The interviews were semi-structured to allow the interviewer to probe certain topics of interest, while also allowing the conversation to move to new areas of enquiry and explore ideas that emerged during the interview. </w:t>
      </w:r>
    </w:p>
    <w:p w14:paraId="7902B01C" w14:textId="77777777" w:rsidR="00F53229" w:rsidRPr="009827F3" w:rsidRDefault="00F53229" w:rsidP="00810732">
      <w:pPr>
        <w:pStyle w:val="Heading3"/>
      </w:pPr>
      <w:bookmarkStart w:id="359" w:name="_Toc37928167"/>
      <w:bookmarkStart w:id="360" w:name="_Toc46149978"/>
      <w:r w:rsidRPr="009827F3">
        <w:t>Analysis</w:t>
      </w:r>
      <w:bookmarkEnd w:id="359"/>
      <w:bookmarkEnd w:id="360"/>
    </w:p>
    <w:p w14:paraId="772B1A6E" w14:textId="2B168355" w:rsidR="00F53229" w:rsidRPr="009827F3" w:rsidRDefault="00F53229" w:rsidP="00F53229">
      <w:pPr>
        <w:pStyle w:val="BodyText"/>
      </w:pPr>
      <w:r w:rsidRPr="009827F3">
        <w:t>The interviews were analysed using thematic analysis</w:t>
      </w:r>
      <w:r w:rsidR="00F03736">
        <w:t xml:space="preserve"> (Clarke</w:t>
      </w:r>
      <w:r w:rsidR="006D5B6B">
        <w:t xml:space="preserve"> &amp; Braun, 2014)</w:t>
      </w:r>
      <w:r w:rsidRPr="009827F3">
        <w:t xml:space="preserve">. The phone </w:t>
      </w:r>
      <w:r w:rsidR="00265CFA">
        <w:t>interview</w:t>
      </w:r>
      <w:r w:rsidR="00265CFA" w:rsidRPr="009827F3">
        <w:t xml:space="preserve"> </w:t>
      </w:r>
      <w:r w:rsidRPr="009827F3">
        <w:t xml:space="preserve">was recorded, and key ideas were noted by the interviewer during the conversation. Immediately following the interview, the interviewer made notes summarising the key points and ideas raised, as well as their own </w:t>
      </w:r>
      <w:r w:rsidRPr="009827F3">
        <w:lastRenderedPageBreak/>
        <w:t>reflections. After</w:t>
      </w:r>
      <w:r w:rsidR="00F83D48">
        <w:t xml:space="preserve"> the </w:t>
      </w:r>
      <w:r w:rsidRPr="009827F3">
        <w:t>interviews were completed</w:t>
      </w:r>
      <w:r w:rsidR="006778B5">
        <w:t>,</w:t>
      </w:r>
      <w:r w:rsidRPr="009827F3">
        <w:t xml:space="preserve"> the interviewer listened to each of the interview recordings again and completed a full transcription. At this point the content of all four interviews was coded manually for emergent themes. The coded content was then analysed for areas of both agreement in, and divergence of, opinion between the interviewees. These findings are presented </w:t>
      </w:r>
      <w:r w:rsidR="006778B5">
        <w:t>below</w:t>
      </w:r>
      <w:r w:rsidRPr="009827F3">
        <w:t>, grouped into themes that emerged from the coded text. Throughout the findings the use of participant quotations is employed extensively to present the experts’ viewpoints and elaborate on detail. This adds a layer of transparency to the findings, where rather than primarily presenting the researchers interpretation of the experts’ viewpoints, the expert voices are presented prominently and clearly in their own words, with interpretive text and thematic structure supporting the quotations.</w:t>
      </w:r>
    </w:p>
    <w:p w14:paraId="47F60132" w14:textId="5406FB77" w:rsidR="00F53229" w:rsidRDefault="00F53229" w:rsidP="00810732">
      <w:pPr>
        <w:pStyle w:val="Heading2"/>
      </w:pPr>
      <w:bookmarkStart w:id="361" w:name="_Toc87263190"/>
      <w:r>
        <w:t>Findings</w:t>
      </w:r>
      <w:bookmarkEnd w:id="361"/>
    </w:p>
    <w:p w14:paraId="2AE9ECAF" w14:textId="2F9F082C" w:rsidR="00F53229" w:rsidRPr="00F53229" w:rsidRDefault="00F53229" w:rsidP="00810732">
      <w:pPr>
        <w:pStyle w:val="Heading3"/>
      </w:pPr>
      <w:r>
        <w:t>Introduction and high-level summary</w:t>
      </w:r>
    </w:p>
    <w:p w14:paraId="69F42625" w14:textId="19B9228E" w:rsidR="00F53229" w:rsidRPr="00F53229" w:rsidRDefault="00F53229" w:rsidP="00F53229">
      <w:pPr>
        <w:pStyle w:val="BodyText"/>
      </w:pPr>
      <w:r w:rsidRPr="00F53229">
        <w:t xml:space="preserve">This section presents the findings of the expert interviews, organised into </w:t>
      </w:r>
      <w:r w:rsidR="00892F9F">
        <w:t>topic areas with five overarching themes</w:t>
      </w:r>
      <w:r w:rsidR="004B6255">
        <w:t xml:space="preserve">. These </w:t>
      </w:r>
      <w:r w:rsidRPr="00F53229">
        <w:t>are:</w:t>
      </w:r>
    </w:p>
    <w:p w14:paraId="474EE53A" w14:textId="77777777" w:rsidR="009706A5" w:rsidRDefault="00F53229" w:rsidP="00352919">
      <w:pPr>
        <w:pStyle w:val="ListNumber"/>
        <w:numPr>
          <w:ilvl w:val="0"/>
          <w:numId w:val="11"/>
        </w:numPr>
      </w:pPr>
      <w:r w:rsidRPr="009827F3">
        <w:t>Game design within a responsible gambling and harm minimisation context</w:t>
      </w:r>
    </w:p>
    <w:p w14:paraId="0E104B4F" w14:textId="77777777" w:rsidR="009706A5" w:rsidRDefault="00F53229" w:rsidP="00352919">
      <w:pPr>
        <w:pStyle w:val="ListNumber"/>
        <w:numPr>
          <w:ilvl w:val="0"/>
          <w:numId w:val="11"/>
        </w:numPr>
      </w:pPr>
      <w:r w:rsidRPr="009827F3">
        <w:t>Game features associated with harm</w:t>
      </w:r>
    </w:p>
    <w:p w14:paraId="3EA9387C" w14:textId="77777777" w:rsidR="009706A5" w:rsidRDefault="00F53229" w:rsidP="00352919">
      <w:pPr>
        <w:pStyle w:val="ListNumber"/>
        <w:numPr>
          <w:ilvl w:val="0"/>
          <w:numId w:val="11"/>
        </w:numPr>
      </w:pPr>
      <w:r w:rsidRPr="009827F3">
        <w:t>Reducing the risk of harm associated with gambling games</w:t>
      </w:r>
    </w:p>
    <w:p w14:paraId="2D777267" w14:textId="77777777" w:rsidR="009706A5" w:rsidRDefault="00F53229" w:rsidP="00352919">
      <w:pPr>
        <w:pStyle w:val="ListNumber"/>
        <w:numPr>
          <w:ilvl w:val="0"/>
          <w:numId w:val="11"/>
        </w:numPr>
      </w:pPr>
      <w:r w:rsidRPr="009827F3">
        <w:t>Game design within a comprehensive and strategic approach</w:t>
      </w:r>
    </w:p>
    <w:p w14:paraId="0DB1A75F" w14:textId="6C8E62F6" w:rsidR="00F53229" w:rsidRDefault="00F53229" w:rsidP="00352919">
      <w:pPr>
        <w:pStyle w:val="ListNumber"/>
        <w:numPr>
          <w:ilvl w:val="0"/>
          <w:numId w:val="11"/>
        </w:numPr>
      </w:pPr>
      <w:r w:rsidRPr="009827F3">
        <w:t xml:space="preserve">Perceptions of the strengths and limitations of </w:t>
      </w:r>
      <w:r w:rsidR="008A6C4E">
        <w:t>Gamgard</w:t>
      </w:r>
    </w:p>
    <w:p w14:paraId="6402375A" w14:textId="77777777" w:rsidR="00587BD7" w:rsidRPr="00F53229" w:rsidRDefault="00587BD7" w:rsidP="00587BD7">
      <w:pPr>
        <w:pStyle w:val="BodyText"/>
      </w:pPr>
      <w:r w:rsidRPr="00F53229">
        <w:t xml:space="preserve">The findings </w:t>
      </w:r>
      <w:r>
        <w:t>indicate</w:t>
      </w:r>
      <w:r w:rsidRPr="00F53229">
        <w:t xml:space="preserve"> consistent agree</w:t>
      </w:r>
      <w:r>
        <w:t>ment among participants</w:t>
      </w:r>
      <w:r w:rsidRPr="00F53229">
        <w:t xml:space="preserve"> that game design is critically important within a harm minimisation and responsible gambling context, and that game design must be considered within a wider context. Most of the interviewees made the point that risk associated with a game will vary based on these wider contextual factors. All participants agreed that</w:t>
      </w:r>
      <w:r>
        <w:t>,</w:t>
      </w:r>
      <w:r w:rsidRPr="00F53229">
        <w:t xml:space="preserve"> to varying extents</w:t>
      </w:r>
      <w:r>
        <w:t>,</w:t>
      </w:r>
      <w:r w:rsidRPr="00F53229">
        <w:t xml:space="preserve"> some game features were typically riskier than others. There was disagreement about the strength of evidence behind the association of particular game features with risk, and the consistency of that association across game dynamics and contexts. </w:t>
      </w:r>
    </w:p>
    <w:p w14:paraId="4412549B" w14:textId="77777777" w:rsidR="00587BD7" w:rsidRPr="00F53229" w:rsidRDefault="00587BD7" w:rsidP="00587BD7">
      <w:pPr>
        <w:pStyle w:val="BodyText"/>
      </w:pPr>
      <w:r w:rsidRPr="00F53229">
        <w:t xml:space="preserve">While the participants generally agreed that it would be useful to be able to identify and reduce the risk of harm associated with a specific game, they had mixed opinions on the best way to achieve this. Opinions ranged from the approach taken by </w:t>
      </w:r>
      <w:r>
        <w:t>Gamgard,</w:t>
      </w:r>
      <w:r w:rsidRPr="00F53229">
        <w:t xml:space="preserve"> </w:t>
      </w:r>
      <w:r>
        <w:t xml:space="preserve">i.e., </w:t>
      </w:r>
      <w:r w:rsidRPr="00F53229">
        <w:t>directly targeting and limiting the outcome of harm in terms of money and time spent</w:t>
      </w:r>
      <w:r>
        <w:t>,</w:t>
      </w:r>
      <w:r w:rsidRPr="00F53229">
        <w:t xml:space="preserve"> through </w:t>
      </w:r>
      <w:r>
        <w:t xml:space="preserve">to </w:t>
      </w:r>
      <w:r w:rsidRPr="00F53229">
        <w:t>the use of evidence-based standards. Most participants emphasised the importance of taking a comprehensive and strategic approach to reducing the risk of gambling harm, of which game design was just one aspect. Two participants pointed out that this approach is consistent with the New Zealand policy framework</w:t>
      </w:r>
      <w:r>
        <w:t>,</w:t>
      </w:r>
      <w:r w:rsidRPr="00F53229">
        <w:t xml:space="preserve"> which requires that gambling is regulated from a public health perspective. </w:t>
      </w:r>
    </w:p>
    <w:p w14:paraId="0E44A124" w14:textId="30109795" w:rsidR="00587BD7" w:rsidRPr="00F53229" w:rsidRDefault="00587BD7" w:rsidP="00587BD7">
      <w:pPr>
        <w:pStyle w:val="BodyText"/>
      </w:pPr>
      <w:r w:rsidRPr="00F53229">
        <w:t xml:space="preserve">The participants also discussed their perceptions of </w:t>
      </w:r>
      <w:r>
        <w:t>Gamgard</w:t>
      </w:r>
      <w:r w:rsidRPr="00F53229">
        <w:t xml:space="preserve">’s strengths and limitations. Most thought that the approach taken by either </w:t>
      </w:r>
      <w:r>
        <w:t>Gamgard</w:t>
      </w:r>
      <w:r w:rsidRPr="00F53229">
        <w:t xml:space="preserve"> did, or may, offer some value. However, none of the participants thought that </w:t>
      </w:r>
      <w:r>
        <w:t>Gamgard</w:t>
      </w:r>
      <w:r w:rsidRPr="00F53229">
        <w:t xml:space="preserve"> was a full solution and discussed that if it was to be used, it should form just one part of a comprehensive and strategic approach. </w:t>
      </w:r>
      <w:r w:rsidR="0078671D">
        <w:t xml:space="preserve">This </w:t>
      </w:r>
      <w:r w:rsidR="002B2A2C">
        <w:t>o</w:t>
      </w:r>
      <w:r w:rsidRPr="00F53229">
        <w:t xml:space="preserve">ne participant did not see any value in using </w:t>
      </w:r>
      <w:r>
        <w:t>Gamgard</w:t>
      </w:r>
      <w:r w:rsidRPr="00F53229">
        <w:t xml:space="preserve">. They felt that </w:t>
      </w:r>
      <w:r>
        <w:t>Gamgard</w:t>
      </w:r>
      <w:r w:rsidRPr="00F53229">
        <w:t xml:space="preserve"> appealed to operators and regulators as it provided a tidy package, as well as an (unfounded) sense that the resulting gambling products were not very risky.  </w:t>
      </w:r>
    </w:p>
    <w:p w14:paraId="79E6ABF4" w14:textId="5241AE0F" w:rsidR="00587BD7" w:rsidRPr="00F53229" w:rsidRDefault="00587BD7" w:rsidP="00587BD7">
      <w:pPr>
        <w:pStyle w:val="BodyText"/>
      </w:pPr>
      <w:r w:rsidRPr="00F53229">
        <w:t xml:space="preserve">Concerns raised </w:t>
      </w:r>
      <w:r>
        <w:t>about</w:t>
      </w:r>
      <w:r w:rsidRPr="00AF19EE">
        <w:t xml:space="preserve"> </w:t>
      </w:r>
      <w:r>
        <w:t xml:space="preserve">Gamgard </w:t>
      </w:r>
      <w:r w:rsidRPr="00F53229">
        <w:t>include</w:t>
      </w:r>
      <w:r>
        <w:t>d</w:t>
      </w:r>
      <w:r w:rsidR="006C6DD0">
        <w:t>:</w:t>
      </w:r>
      <w:r w:rsidRPr="00F53229">
        <w:t xml:space="preserve"> </w:t>
      </w:r>
    </w:p>
    <w:p w14:paraId="215FB397" w14:textId="77777777" w:rsidR="00587BD7" w:rsidRPr="009827F3" w:rsidRDefault="00587BD7" w:rsidP="00587BD7">
      <w:pPr>
        <w:pStyle w:val="ListBullet"/>
      </w:pPr>
      <w:r w:rsidRPr="009827F3">
        <w:t xml:space="preserve">goodness-of-fit </w:t>
      </w:r>
      <w:r>
        <w:t>in</w:t>
      </w:r>
      <w:r w:rsidRPr="009827F3">
        <w:t xml:space="preserve"> the New Zealand context, </w:t>
      </w:r>
    </w:p>
    <w:p w14:paraId="6F797CBF" w14:textId="77777777" w:rsidR="00587BD7" w:rsidRPr="009827F3" w:rsidRDefault="00587BD7" w:rsidP="00587BD7">
      <w:pPr>
        <w:pStyle w:val="ListBullet"/>
      </w:pPr>
      <w:r w:rsidRPr="009827F3">
        <w:t xml:space="preserve">validity of ratings, </w:t>
      </w:r>
    </w:p>
    <w:p w14:paraId="22B3A3E0" w14:textId="77777777" w:rsidR="00587BD7" w:rsidRPr="009827F3" w:rsidRDefault="00587BD7" w:rsidP="00587BD7">
      <w:pPr>
        <w:pStyle w:val="ListBullet"/>
      </w:pPr>
      <w:r w:rsidRPr="009827F3">
        <w:t xml:space="preserve">assessment of consistency of risk associated with particular game features, </w:t>
      </w:r>
    </w:p>
    <w:p w14:paraId="60A27ED9" w14:textId="77777777" w:rsidR="00587BD7" w:rsidRPr="009827F3" w:rsidRDefault="00587BD7" w:rsidP="00587BD7">
      <w:pPr>
        <w:pStyle w:val="ListBullet"/>
      </w:pPr>
      <w:r w:rsidRPr="009827F3">
        <w:t>treatment of potentially risky features,</w:t>
      </w:r>
    </w:p>
    <w:p w14:paraId="54E926B1" w14:textId="77777777" w:rsidR="00587BD7" w:rsidRPr="009827F3" w:rsidRDefault="00587BD7" w:rsidP="00587BD7">
      <w:pPr>
        <w:pStyle w:val="ListBullet"/>
      </w:pPr>
      <w:r w:rsidRPr="009827F3">
        <w:t>compensation of risk between features</w:t>
      </w:r>
      <w:r>
        <w:t>,</w:t>
      </w:r>
    </w:p>
    <w:p w14:paraId="0F7E48AB" w14:textId="77777777" w:rsidR="00587BD7" w:rsidRPr="009827F3" w:rsidRDefault="00587BD7" w:rsidP="00587BD7">
      <w:pPr>
        <w:pStyle w:val="ListBullet"/>
      </w:pPr>
      <w:r w:rsidRPr="009827F3">
        <w:t>view of harm being from an individual (not public health) perspective</w:t>
      </w:r>
      <w:r>
        <w:t>,</w:t>
      </w:r>
    </w:p>
    <w:p w14:paraId="7AB67EF7" w14:textId="77777777" w:rsidR="00587BD7" w:rsidRPr="009827F3" w:rsidRDefault="00587BD7" w:rsidP="00587BD7">
      <w:pPr>
        <w:pStyle w:val="ListBullet"/>
      </w:pPr>
      <w:r w:rsidRPr="009827F3">
        <w:t>potential for bias</w:t>
      </w:r>
      <w:r>
        <w:t>,</w:t>
      </w:r>
    </w:p>
    <w:p w14:paraId="4631C86F" w14:textId="77777777" w:rsidR="00587BD7" w:rsidRPr="009827F3" w:rsidRDefault="00587BD7" w:rsidP="00587BD7">
      <w:pPr>
        <w:pStyle w:val="ListBullet"/>
      </w:pPr>
      <w:r w:rsidRPr="009827F3">
        <w:t>lack of transparency</w:t>
      </w:r>
      <w:r>
        <w:t>, and</w:t>
      </w:r>
    </w:p>
    <w:p w14:paraId="7EE32A27" w14:textId="77777777" w:rsidR="00587BD7" w:rsidRPr="009827F3" w:rsidRDefault="00587BD7" w:rsidP="00587BD7">
      <w:pPr>
        <w:pStyle w:val="ListBullet"/>
      </w:pPr>
      <w:r w:rsidRPr="009827F3">
        <w:t>lack of comprehensiveness.</w:t>
      </w:r>
    </w:p>
    <w:p w14:paraId="48D7BC80" w14:textId="6E6F70C8" w:rsidR="00F53229" w:rsidRPr="009827F3" w:rsidRDefault="00F53229" w:rsidP="00F53229">
      <w:pPr>
        <w:pStyle w:val="BodyText"/>
      </w:pPr>
      <w:r w:rsidRPr="009827F3">
        <w:lastRenderedPageBreak/>
        <w:t xml:space="preserve">The </w:t>
      </w:r>
      <w:r w:rsidRPr="00F53229">
        <w:t>findings</w:t>
      </w:r>
      <w:r w:rsidRPr="009827F3">
        <w:t xml:space="preserve"> are discussed in more detail in the following sections. </w:t>
      </w:r>
    </w:p>
    <w:p w14:paraId="7404A078" w14:textId="61FD23AC" w:rsidR="00F53229" w:rsidRDefault="00F53229" w:rsidP="00810732">
      <w:pPr>
        <w:pStyle w:val="Heading3"/>
      </w:pPr>
      <w:r>
        <w:t>Game design within a responsible gambling and harm minimisation context</w:t>
      </w:r>
    </w:p>
    <w:p w14:paraId="37FA83FC" w14:textId="77BE2640" w:rsidR="00F53229" w:rsidRPr="009827F3" w:rsidRDefault="00F53229" w:rsidP="00F53229">
      <w:pPr>
        <w:pStyle w:val="BodyText"/>
      </w:pPr>
      <w:r w:rsidRPr="009827F3">
        <w:t xml:space="preserve">All participants agreed that game design was of critical importance within a harm minimisation and responsible gambling context. They </w:t>
      </w:r>
      <w:r w:rsidR="00943BCD">
        <w:t>not</w:t>
      </w:r>
      <w:r w:rsidR="00943BCD" w:rsidRPr="009827F3">
        <w:t xml:space="preserve">ed </w:t>
      </w:r>
      <w:r w:rsidRPr="009827F3">
        <w:t xml:space="preserve">that the features of a game can directly influence risky gambling behaviour, particularly for vulnerable players. However, they also all agreed that the game itself was only one important factor of overall harm </w:t>
      </w:r>
      <w:r w:rsidR="00FF0B42" w:rsidRPr="009827F3">
        <w:t xml:space="preserve">risk </w:t>
      </w:r>
      <w:r w:rsidRPr="009827F3">
        <w:t xml:space="preserve">and must be considered as part of a wider context. Examples of the wider context provided by the participants included: </w:t>
      </w:r>
    </w:p>
    <w:p w14:paraId="20A637E9" w14:textId="77777777" w:rsidR="00F53229" w:rsidRPr="009827F3" w:rsidRDefault="00F53229" w:rsidP="00F53229">
      <w:pPr>
        <w:pStyle w:val="ListBullet"/>
      </w:pPr>
      <w:r w:rsidRPr="009827F3">
        <w:t>The environment within which the game is played;</w:t>
      </w:r>
    </w:p>
    <w:p w14:paraId="23BBA58F" w14:textId="2904E9DF" w:rsidR="00F53229" w:rsidRPr="009827F3" w:rsidRDefault="00F53229" w:rsidP="00F53229">
      <w:pPr>
        <w:pStyle w:val="ListBullet"/>
      </w:pPr>
      <w:r w:rsidRPr="009827F3">
        <w:t>The person gambling, including their circumstances, the social and cultural context;</w:t>
      </w:r>
      <w:r w:rsidR="0094697C">
        <w:t xml:space="preserve"> and,</w:t>
      </w:r>
    </w:p>
    <w:p w14:paraId="70CB3676" w14:textId="77777777" w:rsidR="00F53229" w:rsidRPr="009827F3" w:rsidRDefault="00F53229" w:rsidP="00F53229">
      <w:pPr>
        <w:pStyle w:val="ListBullet"/>
      </w:pPr>
      <w:r w:rsidRPr="009827F3">
        <w:t>The proximity or accessibility to vulnerable populations.</w:t>
      </w:r>
    </w:p>
    <w:p w14:paraId="3EF55310" w14:textId="37C48A51" w:rsidR="00F53229" w:rsidRPr="009827F3" w:rsidRDefault="00424B31" w:rsidP="00F53229">
      <w:pPr>
        <w:pStyle w:val="BodyText"/>
      </w:pPr>
      <w:r>
        <w:t>Three p</w:t>
      </w:r>
      <w:r w:rsidRPr="009827F3">
        <w:t xml:space="preserve">articipants </w:t>
      </w:r>
      <w:r>
        <w:t>(</w:t>
      </w:r>
      <w:r w:rsidR="00F53229" w:rsidRPr="009827F3">
        <w:t>A1, G1 and R1</w:t>
      </w:r>
      <w:r>
        <w:t>)</w:t>
      </w:r>
      <w:r w:rsidR="00F53229" w:rsidRPr="009827F3">
        <w:t xml:space="preserve"> pointed out that these factors interact to influence the overall risk of harm and emphasised that the risk associated with various game features is likely to vary depending on these </w:t>
      </w:r>
      <w:r w:rsidR="00C42E43">
        <w:t>factor</w:t>
      </w:r>
      <w:r w:rsidR="00C42E43" w:rsidRPr="009827F3">
        <w:t>s</w:t>
      </w:r>
      <w:r w:rsidR="00F53229" w:rsidRPr="009827F3">
        <w:t xml:space="preserve">. </w:t>
      </w:r>
    </w:p>
    <w:p w14:paraId="474E5992" w14:textId="2A461599" w:rsidR="00F53229" w:rsidRDefault="00F90BFF" w:rsidP="00810732">
      <w:pPr>
        <w:pStyle w:val="Heading4"/>
        <w:numPr>
          <w:ilvl w:val="0"/>
          <w:numId w:val="0"/>
        </w:numPr>
        <w:ind w:left="1417" w:hanging="850"/>
      </w:pPr>
      <w:r>
        <w:t>Game features associated with harm</w:t>
      </w:r>
    </w:p>
    <w:p w14:paraId="621B581C" w14:textId="09FB2916" w:rsidR="00F90BFF" w:rsidRPr="009827F3" w:rsidRDefault="00F90BFF" w:rsidP="00F90BFF">
      <w:pPr>
        <w:pStyle w:val="BodyText"/>
      </w:pPr>
      <w:r w:rsidRPr="009827F3">
        <w:t>All participants agreed that some game features were typically riskier than others,</w:t>
      </w:r>
      <w:r w:rsidR="0094697C">
        <w:t xml:space="preserve"> but</w:t>
      </w:r>
      <w:r w:rsidRPr="009827F3">
        <w:t xml:space="preserve"> to varying extents. There was disagreement about the strength of evidence behind the association of particular game features with risk, and the consistency of that association across game dynamics and contexts. </w:t>
      </w:r>
    </w:p>
    <w:p w14:paraId="5A25B9DA" w14:textId="27D97CF1" w:rsidR="00F90BFF" w:rsidRPr="009827F3" w:rsidRDefault="00F90BFF" w:rsidP="00F90BFF">
      <w:pPr>
        <w:pStyle w:val="BodyText"/>
      </w:pPr>
      <w:r w:rsidRPr="009827F3">
        <w:t xml:space="preserve">For example, </w:t>
      </w:r>
      <w:r w:rsidR="000E6F12">
        <w:t>one p</w:t>
      </w:r>
      <w:r w:rsidR="000E6F12" w:rsidRPr="009827F3">
        <w:t xml:space="preserve">articipant </w:t>
      </w:r>
      <w:r w:rsidRPr="009827F3">
        <w:t>felt the evidence basis for which features were consistently most risky was quite strong:</w:t>
      </w:r>
    </w:p>
    <w:p w14:paraId="6657881E" w14:textId="0719DBEB" w:rsidR="00F90BFF" w:rsidRPr="009827F3" w:rsidRDefault="00F90BFF" w:rsidP="00F90BFF">
      <w:pPr>
        <w:pStyle w:val="Quote"/>
      </w:pPr>
      <w:r w:rsidRPr="009827F3">
        <w:t>There is a lot of psychological research done on the structural characteristics, particularly the ones that are of higher risk of harm</w:t>
      </w:r>
      <w:r w:rsidR="000E6F12" w:rsidRPr="000E6F12">
        <w:t xml:space="preserve"> </w:t>
      </w:r>
      <w:r w:rsidR="000E6F12">
        <w:t>(</w:t>
      </w:r>
      <w:r w:rsidR="000E6F12" w:rsidRPr="009827F3">
        <w:t>G1</w:t>
      </w:r>
      <w:r w:rsidR="000E6F12">
        <w:t>)</w:t>
      </w:r>
      <w:r w:rsidRPr="009827F3">
        <w:t>.</w:t>
      </w:r>
    </w:p>
    <w:p w14:paraId="470DDB69" w14:textId="77777777" w:rsidR="00F90BFF" w:rsidRPr="009827F3" w:rsidRDefault="00F90BFF" w:rsidP="00F90BFF">
      <w:pPr>
        <w:ind w:left="720" w:right="1286"/>
        <w:jc w:val="both"/>
      </w:pPr>
    </w:p>
    <w:p w14:paraId="79A7364A" w14:textId="657022D0" w:rsidR="00F90BFF" w:rsidRPr="009827F3" w:rsidRDefault="00F90BFF" w:rsidP="00F90BFF">
      <w:pPr>
        <w:pStyle w:val="BodyText"/>
      </w:pPr>
      <w:r w:rsidRPr="009827F3">
        <w:t xml:space="preserve">In contrast, </w:t>
      </w:r>
      <w:r w:rsidR="000E6F12">
        <w:t>another p</w:t>
      </w:r>
      <w:r w:rsidR="000E6F12" w:rsidRPr="009827F3">
        <w:t xml:space="preserve">articipant </w:t>
      </w:r>
      <w:r w:rsidRPr="009827F3">
        <w:t>felt that the evidence base was insufficient to be able to use generalisations about which game features are most likely to be associated with harm. For example, they discussed how sound could be a particularly risky feature of a game but that very little was known about which elements of sound were most risky:</w:t>
      </w:r>
    </w:p>
    <w:p w14:paraId="45EC2F8D" w14:textId="0014C61A" w:rsidR="00F90BFF" w:rsidRPr="009827F3" w:rsidRDefault="00F90BFF" w:rsidP="00F90BFF">
      <w:pPr>
        <w:pStyle w:val="Quote"/>
      </w:pPr>
      <w:r w:rsidRPr="009827F3">
        <w:t>It is a bit mysterious as to what the elements of those features are that cause people to want to gamble to excess, to better understand that and remove those elements from play would be very helpful… [but] …we don’t know a lot about it</w:t>
      </w:r>
      <w:r w:rsidR="000E6F12" w:rsidRPr="000E6F12">
        <w:t xml:space="preserve"> </w:t>
      </w:r>
      <w:r w:rsidR="000E6F12">
        <w:t>(</w:t>
      </w:r>
      <w:r w:rsidR="000E6F12" w:rsidRPr="009827F3">
        <w:t>A2</w:t>
      </w:r>
      <w:r w:rsidR="000E6F12">
        <w:t>)</w:t>
      </w:r>
      <w:r w:rsidRPr="009827F3">
        <w:t xml:space="preserve">. </w:t>
      </w:r>
    </w:p>
    <w:p w14:paraId="10E9133C" w14:textId="77777777" w:rsidR="00F90BFF" w:rsidRPr="009827F3" w:rsidRDefault="00F90BFF" w:rsidP="00F90BFF">
      <w:pPr>
        <w:tabs>
          <w:tab w:val="left" w:pos="7740"/>
        </w:tabs>
        <w:ind w:left="720" w:right="1260"/>
        <w:jc w:val="both"/>
        <w:rPr>
          <w:i/>
        </w:rPr>
      </w:pPr>
    </w:p>
    <w:p w14:paraId="5893A48F" w14:textId="576451A0" w:rsidR="00F90BFF" w:rsidRPr="009827F3" w:rsidRDefault="000E6F12" w:rsidP="00F90BFF">
      <w:pPr>
        <w:pStyle w:val="BodyText"/>
      </w:pPr>
      <w:r>
        <w:t>This p</w:t>
      </w:r>
      <w:r w:rsidRPr="009827F3">
        <w:t xml:space="preserve">articipant </w:t>
      </w:r>
      <w:r w:rsidR="00F90BFF" w:rsidRPr="009827F3">
        <w:t>did not discuss pre-market assessment of games, but instead focussed on metrics that can be used to assess a game for harm once it is in use (and equally could be used to regulate overall gambling harm, rather than a game by game analysis of the potential for harm). They pointed out that the overall indicator of harm associated with a particular game can be summarised by the average, distribution of, and maximum loss incurred by the game in terms of time and money, for the playing population:</w:t>
      </w:r>
    </w:p>
    <w:p w14:paraId="78789FE7" w14:textId="4EA4291F" w:rsidR="00F90BFF" w:rsidRPr="009827F3" w:rsidRDefault="00F90BFF" w:rsidP="00F90BFF">
      <w:pPr>
        <w:pStyle w:val="Quote"/>
      </w:pPr>
      <w:r w:rsidRPr="009827F3">
        <w:t>The structural features of the [games], they all interact to produce the outcome that is actually of importance. What game feature puts people most at risk? It’s simple. Calculate the expected loss per period of time, and that’s what makes things dangerous. Being able to lose large amounts of money. Look at average, mean and the spread of loss. What is the range? Look at the distribution of loss. This will show you what features of a game are most dangerous</w:t>
      </w:r>
      <w:r w:rsidR="00A72C7D">
        <w:t xml:space="preserve"> (A</w:t>
      </w:r>
      <w:r w:rsidR="00DD21AB">
        <w:t>2</w:t>
      </w:r>
      <w:r w:rsidR="00A72C7D">
        <w:t>)</w:t>
      </w:r>
      <w:r w:rsidRPr="009827F3">
        <w:t>.</w:t>
      </w:r>
    </w:p>
    <w:p w14:paraId="469B4639" w14:textId="77777777" w:rsidR="00F90BFF" w:rsidRPr="009827F3" w:rsidRDefault="00F90BFF" w:rsidP="00F90BFF">
      <w:pPr>
        <w:ind w:left="720" w:right="1170"/>
        <w:jc w:val="both"/>
        <w:rPr>
          <w:i/>
        </w:rPr>
      </w:pPr>
    </w:p>
    <w:p w14:paraId="4DE1C25C" w14:textId="3A344D5D" w:rsidR="00F90BFF" w:rsidRPr="009827F3" w:rsidRDefault="009F0D3C" w:rsidP="00F90BFF">
      <w:pPr>
        <w:pStyle w:val="BodyText"/>
      </w:pPr>
      <w:r>
        <w:t>Another</w:t>
      </w:r>
      <w:r w:rsidR="00A72C7D">
        <w:t xml:space="preserve"> p</w:t>
      </w:r>
      <w:r w:rsidR="00A72C7D" w:rsidRPr="009827F3">
        <w:t xml:space="preserve">articipant </w:t>
      </w:r>
      <w:r w:rsidR="008C14A4">
        <w:t>(</w:t>
      </w:r>
      <w:r w:rsidR="00F90BFF" w:rsidRPr="009827F3">
        <w:t>A1</w:t>
      </w:r>
      <w:r w:rsidR="008C14A4">
        <w:t>)</w:t>
      </w:r>
      <w:r w:rsidR="00F90BFF" w:rsidRPr="009827F3">
        <w:t xml:space="preserve"> explained that generalisations could not always reliably be made about which game features were most risky, as risk varies across games and game types, and in different contextual circumstances:</w:t>
      </w:r>
    </w:p>
    <w:p w14:paraId="7B9EE069" w14:textId="6AEDAA5E" w:rsidR="00F90BFF" w:rsidRPr="009827F3" w:rsidRDefault="00F90BFF" w:rsidP="00F90BFF">
      <w:pPr>
        <w:pStyle w:val="Quote"/>
      </w:pPr>
      <w:r w:rsidRPr="009827F3">
        <w:t>Risky game features may not necessarily be consistent across games and game types, nor across various contextual circumstances and players. Various elements may be risky to a greater or lesser extent depending on the game</w:t>
      </w:r>
      <w:r w:rsidR="00B077C6">
        <w:t xml:space="preserve"> (A1)</w:t>
      </w:r>
      <w:r w:rsidRPr="009827F3">
        <w:t>.</w:t>
      </w:r>
    </w:p>
    <w:p w14:paraId="19140C8A" w14:textId="77777777" w:rsidR="00F90BFF" w:rsidRPr="009827F3" w:rsidRDefault="00F90BFF" w:rsidP="00F90BFF">
      <w:pPr>
        <w:ind w:left="720" w:right="1196"/>
        <w:jc w:val="both"/>
        <w:rPr>
          <w:i/>
        </w:rPr>
      </w:pPr>
    </w:p>
    <w:p w14:paraId="3131CF4B" w14:textId="4446A8A2" w:rsidR="00F90BFF" w:rsidRPr="009827F3" w:rsidRDefault="00E12204" w:rsidP="00F90BFF">
      <w:pPr>
        <w:pStyle w:val="BodyText"/>
      </w:pPr>
      <w:r>
        <w:lastRenderedPageBreak/>
        <w:t xml:space="preserve">A further </w:t>
      </w:r>
      <w:r w:rsidR="00F90BFF" w:rsidRPr="009827F3">
        <w:t>Participant tended to agree with this, and felt that while there were several types of game features that were consistently risky, others were not, and that overall risk was a result of complex interactions of various game and contextual features:</w:t>
      </w:r>
    </w:p>
    <w:p w14:paraId="5B2C368E" w14:textId="57F122C9" w:rsidR="00F90BFF" w:rsidRPr="009827F3" w:rsidRDefault="00F90BFF" w:rsidP="00F90BFF">
      <w:pPr>
        <w:pStyle w:val="Quote"/>
      </w:pPr>
      <w:r w:rsidRPr="009827F3">
        <w:t>…there are so many different determinants interacting with one another. It could be the game, it could be the place, it could be the person, that creates a modified risk or harm outcome and there are many different layers to game design that can potentially cause harm and increase risk</w:t>
      </w:r>
      <w:r w:rsidR="00E12204">
        <w:t xml:space="preserve"> (R1)</w:t>
      </w:r>
      <w:r w:rsidRPr="009827F3">
        <w:t>.</w:t>
      </w:r>
    </w:p>
    <w:p w14:paraId="4A35BF80" w14:textId="77777777" w:rsidR="00F90BFF" w:rsidRPr="009827F3" w:rsidRDefault="00F90BFF" w:rsidP="00F90BFF">
      <w:pPr>
        <w:jc w:val="both"/>
        <w:rPr>
          <w:b/>
        </w:rPr>
      </w:pPr>
    </w:p>
    <w:p w14:paraId="0B006A25" w14:textId="4AA5D7FE" w:rsidR="00F90BFF" w:rsidRPr="009827F3" w:rsidRDefault="00F90BFF" w:rsidP="00F90BFF">
      <w:pPr>
        <w:pStyle w:val="BodyText"/>
      </w:pPr>
      <w:r w:rsidRPr="009827F3">
        <w:t xml:space="preserve">Most participants discussed some of the game features they thought were more likely to be associated with higher risk of harm. The participants specifically mentioned the following game features as being associated with risk. It is important to note that this list is </w:t>
      </w:r>
      <w:r w:rsidR="00CF3244" w:rsidRPr="009827F3">
        <w:t>n</w:t>
      </w:r>
      <w:r w:rsidR="00CF3244">
        <w:t>either</w:t>
      </w:r>
      <w:r w:rsidR="00CF3244" w:rsidRPr="009827F3">
        <w:t xml:space="preserve"> </w:t>
      </w:r>
      <w:r w:rsidRPr="009827F3">
        <w:t>ordered nor comprehensive:</w:t>
      </w:r>
    </w:p>
    <w:p w14:paraId="29F4BC59" w14:textId="575BF753" w:rsidR="00F90BFF" w:rsidRPr="009827F3" w:rsidRDefault="00F90BFF" w:rsidP="00F90BFF">
      <w:pPr>
        <w:pStyle w:val="ListBullet"/>
      </w:pPr>
      <w:r w:rsidRPr="009827F3">
        <w:t>the stickiness of the game (amount of time and money spent) (A2)</w:t>
      </w:r>
    </w:p>
    <w:p w14:paraId="2CEA70EF" w14:textId="230557EF" w:rsidR="00F90BFF" w:rsidRPr="009827F3" w:rsidRDefault="00F90BFF" w:rsidP="00F90BFF">
      <w:pPr>
        <w:pStyle w:val="ListBullet"/>
      </w:pPr>
      <w:r w:rsidRPr="009827F3">
        <w:t>continuity/continuous play (A1 &amp; R1)</w:t>
      </w:r>
    </w:p>
    <w:p w14:paraId="38FB490E" w14:textId="1409D7E5" w:rsidR="00F90BFF" w:rsidRPr="009827F3" w:rsidRDefault="00F90BFF" w:rsidP="00F90BFF">
      <w:pPr>
        <w:pStyle w:val="ListBullet"/>
      </w:pPr>
      <w:r w:rsidRPr="009827F3">
        <w:t xml:space="preserve">aesthetics </w:t>
      </w:r>
      <w:r w:rsidR="00AE735B">
        <w:t xml:space="preserve"> such as </w:t>
      </w:r>
      <w:r w:rsidRPr="009827F3">
        <w:t>lights, sounds, images (</w:t>
      </w:r>
      <w:r w:rsidR="00AE735B">
        <w:t xml:space="preserve">all </w:t>
      </w:r>
      <w:r w:rsidRPr="009827F3">
        <w:t>participants)</w:t>
      </w:r>
    </w:p>
    <w:p w14:paraId="1B2E7BD3" w14:textId="235BC691" w:rsidR="00F90BFF" w:rsidRPr="009827F3" w:rsidRDefault="00F90BFF" w:rsidP="00F90BFF">
      <w:pPr>
        <w:pStyle w:val="ListBullet"/>
      </w:pPr>
      <w:r w:rsidRPr="009827F3">
        <w:t>online availability (A1)</w:t>
      </w:r>
    </w:p>
    <w:p w14:paraId="61510A0B" w14:textId="12DD6EBD" w:rsidR="00F90BFF" w:rsidRPr="009827F3" w:rsidRDefault="00F90BFF" w:rsidP="00F90BFF">
      <w:pPr>
        <w:pStyle w:val="ListBullet"/>
      </w:pPr>
      <w:r w:rsidRPr="009827F3">
        <w:t>the perceived control over the game by the player (A1)</w:t>
      </w:r>
    </w:p>
    <w:p w14:paraId="7CFB3144" w14:textId="53EDF5C4" w:rsidR="00F90BFF" w:rsidRPr="009827F3" w:rsidRDefault="00F90BFF" w:rsidP="00F90BFF">
      <w:pPr>
        <w:pStyle w:val="ListBullet"/>
      </w:pPr>
      <w:r w:rsidRPr="009827F3">
        <w:t>free spins (A1)</w:t>
      </w:r>
    </w:p>
    <w:p w14:paraId="4B9E05C6" w14:textId="6AFA4761" w:rsidR="00F90BFF" w:rsidRPr="009827F3" w:rsidRDefault="00F90BFF" w:rsidP="00F90BFF">
      <w:pPr>
        <w:pStyle w:val="ListBullet"/>
      </w:pPr>
      <w:r w:rsidRPr="009827F3">
        <w:t>a large jackpot (can lead to loss of control) (A1)</w:t>
      </w:r>
    </w:p>
    <w:p w14:paraId="08505161" w14:textId="1E9132A6" w:rsidR="00F90BFF" w:rsidRPr="009827F3" w:rsidRDefault="00F90BFF" w:rsidP="00F90BFF">
      <w:pPr>
        <w:pStyle w:val="ListBullet"/>
      </w:pPr>
      <w:r w:rsidRPr="009827F3">
        <w:t>frequent small wins (A1)</w:t>
      </w:r>
    </w:p>
    <w:p w14:paraId="0C4E9E8E" w14:textId="4350DF0C" w:rsidR="00F90BFF" w:rsidRPr="009827F3" w:rsidRDefault="00F90BFF" w:rsidP="00F90BFF">
      <w:pPr>
        <w:pStyle w:val="ListBullet"/>
      </w:pPr>
      <w:r w:rsidRPr="009827F3">
        <w:t>multiple lines on an electronic gaming machine (A1)</w:t>
      </w:r>
    </w:p>
    <w:p w14:paraId="3F25566C" w14:textId="3A0AE86F" w:rsidR="00F90BFF" w:rsidRPr="009827F3" w:rsidRDefault="00360C38" w:rsidP="00F90BFF">
      <w:pPr>
        <w:pStyle w:val="BodyText"/>
      </w:pPr>
      <w:r>
        <w:t>They also</w:t>
      </w:r>
      <w:r w:rsidR="00F90BFF" w:rsidRPr="009827F3">
        <w:t xml:space="preserve"> specifically </w:t>
      </w:r>
      <w:r w:rsidRPr="009827F3">
        <w:t>mention</w:t>
      </w:r>
      <w:r>
        <w:t>ed</w:t>
      </w:r>
      <w:r w:rsidRPr="009827F3">
        <w:t xml:space="preserve"> </w:t>
      </w:r>
      <w:r w:rsidR="00F90BFF" w:rsidRPr="009827F3">
        <w:t>the following contextual features:</w:t>
      </w:r>
    </w:p>
    <w:p w14:paraId="167146DA" w14:textId="56224401" w:rsidR="00F90BFF" w:rsidRPr="009827F3" w:rsidRDefault="00F90BFF" w:rsidP="00F90BFF">
      <w:pPr>
        <w:pStyle w:val="ListBullet"/>
      </w:pPr>
      <w:r w:rsidRPr="009827F3">
        <w:t>the social activity of the game (A1)</w:t>
      </w:r>
    </w:p>
    <w:p w14:paraId="12B7D5F7" w14:textId="0602DF67" w:rsidR="00F90BFF" w:rsidRPr="009827F3" w:rsidRDefault="00F90BFF" w:rsidP="00F90BFF">
      <w:pPr>
        <w:pStyle w:val="ListBullet"/>
      </w:pPr>
      <w:r w:rsidRPr="009827F3">
        <w:t xml:space="preserve">the environment of the game – whether it is played in a place with other </w:t>
      </w:r>
      <w:r w:rsidR="00360C38" w:rsidRPr="009827F3">
        <w:t>people,</w:t>
      </w:r>
      <w:r w:rsidRPr="009827F3">
        <w:t xml:space="preserve"> or the player is isolated (A1)</w:t>
      </w:r>
    </w:p>
    <w:p w14:paraId="3198241F" w14:textId="597A124F" w:rsidR="00F90BFF" w:rsidRPr="009827F3" w:rsidRDefault="00AE735B" w:rsidP="00F90BFF">
      <w:pPr>
        <w:pStyle w:val="BodyText"/>
      </w:pPr>
      <w:r>
        <w:t>One p</w:t>
      </w:r>
      <w:r w:rsidRPr="009827F3">
        <w:t xml:space="preserve">articipant </w:t>
      </w:r>
      <w:r w:rsidR="00F90BFF" w:rsidRPr="009827F3">
        <w:t>highlighted how the risk of a game may change given different delivery methods, which allow for new game features:</w:t>
      </w:r>
    </w:p>
    <w:p w14:paraId="2665741B" w14:textId="32766C57" w:rsidR="00F90BFF" w:rsidRPr="009827F3" w:rsidRDefault="00F90BFF" w:rsidP="00F90BFF">
      <w:pPr>
        <w:pStyle w:val="Quote"/>
      </w:pPr>
      <w:r w:rsidRPr="009827F3">
        <w:t>For example, a scratch card played on paper is very different to when it is played online. They have many of the same features, but the same Lotto scratch card online becomes an interactive internet game, you now have sounds and graphics, and they are quite exciting. Also, you can choose to play it in different ways. It has all these other characteristics now, such as increased perceived control, and you can play it privately alone, say in the bathroom. So online scratch cards are much riskier than a regular scratch card</w:t>
      </w:r>
      <w:r w:rsidR="00AE735B">
        <w:t xml:space="preserve"> (</w:t>
      </w:r>
      <w:r w:rsidR="00AE735B" w:rsidRPr="009827F3">
        <w:t>A1</w:t>
      </w:r>
      <w:r w:rsidR="00AE735B">
        <w:t>)</w:t>
      </w:r>
      <w:r w:rsidRPr="009827F3">
        <w:t xml:space="preserve">. </w:t>
      </w:r>
    </w:p>
    <w:p w14:paraId="1D23ECE1" w14:textId="77777777" w:rsidR="00F90BFF" w:rsidRPr="009827F3" w:rsidRDefault="00F90BFF" w:rsidP="00F90BFF">
      <w:pPr>
        <w:ind w:left="720" w:right="1196"/>
        <w:jc w:val="both"/>
        <w:rPr>
          <w:i/>
        </w:rPr>
      </w:pPr>
    </w:p>
    <w:p w14:paraId="064328A4" w14:textId="6F60A381" w:rsidR="00F90BFF" w:rsidRPr="009827F3" w:rsidRDefault="00AE735B" w:rsidP="00F90BFF">
      <w:pPr>
        <w:pStyle w:val="BodyText"/>
      </w:pPr>
      <w:r>
        <w:t>Another p</w:t>
      </w:r>
      <w:r w:rsidRPr="009827F3">
        <w:t xml:space="preserve">articipant </w:t>
      </w:r>
      <w:r w:rsidR="00F90BFF" w:rsidRPr="009827F3">
        <w:t>presented a similar argument, discussing how aesthetic features of a game can create the impression of winning when in reality the player is losing, and that they can also be used to deliver losses disguised as wins:</w:t>
      </w:r>
    </w:p>
    <w:p w14:paraId="58C4CDFB" w14:textId="77777777" w:rsidR="00F90BFF" w:rsidRPr="009827F3" w:rsidRDefault="00F90BFF" w:rsidP="00F90BFF">
      <w:pPr>
        <w:pStyle w:val="Quote"/>
      </w:pPr>
      <w:r w:rsidRPr="009827F3">
        <w:t xml:space="preserve">That’s one notable feature of game design I would call on, the way the game is designed aesthetically, lights and colours, and the way they respond to inputs, they can give the false impression of winning, such as celebratory lights and sounds, when actually you are losing, and that provides an erroneous mental cue to an individual and distorts their cognition of their performance. </w:t>
      </w:r>
    </w:p>
    <w:p w14:paraId="6A3E6F9C" w14:textId="1C22A1A9" w:rsidR="00F90BFF" w:rsidRPr="009827F3" w:rsidRDefault="00F90BFF" w:rsidP="00F90BFF">
      <w:pPr>
        <w:pStyle w:val="Quote"/>
      </w:pPr>
      <w:r w:rsidRPr="009827F3">
        <w:t>A related feature is the idea that these cues, lights, sounds, bonus features, mini-games, they may seem positive, but essentially, they deliver losses disguised as wins, you get a portion of your loss back, but have still lost, so that also provides a cognitive distortion</w:t>
      </w:r>
      <w:r w:rsidR="00AE735B" w:rsidRPr="00AE735B">
        <w:t xml:space="preserve"> </w:t>
      </w:r>
      <w:r w:rsidR="00AE735B">
        <w:t>(</w:t>
      </w:r>
      <w:r w:rsidR="00AE735B" w:rsidRPr="009827F3">
        <w:t>R1</w:t>
      </w:r>
      <w:r w:rsidR="00AE735B">
        <w:t>)</w:t>
      </w:r>
      <w:r w:rsidRPr="009827F3">
        <w:t>.</w:t>
      </w:r>
    </w:p>
    <w:p w14:paraId="784C9E24" w14:textId="77777777" w:rsidR="00F90BFF" w:rsidRPr="009827F3" w:rsidRDefault="00F90BFF" w:rsidP="00F90BFF">
      <w:pPr>
        <w:ind w:left="720" w:right="1196"/>
        <w:jc w:val="both"/>
        <w:rPr>
          <w:i/>
        </w:rPr>
      </w:pPr>
    </w:p>
    <w:p w14:paraId="2E5BCF8E" w14:textId="7042C55A" w:rsidR="00F90BFF" w:rsidRPr="009827F3" w:rsidRDefault="00AE735B" w:rsidP="00F90BFF">
      <w:pPr>
        <w:pStyle w:val="BodyText"/>
      </w:pPr>
      <w:r>
        <w:t>The same p</w:t>
      </w:r>
      <w:r w:rsidRPr="009827F3">
        <w:t xml:space="preserve">articipant </w:t>
      </w:r>
      <w:r w:rsidR="00F90BFF" w:rsidRPr="009827F3">
        <w:t xml:space="preserve">also thought that continuous play was </w:t>
      </w:r>
      <w:r w:rsidR="00152293">
        <w:t>an</w:t>
      </w:r>
      <w:r w:rsidR="00F90BFF" w:rsidRPr="009827F3">
        <w:t xml:space="preserve"> important risk factor:</w:t>
      </w:r>
    </w:p>
    <w:p w14:paraId="2160E42D" w14:textId="128F948F" w:rsidR="00F90BFF" w:rsidRPr="009827F3" w:rsidRDefault="00F90BFF" w:rsidP="00F90BFF">
      <w:pPr>
        <w:pStyle w:val="Quote"/>
      </w:pPr>
      <w:r w:rsidRPr="009827F3">
        <w:t>… things that are particularly important, are rate of play, the break in play, the closer the break is and the faster the speed from wager to outcome, creates continuous play, and these are the most risky forms, they expedite the money that one can spend, and the lack of break has an association with disassociated states</w:t>
      </w:r>
      <w:r w:rsidR="00AE735B">
        <w:t xml:space="preserve"> (</w:t>
      </w:r>
      <w:r w:rsidR="00AE735B" w:rsidRPr="009827F3">
        <w:t>R1</w:t>
      </w:r>
      <w:r w:rsidR="00AE735B">
        <w:t>)</w:t>
      </w:r>
      <w:r w:rsidRPr="009827F3">
        <w:t xml:space="preserve">. </w:t>
      </w:r>
    </w:p>
    <w:p w14:paraId="1D1E4F91" w14:textId="77777777" w:rsidR="00F90BFF" w:rsidRPr="009827F3" w:rsidRDefault="00F90BFF" w:rsidP="00F90BFF">
      <w:pPr>
        <w:ind w:left="720" w:right="1196"/>
        <w:jc w:val="both"/>
        <w:rPr>
          <w:i/>
        </w:rPr>
      </w:pPr>
    </w:p>
    <w:p w14:paraId="2EDF3083" w14:textId="194A4FF0" w:rsidR="00F90BFF" w:rsidRPr="009827F3" w:rsidRDefault="006F6C55" w:rsidP="00F90BFF">
      <w:pPr>
        <w:pStyle w:val="BodyText"/>
      </w:pPr>
      <w:r>
        <w:t>One p</w:t>
      </w:r>
      <w:r w:rsidR="00F90BFF" w:rsidRPr="009827F3">
        <w:t>articipant explained the underlying motivation behind game development processes that can lead to riskier game designs, which is often to increase time and money spent playing:</w:t>
      </w:r>
    </w:p>
    <w:p w14:paraId="2BFB2B15" w14:textId="788C145D" w:rsidR="00F90BFF" w:rsidRPr="009827F3" w:rsidRDefault="00F90BFF" w:rsidP="00F90BFF">
      <w:pPr>
        <w:pStyle w:val="Quote"/>
      </w:pPr>
      <w:r w:rsidRPr="009827F3">
        <w:t>Often people imagine there is a very scientific approach to game design, but really it is evolutionary, and the goal is more time [playing] and more money earnt. They try lots of things to make the games as ‘sticky’ as possible and the sticky ones survive. The developers then try new things and see what happens and over time things become more highly tuned, but the process is not scientific but a gradual evolution in terms of what is effective</w:t>
      </w:r>
      <w:r w:rsidR="006F6C55">
        <w:t xml:space="preserve"> (A2)</w:t>
      </w:r>
      <w:r w:rsidRPr="009827F3">
        <w:t>.</w:t>
      </w:r>
    </w:p>
    <w:p w14:paraId="5DB092ED" w14:textId="77777777" w:rsidR="00F90BFF" w:rsidRPr="009827F3" w:rsidRDefault="00F90BFF" w:rsidP="00F90BFF">
      <w:pPr>
        <w:ind w:left="720" w:right="1106"/>
        <w:jc w:val="both"/>
        <w:rPr>
          <w:i/>
        </w:rPr>
      </w:pPr>
    </w:p>
    <w:p w14:paraId="5A01872E" w14:textId="61922833" w:rsidR="00F90BFF" w:rsidRPr="009827F3" w:rsidRDefault="006F6C55" w:rsidP="00F90BFF">
      <w:pPr>
        <w:pStyle w:val="BodyText"/>
      </w:pPr>
      <w:r>
        <w:t>Another p</w:t>
      </w:r>
      <w:r w:rsidR="00F90BFF" w:rsidRPr="009827F3">
        <w:t>articipant agreed with this, stating that “a lot of the industry knows intuitively what pushes the buttons through trial and error. But it is hard to do that in reverse”</w:t>
      </w:r>
      <w:r>
        <w:t xml:space="preserve"> </w:t>
      </w:r>
      <w:r>
        <w:rPr>
          <w:i/>
          <w:iCs/>
        </w:rPr>
        <w:t>(G1)</w:t>
      </w:r>
      <w:r w:rsidR="00F90BFF" w:rsidRPr="009827F3">
        <w:t>.</w:t>
      </w:r>
    </w:p>
    <w:p w14:paraId="676DD4B7" w14:textId="1B771798" w:rsidR="00F90BFF" w:rsidRPr="009827F3" w:rsidRDefault="00F90BFF" w:rsidP="00F90BFF">
      <w:pPr>
        <w:pStyle w:val="BodyText"/>
      </w:pPr>
      <w:r w:rsidRPr="009827F3">
        <w:t xml:space="preserve">This section shows that while </w:t>
      </w:r>
      <w:r w:rsidR="00060B50">
        <w:t>participants</w:t>
      </w:r>
      <w:r w:rsidR="00060B50" w:rsidRPr="009827F3">
        <w:t xml:space="preserve"> </w:t>
      </w:r>
      <w:r w:rsidRPr="009827F3">
        <w:t>agreed that some game features tend to be riskier than others, they disagreed about the strength of evidence behind the association of particular game features with risk, and the consistency of that association across game dynamics and contexts. The next section presents the participants</w:t>
      </w:r>
      <w:r w:rsidR="00DF088A">
        <w:t>’</w:t>
      </w:r>
      <w:r w:rsidRPr="009827F3">
        <w:t xml:space="preserve"> views on reducing the risk of harm associated with gambling games. </w:t>
      </w:r>
    </w:p>
    <w:p w14:paraId="662A2631" w14:textId="5C7CF0EF" w:rsidR="00F53229" w:rsidRDefault="00F90BFF" w:rsidP="00810732">
      <w:pPr>
        <w:pStyle w:val="Heading3"/>
      </w:pPr>
      <w:r>
        <w:t>Reducing the risk of harm associated with gambling games</w:t>
      </w:r>
    </w:p>
    <w:p w14:paraId="6100FEC0" w14:textId="42D0E76A" w:rsidR="00F90BFF" w:rsidRPr="009827F3" w:rsidRDefault="00F90BFF" w:rsidP="00F90BFF">
      <w:pPr>
        <w:pStyle w:val="BodyText"/>
      </w:pPr>
      <w:r w:rsidRPr="009827F3">
        <w:t xml:space="preserve">While the participants generally agreed that it would be useful to be able to identify and reduce the risk of harm associated with a specific game, they had mixed opinions on the best way to do this. </w:t>
      </w:r>
    </w:p>
    <w:p w14:paraId="12A76FCD" w14:textId="3F1D0FF5" w:rsidR="00F90BFF" w:rsidRPr="009827F3" w:rsidRDefault="00764195" w:rsidP="00F90BFF">
      <w:pPr>
        <w:pStyle w:val="BodyText"/>
      </w:pPr>
      <w:r>
        <w:t>One p</w:t>
      </w:r>
      <w:r w:rsidR="00F90BFF" w:rsidRPr="009827F3">
        <w:t xml:space="preserve">articipant G1 felt the best way </w:t>
      </w:r>
      <w:r w:rsidR="005F7572">
        <w:t xml:space="preserve">to reduce risk </w:t>
      </w:r>
      <w:r w:rsidR="00F90BFF" w:rsidRPr="009827F3">
        <w:t xml:space="preserve">was to take the approach used by </w:t>
      </w:r>
      <w:r w:rsidR="008A6C4E">
        <w:t>Gamgard</w:t>
      </w:r>
      <w:r w:rsidR="00F90BFF" w:rsidRPr="009827F3">
        <w:t>. They elaborate on this approach and why they believe</w:t>
      </w:r>
      <w:r w:rsidR="006502FA">
        <w:t>d</w:t>
      </w:r>
      <w:r w:rsidR="00F90BFF" w:rsidRPr="009827F3">
        <w:t xml:space="preserve"> it to be most suitable: </w:t>
      </w:r>
    </w:p>
    <w:p w14:paraId="7F64C065" w14:textId="61937A6C" w:rsidR="00F90BFF" w:rsidRPr="009827F3" w:rsidRDefault="00F90BFF" w:rsidP="00F90BFF">
      <w:pPr>
        <w:pStyle w:val="Quote"/>
      </w:pPr>
      <w:r w:rsidRPr="009827F3">
        <w:t>The best way to look at game harm, particularly in relation to new games that we have no information on, is to look at the structural building blocks and situational characteristics... By comparing structural characteristics of games, you can see why one game is riskier than another game, and you can see what you can adjust to make the game less risky… We need a set of standardised, objective criteria, so we are always comparing games using the same elements, to reduce subjectivity. A standardised way of assessing the components of a game in an objective manner, to evaluate risk and compare between games… If we can understand where these risks lie and reduce those, that is an important part of the puzzle of what causes problem gambling and how we might better mitigate those risks</w:t>
      </w:r>
      <w:r w:rsidR="00764195">
        <w:t xml:space="preserve"> (G1)</w:t>
      </w:r>
      <w:r w:rsidRPr="009827F3">
        <w:t>.</w:t>
      </w:r>
    </w:p>
    <w:p w14:paraId="5735D75B" w14:textId="77777777" w:rsidR="00F90BFF" w:rsidRPr="009827F3" w:rsidRDefault="00F90BFF" w:rsidP="00F90BFF">
      <w:pPr>
        <w:ind w:left="720" w:right="1260"/>
        <w:jc w:val="both"/>
        <w:rPr>
          <w:i/>
        </w:rPr>
      </w:pPr>
    </w:p>
    <w:p w14:paraId="479390DB" w14:textId="58FA0544" w:rsidR="00F90BFF" w:rsidRPr="009827F3" w:rsidRDefault="006502FA" w:rsidP="00F90BFF">
      <w:pPr>
        <w:pStyle w:val="BodyText"/>
      </w:pPr>
      <w:r>
        <w:t>By</w:t>
      </w:r>
      <w:r w:rsidRPr="009827F3">
        <w:t xml:space="preserve"> </w:t>
      </w:r>
      <w:r w:rsidR="00F90BFF" w:rsidRPr="009827F3">
        <w:t xml:space="preserve">contrast, </w:t>
      </w:r>
      <w:r w:rsidR="00D3059C">
        <w:t>another p</w:t>
      </w:r>
      <w:r w:rsidR="00F90BFF" w:rsidRPr="009827F3">
        <w:t xml:space="preserve">articipant </w:t>
      </w:r>
      <w:r>
        <w:t xml:space="preserve">felt </w:t>
      </w:r>
      <w:r w:rsidR="00F90BFF" w:rsidRPr="009827F3">
        <w:t>that the best way to identify and limit the risk of harm associated with a game was by directly targeting and limiting the primary outcome of harm</w:t>
      </w:r>
      <w:r w:rsidR="00D14B46">
        <w:t>,</w:t>
      </w:r>
      <w:r w:rsidR="00F90BFF" w:rsidRPr="009827F3">
        <w:t xml:space="preserve"> which</w:t>
      </w:r>
      <w:r w:rsidR="00D14B46">
        <w:t xml:space="preserve"> </w:t>
      </w:r>
      <w:r w:rsidR="00F90BFF" w:rsidRPr="009827F3">
        <w:t xml:space="preserve">is cost in terms of money and time spent. They </w:t>
      </w:r>
      <w:r>
        <w:t>no</w:t>
      </w:r>
      <w:r w:rsidR="00D14B46">
        <w:t xml:space="preserve">ted </w:t>
      </w:r>
      <w:r w:rsidR="00F90BFF" w:rsidRPr="009827F3">
        <w:t xml:space="preserve">that by assessing the average and maximum cost per time period (for example, dollars per hour or hours per week), and having mandatory limits around these, harm can be substantially reduced. They pointed out that game features may be some of the pathways that can lead to harm, but they are not directly harmful. They </w:t>
      </w:r>
      <w:r w:rsidR="00FA52F6">
        <w:t>stat</w:t>
      </w:r>
      <w:r w:rsidR="00FA52F6" w:rsidRPr="009827F3">
        <w:t xml:space="preserve">ed </w:t>
      </w:r>
      <w:r w:rsidR="00F90BFF" w:rsidRPr="009827F3">
        <w:t>that:</w:t>
      </w:r>
    </w:p>
    <w:p w14:paraId="549ABCBD" w14:textId="71FB0B09" w:rsidR="00F90BFF" w:rsidRPr="009827F3" w:rsidRDefault="00F90BFF" w:rsidP="00F90BFF">
      <w:pPr>
        <w:pStyle w:val="Quote"/>
      </w:pPr>
      <w:r w:rsidRPr="009827F3">
        <w:t xml:space="preserve">Identifying the risk of harm associated with the design of a game? It’s a little bit easy actually… You don’t have to get into all of the detail of the sound, etc, these things are important, but are the features of the game that make them fun. You cannot remove them without making them boring to someone who wants to recreate and enjoy them. So, if you want to minimise the cost while maximising the enjoyment, you need to look at typical and maximum cost per time spent, </w:t>
      </w:r>
      <w:r w:rsidR="00AC3D0E" w:rsidRPr="009827F3">
        <w:t>e.g.,</w:t>
      </w:r>
      <w:r w:rsidRPr="009827F3">
        <w:t xml:space="preserve"> per hour. So, if you can reduce the money in particular, but time is another structural characteristic you can limit, so people are not playing constantly… Those two things are most important. Focusing on other game features is a distraction from these two main features</w:t>
      </w:r>
      <w:r w:rsidR="00D3059C">
        <w:t xml:space="preserve"> (A2</w:t>
      </w:r>
      <w:r w:rsidR="002B2A0A">
        <w:t>)</w:t>
      </w:r>
      <w:r w:rsidRPr="009827F3">
        <w:t>.</w:t>
      </w:r>
    </w:p>
    <w:p w14:paraId="4F477009" w14:textId="77777777" w:rsidR="00F90BFF" w:rsidRPr="009827F3" w:rsidRDefault="00F90BFF" w:rsidP="00F90BFF">
      <w:pPr>
        <w:ind w:left="720" w:right="1800"/>
        <w:jc w:val="both"/>
        <w:rPr>
          <w:i/>
        </w:rPr>
      </w:pPr>
    </w:p>
    <w:p w14:paraId="02A1DDCB" w14:textId="72DB49FC" w:rsidR="00F90BFF" w:rsidRPr="009827F3" w:rsidRDefault="006B54A6" w:rsidP="00F90BFF">
      <w:pPr>
        <w:pStyle w:val="BodyText"/>
      </w:pPr>
      <w:r>
        <w:t>This p</w:t>
      </w:r>
      <w:r w:rsidR="00F90BFF" w:rsidRPr="009827F3">
        <w:t xml:space="preserve">articipant further </w:t>
      </w:r>
      <w:r w:rsidR="00FA52F6">
        <w:t>share</w:t>
      </w:r>
      <w:r w:rsidR="00FA52F6" w:rsidRPr="009827F3">
        <w:t xml:space="preserve">d </w:t>
      </w:r>
      <w:r w:rsidR="00F90BFF" w:rsidRPr="009827F3">
        <w:t>that to achieve mandatory limits on time and money spent gambling</w:t>
      </w:r>
      <w:r w:rsidR="00AC3D0E">
        <w:t>,</w:t>
      </w:r>
      <w:r w:rsidR="00F90BFF" w:rsidRPr="009827F3">
        <w:t xml:space="preserve"> the structure of the industry would need to change to one where “</w:t>
      </w:r>
      <w:r w:rsidR="00F90BFF" w:rsidRPr="009827F3">
        <w:rPr>
          <w:i/>
        </w:rPr>
        <w:t xml:space="preserve">a lot of people can play at low intensity and that very few people play at high intensity”. </w:t>
      </w:r>
      <w:r w:rsidR="00F90BFF" w:rsidRPr="009827F3">
        <w:t xml:space="preserve">They detailed what this approach </w:t>
      </w:r>
      <w:r w:rsidR="00FA52F6">
        <w:t>might</w:t>
      </w:r>
      <w:r w:rsidR="00FA52F6" w:rsidRPr="009827F3">
        <w:t xml:space="preserve"> </w:t>
      </w:r>
      <w:r w:rsidR="00F90BFF" w:rsidRPr="009827F3">
        <w:t>look like in practice:</w:t>
      </w:r>
    </w:p>
    <w:p w14:paraId="53F82B9F" w14:textId="01FD654E" w:rsidR="00F90BFF" w:rsidRPr="009827F3" w:rsidRDefault="00F90BFF" w:rsidP="00F90BFF">
      <w:pPr>
        <w:pStyle w:val="Quote"/>
      </w:pPr>
      <w:r w:rsidRPr="009827F3">
        <w:t>There are really out-there, innovative approaches where you could make games that are essentially, when you start spending up to a limit of what’s acceptable (</w:t>
      </w:r>
      <w:r w:rsidR="00AC3D0E" w:rsidRPr="009827F3">
        <w:t>e.g.,</w:t>
      </w:r>
      <w:r w:rsidRPr="009827F3">
        <w:t xml:space="preserve"> using a card to play) then the games start gradually moving towards 100% return. They move in the </w:t>
      </w:r>
      <w:r w:rsidRPr="009827F3">
        <w:lastRenderedPageBreak/>
        <w:t>direction to where odds are 1:1. They move into a sort of free-play zone where they are no longer being sucked dry. You still have the time harm. So, at that point, on average over the population, there would be a reduction in harm. That structure has the proper incentives. There would be a reduction in revenue, absolutely. And perhaps in this universe, people would be more wanting to play those games because they are safer, over time the impression of the industry would change, as so few people are being negatively affected</w:t>
      </w:r>
      <w:r w:rsidR="006B54A6">
        <w:t xml:space="preserve"> (A2)</w:t>
      </w:r>
      <w:r w:rsidRPr="009827F3">
        <w:t xml:space="preserve">. </w:t>
      </w:r>
    </w:p>
    <w:p w14:paraId="72AE63C0" w14:textId="77777777" w:rsidR="00F90BFF" w:rsidRPr="009827F3" w:rsidRDefault="00F90BFF" w:rsidP="00F90BFF">
      <w:pPr>
        <w:pStyle w:val="Quote"/>
      </w:pPr>
    </w:p>
    <w:p w14:paraId="2735B9A8" w14:textId="0C59E565" w:rsidR="00F90BFF" w:rsidRPr="009827F3" w:rsidRDefault="004D5BE4" w:rsidP="00F90BFF">
      <w:pPr>
        <w:pStyle w:val="BodyText"/>
      </w:pPr>
      <w:r>
        <w:t>One p</w:t>
      </w:r>
      <w:r w:rsidR="00F90BFF" w:rsidRPr="009827F3">
        <w:t xml:space="preserve">articipant explained that the best approach to identify risk associated with particular games is </w:t>
      </w:r>
      <w:r w:rsidR="008F1954">
        <w:t>by using</w:t>
      </w:r>
      <w:r w:rsidR="00F90BFF" w:rsidRPr="009827F3">
        <w:t xml:space="preserve"> evidence-based standards:</w:t>
      </w:r>
    </w:p>
    <w:p w14:paraId="157AB923" w14:textId="1AEF6F91" w:rsidR="00F90BFF" w:rsidRPr="009827F3" w:rsidRDefault="00F90BFF" w:rsidP="00F90BFF">
      <w:pPr>
        <w:pStyle w:val="Quote"/>
      </w:pPr>
      <w:r w:rsidRPr="009827F3">
        <w:t>In terms of what the regulator can reasonably control, in terms of those features, I think yeah there can be a consistent application of responsible gambling interventions or regulatory requirements or restrictions that can mitigate the risk that is presented by gambling to a certain degree</w:t>
      </w:r>
      <w:r w:rsidR="004D5BE4">
        <w:t xml:space="preserve"> (R1)</w:t>
      </w:r>
      <w:r w:rsidRPr="009827F3">
        <w:t>.</w:t>
      </w:r>
    </w:p>
    <w:p w14:paraId="201D2D56" w14:textId="77777777" w:rsidR="00F90BFF" w:rsidRPr="009827F3" w:rsidRDefault="00F90BFF" w:rsidP="00F90BFF">
      <w:pPr>
        <w:ind w:left="720" w:right="1196"/>
        <w:jc w:val="both"/>
        <w:rPr>
          <w:i/>
        </w:rPr>
      </w:pPr>
    </w:p>
    <w:p w14:paraId="1A6109DF" w14:textId="495FA924" w:rsidR="00F90BFF" w:rsidRPr="009827F3" w:rsidRDefault="00F90BFF" w:rsidP="00F90BFF">
      <w:pPr>
        <w:pStyle w:val="BodyText"/>
      </w:pPr>
      <w:r w:rsidRPr="009827F3">
        <w:t xml:space="preserve">They also provided two examples to highlight their point. The first </w:t>
      </w:r>
      <w:r w:rsidR="008F1954">
        <w:t>is</w:t>
      </w:r>
      <w:r w:rsidR="008F1954" w:rsidRPr="009827F3">
        <w:t xml:space="preserve"> </w:t>
      </w:r>
      <w:r w:rsidRPr="009827F3">
        <w:t>accreditation programmes for large scale operations run by industry-independent, non-profit organisations. They discussed the second example in more detail, which is the Ontario (Canada) gaming lab:</w:t>
      </w:r>
    </w:p>
    <w:p w14:paraId="6531F82F" w14:textId="778BCDB6" w:rsidR="00F90BFF" w:rsidRPr="009827F3" w:rsidRDefault="00F90BFF" w:rsidP="00F90BFF">
      <w:pPr>
        <w:pStyle w:val="Quote"/>
      </w:pPr>
      <w:r w:rsidRPr="009827F3">
        <w:t>It starts with evidence-based standards for games. In Ontario the regulator runs a gaming lab where they directly evaluate games for a period of time. So, the operator or developer submits a request for license, and the regulator does a fairly in-depth analysis of the game. So, in addition to the responsible gambling features they may require for those games, they also look at how clear is the game in terms of its rule set, and basically describing to or presenting to the player the risks, odds of winning, and also the types of risks mentioned earlier… Standards and requirements are necessary… The Ontario gaming lab is fairly unique worldwide. It’s a full-on approach</w:t>
      </w:r>
      <w:r w:rsidR="004D5BE4">
        <w:t>(R1)</w:t>
      </w:r>
      <w:r w:rsidRPr="009827F3">
        <w:t>.</w:t>
      </w:r>
    </w:p>
    <w:p w14:paraId="490B00F6" w14:textId="77777777" w:rsidR="00F90BFF" w:rsidRPr="009827F3" w:rsidRDefault="00F90BFF" w:rsidP="00F90BFF">
      <w:pPr>
        <w:ind w:right="1196"/>
        <w:jc w:val="both"/>
        <w:rPr>
          <w:i/>
        </w:rPr>
      </w:pPr>
    </w:p>
    <w:p w14:paraId="4630A7B2" w14:textId="6191A732" w:rsidR="00F90BFF" w:rsidRPr="009827F3" w:rsidRDefault="00F90BFF" w:rsidP="00F90BFF">
      <w:pPr>
        <w:pStyle w:val="BodyText"/>
      </w:pPr>
      <w:r w:rsidRPr="009827F3">
        <w:t>This section has shown that the expert</w:t>
      </w:r>
      <w:r w:rsidR="00C91729">
        <w:t>s</w:t>
      </w:r>
      <w:r w:rsidRPr="009827F3">
        <w:t xml:space="preserve"> had divergent views on the best way to reduce the risk of harm associated with gambling games. The next section presents participants</w:t>
      </w:r>
      <w:r w:rsidR="00C91729">
        <w:t>’</w:t>
      </w:r>
      <w:r w:rsidRPr="009827F3">
        <w:t xml:space="preserve"> </w:t>
      </w:r>
      <w:r w:rsidR="00C91729">
        <w:t>views</w:t>
      </w:r>
      <w:r w:rsidR="00C91729" w:rsidRPr="009827F3">
        <w:t xml:space="preserve"> </w:t>
      </w:r>
      <w:r w:rsidRPr="009827F3">
        <w:t>on game design with a comprehensive and strategic approach to responsible gambling and harm minimisation.</w:t>
      </w:r>
    </w:p>
    <w:p w14:paraId="4033F6D6" w14:textId="6FAFED27" w:rsidR="00F90BFF" w:rsidRDefault="00F90BFF" w:rsidP="00810732">
      <w:pPr>
        <w:pStyle w:val="Heading3"/>
      </w:pPr>
      <w:r>
        <w:t>Game design within a comprehensive and strategic approach</w:t>
      </w:r>
    </w:p>
    <w:p w14:paraId="7C260ED7" w14:textId="37A8BB2D" w:rsidR="00F90BFF" w:rsidRPr="009827F3" w:rsidRDefault="00F90BFF" w:rsidP="00F90BFF">
      <w:pPr>
        <w:pStyle w:val="BodyText"/>
      </w:pPr>
      <w:r w:rsidRPr="009827F3">
        <w:t xml:space="preserve">Participants A1, G1, and R1 emphasised the importance of taking a comprehensive and strategic approach to reducing the risk of gambling harm, of which game design was one aspect. Participants A1 and R1 pointed out that this approach is consistent with the New Zealand policy framework which requires that gambling </w:t>
      </w:r>
      <w:r w:rsidR="00372BFC">
        <w:t>be</w:t>
      </w:r>
      <w:r w:rsidR="00372BFC" w:rsidRPr="009827F3">
        <w:t xml:space="preserve"> </w:t>
      </w:r>
      <w:r w:rsidRPr="009827F3">
        <w:t>regulated from a public health perspective. Participant A1 emphasised the importance of considering the wider context as well as the accessibility of vulnerable populations</w:t>
      </w:r>
      <w:r w:rsidR="00372BFC" w:rsidRPr="00372BFC">
        <w:t xml:space="preserve"> </w:t>
      </w:r>
      <w:r w:rsidR="00372BFC" w:rsidRPr="009827F3">
        <w:t>to gambling</w:t>
      </w:r>
      <w:r w:rsidRPr="009827F3">
        <w:t xml:space="preserve">. Participant G1 emphasised the importance of considering cultural aspects and advertising. </w:t>
      </w:r>
    </w:p>
    <w:p w14:paraId="349A039F" w14:textId="498C2C43" w:rsidR="00F90BFF" w:rsidRPr="009827F3" w:rsidRDefault="00F90BFF" w:rsidP="00F90BFF">
      <w:pPr>
        <w:pStyle w:val="BodyText"/>
      </w:pPr>
      <w:r w:rsidRPr="009827F3">
        <w:t xml:space="preserve">Participant R1 also </w:t>
      </w:r>
      <w:r w:rsidR="00296A65">
        <w:t xml:space="preserve">provided </w:t>
      </w:r>
      <w:r w:rsidRPr="009827F3">
        <w:t xml:space="preserve">a detailed discussion of a potential comprehensive approach with a strategic public health focus and including an emphasis information gathering systems. This discussion is presented here in detail as it provides insights which may be of value to the NZ Ministry of Health. </w:t>
      </w:r>
    </w:p>
    <w:p w14:paraId="25E995FD" w14:textId="77777777" w:rsidR="00F90BFF" w:rsidRPr="009827F3" w:rsidRDefault="00F90BFF" w:rsidP="00F90BFF">
      <w:pPr>
        <w:pStyle w:val="Quote"/>
      </w:pPr>
      <w:r w:rsidRPr="009827F3">
        <w:t xml:space="preserve">There is regulation, founded on good standards, and that feeds into the games themselves, policies around the types of training that operators are required to provide, the measurement and collection of evidence. This is something I am working on now myself, is to develop a public health framework for gambling harm minimisation and following the core functions of a public health system, some of the things I’ve noticed as being absent are information gathering systems. They are essential for harm prevention, and they are important when we are talking about problem gambling… Those structural features around evidence informed standards, as well as systems and measurement to guide that, and systems for analysis and deliberation over that information to make informed decisions, that are relevant and nuanced to your jurisdiction and don’t necessarily conform to a one size fits all model. </w:t>
      </w:r>
    </w:p>
    <w:p w14:paraId="667DBC3B" w14:textId="0B029232" w:rsidR="00F90BFF" w:rsidRPr="009827F3" w:rsidRDefault="00F90BFF" w:rsidP="00F90BFF">
      <w:pPr>
        <w:pStyle w:val="Quote"/>
      </w:pPr>
      <w:r w:rsidRPr="009827F3">
        <w:t xml:space="preserve">If you take a strategic perspective, you can develop and leverage evidence in order to make the most informed and impactful policy and programming decisions. Implementation can become complicated, but I really do think that there is enough information and practical precedent to develop, or review and reflect on responsible </w:t>
      </w:r>
      <w:r w:rsidRPr="009827F3">
        <w:lastRenderedPageBreak/>
        <w:t>gambling standards, to advance the development of guidelines and also select key indicators that you can institutionalise. These are, in most cases, operations that rely on the collection of information and I think it’s not too much to ask that this information is administered in a way that would be useful for the purposes of public health</w:t>
      </w:r>
      <w:r w:rsidR="005C4CFB">
        <w:t xml:space="preserve"> (R1)</w:t>
      </w:r>
      <w:r w:rsidRPr="009827F3">
        <w:t xml:space="preserve">. </w:t>
      </w:r>
    </w:p>
    <w:p w14:paraId="4B29EC93" w14:textId="77777777" w:rsidR="00F90BFF" w:rsidRPr="00F90BFF" w:rsidRDefault="00F90BFF" w:rsidP="00F90BFF">
      <w:pPr>
        <w:pStyle w:val="BodyText"/>
      </w:pPr>
    </w:p>
    <w:p w14:paraId="418DCC62" w14:textId="266E6343" w:rsidR="00F90BFF" w:rsidRPr="009827F3" w:rsidRDefault="00797F00" w:rsidP="00F90BFF">
      <w:pPr>
        <w:pStyle w:val="BodyText"/>
      </w:pPr>
      <w:r>
        <w:t xml:space="preserve">Overall, </w:t>
      </w:r>
      <w:r w:rsidR="00F90BFF" w:rsidRPr="009827F3">
        <w:t xml:space="preserve">most participants emphasised the importance of policy taking a comprehensive and strategic approach to reducing the risk of gambling harm, which is consistent with the New Zealand gambling policy context. They pointed out that game design is just one aspect of such an approach. The next section presents the participants’ perceptions of the strengths and limitations of </w:t>
      </w:r>
      <w:r w:rsidR="008A6C4E">
        <w:t>Gamgard</w:t>
      </w:r>
      <w:r w:rsidR="00F90BFF" w:rsidRPr="009827F3">
        <w:t>, organised by emergent themes.</w:t>
      </w:r>
    </w:p>
    <w:p w14:paraId="20315484" w14:textId="091ED6B0" w:rsidR="00F53229" w:rsidRDefault="00F90BFF" w:rsidP="00810732">
      <w:pPr>
        <w:pStyle w:val="Heading3"/>
      </w:pPr>
      <w:r>
        <w:t xml:space="preserve">Perceptions of strengths and limitations of </w:t>
      </w:r>
      <w:r w:rsidR="008A6C4E">
        <w:t>Gamgard</w:t>
      </w:r>
    </w:p>
    <w:p w14:paraId="25F68D37" w14:textId="7B7D72A9" w:rsidR="00F90BFF" w:rsidRPr="00F90BFF" w:rsidRDefault="00F90BFF" w:rsidP="00F90BFF">
      <w:pPr>
        <w:pStyle w:val="BodyText"/>
      </w:pPr>
      <w:r w:rsidRPr="00F90BFF">
        <w:t xml:space="preserve">This section presents the participants’ perceptions of the strengths and limitations of </w:t>
      </w:r>
      <w:r w:rsidR="008A6C4E">
        <w:t>Gamgard</w:t>
      </w:r>
      <w:r w:rsidRPr="00F90BFF">
        <w:t xml:space="preserve">, organised by themes. All of the participants had been provided with the description of the purpose of </w:t>
      </w:r>
      <w:r w:rsidR="008A6C4E">
        <w:t>Gamgard</w:t>
      </w:r>
      <w:r w:rsidRPr="00F90BFF">
        <w:t xml:space="preserve"> as well as its approach (including the game features evaluated)</w:t>
      </w:r>
      <w:r w:rsidR="00187BE9">
        <w:t>.</w:t>
      </w:r>
      <w:r w:rsidRPr="00F90BFF">
        <w:t xml:space="preserve"> </w:t>
      </w:r>
    </w:p>
    <w:p w14:paraId="7E944248" w14:textId="77777777" w:rsidR="00F90BFF" w:rsidRPr="009827F3" w:rsidRDefault="00F90BFF" w:rsidP="00810732">
      <w:pPr>
        <w:pStyle w:val="Heading4"/>
      </w:pPr>
      <w:bookmarkStart w:id="362" w:name="_Toc37928174"/>
      <w:bookmarkStart w:id="363" w:name="_Toc46149986"/>
      <w:r w:rsidRPr="00F90BFF">
        <w:t>Overall</w:t>
      </w:r>
      <w:r w:rsidRPr="009827F3">
        <w:t xml:space="preserve"> role and value</w:t>
      </w:r>
      <w:bookmarkEnd w:id="362"/>
      <w:bookmarkEnd w:id="363"/>
    </w:p>
    <w:p w14:paraId="18BFB30E" w14:textId="6D0079D3" w:rsidR="00F90BFF" w:rsidRPr="009827F3" w:rsidRDefault="00F90BFF" w:rsidP="00F90BFF">
      <w:pPr>
        <w:pStyle w:val="BodyText"/>
      </w:pPr>
      <w:r w:rsidRPr="009827F3">
        <w:t xml:space="preserve">Three participants (A1, G1 and R1) thought that the approach taken by </w:t>
      </w:r>
      <w:r w:rsidR="008A6C4E">
        <w:t>Gamgard</w:t>
      </w:r>
      <w:r w:rsidRPr="009827F3">
        <w:t xml:space="preserve"> did, or may be able to, offer some value. However, none of the participants thought that </w:t>
      </w:r>
      <w:r w:rsidR="008A6C4E">
        <w:t>Gamgard</w:t>
      </w:r>
      <w:r w:rsidRPr="009827F3">
        <w:t xml:space="preserve"> was a full solution</w:t>
      </w:r>
      <w:r w:rsidR="00304C0E">
        <w:t>.</w:t>
      </w:r>
      <w:r w:rsidRPr="009827F3">
        <w:t xml:space="preserve"> </w:t>
      </w:r>
      <w:r w:rsidR="00304C0E">
        <w:t>They felt</w:t>
      </w:r>
      <w:r w:rsidRPr="009827F3">
        <w:t xml:space="preserve"> that if it was to be used, it should form just one part of a comprehensive and strategic approach. </w:t>
      </w:r>
    </w:p>
    <w:p w14:paraId="2378185E" w14:textId="4124EB04" w:rsidR="00F90BFF" w:rsidRPr="009827F3" w:rsidRDefault="00342818" w:rsidP="00F90BFF">
      <w:pPr>
        <w:pStyle w:val="BodyText"/>
      </w:pPr>
      <w:r>
        <w:t>One p</w:t>
      </w:r>
      <w:r w:rsidR="00F90BFF" w:rsidRPr="009827F3">
        <w:t>articipant pointed out that “</w:t>
      </w:r>
      <w:r w:rsidR="008A6C4E">
        <w:rPr>
          <w:i/>
        </w:rPr>
        <w:t>Gamgard</w:t>
      </w:r>
      <w:r w:rsidR="00F90BFF" w:rsidRPr="009827F3">
        <w:rPr>
          <w:i/>
        </w:rPr>
        <w:t xml:space="preserve"> may be able to give an initial indication of the risk of harm for a new game”</w:t>
      </w:r>
      <w:r w:rsidR="00F90BFF" w:rsidRPr="009827F3">
        <w:t xml:space="preserve">, and Participant G1 said that </w:t>
      </w:r>
      <w:r w:rsidR="008A6C4E">
        <w:t>Gamgard</w:t>
      </w:r>
      <w:r w:rsidR="00F90BFF" w:rsidRPr="009827F3">
        <w:t xml:space="preserve"> should be “</w:t>
      </w:r>
      <w:r w:rsidR="00F90BFF" w:rsidRPr="009827F3">
        <w:rPr>
          <w:i/>
        </w:rPr>
        <w:t>just one part of the overall risk evaluation process”</w:t>
      </w:r>
      <w:r w:rsidR="00F90BFF" w:rsidRPr="009827F3">
        <w:t xml:space="preserve">. Participant R1 agreed that </w:t>
      </w:r>
      <w:r w:rsidR="008A6C4E">
        <w:t>Gamgard</w:t>
      </w:r>
      <w:r w:rsidR="00F90BFF" w:rsidRPr="009827F3">
        <w:t xml:space="preserve"> may be helpful, but </w:t>
      </w:r>
      <w:r w:rsidR="003A37A4">
        <w:t>shared</w:t>
      </w:r>
      <w:r w:rsidR="003A37A4" w:rsidRPr="009827F3">
        <w:t xml:space="preserve"> </w:t>
      </w:r>
      <w:r w:rsidR="00F90BFF" w:rsidRPr="009827F3">
        <w:t>some concerns:</w:t>
      </w:r>
    </w:p>
    <w:p w14:paraId="36892882" w14:textId="6C8A4614" w:rsidR="00F90BFF" w:rsidRDefault="00F90BFF" w:rsidP="00F90BFF">
      <w:pPr>
        <w:pStyle w:val="Quote"/>
      </w:pPr>
      <w:r w:rsidRPr="009827F3">
        <w:t xml:space="preserve">Tools like </w:t>
      </w:r>
      <w:r w:rsidR="008A6C4E">
        <w:t>Gamgard</w:t>
      </w:r>
      <w:r w:rsidRPr="009827F3">
        <w:t xml:space="preserve"> can be helpful, but I am hesitant to say they are comprehensive enough and may not have validity to provide a full measure of confidence as to whether a game is safe within reason or not. It should be either supplemented or supplement something else within a strategic approach… I would be cautious as to how far we interpret the results or scores that are outputted</w:t>
      </w:r>
      <w:r w:rsidR="00342818">
        <w:t xml:space="preserve"> (A1)</w:t>
      </w:r>
      <w:r w:rsidRPr="009827F3">
        <w:t>.</w:t>
      </w:r>
    </w:p>
    <w:p w14:paraId="403EC7BD" w14:textId="77777777" w:rsidR="00F90BFF" w:rsidRPr="00F90BFF" w:rsidRDefault="00F90BFF" w:rsidP="00F90BFF"/>
    <w:p w14:paraId="42E594F3" w14:textId="2BD45A05" w:rsidR="00F90BFF" w:rsidRPr="009827F3" w:rsidRDefault="009C3D0F" w:rsidP="00F90BFF">
      <w:pPr>
        <w:pStyle w:val="BodyText"/>
      </w:pPr>
      <w:r>
        <w:t>A second p</w:t>
      </w:r>
      <w:r w:rsidR="00F90BFF" w:rsidRPr="009827F3">
        <w:t xml:space="preserve">articipant did not see value in using </w:t>
      </w:r>
      <w:r w:rsidR="008A6C4E">
        <w:t>Gamgard</w:t>
      </w:r>
      <w:r w:rsidR="00F90BFF" w:rsidRPr="009827F3">
        <w:t xml:space="preserve">. They felt that </w:t>
      </w:r>
      <w:r w:rsidR="008A6C4E">
        <w:t>Gamgard</w:t>
      </w:r>
      <w:r w:rsidR="00F90BFF" w:rsidRPr="009827F3">
        <w:t xml:space="preserve"> appealed to operators and regulators as it provided a tidy package and a sense that the resulting gambling products were not very risky.  </w:t>
      </w:r>
    </w:p>
    <w:p w14:paraId="29E1D708" w14:textId="0C8E3F12" w:rsidR="00F90BFF" w:rsidRPr="009827F3" w:rsidRDefault="008A6C4E" w:rsidP="00F90BFF">
      <w:pPr>
        <w:pStyle w:val="Quote"/>
      </w:pPr>
      <w:r>
        <w:t>Gamgard</w:t>
      </w:r>
      <w:r w:rsidR="00F90BFF" w:rsidRPr="009827F3">
        <w:t xml:space="preserve"> is a salve on the conscience of governments, by being able to say</w:t>
      </w:r>
      <w:r w:rsidR="003A37A4">
        <w:t>,</w:t>
      </w:r>
      <w:r w:rsidR="00F90BFF" w:rsidRPr="009827F3">
        <w:t xml:space="preserve"> </w:t>
      </w:r>
      <w:r w:rsidR="003A37A4">
        <w:t>“L</w:t>
      </w:r>
      <w:r w:rsidR="00F90BFF" w:rsidRPr="009827F3">
        <w:t>ook I have a machine with a gold star so now everything is fine. So now I can ignore the carnage</w:t>
      </w:r>
      <w:r w:rsidR="0003171A">
        <w:t>”</w:t>
      </w:r>
      <w:r w:rsidR="00F90BFF" w:rsidRPr="009827F3">
        <w:t>. Buying into that narrative is very counter-productive. Spending money on a product like that is counterproductive.</w:t>
      </w:r>
    </w:p>
    <w:p w14:paraId="094FBC23" w14:textId="559DD59C" w:rsidR="00F90BFF" w:rsidRPr="009827F3" w:rsidRDefault="00F90BFF" w:rsidP="00F90BFF">
      <w:pPr>
        <w:pStyle w:val="Quote"/>
      </w:pPr>
      <w:r w:rsidRPr="009827F3">
        <w:t xml:space="preserve">The risk you run is that people will naturally gravitate toward the argument of using </w:t>
      </w:r>
      <w:r w:rsidR="008A6C4E">
        <w:t>Gamgard</w:t>
      </w:r>
      <w:r w:rsidRPr="009827F3">
        <w:t xml:space="preserve"> is ‘neat and tidy’ and attractive in that sense, but </w:t>
      </w:r>
      <w:r w:rsidR="008A6C4E">
        <w:t>Gamgard</w:t>
      </w:r>
      <w:r w:rsidRPr="009827F3">
        <w:t xml:space="preserve"> will be used as a way to justify games that are, I mean maybe you can imagine a more horrible game, but it doesn’t matter because what really matters is what is it taking, on average and the maximum, and how sticky it is, how much time is it taking, because those things are what results in harm, it’s in the definition of harm. But </w:t>
      </w:r>
      <w:r w:rsidR="008A6C4E">
        <w:t>Gamgard</w:t>
      </w:r>
      <w:r w:rsidRPr="009827F3">
        <w:t xml:space="preserve"> white-washes that fundamental message, they allow you to say everything is fine, when everything isn’t fine</w:t>
      </w:r>
      <w:r w:rsidR="00F51A78">
        <w:t xml:space="preserve"> (A2)</w:t>
      </w:r>
      <w:r w:rsidRPr="009827F3">
        <w:t>.</w:t>
      </w:r>
    </w:p>
    <w:p w14:paraId="52F12FF4" w14:textId="77777777" w:rsidR="00F90BFF" w:rsidRPr="009827F3" w:rsidRDefault="00F90BFF" w:rsidP="00F90BFF">
      <w:pPr>
        <w:pStyle w:val="Quote"/>
      </w:pPr>
    </w:p>
    <w:p w14:paraId="09C9880C" w14:textId="2E54EF28" w:rsidR="00F90BFF" w:rsidRPr="009827F3" w:rsidRDefault="00F90BFF" w:rsidP="00F90BFF">
      <w:pPr>
        <w:pStyle w:val="BodyText"/>
      </w:pPr>
      <w:r w:rsidRPr="009827F3">
        <w:t xml:space="preserve">In summary, there were mixed opinions among the participants regarding the value of using </w:t>
      </w:r>
      <w:r w:rsidR="008A6C4E">
        <w:t>Gamgard</w:t>
      </w:r>
      <w:r w:rsidRPr="009827F3">
        <w:t xml:space="preserve">, ranging from reasonably confident that it adds value, to cautiously assessing that it might add some value, to being critical of the </w:t>
      </w:r>
      <w:r w:rsidR="008A6C4E">
        <w:t>Gamgard</w:t>
      </w:r>
      <w:r w:rsidRPr="009827F3">
        <w:t xml:space="preserve"> approach. Some participants raised or addressed specific concerns about </w:t>
      </w:r>
      <w:r w:rsidR="008A6C4E">
        <w:t>Gamgard</w:t>
      </w:r>
      <w:r w:rsidR="0003171A">
        <w:t>,</w:t>
      </w:r>
      <w:r w:rsidRPr="009827F3">
        <w:t xml:space="preserve"> </w:t>
      </w:r>
      <w:r w:rsidR="0003171A">
        <w:t>which</w:t>
      </w:r>
      <w:r w:rsidRPr="009827F3">
        <w:t xml:space="preserve"> are covered next</w:t>
      </w:r>
      <w:r w:rsidR="009C3D0F">
        <w:t xml:space="preserve"> </w:t>
      </w:r>
    </w:p>
    <w:p w14:paraId="514B928F" w14:textId="3D67B4D5" w:rsidR="00F90BFF" w:rsidRDefault="008A6C4E" w:rsidP="00810732">
      <w:pPr>
        <w:pStyle w:val="Heading4"/>
      </w:pPr>
      <w:r>
        <w:t>Gamgard</w:t>
      </w:r>
      <w:r w:rsidR="00F90BFF">
        <w:t xml:space="preserve">’s fit with the New Zealand risk context </w:t>
      </w:r>
    </w:p>
    <w:p w14:paraId="3F0C6A4C" w14:textId="1B8B7E27" w:rsidR="00F90BFF" w:rsidRPr="009827F3" w:rsidRDefault="00F90BFF" w:rsidP="00F90BFF">
      <w:pPr>
        <w:pStyle w:val="BodyText"/>
      </w:pPr>
      <w:r w:rsidRPr="009827F3">
        <w:t xml:space="preserve">There were mixed opinions regarding the extent to which </w:t>
      </w:r>
      <w:r w:rsidR="008A6C4E">
        <w:t>Gamgard</w:t>
      </w:r>
      <w:r w:rsidRPr="009827F3">
        <w:t xml:space="preserve"> may be accurate within the New Zealand setting. </w:t>
      </w:r>
      <w:r w:rsidR="00F51A78">
        <w:t>One p</w:t>
      </w:r>
      <w:r w:rsidRPr="009827F3">
        <w:t xml:space="preserve">articipant raised </w:t>
      </w:r>
      <w:r w:rsidR="008B015E">
        <w:t xml:space="preserve">a </w:t>
      </w:r>
      <w:r w:rsidRPr="009827F3">
        <w:t xml:space="preserve">concern over how well </w:t>
      </w:r>
      <w:r w:rsidR="008A6C4E">
        <w:t>Gamgard</w:t>
      </w:r>
      <w:r w:rsidRPr="009827F3">
        <w:t xml:space="preserve"> would assess risk of harm for vulnerable populations within a New Zealand context:</w:t>
      </w:r>
    </w:p>
    <w:p w14:paraId="4B12C66F" w14:textId="7790C3A4" w:rsidR="00F90BFF" w:rsidRPr="009827F3" w:rsidRDefault="00F90BFF" w:rsidP="00F90BFF">
      <w:pPr>
        <w:pStyle w:val="Quote"/>
      </w:pPr>
      <w:r w:rsidRPr="009827F3">
        <w:lastRenderedPageBreak/>
        <w:t>My concern with generic tools is, in a multicultural place like NZ, we know research shows particular populations are very high risk, such as Māori, Pacific and Asian people, lower socioeconomic groups, and youth</w:t>
      </w:r>
      <w:r w:rsidR="00F51A78">
        <w:t xml:space="preserve"> (A1)</w:t>
      </w:r>
      <w:r w:rsidRPr="009827F3">
        <w:t>.</w:t>
      </w:r>
    </w:p>
    <w:p w14:paraId="2A5373C1" w14:textId="77777777" w:rsidR="00F90BFF" w:rsidRPr="009827F3" w:rsidRDefault="00F90BFF" w:rsidP="00F90BFF">
      <w:pPr>
        <w:ind w:left="720" w:right="1286"/>
        <w:jc w:val="both"/>
        <w:rPr>
          <w:i/>
        </w:rPr>
      </w:pPr>
    </w:p>
    <w:p w14:paraId="5E8C8E60" w14:textId="517353D1" w:rsidR="00F90BFF" w:rsidRPr="009827F3" w:rsidRDefault="00F90BFF" w:rsidP="00F90BFF">
      <w:pPr>
        <w:pStyle w:val="BodyText"/>
      </w:pPr>
      <w:r w:rsidRPr="009827F3">
        <w:t xml:space="preserve">They pointed out that </w:t>
      </w:r>
      <w:r w:rsidR="008A6C4E">
        <w:t>Gamgard</w:t>
      </w:r>
      <w:r w:rsidRPr="009827F3">
        <w:t xml:space="preserve"> was “</w:t>
      </w:r>
      <w:r w:rsidRPr="009827F3">
        <w:rPr>
          <w:i/>
        </w:rPr>
        <w:t>developed in a cultural context that is very different to New Zealand”</w:t>
      </w:r>
      <w:r w:rsidRPr="009827F3">
        <w:t xml:space="preserve"> and described </w:t>
      </w:r>
      <w:r w:rsidR="008A6C4E">
        <w:t>Gamgard</w:t>
      </w:r>
      <w:r w:rsidRPr="009827F3">
        <w:t xml:space="preserve"> as being </w:t>
      </w:r>
      <w:r w:rsidRPr="009827F3">
        <w:rPr>
          <w:i/>
        </w:rPr>
        <w:t>Euro-centric</w:t>
      </w:r>
      <w:r w:rsidRPr="009827F3">
        <w:t xml:space="preserve">. </w:t>
      </w:r>
      <w:r w:rsidR="00F51A78">
        <w:t xml:space="preserve">A second participant </w:t>
      </w:r>
      <w:r w:rsidRPr="009827F3">
        <w:t xml:space="preserve"> raised a similar point:</w:t>
      </w:r>
    </w:p>
    <w:p w14:paraId="7385385F" w14:textId="18C2CD0A" w:rsidR="00F90BFF" w:rsidRPr="009827F3" w:rsidRDefault="00F90BFF" w:rsidP="00F90BFF">
      <w:pPr>
        <w:pStyle w:val="Quote"/>
      </w:pPr>
      <w:r w:rsidRPr="009827F3">
        <w:t>One size fits all does not work or take into account issues of social and cultural difference. The place of implementation has a lot to do with the potential impact (of a game). I know in NZ</w:t>
      </w:r>
      <w:r w:rsidR="00E76BD6">
        <w:t>,</w:t>
      </w:r>
      <w:r w:rsidRPr="009827F3">
        <w:t xml:space="preserve"> for instance</w:t>
      </w:r>
      <w:r w:rsidR="00E76BD6">
        <w:t>,</w:t>
      </w:r>
      <w:r w:rsidRPr="009827F3">
        <w:t xml:space="preserve"> that certain games located in certain areas have had disproportionate impact on those areas, and that’s a public health issue</w:t>
      </w:r>
      <w:r w:rsidR="00F51A78">
        <w:t xml:space="preserve"> (R1)</w:t>
      </w:r>
      <w:r w:rsidRPr="009827F3">
        <w:t xml:space="preserve">. </w:t>
      </w:r>
    </w:p>
    <w:p w14:paraId="58D09038" w14:textId="77777777" w:rsidR="00F90BFF" w:rsidRPr="009827F3" w:rsidRDefault="00F90BFF" w:rsidP="00F90BFF">
      <w:pPr>
        <w:ind w:left="720" w:right="1170"/>
        <w:jc w:val="both"/>
        <w:rPr>
          <w:i/>
        </w:rPr>
      </w:pPr>
    </w:p>
    <w:p w14:paraId="543989FC" w14:textId="30268337" w:rsidR="00F90BFF" w:rsidRPr="009827F3" w:rsidRDefault="00E76BD6" w:rsidP="00F90BFF">
      <w:pPr>
        <w:pStyle w:val="BodyText"/>
        <w:rPr>
          <w:i/>
        </w:rPr>
      </w:pPr>
      <w:r>
        <w:t>By</w:t>
      </w:r>
      <w:r w:rsidRPr="009827F3">
        <w:t xml:space="preserve"> </w:t>
      </w:r>
      <w:r w:rsidR="00F90BFF" w:rsidRPr="009827F3">
        <w:t xml:space="preserve">contrast, </w:t>
      </w:r>
      <w:r w:rsidR="00F51A78">
        <w:t>another p</w:t>
      </w:r>
      <w:r w:rsidR="00F90BFF" w:rsidRPr="009827F3">
        <w:t xml:space="preserve">articipant disagreed that </w:t>
      </w:r>
      <w:r w:rsidR="008A6C4E">
        <w:t>Gamgard</w:t>
      </w:r>
      <w:r w:rsidR="00F90BFF" w:rsidRPr="009827F3">
        <w:t xml:space="preserve"> may not be suited to the New Zealand context. They explained that features in </w:t>
      </w:r>
      <w:r w:rsidR="008A6C4E">
        <w:t>Gamgard</w:t>
      </w:r>
      <w:r w:rsidR="00F90BFF" w:rsidRPr="009827F3">
        <w:t xml:space="preserve"> are based on “</w:t>
      </w:r>
      <w:r w:rsidR="00F90BFF" w:rsidRPr="009827F3">
        <w:rPr>
          <w:i/>
        </w:rPr>
        <w:t>universal psychological principles, such as reinforcement, escape, arousal, addiction etc. They are fairly universal and fairly well measured”</w:t>
      </w:r>
      <w:r w:rsidR="00FA4A74">
        <w:rPr>
          <w:i/>
        </w:rPr>
        <w:t xml:space="preserve"> (G1)</w:t>
      </w:r>
      <w:r w:rsidR="00F90BFF" w:rsidRPr="009827F3">
        <w:rPr>
          <w:i/>
        </w:rPr>
        <w:t>.</w:t>
      </w:r>
    </w:p>
    <w:p w14:paraId="55A7B8E6" w14:textId="63AB2DDC" w:rsidR="00F90BFF" w:rsidRPr="009827F3" w:rsidRDefault="00E76BD6" w:rsidP="00F90BFF">
      <w:pPr>
        <w:pStyle w:val="BodyText"/>
      </w:pPr>
      <w:r>
        <w:t>There are</w:t>
      </w:r>
      <w:r w:rsidR="00F90BFF" w:rsidRPr="009827F3">
        <w:t xml:space="preserve"> diverging opinions of </w:t>
      </w:r>
      <w:r w:rsidR="008A6C4E">
        <w:t>Gamgard</w:t>
      </w:r>
      <w:r w:rsidR="00F90BFF" w:rsidRPr="009827F3">
        <w:t>’s ability to assess risk in the New Zealand context, with two participants concerned that it may not be suitable, while one participant felt that it likely was. The next section presents participants</w:t>
      </w:r>
      <w:r w:rsidR="0020379C">
        <w:t>’</w:t>
      </w:r>
      <w:r w:rsidR="00F90BFF" w:rsidRPr="009827F3">
        <w:t xml:space="preserve"> views on the validity of </w:t>
      </w:r>
      <w:r w:rsidR="008A6C4E">
        <w:t>Gamgard</w:t>
      </w:r>
      <w:r w:rsidR="00F90BFF" w:rsidRPr="009827F3">
        <w:t xml:space="preserve"> ratings.</w:t>
      </w:r>
    </w:p>
    <w:p w14:paraId="6AF54A71" w14:textId="4E7D4CF9" w:rsidR="00F90BFF" w:rsidRDefault="000C134A" w:rsidP="00810732">
      <w:pPr>
        <w:pStyle w:val="Heading4"/>
      </w:pPr>
      <w:r>
        <w:t xml:space="preserve">Validity of </w:t>
      </w:r>
      <w:r w:rsidR="008A6C4E">
        <w:t>Gamgard</w:t>
      </w:r>
      <w:r>
        <w:t xml:space="preserve"> ratings </w:t>
      </w:r>
    </w:p>
    <w:p w14:paraId="71A91AA8" w14:textId="593DE642" w:rsidR="000C134A" w:rsidRPr="009827F3" w:rsidRDefault="000C134A" w:rsidP="000C134A">
      <w:pPr>
        <w:pStyle w:val="BodyText"/>
      </w:pPr>
      <w:r w:rsidRPr="009827F3">
        <w:t xml:space="preserve">Some participants were concerned about the validity of </w:t>
      </w:r>
      <w:r w:rsidR="008A6C4E">
        <w:t>Gamgard</w:t>
      </w:r>
      <w:r w:rsidRPr="009827F3">
        <w:t xml:space="preserve"> ratings. For example, </w:t>
      </w:r>
      <w:r w:rsidR="008672ED">
        <w:t>one p</w:t>
      </w:r>
      <w:r w:rsidRPr="009827F3">
        <w:t xml:space="preserve">articipant </w:t>
      </w:r>
      <w:r w:rsidR="008672ED">
        <w:t>e</w:t>
      </w:r>
      <w:r w:rsidRPr="009827F3">
        <w:t xml:space="preserve">xplained that to the best of their knowledge </w:t>
      </w:r>
      <w:r w:rsidR="008A6C4E">
        <w:t>Gamgard</w:t>
      </w:r>
      <w:r w:rsidRPr="009827F3">
        <w:t xml:space="preserve"> had not been proven to be valid:</w:t>
      </w:r>
    </w:p>
    <w:p w14:paraId="1DD8FB23" w14:textId="73FAF2D3" w:rsidR="000C134A" w:rsidRPr="009827F3" w:rsidRDefault="000C134A" w:rsidP="000C134A">
      <w:pPr>
        <w:pStyle w:val="Quote"/>
      </w:pPr>
      <w:r w:rsidRPr="009827F3">
        <w:t xml:space="preserve">So far as I know, the tool itself hasn’t been tested. I recently read the 2018 Ottawa evaluation of </w:t>
      </w:r>
      <w:r w:rsidR="008A6C4E">
        <w:t>Gamgard</w:t>
      </w:r>
      <w:r w:rsidRPr="009827F3">
        <w:t>, and I think it brings up a lot of interesting points, but it does not quantitatively provide a clear picture of the programmes</w:t>
      </w:r>
      <w:r w:rsidR="0020379C">
        <w:t>’</w:t>
      </w:r>
      <w:r w:rsidRPr="009827F3">
        <w:t xml:space="preserve"> validity, especially content validity, it provides a sense of the validity as it is perceived by some operators and regulators, but in terms of the system itself being a valid tool for consistently</w:t>
      </w:r>
      <w:r w:rsidR="00CA7884">
        <w:t>,</w:t>
      </w:r>
      <w:r w:rsidRPr="009827F3">
        <w:t xml:space="preserve"> and reliably making an assessment of the risk of a game, which has policy implications, is precarious. I’m not saying it isn’t valid, but I haven’t come across anything that has proven that out</w:t>
      </w:r>
      <w:r w:rsidR="008672ED">
        <w:t xml:space="preserve"> (R1)</w:t>
      </w:r>
      <w:r w:rsidRPr="009827F3">
        <w:t>.</w:t>
      </w:r>
    </w:p>
    <w:p w14:paraId="28272863" w14:textId="77777777" w:rsidR="000C134A" w:rsidRPr="009827F3" w:rsidRDefault="000C134A" w:rsidP="000C134A">
      <w:pPr>
        <w:ind w:left="720" w:right="1350"/>
        <w:jc w:val="both"/>
        <w:rPr>
          <w:i/>
        </w:rPr>
      </w:pPr>
    </w:p>
    <w:p w14:paraId="01451A10" w14:textId="601010DA" w:rsidR="000C134A" w:rsidRPr="009827F3" w:rsidRDefault="000C134A" w:rsidP="000C134A">
      <w:pPr>
        <w:pStyle w:val="BodyText"/>
      </w:pPr>
      <w:r w:rsidRPr="009827F3">
        <w:t xml:space="preserve">In contrast, </w:t>
      </w:r>
      <w:r w:rsidR="008672ED">
        <w:t>another p</w:t>
      </w:r>
      <w:r w:rsidRPr="009827F3">
        <w:t xml:space="preserve">articipant </w:t>
      </w:r>
      <w:r w:rsidR="007B2C83">
        <w:t>(</w:t>
      </w:r>
      <w:r w:rsidRPr="009827F3">
        <w:t>G1</w:t>
      </w:r>
      <w:r w:rsidR="007B2C83">
        <w:t>)</w:t>
      </w:r>
      <w:r w:rsidRPr="009827F3">
        <w:t xml:space="preserve"> disagreed and felt that the Ottawa study had found there was a good fit between </w:t>
      </w:r>
      <w:r w:rsidR="008A6C4E">
        <w:t>Gamgard</w:t>
      </w:r>
      <w:r w:rsidRPr="009827F3">
        <w:t xml:space="preserve"> ratings and actual game risk, as measured by treatment provider reports. They also mentioned a study from Denmark which compared treatment provider reports with </w:t>
      </w:r>
      <w:r w:rsidR="008A6C4E">
        <w:t>Gamgard</w:t>
      </w:r>
      <w:r w:rsidRPr="009827F3">
        <w:t xml:space="preserve"> ratings and found them to be consistent. </w:t>
      </w:r>
    </w:p>
    <w:p w14:paraId="14E03D07" w14:textId="77777777" w:rsidR="000C134A" w:rsidRPr="009827F3" w:rsidRDefault="000C134A" w:rsidP="000C134A">
      <w:pPr>
        <w:pStyle w:val="BodyText"/>
      </w:pPr>
      <w:r w:rsidRPr="009827F3">
        <w:t>The next section addresses concerns regarding the consistency in risk of particular game features.</w:t>
      </w:r>
    </w:p>
    <w:p w14:paraId="07B533BD" w14:textId="1BBC2985" w:rsidR="000C134A" w:rsidRDefault="000C134A" w:rsidP="00810732">
      <w:pPr>
        <w:pStyle w:val="Heading4"/>
      </w:pPr>
      <w:r>
        <w:t>Consistency in risk of game features</w:t>
      </w:r>
    </w:p>
    <w:p w14:paraId="76030947" w14:textId="143AF68E" w:rsidR="000C134A" w:rsidRPr="009827F3" w:rsidRDefault="000C134A" w:rsidP="000C134A">
      <w:pPr>
        <w:pStyle w:val="BodyText"/>
      </w:pPr>
      <w:r w:rsidRPr="009827F3">
        <w:t xml:space="preserve">Some participants raised the issue that the game features included in </w:t>
      </w:r>
      <w:r w:rsidR="008A6C4E">
        <w:t>Gamgard</w:t>
      </w:r>
      <w:r w:rsidRPr="009827F3">
        <w:t xml:space="preserve"> </w:t>
      </w:r>
      <w:r w:rsidR="006C18D3">
        <w:t>could</w:t>
      </w:r>
      <w:r w:rsidR="006C18D3" w:rsidRPr="009827F3">
        <w:t xml:space="preserve"> </w:t>
      </w:r>
      <w:r w:rsidRPr="009827F3">
        <w:t xml:space="preserve">not be consistently measured or may not have a consistent level of risk. For example, </w:t>
      </w:r>
      <w:r w:rsidR="00742892">
        <w:t>one p</w:t>
      </w:r>
      <w:r w:rsidRPr="009827F3">
        <w:t>articipant</w:t>
      </w:r>
      <w:r w:rsidR="00742892">
        <w:t xml:space="preserve"> </w:t>
      </w:r>
      <w:r w:rsidR="006C18D3">
        <w:t>mention</w:t>
      </w:r>
      <w:r w:rsidR="006C18D3" w:rsidRPr="009827F3">
        <w:t xml:space="preserve">ed </w:t>
      </w:r>
      <w:r w:rsidRPr="009827F3">
        <w:t xml:space="preserve">that ‘speed of play’ is generally seen as risky, but it is not necessary so: </w:t>
      </w:r>
    </w:p>
    <w:p w14:paraId="0E9877B4" w14:textId="4F44BD02" w:rsidR="000C134A" w:rsidRPr="009827F3" w:rsidRDefault="000C134A" w:rsidP="000C134A">
      <w:pPr>
        <w:pStyle w:val="Quote"/>
      </w:pPr>
      <w:r w:rsidRPr="009827F3">
        <w:t>You can have a slow game you lose a lot of money on and a fast game you lose very little money on, because these features all interact</w:t>
      </w:r>
      <w:r w:rsidR="00742892">
        <w:t xml:space="preserve"> (A2)</w:t>
      </w:r>
      <w:r w:rsidRPr="009827F3">
        <w:t>.</w:t>
      </w:r>
    </w:p>
    <w:p w14:paraId="0A34E147" w14:textId="77777777" w:rsidR="000C134A" w:rsidRPr="009827F3" w:rsidRDefault="000C134A" w:rsidP="000C134A">
      <w:pPr>
        <w:jc w:val="both"/>
      </w:pPr>
    </w:p>
    <w:p w14:paraId="29B30CB4" w14:textId="27FFD13F" w:rsidR="000C134A" w:rsidRPr="009827F3" w:rsidRDefault="00742892" w:rsidP="00CB13B9">
      <w:pPr>
        <w:pStyle w:val="BodyText"/>
        <w:keepNext/>
      </w:pPr>
      <w:r>
        <w:t>Another participant</w:t>
      </w:r>
      <w:r w:rsidR="000C134A" w:rsidRPr="009827F3">
        <w:t xml:space="preserve"> elaborated:</w:t>
      </w:r>
    </w:p>
    <w:p w14:paraId="4019A118" w14:textId="00323630" w:rsidR="000C134A" w:rsidRPr="009827F3" w:rsidRDefault="000C134A" w:rsidP="00CB13B9">
      <w:pPr>
        <w:pStyle w:val="Quote"/>
        <w:keepNext/>
      </w:pPr>
      <w:r w:rsidRPr="009827F3">
        <w:t>In terms of the features, the thing is, some of these are important areas of consideration, but because of their abstract nature, they can be applied or have multiple different meanings, and each of those meanings can have different relative weights of risk</w:t>
      </w:r>
      <w:r w:rsidR="00742892">
        <w:t xml:space="preserve"> (R2)</w:t>
      </w:r>
      <w:r w:rsidRPr="009827F3">
        <w:t>.</w:t>
      </w:r>
    </w:p>
    <w:p w14:paraId="3245E478" w14:textId="77777777" w:rsidR="000C134A" w:rsidRPr="009827F3" w:rsidRDefault="000C134A" w:rsidP="000C134A">
      <w:pPr>
        <w:ind w:left="720" w:right="1260"/>
        <w:jc w:val="both"/>
        <w:rPr>
          <w:i/>
        </w:rPr>
      </w:pPr>
    </w:p>
    <w:p w14:paraId="3E5AA5C3" w14:textId="1502CF7B" w:rsidR="000C134A" w:rsidRPr="009827F3" w:rsidRDefault="00742892" w:rsidP="000C134A">
      <w:pPr>
        <w:pStyle w:val="BodyText"/>
      </w:pPr>
      <w:r>
        <w:t>A third participant</w:t>
      </w:r>
      <w:r w:rsidR="000C134A" w:rsidRPr="009827F3">
        <w:t xml:space="preserve"> agreed, but felt that this variation was accounted for by the range of features assessed in </w:t>
      </w:r>
      <w:r w:rsidR="008A6C4E">
        <w:t>Gamgard</w:t>
      </w:r>
      <w:r w:rsidR="000C134A" w:rsidRPr="009827F3">
        <w:t>:</w:t>
      </w:r>
    </w:p>
    <w:p w14:paraId="33714363" w14:textId="5A29E9FF" w:rsidR="000C134A" w:rsidRPr="009827F3" w:rsidRDefault="000C134A" w:rsidP="000C134A">
      <w:pPr>
        <w:pStyle w:val="Quote"/>
      </w:pPr>
      <w:r w:rsidRPr="009827F3">
        <w:t xml:space="preserve">There is some variation and that is accounted for in other aspects. For example, people say that online games are riskier than other delivery methods, but this is assessed under the availability of the game, so this risk is accounted for there. But, because it is an online game you may give the players the option to set limits or get playing feedback, or pop </w:t>
      </w:r>
      <w:r w:rsidRPr="009827F3">
        <w:lastRenderedPageBreak/>
        <w:t>ups to limit that risk… This is why it is important to look at the structural characteristics of a game. For example, a fast action lottery game could be very high risk, e.g. it’s fast and you can play it for long periods of time. You could produce a pokie that was benevolent and a lottery that was very risky. Different game types to tend to have different game characteristics but this does not inherently need to be the case</w:t>
      </w:r>
      <w:r w:rsidR="00742892">
        <w:t xml:space="preserve"> (G1)</w:t>
      </w:r>
      <w:r w:rsidRPr="009827F3">
        <w:t>.</w:t>
      </w:r>
    </w:p>
    <w:p w14:paraId="1B32E8D6" w14:textId="77777777" w:rsidR="000C134A" w:rsidRPr="009827F3" w:rsidRDefault="000C134A" w:rsidP="000C134A">
      <w:pPr>
        <w:ind w:right="1196"/>
        <w:jc w:val="both"/>
        <w:rPr>
          <w:i/>
        </w:rPr>
      </w:pPr>
    </w:p>
    <w:p w14:paraId="0B1B123E" w14:textId="5FE0755D" w:rsidR="000C134A" w:rsidRPr="009827F3" w:rsidRDefault="00600108" w:rsidP="000C134A">
      <w:pPr>
        <w:pStyle w:val="BodyText"/>
      </w:pPr>
      <w:r>
        <w:t>In sum,</w:t>
      </w:r>
      <w:r w:rsidR="000C134A" w:rsidRPr="009827F3">
        <w:t xml:space="preserve"> participants disagreed regarding the consistency of risk, and consistency of the measurement of risk, across the game features measured in </w:t>
      </w:r>
      <w:r w:rsidR="008A6C4E">
        <w:t>Gamgard</w:t>
      </w:r>
      <w:r w:rsidR="000C134A" w:rsidRPr="009827F3">
        <w:t xml:space="preserve"> and </w:t>
      </w:r>
      <w:r>
        <w:t xml:space="preserve">for </w:t>
      </w:r>
      <w:r w:rsidR="000C134A" w:rsidRPr="009827F3">
        <w:t xml:space="preserve">different gambling games. The next section </w:t>
      </w:r>
      <w:r w:rsidR="002A00CD">
        <w:t>addresses</w:t>
      </w:r>
      <w:r w:rsidR="000C134A" w:rsidRPr="009827F3">
        <w:t xml:space="preserve"> game features that are potentially risky, but where the risk is not well known.</w:t>
      </w:r>
    </w:p>
    <w:p w14:paraId="1C919B66" w14:textId="5BBFE284" w:rsidR="000C134A" w:rsidRDefault="000C134A" w:rsidP="00810732">
      <w:pPr>
        <w:pStyle w:val="Heading4"/>
      </w:pPr>
      <w:r>
        <w:t>Potentially risky features</w:t>
      </w:r>
    </w:p>
    <w:p w14:paraId="51478EDE" w14:textId="3006291D" w:rsidR="000C134A" w:rsidRPr="009827F3" w:rsidRDefault="006465C9" w:rsidP="000C134A">
      <w:pPr>
        <w:jc w:val="both"/>
      </w:pPr>
      <w:r>
        <w:t>One p</w:t>
      </w:r>
      <w:r w:rsidR="000C134A" w:rsidRPr="009827F3">
        <w:t>articipant pointed out that gambling technology is changing rapidly and that “</w:t>
      </w:r>
      <w:r w:rsidR="008A6C4E">
        <w:rPr>
          <w:i/>
        </w:rPr>
        <w:t>Gamgard</w:t>
      </w:r>
      <w:r w:rsidR="000C134A" w:rsidRPr="009827F3">
        <w:rPr>
          <w:i/>
        </w:rPr>
        <w:t xml:space="preserve"> may not be relevant to new features played in new ways”</w:t>
      </w:r>
      <w:r>
        <w:rPr>
          <w:i/>
        </w:rPr>
        <w:t xml:space="preserve"> (A1)</w:t>
      </w:r>
      <w:r w:rsidR="000C134A" w:rsidRPr="009827F3">
        <w:rPr>
          <w:i/>
        </w:rPr>
        <w:t xml:space="preserve">. </w:t>
      </w:r>
      <w:r>
        <w:rPr>
          <w:iCs/>
        </w:rPr>
        <w:t>A second p</w:t>
      </w:r>
      <w:r w:rsidR="000C134A" w:rsidRPr="009827F3">
        <w:t>articipant agreed with this</w:t>
      </w:r>
      <w:r w:rsidR="002A00CD">
        <w:t xml:space="preserve">, </w:t>
      </w:r>
      <w:r w:rsidR="000C134A" w:rsidRPr="009827F3">
        <w:t>stating:</w:t>
      </w:r>
    </w:p>
    <w:p w14:paraId="4140AD12" w14:textId="77777777" w:rsidR="000C134A" w:rsidRPr="009827F3" w:rsidRDefault="000C134A" w:rsidP="000C134A">
      <w:pPr>
        <w:jc w:val="both"/>
      </w:pPr>
    </w:p>
    <w:p w14:paraId="693C5DE2" w14:textId="3E52F73D" w:rsidR="000C134A" w:rsidRPr="009827F3" w:rsidRDefault="000C134A" w:rsidP="000C134A">
      <w:pPr>
        <w:ind w:left="720" w:right="1170"/>
        <w:jc w:val="both"/>
        <w:rPr>
          <w:i/>
        </w:rPr>
      </w:pPr>
      <w:r w:rsidRPr="009827F3">
        <w:rPr>
          <w:i/>
        </w:rPr>
        <w:t xml:space="preserve">One limitation of </w:t>
      </w:r>
      <w:r w:rsidR="008A6C4E">
        <w:rPr>
          <w:i/>
        </w:rPr>
        <w:t>Gamgard</w:t>
      </w:r>
      <w:r w:rsidRPr="009827F3">
        <w:rPr>
          <w:i/>
        </w:rPr>
        <w:t xml:space="preserve"> is you can only include things if there is a good quality body of empirical research evidence base out there… Light and sound are not included in </w:t>
      </w:r>
      <w:r w:rsidR="008A6C4E">
        <w:rPr>
          <w:i/>
        </w:rPr>
        <w:t>Gamgard</w:t>
      </w:r>
      <w:r w:rsidRPr="009827F3">
        <w:rPr>
          <w:i/>
        </w:rPr>
        <w:t xml:space="preserve">. They are important but there is not enough evidence to conclusively include that in a quantitative way… </w:t>
      </w:r>
      <w:r w:rsidR="008A6C4E">
        <w:rPr>
          <w:i/>
        </w:rPr>
        <w:t>Gamgard</w:t>
      </w:r>
      <w:r w:rsidRPr="009827F3">
        <w:rPr>
          <w:i/>
        </w:rPr>
        <w:t xml:space="preserve"> accounts for this by continual monitoring of what’s going on out there, raising issues and trying to encourage new research where there are gaps</w:t>
      </w:r>
      <w:r w:rsidR="006465C9">
        <w:rPr>
          <w:i/>
        </w:rPr>
        <w:t xml:space="preserve"> (G1)</w:t>
      </w:r>
      <w:r w:rsidRPr="009827F3">
        <w:rPr>
          <w:i/>
        </w:rPr>
        <w:t>.</w:t>
      </w:r>
    </w:p>
    <w:p w14:paraId="4BEA98D8" w14:textId="77777777" w:rsidR="000C134A" w:rsidRPr="009827F3" w:rsidRDefault="000C134A" w:rsidP="000C134A">
      <w:pPr>
        <w:ind w:right="1170"/>
        <w:jc w:val="both"/>
        <w:rPr>
          <w:i/>
        </w:rPr>
      </w:pPr>
    </w:p>
    <w:p w14:paraId="01F665F9" w14:textId="66DFC984" w:rsidR="000C134A" w:rsidRPr="009827F3" w:rsidRDefault="002A3D51" w:rsidP="006465C9">
      <w:pPr>
        <w:tabs>
          <w:tab w:val="left" w:pos="8184"/>
        </w:tabs>
      </w:pPr>
      <w:r>
        <w:t>P</w:t>
      </w:r>
      <w:r w:rsidR="000C134A" w:rsidRPr="009827F3">
        <w:t xml:space="preserve">articipants that discussed this theme agreed that a limitation of </w:t>
      </w:r>
      <w:r w:rsidR="008A6C4E">
        <w:t>Gamgard</w:t>
      </w:r>
      <w:r w:rsidR="000C134A" w:rsidRPr="009827F3">
        <w:t xml:space="preserve"> is that it can only take into account features that have a sufficient evidence base regarding risk. Accordingly, it is possible that there are risky features that </w:t>
      </w:r>
      <w:r w:rsidR="008A6C4E">
        <w:t>Gamgard</w:t>
      </w:r>
      <w:r w:rsidR="000C134A" w:rsidRPr="009827F3">
        <w:t xml:space="preserve"> does not account for. The next section presents participants concerns about the ability of lower risk features to compensate for higher risk features </w:t>
      </w:r>
      <w:r>
        <w:t>when</w:t>
      </w:r>
      <w:r w:rsidRPr="009827F3">
        <w:t xml:space="preserve"> </w:t>
      </w:r>
      <w:r w:rsidR="000C134A" w:rsidRPr="009827F3">
        <w:t xml:space="preserve">producing </w:t>
      </w:r>
      <w:r w:rsidR="008A6C4E">
        <w:t>Gamgard</w:t>
      </w:r>
      <w:r w:rsidR="000C134A" w:rsidRPr="009827F3">
        <w:t xml:space="preserve"> ratings. </w:t>
      </w:r>
    </w:p>
    <w:p w14:paraId="64B2AA37" w14:textId="77777777" w:rsidR="000C134A" w:rsidRPr="009827F3" w:rsidRDefault="000C134A" w:rsidP="000C134A">
      <w:pPr>
        <w:ind w:left="720" w:right="1170"/>
        <w:jc w:val="both"/>
        <w:rPr>
          <w:i/>
        </w:rPr>
      </w:pPr>
    </w:p>
    <w:p w14:paraId="3538F8FE" w14:textId="77777777" w:rsidR="000C134A" w:rsidRPr="009827F3" w:rsidRDefault="000C134A" w:rsidP="00810732">
      <w:pPr>
        <w:pStyle w:val="Heading4"/>
      </w:pPr>
      <w:bookmarkStart w:id="364" w:name="_Toc37928179"/>
      <w:bookmarkStart w:id="365" w:name="_Toc46149991"/>
      <w:r w:rsidRPr="009827F3">
        <w:t>Compensating risk between features</w:t>
      </w:r>
      <w:bookmarkEnd w:id="364"/>
      <w:bookmarkEnd w:id="365"/>
    </w:p>
    <w:p w14:paraId="65B5002A" w14:textId="27F69FAB" w:rsidR="000C134A" w:rsidRPr="009827F3" w:rsidRDefault="000E66A6" w:rsidP="000C134A">
      <w:pPr>
        <w:jc w:val="both"/>
      </w:pPr>
      <w:r>
        <w:t>Two p</w:t>
      </w:r>
      <w:r w:rsidRPr="009827F3">
        <w:t xml:space="preserve">articipants </w:t>
      </w:r>
      <w:r>
        <w:t>(</w:t>
      </w:r>
      <w:r w:rsidR="000C134A" w:rsidRPr="009827F3">
        <w:t>A1</w:t>
      </w:r>
      <w:r>
        <w:t>,</w:t>
      </w:r>
      <w:r w:rsidR="000C134A" w:rsidRPr="009827F3">
        <w:t xml:space="preserve"> R1</w:t>
      </w:r>
      <w:r>
        <w:t>)</w:t>
      </w:r>
      <w:r w:rsidR="000C134A" w:rsidRPr="009827F3">
        <w:t xml:space="preserve"> raised concerns about whether the presence of lower risk features could compensate for the presence of higher risk features. </w:t>
      </w:r>
      <w:r w:rsidR="00393B2C">
        <w:t>One participant</w:t>
      </w:r>
      <w:r w:rsidR="000C134A" w:rsidRPr="009827F3">
        <w:t xml:space="preserve"> felt they could not unless they directly mitigated the risk, “</w:t>
      </w:r>
      <w:r w:rsidR="000C134A" w:rsidRPr="009827F3">
        <w:rPr>
          <w:i/>
        </w:rPr>
        <w:t>for example an effective limit on time and money spent”</w:t>
      </w:r>
      <w:r w:rsidR="00393B2C">
        <w:rPr>
          <w:i/>
        </w:rPr>
        <w:t xml:space="preserve"> (A1)</w:t>
      </w:r>
      <w:r w:rsidR="000C134A" w:rsidRPr="009827F3">
        <w:rPr>
          <w:i/>
        </w:rPr>
        <w:t xml:space="preserve">. </w:t>
      </w:r>
      <w:r w:rsidR="00393B2C">
        <w:t>The se</w:t>
      </w:r>
      <w:r w:rsidR="0048310F">
        <w:t>c</w:t>
      </w:r>
      <w:r w:rsidR="00393B2C">
        <w:t>ond</w:t>
      </w:r>
      <w:r w:rsidR="000C134A" w:rsidRPr="009827F3">
        <w:t xml:space="preserve"> </w:t>
      </w:r>
      <w:r w:rsidR="00FC571C">
        <w:t>not</w:t>
      </w:r>
      <w:r w:rsidR="00FC571C" w:rsidRPr="009827F3">
        <w:t xml:space="preserve">ed </w:t>
      </w:r>
      <w:r w:rsidR="000C134A" w:rsidRPr="009827F3">
        <w:t xml:space="preserve">that the responsible gambling features in </w:t>
      </w:r>
      <w:r w:rsidR="008A6C4E">
        <w:t>Gamgard</w:t>
      </w:r>
      <w:r w:rsidR="000C134A" w:rsidRPr="009827F3">
        <w:t xml:space="preserve"> may not be effective in a real-world setting:</w:t>
      </w:r>
    </w:p>
    <w:p w14:paraId="6BD42791" w14:textId="77777777" w:rsidR="000C134A" w:rsidRPr="009827F3" w:rsidRDefault="000C134A" w:rsidP="000C134A">
      <w:pPr>
        <w:jc w:val="both"/>
      </w:pPr>
    </w:p>
    <w:p w14:paraId="44FEDD7C" w14:textId="3DD84379" w:rsidR="000C134A" w:rsidRPr="009827F3" w:rsidRDefault="000C134A" w:rsidP="000C134A">
      <w:pPr>
        <w:ind w:left="720" w:right="1170"/>
        <w:jc w:val="both"/>
        <w:rPr>
          <w:i/>
        </w:rPr>
      </w:pPr>
      <w:r w:rsidRPr="009827F3">
        <w:rPr>
          <w:i/>
        </w:rPr>
        <w:t xml:space="preserve">In terms of the responsible gambling features [in </w:t>
      </w:r>
      <w:r w:rsidR="008A6C4E">
        <w:rPr>
          <w:i/>
        </w:rPr>
        <w:t>Gamgard</w:t>
      </w:r>
      <w:r w:rsidRPr="009827F3">
        <w:rPr>
          <w:i/>
        </w:rPr>
        <w:t>], that are supposed to discount the potential risk of a particular game, my understanding is time limits are not effective compared to monetary limits, but there is a lack of consensus in the field regarding pre-commitment. But this has to do with research design to test these features. Often it is tested in a lab which does not reflect the natural environment, or the actual population who will play (usually student convenience samples). I have concerns about the validity of that</w:t>
      </w:r>
      <w:r w:rsidR="00393B2C">
        <w:rPr>
          <w:i/>
        </w:rPr>
        <w:t xml:space="preserve"> (R1)</w:t>
      </w:r>
      <w:r w:rsidRPr="009827F3">
        <w:rPr>
          <w:i/>
        </w:rPr>
        <w:t>.</w:t>
      </w:r>
    </w:p>
    <w:p w14:paraId="0083C8F9" w14:textId="77777777" w:rsidR="000C134A" w:rsidRPr="009827F3" w:rsidRDefault="000C134A" w:rsidP="000C134A">
      <w:pPr>
        <w:ind w:left="720" w:right="1170"/>
        <w:jc w:val="both"/>
        <w:rPr>
          <w:i/>
        </w:rPr>
      </w:pPr>
    </w:p>
    <w:p w14:paraId="5AC1B3A6" w14:textId="71E8464D" w:rsidR="000C134A" w:rsidRPr="009827F3" w:rsidRDefault="00393B2C" w:rsidP="000C134A">
      <w:pPr>
        <w:jc w:val="both"/>
      </w:pPr>
      <w:r>
        <w:t>They</w:t>
      </w:r>
      <w:r w:rsidR="000C134A" w:rsidRPr="009827F3">
        <w:t xml:space="preserve"> also made the case that the effectiveness of compensatory features depends on how they are implemented:</w:t>
      </w:r>
    </w:p>
    <w:p w14:paraId="5415D42D" w14:textId="77777777" w:rsidR="000C134A" w:rsidRPr="009827F3" w:rsidRDefault="000C134A" w:rsidP="000C134A">
      <w:pPr>
        <w:jc w:val="both"/>
      </w:pPr>
    </w:p>
    <w:p w14:paraId="6479A4BA" w14:textId="109802B5" w:rsidR="000C134A" w:rsidRPr="009827F3" w:rsidRDefault="000C134A" w:rsidP="000C134A">
      <w:pPr>
        <w:ind w:left="720" w:right="1170"/>
        <w:jc w:val="both"/>
        <w:rPr>
          <w:i/>
        </w:rPr>
      </w:pPr>
      <w:r w:rsidRPr="009827F3">
        <w:rPr>
          <w:i/>
        </w:rPr>
        <w:t>The other issue that I think is significant, is that the responsible gambling features effect will be significantly modified by whether the limits are voluntary or mandatory. And that is in relation to whether it is the setting of the limit or the limit itself which is voluntary or mandatory. The exercise of setting the limit is significant, but the option of setting a limit is not. The intervention may be effective but the implementation of it may not be</w:t>
      </w:r>
      <w:r w:rsidR="00393B2C">
        <w:rPr>
          <w:i/>
        </w:rPr>
        <w:t xml:space="preserve"> (R1)</w:t>
      </w:r>
      <w:r w:rsidRPr="009827F3">
        <w:rPr>
          <w:i/>
        </w:rPr>
        <w:t>.</w:t>
      </w:r>
    </w:p>
    <w:p w14:paraId="29B1605E" w14:textId="77777777" w:rsidR="000C134A" w:rsidRPr="009827F3" w:rsidRDefault="000C134A" w:rsidP="000C134A">
      <w:pPr>
        <w:ind w:right="1170"/>
        <w:jc w:val="both"/>
        <w:rPr>
          <w:i/>
        </w:rPr>
      </w:pPr>
    </w:p>
    <w:p w14:paraId="14CAC61A" w14:textId="350D59AC" w:rsidR="000C134A" w:rsidRPr="009827F3" w:rsidRDefault="006E5F9D" w:rsidP="000C134A">
      <w:pPr>
        <w:jc w:val="both"/>
      </w:pPr>
      <w:r>
        <w:t>It is apparent that s</w:t>
      </w:r>
      <w:r w:rsidR="000C134A" w:rsidRPr="009827F3">
        <w:t xml:space="preserve">ome participants were concerned about the ability of lower risk features to compensate for higher risk features in producing overall </w:t>
      </w:r>
      <w:r w:rsidR="008A6C4E">
        <w:t>Gamgard</w:t>
      </w:r>
      <w:r w:rsidR="000C134A" w:rsidRPr="009827F3">
        <w:t xml:space="preserve"> ratings. The next section raises a concern from a participant that </w:t>
      </w:r>
      <w:r w:rsidR="008A6C4E">
        <w:t>Gamgard</w:t>
      </w:r>
      <w:r w:rsidR="000C134A" w:rsidRPr="009827F3">
        <w:t xml:space="preserve"> evaluates risk from an individual perspective and not from a public health perspective. </w:t>
      </w:r>
    </w:p>
    <w:p w14:paraId="421E7FA7" w14:textId="77777777" w:rsidR="000C134A" w:rsidRPr="009827F3" w:rsidRDefault="000C134A" w:rsidP="000C134A">
      <w:pPr>
        <w:ind w:left="720" w:right="1170"/>
        <w:jc w:val="both"/>
        <w:rPr>
          <w:i/>
        </w:rPr>
      </w:pPr>
    </w:p>
    <w:p w14:paraId="271409F4" w14:textId="77777777" w:rsidR="000C134A" w:rsidRPr="009827F3" w:rsidRDefault="000C134A" w:rsidP="00810732">
      <w:pPr>
        <w:pStyle w:val="Heading4"/>
      </w:pPr>
      <w:bookmarkStart w:id="366" w:name="_Toc37928180"/>
      <w:bookmarkStart w:id="367" w:name="_Toc46149992"/>
      <w:r w:rsidRPr="009827F3">
        <w:t>Narrow perspective</w:t>
      </w:r>
      <w:bookmarkEnd w:id="366"/>
      <w:bookmarkEnd w:id="367"/>
    </w:p>
    <w:p w14:paraId="46CE98C7" w14:textId="24E5CC56" w:rsidR="000C134A" w:rsidRPr="009827F3" w:rsidRDefault="001558AF" w:rsidP="000C134A">
      <w:pPr>
        <w:jc w:val="both"/>
      </w:pPr>
      <w:r>
        <w:t>A p</w:t>
      </w:r>
      <w:r w:rsidR="000C134A" w:rsidRPr="009827F3">
        <w:t xml:space="preserve">articipant raised a concern that </w:t>
      </w:r>
      <w:r w:rsidR="008A6C4E">
        <w:t>Gamgard</w:t>
      </w:r>
      <w:r w:rsidR="000C134A" w:rsidRPr="009827F3">
        <w:t xml:space="preserve"> does not evaluate risk from a public health perspective, because it does not include contextual factors, </w:t>
      </w:r>
      <w:r w:rsidR="00844B2B" w:rsidRPr="009827F3">
        <w:t>and</w:t>
      </w:r>
      <w:r w:rsidR="000C134A" w:rsidRPr="009827F3">
        <w:t xml:space="preserve"> because </w:t>
      </w:r>
      <w:r w:rsidR="008A6C4E">
        <w:t>Gamgard</w:t>
      </w:r>
      <w:r w:rsidR="000C134A" w:rsidRPr="009827F3">
        <w:t xml:space="preserve"> “</w:t>
      </w:r>
      <w:r w:rsidR="000C134A" w:rsidRPr="009827F3">
        <w:rPr>
          <w:i/>
        </w:rPr>
        <w:t>views gambling harm from an individual perspective and not from a perspective of wider social harm”</w:t>
      </w:r>
      <w:r>
        <w:rPr>
          <w:i/>
        </w:rPr>
        <w:t xml:space="preserve"> (A1)</w:t>
      </w:r>
      <w:r w:rsidR="000C134A" w:rsidRPr="009827F3">
        <w:rPr>
          <w:i/>
        </w:rPr>
        <w:t xml:space="preserve">. </w:t>
      </w:r>
    </w:p>
    <w:p w14:paraId="7EC7DA8A" w14:textId="77777777" w:rsidR="000C134A" w:rsidRPr="009827F3" w:rsidRDefault="000C134A" w:rsidP="000C134A">
      <w:pPr>
        <w:jc w:val="both"/>
      </w:pPr>
    </w:p>
    <w:p w14:paraId="5417CE94" w14:textId="1EDCD0EB" w:rsidR="000C134A" w:rsidRPr="009827F3" w:rsidRDefault="000C134A" w:rsidP="000C134A">
      <w:pPr>
        <w:jc w:val="both"/>
      </w:pPr>
      <w:r w:rsidRPr="009827F3">
        <w:lastRenderedPageBreak/>
        <w:t xml:space="preserve">While only one participant raised this point, this perspective was included for consideration given that the New Zealand policy context requires that gambling is regulated from a public health perspective. The next section presents concerns regarding the potential for bias in </w:t>
      </w:r>
      <w:r w:rsidR="008A6C4E">
        <w:t>Gamgard</w:t>
      </w:r>
      <w:r w:rsidRPr="009827F3">
        <w:t xml:space="preserve"> ratings. </w:t>
      </w:r>
    </w:p>
    <w:p w14:paraId="305CD3B7" w14:textId="77777777" w:rsidR="000C134A" w:rsidRPr="009827F3" w:rsidRDefault="000C134A" w:rsidP="000C134A">
      <w:pPr>
        <w:jc w:val="both"/>
      </w:pPr>
    </w:p>
    <w:p w14:paraId="7432E60C" w14:textId="77777777" w:rsidR="000C134A" w:rsidRPr="009827F3" w:rsidRDefault="000C134A" w:rsidP="00810732">
      <w:pPr>
        <w:pStyle w:val="Heading4"/>
      </w:pPr>
      <w:bookmarkStart w:id="368" w:name="_Toc37928181"/>
      <w:bookmarkStart w:id="369" w:name="_Toc46149993"/>
      <w:r w:rsidRPr="009827F3">
        <w:t>Potential for bias</w:t>
      </w:r>
      <w:bookmarkEnd w:id="368"/>
      <w:bookmarkEnd w:id="369"/>
    </w:p>
    <w:p w14:paraId="5FB06101" w14:textId="792F4FD7" w:rsidR="000C134A" w:rsidRPr="009827F3" w:rsidRDefault="000C134A" w:rsidP="000C134A">
      <w:pPr>
        <w:pStyle w:val="BodyText"/>
      </w:pPr>
      <w:r w:rsidRPr="009827F3">
        <w:t xml:space="preserve">Participants </w:t>
      </w:r>
      <w:r w:rsidR="0058686E">
        <w:t>(</w:t>
      </w:r>
      <w:r w:rsidRPr="009827F3">
        <w:t>A1</w:t>
      </w:r>
      <w:r w:rsidR="0058686E">
        <w:t>,</w:t>
      </w:r>
      <w:r w:rsidRPr="009827F3">
        <w:t xml:space="preserve"> R1</w:t>
      </w:r>
      <w:r w:rsidR="0058686E">
        <w:t>)</w:t>
      </w:r>
      <w:r w:rsidRPr="009827F3">
        <w:t xml:space="preserve"> also raised concerns about the potential for bias in </w:t>
      </w:r>
      <w:r w:rsidR="008A6C4E">
        <w:t>Gamgard</w:t>
      </w:r>
      <w:r w:rsidRPr="009827F3">
        <w:t xml:space="preserve"> ratings. </w:t>
      </w:r>
      <w:bookmarkStart w:id="370" w:name="_Hlk72844728"/>
      <w:r w:rsidRPr="009827F3">
        <w:t xml:space="preserve">They were both concerned that gambling operators can apply the tool to their own products. </w:t>
      </w:r>
      <w:r w:rsidR="0058686E">
        <w:t>One p</w:t>
      </w:r>
      <w:r w:rsidRPr="009827F3">
        <w:t>articipant pointed out that operators “</w:t>
      </w:r>
      <w:r w:rsidRPr="009827F3">
        <w:rPr>
          <w:i/>
        </w:rPr>
        <w:t>may have competing priorities and a lack of familiarity with the area, which may lead to variance in the scores that are being put out”</w:t>
      </w:r>
      <w:r w:rsidR="0058686E">
        <w:rPr>
          <w:i/>
        </w:rPr>
        <w:t xml:space="preserve"> (R1)</w:t>
      </w:r>
      <w:r w:rsidRPr="009827F3">
        <w:t xml:space="preserve">. Participant A1 was also concerned that there was nothing to stop high risk games being used if an operator chose to do so. </w:t>
      </w:r>
    </w:p>
    <w:bookmarkEnd w:id="370"/>
    <w:p w14:paraId="17426A68" w14:textId="67E0F262" w:rsidR="000C134A" w:rsidRPr="009827F3" w:rsidRDefault="00C9200E" w:rsidP="000C134A">
      <w:pPr>
        <w:pStyle w:val="BodyText"/>
      </w:pPr>
      <w:r>
        <w:t>A third p</w:t>
      </w:r>
      <w:r w:rsidR="000C134A" w:rsidRPr="009827F3">
        <w:t xml:space="preserve">articipant agreed that most users do apply </w:t>
      </w:r>
      <w:r w:rsidR="008A6C4E">
        <w:t>Gamgard</w:t>
      </w:r>
      <w:r w:rsidR="000C134A" w:rsidRPr="009827F3">
        <w:t xml:space="preserve"> themselves, stating: </w:t>
      </w:r>
    </w:p>
    <w:p w14:paraId="0B12D833" w14:textId="71F4AFA6" w:rsidR="000C134A" w:rsidRPr="009827F3" w:rsidRDefault="000C134A" w:rsidP="000C134A">
      <w:pPr>
        <w:pStyle w:val="Quote"/>
      </w:pPr>
      <w:r w:rsidRPr="009827F3">
        <w:t xml:space="preserve">Often, they get in touch and check they are using it right, interpreting things right. Encouraged to get a few staff to run </w:t>
      </w:r>
      <w:r w:rsidR="008A6C4E">
        <w:t>Gamgard</w:t>
      </w:r>
      <w:r w:rsidRPr="009827F3">
        <w:t xml:space="preserve"> and check for consistency. Sometimes batches of games are sent through to </w:t>
      </w:r>
      <w:r w:rsidR="008A6C4E">
        <w:t>Gamgard</w:t>
      </w:r>
      <w:r w:rsidRPr="009827F3">
        <w:t xml:space="preserve"> for review. But it is hard to know how some users are using it, but you only know about the ones who are getting in touch. The users of </w:t>
      </w:r>
      <w:r w:rsidR="008A6C4E">
        <w:t>Gamgard</w:t>
      </w:r>
      <w:r w:rsidRPr="009827F3">
        <w:t xml:space="preserve"> do tend to seek support to ensure that they are applying it correctly</w:t>
      </w:r>
      <w:r w:rsidR="00C9200E">
        <w:t xml:space="preserve"> (G1)</w:t>
      </w:r>
      <w:r w:rsidRPr="009827F3">
        <w:t>.</w:t>
      </w:r>
    </w:p>
    <w:p w14:paraId="6CFCDDA3" w14:textId="77777777" w:rsidR="000C134A" w:rsidRPr="009827F3" w:rsidRDefault="000C134A" w:rsidP="000C134A">
      <w:pPr>
        <w:ind w:left="720" w:right="1530"/>
        <w:jc w:val="both"/>
        <w:rPr>
          <w:i/>
        </w:rPr>
      </w:pPr>
    </w:p>
    <w:p w14:paraId="3BCFB080" w14:textId="137F84FB" w:rsidR="000C134A" w:rsidRPr="009827F3" w:rsidRDefault="00C9200E" w:rsidP="000C134A">
      <w:pPr>
        <w:pStyle w:val="BodyText"/>
      </w:pPr>
      <w:r>
        <w:t>This participant</w:t>
      </w:r>
      <w:r w:rsidR="000C134A" w:rsidRPr="009827F3">
        <w:t xml:space="preserve"> also pointed out that some regulators have been able to access </w:t>
      </w:r>
      <w:r w:rsidR="008A6C4E">
        <w:t>Gamgard</w:t>
      </w:r>
      <w:r w:rsidR="000C134A" w:rsidRPr="009827F3">
        <w:t xml:space="preserve"> free of charge, which has </w:t>
      </w:r>
      <w:r w:rsidR="0078588D">
        <w:t>allowed</w:t>
      </w:r>
      <w:r w:rsidR="0078588D" w:rsidRPr="009827F3">
        <w:t xml:space="preserve"> </w:t>
      </w:r>
      <w:r w:rsidR="000C134A" w:rsidRPr="009827F3">
        <w:t>them to “</w:t>
      </w:r>
      <w:r w:rsidR="000C134A" w:rsidRPr="000C134A">
        <w:t xml:space="preserve">provide a good check and balance to make sure operators are using </w:t>
      </w:r>
      <w:r w:rsidR="008A6C4E">
        <w:t>Gamgard</w:t>
      </w:r>
      <w:r w:rsidR="000C134A" w:rsidRPr="000C134A">
        <w:t xml:space="preserve"> appropriately”</w:t>
      </w:r>
      <w:r>
        <w:t xml:space="preserve"> (G1)</w:t>
      </w:r>
      <w:r w:rsidR="000C134A" w:rsidRPr="000C134A">
        <w:t>.</w:t>
      </w:r>
      <w:r w:rsidR="000C134A" w:rsidRPr="009827F3">
        <w:t xml:space="preserve"> </w:t>
      </w:r>
      <w:r>
        <w:t>They</w:t>
      </w:r>
      <w:r w:rsidR="000C134A" w:rsidRPr="009827F3">
        <w:t xml:space="preserve"> also </w:t>
      </w:r>
      <w:r w:rsidR="0078588D">
        <w:t>noted</w:t>
      </w:r>
      <w:r w:rsidR="000C134A" w:rsidRPr="009827F3">
        <w:t xml:space="preserve"> that almost all customers of </w:t>
      </w:r>
      <w:r w:rsidR="008A6C4E">
        <w:t>Gamgard</w:t>
      </w:r>
      <w:r w:rsidR="000C134A" w:rsidRPr="009827F3">
        <w:t xml:space="preserve"> are from the lottery sector</w:t>
      </w:r>
      <w:r w:rsidR="00A145FB">
        <w:t xml:space="preserve"> and are regulated </w:t>
      </w:r>
      <w:r w:rsidR="00E2030A">
        <w:t>operators</w:t>
      </w:r>
      <w:r w:rsidR="000C134A" w:rsidRPr="009827F3">
        <w:t xml:space="preserve">, so </w:t>
      </w:r>
      <w:r w:rsidR="00420386">
        <w:t xml:space="preserve">they </w:t>
      </w:r>
      <w:r w:rsidR="000C134A" w:rsidRPr="009827F3">
        <w:t>tend to be quite conscientious in their intentions</w:t>
      </w:r>
      <w:r w:rsidR="00A145FB">
        <w:t>.</w:t>
      </w:r>
      <w:r w:rsidR="000C134A" w:rsidRPr="009827F3">
        <w:t xml:space="preserve"> </w:t>
      </w:r>
    </w:p>
    <w:p w14:paraId="4EB21886" w14:textId="698A1CEB" w:rsidR="000C134A" w:rsidRPr="009827F3" w:rsidRDefault="00420386" w:rsidP="000C134A">
      <w:pPr>
        <w:pStyle w:val="BodyText"/>
      </w:pPr>
      <w:r>
        <w:t>To summarise,</w:t>
      </w:r>
      <w:r w:rsidR="000C134A" w:rsidRPr="009827F3">
        <w:t xml:space="preserve"> some participants were concerned about the potential for bias in </w:t>
      </w:r>
      <w:r w:rsidR="008A6C4E">
        <w:t>Gamgard</w:t>
      </w:r>
      <w:r w:rsidR="000C134A" w:rsidRPr="009827F3">
        <w:t xml:space="preserve"> ratings, given that the gambling operators can apply </w:t>
      </w:r>
      <w:r w:rsidR="008A6C4E">
        <w:t>Gamgard</w:t>
      </w:r>
      <w:r w:rsidR="000C134A" w:rsidRPr="009827F3">
        <w:t xml:space="preserve"> to their own products. The next section </w:t>
      </w:r>
      <w:r>
        <w:t xml:space="preserve">raises </w:t>
      </w:r>
      <w:r w:rsidR="000C134A" w:rsidRPr="009827F3">
        <w:t>a further concern</w:t>
      </w:r>
      <w:r>
        <w:t>-</w:t>
      </w:r>
      <w:r w:rsidR="000C134A" w:rsidRPr="009827F3">
        <w:t xml:space="preserve">that it is difficult to evaluate </w:t>
      </w:r>
      <w:r w:rsidR="008A6C4E">
        <w:t>Gamgard</w:t>
      </w:r>
      <w:r w:rsidR="000C134A" w:rsidRPr="009827F3">
        <w:t xml:space="preserve"> as its inner-workings are not publicly available. </w:t>
      </w:r>
    </w:p>
    <w:p w14:paraId="2163A3AC" w14:textId="77777777" w:rsidR="000C134A" w:rsidRPr="009827F3" w:rsidRDefault="000C134A" w:rsidP="000C134A">
      <w:pPr>
        <w:jc w:val="both"/>
      </w:pPr>
    </w:p>
    <w:p w14:paraId="068AD2E8" w14:textId="77777777" w:rsidR="000C134A" w:rsidRPr="009827F3" w:rsidRDefault="000C134A" w:rsidP="00810732">
      <w:pPr>
        <w:pStyle w:val="Heading4"/>
      </w:pPr>
      <w:bookmarkStart w:id="371" w:name="_Toc37928182"/>
      <w:bookmarkStart w:id="372" w:name="_Toc46149994"/>
      <w:r w:rsidRPr="009827F3">
        <w:t>Evaluating a black box</w:t>
      </w:r>
      <w:bookmarkEnd w:id="371"/>
      <w:bookmarkEnd w:id="372"/>
    </w:p>
    <w:p w14:paraId="16C9C475" w14:textId="2A7ED5D7" w:rsidR="000C134A" w:rsidRPr="009827F3" w:rsidRDefault="003C0F95" w:rsidP="000C134A">
      <w:pPr>
        <w:pStyle w:val="BodyText"/>
      </w:pPr>
      <w:r>
        <w:t>Two participants</w:t>
      </w:r>
      <w:r w:rsidR="000C134A" w:rsidRPr="009827F3">
        <w:t xml:space="preserve"> were concerned by the lack of information on how exactly </w:t>
      </w:r>
      <w:r w:rsidR="008A6C4E">
        <w:t>Gamgard</w:t>
      </w:r>
      <w:r w:rsidR="000C134A" w:rsidRPr="009827F3">
        <w:t xml:space="preserve"> works and pointed out that this made it very difficult to evaluate. In order to assess its potential value, </w:t>
      </w:r>
      <w:r>
        <w:t>one p</w:t>
      </w:r>
      <w:r w:rsidR="000C134A" w:rsidRPr="009827F3">
        <w:t>articipant said they would need to see “</w:t>
      </w:r>
      <w:r w:rsidR="000C134A" w:rsidRPr="009827F3">
        <w:rPr>
          <w:i/>
        </w:rPr>
        <w:t>detail on exactly how it works”</w:t>
      </w:r>
      <w:r w:rsidR="000C134A" w:rsidRPr="009827F3">
        <w:t xml:space="preserve">. They argued that: </w:t>
      </w:r>
    </w:p>
    <w:p w14:paraId="09EECC43" w14:textId="00CED25B" w:rsidR="000C134A" w:rsidRPr="009827F3" w:rsidRDefault="000C134A" w:rsidP="000C134A">
      <w:pPr>
        <w:pStyle w:val="Quote"/>
      </w:pPr>
      <w:r w:rsidRPr="009827F3">
        <w:t xml:space="preserve">You can make generalisations about game features that are most likely to be associated with harm, so long as all relevant aspects are considered. It can be done, but whether </w:t>
      </w:r>
      <w:r w:rsidR="008A6C4E">
        <w:t>Gamgard</w:t>
      </w:r>
      <w:r w:rsidRPr="009827F3">
        <w:t xml:space="preserve"> does it I cannot say</w:t>
      </w:r>
      <w:r w:rsidR="003C0F95">
        <w:t xml:space="preserve"> (A1)</w:t>
      </w:r>
      <w:r w:rsidRPr="009827F3">
        <w:t xml:space="preserve">. </w:t>
      </w:r>
    </w:p>
    <w:p w14:paraId="291EDBB1" w14:textId="77777777" w:rsidR="000C134A" w:rsidRPr="009827F3" w:rsidRDefault="000C134A" w:rsidP="000C134A">
      <w:pPr>
        <w:ind w:left="720" w:right="1710"/>
        <w:jc w:val="both"/>
        <w:rPr>
          <w:i/>
        </w:rPr>
      </w:pPr>
    </w:p>
    <w:p w14:paraId="1FDED55E" w14:textId="76A03C78" w:rsidR="000C134A" w:rsidRPr="009827F3" w:rsidRDefault="003C0F95" w:rsidP="000C134A">
      <w:pPr>
        <w:pStyle w:val="BodyText"/>
      </w:pPr>
      <w:r>
        <w:t>The second participant</w:t>
      </w:r>
      <w:r w:rsidR="000C134A" w:rsidRPr="009827F3">
        <w:t xml:space="preserve"> agreed</w:t>
      </w:r>
      <w:r w:rsidR="006B377C">
        <w:t xml:space="preserve">, </w:t>
      </w:r>
      <w:r w:rsidR="000C134A" w:rsidRPr="009827F3">
        <w:t>stating:</w:t>
      </w:r>
    </w:p>
    <w:p w14:paraId="63A999C0" w14:textId="2778CA7B" w:rsidR="000C134A" w:rsidRPr="009827F3" w:rsidRDefault="000C134A" w:rsidP="000C134A">
      <w:pPr>
        <w:pStyle w:val="Quote"/>
      </w:pPr>
      <w:r w:rsidRPr="009827F3">
        <w:t>I haven’t come across and explanation as to the weighting of these risk factors and their scoring, and at the end of the day, yes, the framework it is based on or informed by research evidence, but however that doesn’t necessary reflect on the validity of the tool itself</w:t>
      </w:r>
      <w:r w:rsidR="003C0F95">
        <w:t xml:space="preserve"> (R1)</w:t>
      </w:r>
      <w:r w:rsidRPr="009827F3">
        <w:t>.</w:t>
      </w:r>
    </w:p>
    <w:p w14:paraId="7C7C418C" w14:textId="77777777" w:rsidR="000C134A" w:rsidRPr="009827F3" w:rsidRDefault="000C134A" w:rsidP="000C134A">
      <w:pPr>
        <w:ind w:left="720" w:right="1620"/>
        <w:jc w:val="both"/>
        <w:rPr>
          <w:i/>
        </w:rPr>
      </w:pPr>
    </w:p>
    <w:p w14:paraId="45EBA027" w14:textId="6B48D462" w:rsidR="000C134A" w:rsidRPr="009827F3" w:rsidRDefault="000C134A" w:rsidP="000C134A">
      <w:pPr>
        <w:pStyle w:val="BodyText"/>
      </w:pPr>
      <w:r w:rsidRPr="009827F3">
        <w:t xml:space="preserve">Participant G1 explained that one of the main reasons that </w:t>
      </w:r>
      <w:r w:rsidR="008A6C4E">
        <w:t>Gamgard</w:t>
      </w:r>
      <w:r w:rsidRPr="009827F3">
        <w:t xml:space="preserve"> is confidential is to prevent unscrupulous users from using it for the wrong purpose. </w:t>
      </w:r>
    </w:p>
    <w:p w14:paraId="74BA4D7F" w14:textId="5EDE61B6" w:rsidR="000C134A" w:rsidRPr="009827F3" w:rsidRDefault="000C134A" w:rsidP="000C134A">
      <w:pPr>
        <w:pStyle w:val="BodyText"/>
      </w:pPr>
      <w:r w:rsidRPr="009827F3">
        <w:t xml:space="preserve">The final section regarding the perceptions of strengths and limitations is presented next, discussing the comprehensiveness of </w:t>
      </w:r>
      <w:r w:rsidR="008A6C4E">
        <w:t>Gamgard</w:t>
      </w:r>
      <w:r w:rsidRPr="009827F3">
        <w:t xml:space="preserve">. </w:t>
      </w:r>
    </w:p>
    <w:p w14:paraId="5906CFA1" w14:textId="46817E75" w:rsidR="000C134A" w:rsidRPr="009827F3" w:rsidRDefault="000C134A" w:rsidP="00810732">
      <w:pPr>
        <w:pStyle w:val="Heading4"/>
      </w:pPr>
      <w:bookmarkStart w:id="373" w:name="_Toc37928183"/>
      <w:bookmarkStart w:id="374" w:name="_Toc46149995"/>
      <w:r w:rsidRPr="009827F3">
        <w:t xml:space="preserve">Comprehensiveness of </w:t>
      </w:r>
      <w:r w:rsidR="008A6C4E">
        <w:t>Gamgard</w:t>
      </w:r>
      <w:bookmarkEnd w:id="373"/>
      <w:bookmarkEnd w:id="374"/>
    </w:p>
    <w:p w14:paraId="755840BB" w14:textId="19387BB1" w:rsidR="000C134A" w:rsidRPr="009827F3" w:rsidRDefault="006B377C" w:rsidP="000C134A">
      <w:pPr>
        <w:pStyle w:val="BodyText"/>
      </w:pPr>
      <w:r>
        <w:t>Some participants were concerned</w:t>
      </w:r>
      <w:r w:rsidR="000C134A" w:rsidRPr="009827F3">
        <w:t xml:space="preserve"> that </w:t>
      </w:r>
      <w:r w:rsidR="008A6C4E">
        <w:t>Gamgard</w:t>
      </w:r>
      <w:r w:rsidR="000C134A" w:rsidRPr="009827F3">
        <w:t xml:space="preserve"> was not as comprehensive as it could potentially be. In particular, </w:t>
      </w:r>
      <w:r w:rsidR="00F95BCD">
        <w:t>one p</w:t>
      </w:r>
      <w:r w:rsidR="000C134A" w:rsidRPr="009827F3">
        <w:t xml:space="preserve">articipant thought that a key feature missing from </w:t>
      </w:r>
      <w:r w:rsidR="008A6C4E">
        <w:t>Gamgard</w:t>
      </w:r>
      <w:r w:rsidR="000C134A" w:rsidRPr="009827F3">
        <w:t xml:space="preserve"> was the provision of player support and intervention, as well as game information:</w:t>
      </w:r>
    </w:p>
    <w:p w14:paraId="18704996" w14:textId="1457BA4F" w:rsidR="000C134A" w:rsidRPr="009827F3" w:rsidRDefault="000C134A" w:rsidP="000C134A">
      <w:pPr>
        <w:pStyle w:val="Quote"/>
      </w:pPr>
      <w:r w:rsidRPr="009827F3">
        <w:t xml:space="preserve">What I think is missing from </w:t>
      </w:r>
      <w:r w:rsidR="008A6C4E">
        <w:t>Gamgard</w:t>
      </w:r>
      <w:r w:rsidRPr="009827F3">
        <w:t>, from a game design perspective, is the lack of interfacing player support</w:t>
      </w:r>
      <w:r w:rsidR="00EA1709">
        <w:t>,</w:t>
      </w:r>
      <w:r w:rsidR="00AA2143">
        <w:t xml:space="preserve"> such</w:t>
      </w:r>
      <w:r w:rsidRPr="009827F3">
        <w:t xml:space="preserve"> as features that could help people self-exclude or ask </w:t>
      </w:r>
      <w:r w:rsidRPr="009827F3">
        <w:lastRenderedPageBreak/>
        <w:t>questions about whatever it may be, and access to information about the game. The emphasis on explaining to people about gambling myths, such as for games of chance and what near misses and near wins mean, this crosses over to illusion of control. The provision of that type of information in a compelling way is more effective than pop up reminders, for example. This is a weak policy tool by itself, but combined with other interventions or restrictions, it can have a positive effect. The other thing is making sure that people have that easy path to player support and intervention, whether it is cessation or limitation</w:t>
      </w:r>
      <w:r w:rsidR="00F95BCD">
        <w:t xml:space="preserve"> (R1)</w:t>
      </w:r>
      <w:r w:rsidRPr="009827F3">
        <w:t>.</w:t>
      </w:r>
    </w:p>
    <w:p w14:paraId="26C3C2A1" w14:textId="77777777" w:rsidR="000C134A" w:rsidRPr="009827F3" w:rsidRDefault="000C134A" w:rsidP="000C134A">
      <w:pPr>
        <w:ind w:right="1710"/>
        <w:jc w:val="both"/>
      </w:pPr>
    </w:p>
    <w:p w14:paraId="3F0E6ABD" w14:textId="22BE6249" w:rsidR="000C134A" w:rsidRDefault="00EA1709" w:rsidP="000C134A">
      <w:pPr>
        <w:pStyle w:val="BodyText"/>
      </w:pPr>
      <w:r>
        <w:t>Overall,</w:t>
      </w:r>
      <w:r w:rsidR="000C134A" w:rsidRPr="009827F3">
        <w:t xml:space="preserve"> participants </w:t>
      </w:r>
      <w:r w:rsidR="00D838CF">
        <w:t>believed</w:t>
      </w:r>
      <w:r w:rsidR="00D838CF" w:rsidRPr="009827F3">
        <w:t xml:space="preserve"> </w:t>
      </w:r>
      <w:r w:rsidR="000C134A" w:rsidRPr="009827F3">
        <w:t xml:space="preserve">that </w:t>
      </w:r>
      <w:r w:rsidR="008A6C4E">
        <w:t>Gamgard</w:t>
      </w:r>
      <w:r w:rsidR="000C134A" w:rsidRPr="009827F3">
        <w:t xml:space="preserve"> was not as comprehensive as it could be, particularly relating to the provision of player support and intervention, as well as game information. </w:t>
      </w:r>
      <w:r w:rsidR="000C134A">
        <w:t xml:space="preserve"> </w:t>
      </w:r>
      <w:r w:rsidR="000C134A" w:rsidRPr="009827F3">
        <w:t xml:space="preserve">Only one participant specifically discussed items that could be included in </w:t>
      </w:r>
      <w:r w:rsidR="008A6C4E">
        <w:t>Gamgard</w:t>
      </w:r>
      <w:r w:rsidR="000C134A" w:rsidRPr="009827F3">
        <w:t xml:space="preserve"> to make it more comprehensive. The next section concludes the expert interview component of this report. </w:t>
      </w:r>
    </w:p>
    <w:p w14:paraId="687A8364" w14:textId="7F2571F3" w:rsidR="00D35B17" w:rsidRDefault="00D35B17" w:rsidP="00D35B17">
      <w:pPr>
        <w:pStyle w:val="Heading3"/>
      </w:pPr>
      <w:r>
        <w:t>Summary of findings</w:t>
      </w:r>
    </w:p>
    <w:p w14:paraId="6B61CCCC" w14:textId="19E3EA2C" w:rsidR="000C134A" w:rsidRPr="000C134A" w:rsidRDefault="000C134A" w:rsidP="00810732">
      <w:pPr>
        <w:pStyle w:val="Heading2"/>
      </w:pPr>
      <w:bookmarkStart w:id="375" w:name="_Toc87263191"/>
      <w:r>
        <w:t>Conclusion</w:t>
      </w:r>
      <w:bookmarkEnd w:id="375"/>
    </w:p>
    <w:p w14:paraId="2BC66549" w14:textId="7634F54E" w:rsidR="000C134A" w:rsidRPr="009827F3" w:rsidRDefault="000C134A" w:rsidP="000C134A">
      <w:pPr>
        <w:pStyle w:val="BodyText"/>
      </w:pPr>
      <w:r w:rsidRPr="009827F3">
        <w:t>The purpose of the interviews</w:t>
      </w:r>
      <w:r w:rsidR="00E77AAF">
        <w:t xml:space="preserve"> </w:t>
      </w:r>
      <w:r w:rsidR="00BE5CBA">
        <w:t xml:space="preserve">with </w:t>
      </w:r>
      <w:r w:rsidR="00BE5CBA" w:rsidRPr="009827F3">
        <w:t>gambling</w:t>
      </w:r>
      <w:r w:rsidR="00AA36FE" w:rsidRPr="009827F3">
        <w:t xml:space="preserve"> research experts</w:t>
      </w:r>
      <w:r w:rsidR="00AA36FE">
        <w:t xml:space="preserve"> </w:t>
      </w:r>
      <w:r w:rsidRPr="009827F3">
        <w:t xml:space="preserve">was to assess expert perceptions of the role of game design within a harm minimisation and responsible gambling context, as well as the association between game features and risk of harm. Enquiries were also made regarding the interviewees’ knowledge and impressions of </w:t>
      </w:r>
      <w:r w:rsidR="008A6C4E">
        <w:t>Gamgard</w:t>
      </w:r>
      <w:r w:rsidRPr="009827F3">
        <w:t>, their views of its strengths and weaknesses, and alternative</w:t>
      </w:r>
      <w:r w:rsidR="00416048">
        <w:t>s</w:t>
      </w:r>
      <w:r w:rsidRPr="009827F3">
        <w:t xml:space="preserve">. The interviews provided an opportunity to incorporate </w:t>
      </w:r>
      <w:r w:rsidR="007C5138" w:rsidRPr="009827F3">
        <w:t xml:space="preserve">into the evaluation </w:t>
      </w:r>
      <w:r w:rsidRPr="009827F3">
        <w:t xml:space="preserve">experiences and perspectives of people with knowledge, perceptions, and experiences relevant to </w:t>
      </w:r>
      <w:r w:rsidR="008A6C4E">
        <w:t>Gamgard</w:t>
      </w:r>
      <w:r w:rsidRPr="009827F3">
        <w:t>. Importantly, experts from three different occupational backgrounds were included</w:t>
      </w:r>
      <w:r w:rsidR="000E0E01">
        <w:t>, thereby representing a range of viewpoints</w:t>
      </w:r>
      <w:r w:rsidRPr="009827F3">
        <w:t xml:space="preserve">. It is important to note that a limitation of the expert interviews was a relatively small sample size, </w:t>
      </w:r>
      <w:r w:rsidR="00416048">
        <w:t>so</w:t>
      </w:r>
      <w:r w:rsidR="00416048" w:rsidRPr="009827F3">
        <w:t xml:space="preserve"> </w:t>
      </w:r>
      <w:r w:rsidRPr="009827F3">
        <w:t>there may be some perspectives that were not fully captured.</w:t>
      </w:r>
    </w:p>
    <w:p w14:paraId="7528707E" w14:textId="504D1147" w:rsidR="000C134A" w:rsidRPr="009827F3" w:rsidRDefault="000C134A" w:rsidP="000C134A">
      <w:pPr>
        <w:pStyle w:val="BodyText"/>
      </w:pPr>
      <w:r w:rsidRPr="009827F3">
        <w:t xml:space="preserve">There was consensus among the interviewees that game design is critically important within a harm minimisation and responsible gambling context, </w:t>
      </w:r>
      <w:r w:rsidR="00356C0E">
        <w:t>and</w:t>
      </w:r>
      <w:r w:rsidRPr="009827F3">
        <w:t xml:space="preserve"> that game design must be considered within a wider context. There was disagreement about the strength of evidence behind the association of particular game features with risk, and the consistency of that association across game dynamics and contexts. There were mixed opinions about the value of, and best way to, identify and reduce the risk of harm associated with a specific game. Most participants emphasised the importance of taking a comprehensive and strategic approach to reducing the risk of gambling harm, of which game design was just one aspect. </w:t>
      </w:r>
    </w:p>
    <w:p w14:paraId="2B707CD9" w14:textId="669779C4" w:rsidR="000C134A" w:rsidRDefault="000C134A" w:rsidP="000C134A">
      <w:pPr>
        <w:pStyle w:val="BodyText"/>
      </w:pPr>
      <w:r w:rsidRPr="009827F3">
        <w:t xml:space="preserve">Most participants thought that the approach taken by </w:t>
      </w:r>
      <w:r w:rsidR="008A6C4E">
        <w:t>Gamgard</w:t>
      </w:r>
      <w:r w:rsidRPr="009827F3">
        <w:t xml:space="preserve"> either </w:t>
      </w:r>
      <w:r w:rsidR="00E2030A" w:rsidRPr="009827F3">
        <w:t>was or</w:t>
      </w:r>
      <w:r w:rsidRPr="009827F3">
        <w:t xml:space="preserve"> may be able to usefully identify and reduce the risk of harm associated with game design. However, none of the participants thought that </w:t>
      </w:r>
      <w:r w:rsidR="008A6C4E">
        <w:t>Gamgard</w:t>
      </w:r>
      <w:r w:rsidRPr="009827F3">
        <w:t xml:space="preserve"> was a full harm minimisation and responsible gambling solution. One participant did not see any value in using </w:t>
      </w:r>
      <w:r w:rsidR="008A6C4E">
        <w:t>Gamgard</w:t>
      </w:r>
      <w:r w:rsidRPr="009827F3">
        <w:t xml:space="preserve"> and </w:t>
      </w:r>
      <w:r w:rsidR="00E54DED">
        <w:t>thought</w:t>
      </w:r>
      <w:r w:rsidR="00E54DED" w:rsidRPr="009827F3">
        <w:t xml:space="preserve"> </w:t>
      </w:r>
      <w:r w:rsidRPr="009827F3">
        <w:t xml:space="preserve">that the best approach was to directly limit gambling harm, in terms of time and money spent gambling. Concerns raised by the interviewees about </w:t>
      </w:r>
      <w:r w:rsidR="008A6C4E">
        <w:t>Gamgard</w:t>
      </w:r>
      <w:r w:rsidRPr="009827F3">
        <w:t xml:space="preserve"> include its goodness-of-fit to the New Zealand context, the validity of its ratings, its assessment of the consistency of risk associated with particular game features, its treatment of potentially risky features, the compensation of higher risk with lower risk features, its view of harm from an individual (not public health) perspective, the potential for bias in its use, and a lack of transparency and comprehensiveness.</w:t>
      </w:r>
    </w:p>
    <w:p w14:paraId="1E81809B" w14:textId="77777777" w:rsidR="00F43848" w:rsidRDefault="00F43848">
      <w:pPr>
        <w:rPr>
          <w:rFonts w:ascii="Montserrat" w:eastAsiaTheme="majorEastAsia" w:hAnsi="Montserrat" w:cstheme="majorBidi"/>
          <w:color w:val="F9423A"/>
          <w:sz w:val="36"/>
          <w:szCs w:val="32"/>
        </w:rPr>
      </w:pPr>
      <w:r>
        <w:br w:type="page"/>
      </w:r>
    </w:p>
    <w:p w14:paraId="445623F2" w14:textId="5B9EA8E4" w:rsidR="000C134A" w:rsidRDefault="000C134A" w:rsidP="00810732">
      <w:pPr>
        <w:pStyle w:val="Heading1"/>
      </w:pPr>
      <w:bookmarkStart w:id="376" w:name="_Toc87263192"/>
      <w:r>
        <w:lastRenderedPageBreak/>
        <w:t xml:space="preserve">In-depth </w:t>
      </w:r>
      <w:r w:rsidR="008A6C4E">
        <w:t>Gamgard</w:t>
      </w:r>
      <w:r>
        <w:t xml:space="preserve"> </w:t>
      </w:r>
      <w:r w:rsidR="004C6D30">
        <w:t xml:space="preserve">Case Study </w:t>
      </w:r>
      <w:r>
        <w:t>Evaluation</w:t>
      </w:r>
      <w:bookmarkEnd w:id="376"/>
    </w:p>
    <w:p w14:paraId="58B9D854" w14:textId="12B362D9" w:rsidR="00A9614B" w:rsidRDefault="00A9614B" w:rsidP="00A9614B">
      <w:pPr>
        <w:pStyle w:val="Heading2"/>
      </w:pPr>
      <w:bookmarkStart w:id="377" w:name="_Toc87263193"/>
      <w:r>
        <w:t>Purpose and background</w:t>
      </w:r>
      <w:bookmarkEnd w:id="377"/>
    </w:p>
    <w:p w14:paraId="14444F3F" w14:textId="300C3D66" w:rsidR="00044AE0" w:rsidRDefault="000C134A" w:rsidP="000C134A">
      <w:pPr>
        <w:pStyle w:val="BodyText"/>
      </w:pPr>
      <w:r w:rsidRPr="00E068CA">
        <w:t>This phase buil</w:t>
      </w:r>
      <w:r w:rsidR="001F0F15">
        <w:t>t</w:t>
      </w:r>
      <w:r w:rsidRPr="00E068CA">
        <w:t xml:space="preserve"> on the knowledge generated from Phase</w:t>
      </w:r>
      <w:r w:rsidR="00EE5D22">
        <w:t>s 1 and</w:t>
      </w:r>
      <w:r w:rsidRPr="00E068CA">
        <w:t xml:space="preserve"> 2</w:t>
      </w:r>
      <w:r>
        <w:t xml:space="preserve"> (the literature review and expert interviews)</w:t>
      </w:r>
      <w:r w:rsidR="00A9614B">
        <w:t xml:space="preserve"> </w:t>
      </w:r>
      <w:r w:rsidR="00404C00">
        <w:t>by</w:t>
      </w:r>
      <w:r w:rsidR="003564C9">
        <w:t xml:space="preserve"> gaining an</w:t>
      </w:r>
      <w:r w:rsidR="00404C00">
        <w:t xml:space="preserve"> </w:t>
      </w:r>
      <w:r w:rsidR="00A9614B">
        <w:t xml:space="preserve">understanding </w:t>
      </w:r>
      <w:r w:rsidR="00605DE7">
        <w:t xml:space="preserve">of </w:t>
      </w:r>
      <w:r w:rsidR="00A9614B">
        <w:t xml:space="preserve">the practical application of </w:t>
      </w:r>
      <w:r w:rsidR="008A6C4E">
        <w:t>Gamgard</w:t>
      </w:r>
      <w:r w:rsidR="00A9614B">
        <w:t xml:space="preserve"> in a case study, Lotto NZ</w:t>
      </w:r>
      <w:r w:rsidR="00620FE3">
        <w:t xml:space="preserve">. Lotto NZ is </w:t>
      </w:r>
      <w:r w:rsidR="005A7D43">
        <w:t xml:space="preserve">the trading name of the </w:t>
      </w:r>
      <w:r w:rsidR="002D7AF9">
        <w:t>New Zealand Lotteries Com</w:t>
      </w:r>
      <w:r w:rsidR="005400B8">
        <w:t>mis</w:t>
      </w:r>
      <w:r w:rsidR="0059512C">
        <w:t>s</w:t>
      </w:r>
      <w:r w:rsidR="005400B8">
        <w:t>ion</w:t>
      </w:r>
      <w:r w:rsidR="0059512C">
        <w:t>, a crown entity</w:t>
      </w:r>
      <w:r w:rsidR="004D0A8A">
        <w:t xml:space="preserve"> </w:t>
      </w:r>
      <w:r w:rsidR="005F3F77">
        <w:t>which operates national lotteries in New Zealand.</w:t>
      </w:r>
    </w:p>
    <w:p w14:paraId="637AB329" w14:textId="656910FA" w:rsidR="006A137A" w:rsidRDefault="00EE5D22" w:rsidP="000C134A">
      <w:pPr>
        <w:pStyle w:val="BodyText"/>
      </w:pPr>
      <w:r>
        <w:t>The aim</w:t>
      </w:r>
      <w:r w:rsidR="00B00535">
        <w:t>s</w:t>
      </w:r>
      <w:r w:rsidR="00A8587F">
        <w:t xml:space="preserve"> of the case study </w:t>
      </w:r>
      <w:r w:rsidR="00B00535">
        <w:t xml:space="preserve">were </w:t>
      </w:r>
      <w:r w:rsidR="00A9614B">
        <w:t>to</w:t>
      </w:r>
      <w:r w:rsidR="00676BD6">
        <w:t>:</w:t>
      </w:r>
    </w:p>
    <w:p w14:paraId="3C97EC64" w14:textId="6307D0AD" w:rsidR="006A137A" w:rsidRDefault="006A137A" w:rsidP="00352919">
      <w:pPr>
        <w:pStyle w:val="BodyText"/>
        <w:numPr>
          <w:ilvl w:val="0"/>
          <w:numId w:val="19"/>
        </w:numPr>
      </w:pPr>
      <w:r>
        <w:t>U</w:t>
      </w:r>
      <w:r w:rsidR="00A9614B">
        <w:t xml:space="preserve">nderstand the extent to which </w:t>
      </w:r>
      <w:r w:rsidR="008A6C4E">
        <w:t>Gamgard</w:t>
      </w:r>
      <w:r w:rsidR="00A9614B">
        <w:t xml:space="preserve"> is being used appropriately by users, </w:t>
      </w:r>
    </w:p>
    <w:p w14:paraId="63A8C764" w14:textId="697CB973" w:rsidR="006A137A" w:rsidRDefault="003D3C38" w:rsidP="00352919">
      <w:pPr>
        <w:pStyle w:val="BodyText"/>
        <w:numPr>
          <w:ilvl w:val="0"/>
          <w:numId w:val="19"/>
        </w:numPr>
      </w:pPr>
      <w:r>
        <w:t xml:space="preserve">Determine </w:t>
      </w:r>
      <w:r w:rsidR="00A9614B">
        <w:t>if the intent</w:t>
      </w:r>
      <w:r w:rsidR="00B00535">
        <w:t xml:space="preserve"> and </w:t>
      </w:r>
      <w:r w:rsidR="00A9614B">
        <w:t>purpose of the tool</w:t>
      </w:r>
      <w:r w:rsidR="00FB4CB7">
        <w:t xml:space="preserve"> i</w:t>
      </w:r>
      <w:r w:rsidR="00A9614B" w:rsidRPr="00FB4CB7">
        <w:t>s</w:t>
      </w:r>
      <w:r w:rsidR="00A9614B">
        <w:t xml:space="preserve"> well understood by key stakeholders</w:t>
      </w:r>
      <w:r w:rsidR="004A1D6F">
        <w:t xml:space="preserve"> or </w:t>
      </w:r>
      <w:r w:rsidR="00A9614B">
        <w:t>users, and</w:t>
      </w:r>
      <w:r w:rsidR="00B00535">
        <w:t>,</w:t>
      </w:r>
      <w:r w:rsidR="00A9614B">
        <w:t xml:space="preserve"> </w:t>
      </w:r>
    </w:p>
    <w:p w14:paraId="75E33B5A" w14:textId="70E35BD9" w:rsidR="000C134A" w:rsidRPr="00E068CA" w:rsidRDefault="003D3C38" w:rsidP="00352919">
      <w:pPr>
        <w:pStyle w:val="BodyText"/>
        <w:numPr>
          <w:ilvl w:val="0"/>
          <w:numId w:val="19"/>
        </w:numPr>
      </w:pPr>
      <w:r>
        <w:t xml:space="preserve">Identify </w:t>
      </w:r>
      <w:r w:rsidR="00A9614B">
        <w:t xml:space="preserve">pros and cons of the product. </w:t>
      </w:r>
    </w:p>
    <w:p w14:paraId="438C403C" w14:textId="71A6B371" w:rsidR="00EE5D22" w:rsidRDefault="00EE5D22" w:rsidP="00EE5D22">
      <w:pPr>
        <w:pStyle w:val="Heading2"/>
      </w:pPr>
      <w:bookmarkStart w:id="378" w:name="_Toc87263194"/>
      <w:r>
        <w:t>Method</w:t>
      </w:r>
      <w:bookmarkEnd w:id="378"/>
    </w:p>
    <w:p w14:paraId="65B86D90" w14:textId="77777777" w:rsidR="00EE5D22" w:rsidRPr="00E30C7B" w:rsidRDefault="00EE5D22" w:rsidP="00EE5D22">
      <w:pPr>
        <w:pStyle w:val="Heading3"/>
      </w:pPr>
      <w:r>
        <w:t>Focus group</w:t>
      </w:r>
    </w:p>
    <w:p w14:paraId="56740AF4" w14:textId="5982ACB8" w:rsidR="00B96B90" w:rsidRDefault="00EE5D22" w:rsidP="00DC0AAF">
      <w:pPr>
        <w:pStyle w:val="BodyText"/>
      </w:pPr>
      <w:r>
        <w:t xml:space="preserve">A focus group session was held to evaluate how a product owner, Lotto NZ, used </w:t>
      </w:r>
      <w:r w:rsidR="008A6C4E">
        <w:t>Gamgard</w:t>
      </w:r>
      <w:r>
        <w:t xml:space="preserve">, including understanding where </w:t>
      </w:r>
      <w:r w:rsidR="008A6C4E">
        <w:t>Gamgard</w:t>
      </w:r>
      <w:r>
        <w:t xml:space="preserve"> fit</w:t>
      </w:r>
      <w:r w:rsidR="00171967">
        <w:t>s</w:t>
      </w:r>
      <w:r>
        <w:t xml:space="preserve"> within their responsible gaming strategy. </w:t>
      </w:r>
      <w:r w:rsidR="00A9614B">
        <w:t xml:space="preserve">The </w:t>
      </w:r>
      <w:r w:rsidR="00923B60">
        <w:t xml:space="preserve">focus </w:t>
      </w:r>
      <w:r w:rsidR="00A9614B">
        <w:t>group was held at Lotto NZ</w:t>
      </w:r>
      <w:r w:rsidR="00923B60">
        <w:t>. It was</w:t>
      </w:r>
      <w:r w:rsidR="00A9614B">
        <w:t xml:space="preserve"> attended by</w:t>
      </w:r>
      <w:r w:rsidR="00B96B90">
        <w:t xml:space="preserve"> the </w:t>
      </w:r>
      <w:r w:rsidR="00A9614B">
        <w:t xml:space="preserve"> </w:t>
      </w:r>
      <w:r w:rsidR="00B96B90">
        <w:rPr>
          <w:lang w:val="en-CA"/>
        </w:rPr>
        <w:t>General Manager Strategy &amp; Communications, Head of Product and Channel Innovation, Senior Social Responsibility Manager, Product Manager, and Marketing Manager for Product and Channel Innovation</w:t>
      </w:r>
    </w:p>
    <w:p w14:paraId="6C9F4FCB" w14:textId="6BC9F5EA" w:rsidR="00EE5D22" w:rsidRPr="00023F86" w:rsidRDefault="00EE5D22" w:rsidP="00EE5D22">
      <w:pPr>
        <w:pStyle w:val="Heading3"/>
      </w:pPr>
      <w:r w:rsidRPr="00023F86">
        <w:t xml:space="preserve">Individual </w:t>
      </w:r>
      <w:r w:rsidR="008A6C4E">
        <w:t>Gamgard</w:t>
      </w:r>
      <w:r w:rsidRPr="00023F86">
        <w:t xml:space="preserve"> Scoring Sessions</w:t>
      </w:r>
    </w:p>
    <w:p w14:paraId="36C5174E" w14:textId="24EAEEB6" w:rsidR="00EE5D22" w:rsidRDefault="00EE5D22" w:rsidP="00DC0AAF">
      <w:pPr>
        <w:pStyle w:val="BodyText"/>
      </w:pPr>
      <w:r>
        <w:t>Th</w:t>
      </w:r>
      <w:r w:rsidR="00D47F9E">
        <w:t>e focus group</w:t>
      </w:r>
      <w:r>
        <w:t xml:space="preserve"> was followed by individual face-to-face sessions between two product managers and two independent researchers to understand use of the </w:t>
      </w:r>
      <w:r w:rsidR="008A6C4E">
        <w:t>Gamgard</w:t>
      </w:r>
      <w:r>
        <w:t xml:space="preserve"> evaluation tool across </w:t>
      </w:r>
      <w:r w:rsidR="006647AE">
        <w:t>six</w:t>
      </w:r>
      <w:r>
        <w:t xml:space="preserve"> Lotto NZ products. This provided </w:t>
      </w:r>
      <w:r w:rsidR="006647AE">
        <w:t>four</w:t>
      </w:r>
      <w:r>
        <w:t xml:space="preserve"> scores for each product and allowed </w:t>
      </w:r>
      <w:r w:rsidR="00685678">
        <w:t xml:space="preserve">a </w:t>
      </w:r>
      <w:r>
        <w:t xml:space="preserve">view of inter-rater reliability in the product scoring process. </w:t>
      </w:r>
    </w:p>
    <w:p w14:paraId="1254842F" w14:textId="6DE36124" w:rsidR="00EE5D22" w:rsidRDefault="00EE5D22" w:rsidP="008C04B3">
      <w:pPr>
        <w:pStyle w:val="BodyText"/>
      </w:pPr>
      <w:r>
        <w:t>For the individual sessions, a product manager sat with a researcher and they each independently scored a product</w:t>
      </w:r>
      <w:r w:rsidR="009F15B8">
        <w:t xml:space="preserve"> using the evaluation scoring sheet (</w:t>
      </w:r>
      <w:r w:rsidR="004D200B">
        <w:t xml:space="preserve">see </w:t>
      </w:r>
      <w:r w:rsidR="009F15B8">
        <w:fldChar w:fldCharType="begin"/>
      </w:r>
      <w:r w:rsidR="009F15B8">
        <w:instrText xml:space="preserve"> REF _Ref72502841 \h </w:instrText>
      </w:r>
      <w:r w:rsidR="00DC0AAF">
        <w:instrText xml:space="preserve"> \* MERGEFORMAT </w:instrText>
      </w:r>
      <w:r w:rsidR="009F15B8">
        <w:fldChar w:fldCharType="separate"/>
      </w:r>
      <w:r w:rsidR="00B24127">
        <w:t>Appendix C: Evaluation scoring sheet</w:t>
      </w:r>
      <w:r w:rsidR="009F15B8">
        <w:fldChar w:fldCharType="end"/>
      </w:r>
      <w:r w:rsidR="00D7669C">
        <w:t>)</w:t>
      </w:r>
      <w:r>
        <w:t>. The two pairs sat in separate rooms. The researcher</w:t>
      </w:r>
      <w:r w:rsidR="00AB6E55">
        <w:t>s</w:t>
      </w:r>
      <w:r>
        <w:t xml:space="preserve"> asked questions where objective information was required for context. The researcher</w:t>
      </w:r>
      <w:r w:rsidR="0044285A">
        <w:t>s</w:t>
      </w:r>
      <w:r>
        <w:t xml:space="preserve"> also asked about the rationale for the product managers</w:t>
      </w:r>
      <w:r w:rsidR="00D76B1F">
        <w:t>’</w:t>
      </w:r>
      <w:r>
        <w:t xml:space="preserve"> score</w:t>
      </w:r>
      <w:r w:rsidR="00D76B1F">
        <w:t>s</w:t>
      </w:r>
      <w:r>
        <w:t xml:space="preserve"> after they had both scored each item in the 14</w:t>
      </w:r>
      <w:r w:rsidR="0044285A">
        <w:t>-</w:t>
      </w:r>
      <w:r>
        <w:t xml:space="preserve">item </w:t>
      </w:r>
      <w:r w:rsidR="008A6C4E">
        <w:t>Gamgard</w:t>
      </w:r>
      <w:r>
        <w:t xml:space="preserve"> questionnaire. For each question both researcher and product manager gave </w:t>
      </w:r>
      <w:r w:rsidR="008A6C4E">
        <w:t>Gamgard</w:t>
      </w:r>
      <w:r>
        <w:t xml:space="preserve"> Scores, a rating of confidence in the score (</w:t>
      </w:r>
      <w:r w:rsidR="00AB6E55">
        <w:t xml:space="preserve">ranging </w:t>
      </w:r>
      <w:r>
        <w:t xml:space="preserve">from 1 = “Not confident at all” to 5 = “Very confident”). In addition, a score was provided for their confidence that the overall </w:t>
      </w:r>
      <w:r w:rsidR="008A6C4E">
        <w:t>Gamgard</w:t>
      </w:r>
      <w:r>
        <w:t xml:space="preserve"> score accurately reflected relative gambling harm based on their experience (</w:t>
      </w:r>
      <w:r w:rsidR="0044285A">
        <w:t xml:space="preserve">ranging </w:t>
      </w:r>
      <w:r>
        <w:t xml:space="preserve">from 1 = “Not confident at all” to 5 = “Very confident”). </w:t>
      </w:r>
    </w:p>
    <w:p w14:paraId="421BEF37" w14:textId="263D524B" w:rsidR="00EE5D22" w:rsidRDefault="00EE5D22" w:rsidP="00EE5D22">
      <w:pPr>
        <w:pStyle w:val="Heading3"/>
      </w:pPr>
      <w:r w:rsidRPr="00E30C7B">
        <w:t>Produc</w:t>
      </w:r>
      <w:r>
        <w:t>t</w:t>
      </w:r>
      <w:r w:rsidRPr="00E30C7B">
        <w:t xml:space="preserve"> selection</w:t>
      </w:r>
    </w:p>
    <w:p w14:paraId="44B4EFB1" w14:textId="2F4AEFF5" w:rsidR="00EE5D22" w:rsidRDefault="00EE5D22" w:rsidP="009110E2">
      <w:pPr>
        <w:pStyle w:val="BodyText"/>
      </w:pPr>
      <w:r>
        <w:t xml:space="preserve">Products selected </w:t>
      </w:r>
      <w:r w:rsidR="00F656CA">
        <w:t xml:space="preserve">for assessment using </w:t>
      </w:r>
      <w:r w:rsidR="008A6C4E">
        <w:t>Gamgard</w:t>
      </w:r>
      <w:r w:rsidR="00F656CA">
        <w:t xml:space="preserve"> </w:t>
      </w:r>
      <w:r>
        <w:t xml:space="preserve">were: </w:t>
      </w:r>
    </w:p>
    <w:p w14:paraId="6C5C238D" w14:textId="77777777" w:rsidR="00EE5D22" w:rsidRPr="00AA1FBF" w:rsidRDefault="00EE5D22" w:rsidP="00352919">
      <w:pPr>
        <w:pStyle w:val="BodyText"/>
        <w:numPr>
          <w:ilvl w:val="0"/>
          <w:numId w:val="28"/>
        </w:numPr>
      </w:pPr>
      <w:r>
        <w:t>Lotto NZ lottery draw (online)</w:t>
      </w:r>
    </w:p>
    <w:p w14:paraId="25CCD8A7" w14:textId="77777777" w:rsidR="00EE5D22" w:rsidRPr="00AA1FBF" w:rsidRDefault="00EE5D22" w:rsidP="00352919">
      <w:pPr>
        <w:pStyle w:val="BodyText"/>
        <w:numPr>
          <w:ilvl w:val="0"/>
          <w:numId w:val="28"/>
        </w:numPr>
      </w:pPr>
      <w:r>
        <w:t>Lotto NZ lottery draw (physical store)</w:t>
      </w:r>
    </w:p>
    <w:p w14:paraId="3EA03F08" w14:textId="77777777" w:rsidR="00EE5D22" w:rsidRPr="00AA1FBF" w:rsidRDefault="00EE5D22" w:rsidP="00352919">
      <w:pPr>
        <w:pStyle w:val="BodyText"/>
        <w:numPr>
          <w:ilvl w:val="0"/>
          <w:numId w:val="28"/>
        </w:numPr>
      </w:pPr>
      <w:r>
        <w:t>Instant scratch ticket (online; $3 crossword-based game)</w:t>
      </w:r>
    </w:p>
    <w:p w14:paraId="249EF0DF" w14:textId="77777777" w:rsidR="00EE5D22" w:rsidRPr="00AA1FBF" w:rsidRDefault="00EE5D22" w:rsidP="00352919">
      <w:pPr>
        <w:pStyle w:val="BodyText"/>
        <w:numPr>
          <w:ilvl w:val="0"/>
          <w:numId w:val="28"/>
        </w:numPr>
      </w:pPr>
      <w:r>
        <w:t>Instant scratch ticket (physical store; $3 crossword-based game)</w:t>
      </w:r>
    </w:p>
    <w:p w14:paraId="008B621F" w14:textId="77777777" w:rsidR="00EE5D22" w:rsidRPr="00AA1FBF" w:rsidRDefault="00EE5D22" w:rsidP="00352919">
      <w:pPr>
        <w:pStyle w:val="BodyText"/>
        <w:numPr>
          <w:ilvl w:val="0"/>
          <w:numId w:val="28"/>
        </w:numPr>
      </w:pPr>
      <w:r>
        <w:t>Instant scratch ticket (physical store; $1 Kiwi Treasures)</w:t>
      </w:r>
    </w:p>
    <w:p w14:paraId="7E400132" w14:textId="77777777" w:rsidR="00EE5D22" w:rsidRPr="00AA1FBF" w:rsidRDefault="00EE5D22" w:rsidP="00352919">
      <w:pPr>
        <w:pStyle w:val="BodyText"/>
        <w:numPr>
          <w:ilvl w:val="0"/>
          <w:numId w:val="28"/>
        </w:numPr>
      </w:pPr>
      <w:r>
        <w:t xml:space="preserve">Keno </w:t>
      </w:r>
    </w:p>
    <w:p w14:paraId="233EE180" w14:textId="1AB7DF96" w:rsidR="00EE5D22" w:rsidRPr="00EE5D22" w:rsidRDefault="00EE5D22" w:rsidP="00791960">
      <w:pPr>
        <w:pStyle w:val="BodyText"/>
      </w:pPr>
      <w:r>
        <w:t>The rationale for product selection was based on variation in</w:t>
      </w:r>
      <w:r w:rsidR="000E53C8">
        <w:t xml:space="preserve"> three factors. These were</w:t>
      </w:r>
      <w:r w:rsidR="000B1EB4">
        <w:t xml:space="preserve"> (1) </w:t>
      </w:r>
      <w:r w:rsidR="008A6C4E">
        <w:t>Gamgard</w:t>
      </w:r>
      <w:r>
        <w:t xml:space="preserve"> </w:t>
      </w:r>
      <w:r w:rsidR="00B16F6F">
        <w:t>score</w:t>
      </w:r>
      <w:r>
        <w:t xml:space="preserve">, </w:t>
      </w:r>
      <w:r w:rsidR="00B16F6F">
        <w:t>(2) m</w:t>
      </w:r>
      <w:r>
        <w:t xml:space="preserve">ix of physical and online, and </w:t>
      </w:r>
      <w:r w:rsidR="00B16F6F">
        <w:t>(3) m</w:t>
      </w:r>
      <w:r>
        <w:t>ix of game type (</w:t>
      </w:r>
      <w:r w:rsidR="000E53C8">
        <w:t xml:space="preserve">lottery </w:t>
      </w:r>
      <w:r>
        <w:t xml:space="preserve">and </w:t>
      </w:r>
      <w:r w:rsidR="000E53C8">
        <w:t>instant scratch ticket</w:t>
      </w:r>
      <w:r>
        <w:t>)</w:t>
      </w:r>
      <w:r w:rsidR="000E53C8">
        <w:t xml:space="preserve">. </w:t>
      </w:r>
    </w:p>
    <w:p w14:paraId="272919FE" w14:textId="4C54B87F" w:rsidR="009F15B8" w:rsidRDefault="009F15B8" w:rsidP="009F15B8">
      <w:pPr>
        <w:pStyle w:val="Heading2"/>
      </w:pPr>
      <w:bookmarkStart w:id="379" w:name="_Toc87263195"/>
      <w:r>
        <w:lastRenderedPageBreak/>
        <w:t xml:space="preserve">Focus group results – Use of </w:t>
      </w:r>
      <w:r w:rsidR="008A6C4E">
        <w:t>Gamgard</w:t>
      </w:r>
      <w:bookmarkEnd w:id="379"/>
    </w:p>
    <w:p w14:paraId="6ED6F418" w14:textId="736F9EA7" w:rsidR="009F15B8" w:rsidRPr="00095F87" w:rsidRDefault="009F15B8" w:rsidP="009F15B8">
      <w:pPr>
        <w:pStyle w:val="Heading3"/>
      </w:pPr>
      <w:r w:rsidRPr="00095F87">
        <w:t xml:space="preserve">How are </w:t>
      </w:r>
      <w:r w:rsidR="008A6C4E">
        <w:t>Gamgard</w:t>
      </w:r>
      <w:r w:rsidRPr="00095F87">
        <w:t xml:space="preserve"> and similar tools used by Lotto NZ?</w:t>
      </w:r>
    </w:p>
    <w:p w14:paraId="1517E360" w14:textId="0F28E7EB" w:rsidR="00C52D8E" w:rsidRPr="00C52D8E" w:rsidRDefault="00C52D8E" w:rsidP="00C52D8E">
      <w:pPr>
        <w:pStyle w:val="BodyText"/>
        <w:spacing w:after="240"/>
      </w:pPr>
      <w:r w:rsidRPr="00C52D8E">
        <w:t>Lotto NZ have used Gamgard since 2013. It is used as a screening tool as part of their responsible gaming strategy. They intend to review scores annually and, for the past 18 months, have also used  the accompanying Positive Play Scale tool (described in section 1.9 of this document) to measure responsible gambling-related beliefs and behaviours amongst players. In addition, Lotto NZ runs a Play Smart “know your limit and play within it” programme which provides players with “a set of tips and tools designed to help you play smarter”. Lotto NZ has had compulsory online spend limits since 2007/2008. The spend limits have changed over time but are currently a maximum of $150/week with no more than $50/week on Instant Kiwi games and $500/month across all games. The Lotto NZ online platform is not open 24/7 as a harm minimisation measure. The website opens at 6.30am daily and closes between 10.10pm and 12.00am depending on draw days and game type.</w:t>
      </w:r>
    </w:p>
    <w:p w14:paraId="566470E5" w14:textId="0139267F" w:rsidR="009F15B8" w:rsidRDefault="009F15B8" w:rsidP="008C04B3">
      <w:pPr>
        <w:pStyle w:val="BodyText"/>
        <w:spacing w:after="240"/>
      </w:pPr>
      <w:r>
        <w:t>Lotto NZ broadly breaks their responsible gaming process into</w:t>
      </w:r>
      <w:r w:rsidR="00D2642B">
        <w:t xml:space="preserve"> three components:</w:t>
      </w:r>
      <w:r>
        <w:t xml:space="preserve"> </w:t>
      </w:r>
      <w:r w:rsidR="00D2642B">
        <w:t>prevention</w:t>
      </w:r>
      <w:r>
        <w:t xml:space="preserve">, </w:t>
      </w:r>
      <w:r w:rsidR="00D2642B">
        <w:t>detection</w:t>
      </w:r>
      <w:r>
        <w:t xml:space="preserve">, and </w:t>
      </w:r>
      <w:r w:rsidR="00D2642B">
        <w:t>intervention</w:t>
      </w:r>
      <w:r>
        <w:t xml:space="preserve">. </w:t>
      </w:r>
      <w:r w:rsidR="008A6C4E">
        <w:t>Gamgard</w:t>
      </w:r>
      <w:r>
        <w:t xml:space="preserve"> </w:t>
      </w:r>
      <w:r w:rsidR="0001497E">
        <w:t>ratings are</w:t>
      </w:r>
      <w:r>
        <w:t xml:space="preserve"> included as part of the prevention process. Detection is supported by their data analytics process, including data from MyLotto</w:t>
      </w:r>
      <w:r w:rsidR="00EF59D1" w:rsidRPr="00010935">
        <w:rPr>
          <w:vertAlign w:val="superscript"/>
        </w:rPr>
        <w:footnoteReference w:id="24"/>
      </w:r>
      <w:r>
        <w:t xml:space="preserve"> around time spent on site, spend, </w:t>
      </w:r>
      <w:r w:rsidR="003B17C8">
        <w:t xml:space="preserve">and </w:t>
      </w:r>
      <w:r>
        <w:t xml:space="preserve">spend limits (self-selected up to pre-set maximum by Lotto NZ). Intervention is focussed on providing access to help and support. </w:t>
      </w:r>
    </w:p>
    <w:p w14:paraId="475F4038" w14:textId="4247607A" w:rsidR="009F15B8" w:rsidRDefault="009F15B8" w:rsidP="009F15B8">
      <w:pPr>
        <w:pStyle w:val="Heading3"/>
      </w:pPr>
      <w:r w:rsidRPr="00095F87">
        <w:t xml:space="preserve">How do Lotto NZ score their products using </w:t>
      </w:r>
      <w:r w:rsidR="008A6C4E">
        <w:t>Gamgard</w:t>
      </w:r>
      <w:r w:rsidRPr="00095F87">
        <w:t>?</w:t>
      </w:r>
    </w:p>
    <w:p w14:paraId="14D60751" w14:textId="3DE409AB" w:rsidR="004E4B34" w:rsidRDefault="00336471" w:rsidP="00DD1BF9">
      <w:pPr>
        <w:pStyle w:val="BodyText"/>
        <w:spacing w:after="240"/>
      </w:pPr>
      <w:r>
        <w:t>Lotto NZ is</w:t>
      </w:r>
      <w:r w:rsidR="009F15B8">
        <w:t xml:space="preserve"> self-scoring (as opposed to outsourcing this to the </w:t>
      </w:r>
      <w:r w:rsidR="008A6C4E">
        <w:t>Gamgard</w:t>
      </w:r>
      <w:r w:rsidR="009F15B8">
        <w:t xml:space="preserve"> provider). A product manager will score a game during early game design, then may re-score the game again during development. The product passes through the approval process</w:t>
      </w:r>
      <w:r>
        <w:t xml:space="preserve"> depicted</w:t>
      </w:r>
      <w:r w:rsidR="00FA50C2">
        <w:t xml:space="preserve"> </w:t>
      </w:r>
      <w:r w:rsidR="0042449F">
        <w:t xml:space="preserve">in </w:t>
      </w:r>
      <w:r w:rsidR="0042449F">
        <w:fldChar w:fldCharType="begin"/>
      </w:r>
      <w:r w:rsidR="0042449F">
        <w:instrText xml:space="preserve"> REF _Ref72734160 \h </w:instrText>
      </w:r>
      <w:r w:rsidR="0042449F">
        <w:fldChar w:fldCharType="separate"/>
      </w:r>
      <w:r w:rsidR="00B24127">
        <w:t xml:space="preserve">Figure </w:t>
      </w:r>
      <w:r w:rsidR="00B24127">
        <w:rPr>
          <w:noProof/>
        </w:rPr>
        <w:t>5</w:t>
      </w:r>
      <w:r w:rsidR="0042449F">
        <w:fldChar w:fldCharType="end"/>
      </w:r>
      <w:r w:rsidR="0042449F">
        <w:t xml:space="preserve"> </w:t>
      </w:r>
      <w:r w:rsidR="00FA50C2">
        <w:t xml:space="preserve">with </w:t>
      </w:r>
      <w:r>
        <w:t xml:space="preserve">the </w:t>
      </w:r>
      <w:r w:rsidR="00FA50C2">
        <w:t xml:space="preserve">approval level determined by the </w:t>
      </w:r>
      <w:r w:rsidR="004071D1">
        <w:t>type</w:t>
      </w:r>
      <w:r w:rsidR="00FA50C2">
        <w:t xml:space="preserve"> of game</w:t>
      </w:r>
      <w:r w:rsidR="00A1482E">
        <w:t>.</w:t>
      </w:r>
      <w:r w:rsidR="00EB087C">
        <w:t xml:space="preserve"> </w:t>
      </w:r>
    </w:p>
    <w:p w14:paraId="7EBB1F95" w14:textId="77777777" w:rsidR="004E4B34" w:rsidRDefault="009F15B8" w:rsidP="004E4B34">
      <w:pPr>
        <w:keepNext/>
      </w:pPr>
      <w:r>
        <w:rPr>
          <w:noProof/>
        </w:rPr>
        <w:drawing>
          <wp:inline distT="0" distB="0" distL="0" distR="0" wp14:anchorId="641415C6" wp14:editId="316F9BCC">
            <wp:extent cx="5786651" cy="3721274"/>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6">
                      <a:extLst>
                        <a:ext uri="{28A0092B-C50C-407E-A947-70E740481C1C}">
                          <a14:useLocalDpi xmlns:a14="http://schemas.microsoft.com/office/drawing/2010/main" val="0"/>
                        </a:ext>
                      </a:extLst>
                    </a:blip>
                    <a:stretch>
                      <a:fillRect/>
                    </a:stretch>
                  </pic:blipFill>
                  <pic:spPr>
                    <a:xfrm>
                      <a:off x="0" y="0"/>
                      <a:ext cx="5847347" cy="3760306"/>
                    </a:xfrm>
                    <a:prstGeom prst="rect">
                      <a:avLst/>
                    </a:prstGeom>
                  </pic:spPr>
                </pic:pic>
              </a:graphicData>
            </a:graphic>
          </wp:inline>
        </w:drawing>
      </w:r>
    </w:p>
    <w:p w14:paraId="5A78C7E6" w14:textId="5007745A" w:rsidR="00433079" w:rsidRDefault="004E4B34" w:rsidP="00433079">
      <w:pPr>
        <w:pStyle w:val="Caption"/>
        <w:spacing w:after="0"/>
      </w:pPr>
      <w:bookmarkStart w:id="380" w:name="_Ref72734160"/>
      <w:bookmarkStart w:id="381" w:name="_Toc87263213"/>
      <w:r>
        <w:t xml:space="preserve">Figure </w:t>
      </w:r>
      <w:r>
        <w:fldChar w:fldCharType="begin"/>
      </w:r>
      <w:r>
        <w:instrText>SEQ Figure \* ARABIC</w:instrText>
      </w:r>
      <w:r>
        <w:fldChar w:fldCharType="separate"/>
      </w:r>
      <w:r w:rsidR="008F60FD">
        <w:rPr>
          <w:noProof/>
        </w:rPr>
        <w:t>7</w:t>
      </w:r>
      <w:r>
        <w:fldChar w:fldCharType="end"/>
      </w:r>
      <w:bookmarkEnd w:id="380"/>
      <w:r>
        <w:t xml:space="preserve"> Game design approval process</w:t>
      </w:r>
      <w:bookmarkEnd w:id="381"/>
    </w:p>
    <w:p w14:paraId="3AF5DB56" w14:textId="7B349EE2" w:rsidR="0004057F" w:rsidRPr="00114329" w:rsidRDefault="00967096" w:rsidP="00433079">
      <w:pPr>
        <w:pStyle w:val="Caption"/>
        <w:spacing w:after="0"/>
      </w:pPr>
      <w:r>
        <w:rPr>
          <w:szCs w:val="20"/>
        </w:rPr>
        <w:t>Lotto NZ, World Lotteries Association Responsible Gaming Submission 2019</w:t>
      </w:r>
    </w:p>
    <w:p w14:paraId="0AB840D8" w14:textId="251BB592" w:rsidR="009F15B8" w:rsidRDefault="009F15B8" w:rsidP="009F15B8">
      <w:pPr>
        <w:pStyle w:val="Heading3"/>
      </w:pPr>
      <w:r w:rsidRPr="00A56B2F">
        <w:t>How does the independent harm minimisation committee work?</w:t>
      </w:r>
    </w:p>
    <w:p w14:paraId="3F85CA10" w14:textId="4BDEBF5C" w:rsidR="00D47F9E" w:rsidRPr="0042449F" w:rsidRDefault="005B5C61" w:rsidP="0042449F">
      <w:pPr>
        <w:spacing w:after="180" w:line="264" w:lineRule="auto"/>
      </w:pPr>
      <w:r>
        <w:t xml:space="preserve">There is a harm minimisation committee that meets </w:t>
      </w:r>
      <w:r w:rsidR="00435536">
        <w:t xml:space="preserve">twice weekly </w:t>
      </w:r>
      <w:r>
        <w:t xml:space="preserve">to review the design and promotion of </w:t>
      </w:r>
      <w:r w:rsidR="00F43848">
        <w:t xml:space="preserve">all </w:t>
      </w:r>
      <w:r>
        <w:t xml:space="preserve">new games and how they are marketed. </w:t>
      </w:r>
      <w:r w:rsidR="009F15B8">
        <w:t xml:space="preserve">The committee is </w:t>
      </w:r>
      <w:r w:rsidR="00BF56BB">
        <w:t>comprised</w:t>
      </w:r>
      <w:r w:rsidR="009F15B8">
        <w:t xml:space="preserve"> of Lotto NZ staff that are independent </w:t>
      </w:r>
      <w:r w:rsidR="009F15B8">
        <w:lastRenderedPageBreak/>
        <w:t>from the product development team. They have varied backgrounds</w:t>
      </w:r>
      <w:r w:rsidR="0046282D">
        <w:t xml:space="preserve"> </w:t>
      </w:r>
      <w:r w:rsidR="00460911">
        <w:t xml:space="preserve">and levels of experience with the products under evaluation. The membership is drawn from </w:t>
      </w:r>
      <w:r w:rsidR="009F15B8">
        <w:t xml:space="preserve"> </w:t>
      </w:r>
      <w:r w:rsidR="0046282D" w:rsidRPr="00D546CA">
        <w:t>senior people from legal, marketing and responsible gaming teams</w:t>
      </w:r>
      <w:r w:rsidR="00460911" w:rsidRPr="00D546CA">
        <w:t>.</w:t>
      </w:r>
      <w:r w:rsidR="0046282D" w:rsidRPr="00D546CA">
        <w:t xml:space="preserve"> </w:t>
      </w:r>
      <w:r w:rsidR="005C4ED0">
        <w:t xml:space="preserve">They </w:t>
      </w:r>
      <w:r>
        <w:t>outsource e.g.</w:t>
      </w:r>
      <w:r w:rsidR="005C4ED0">
        <w:t>,</w:t>
      </w:r>
      <w:r>
        <w:t xml:space="preserve"> to </w:t>
      </w:r>
      <w:r w:rsidR="008A6C4E">
        <w:t>Gamgard</w:t>
      </w:r>
      <w:r>
        <w:t xml:space="preserve">, Advertising Standards, when required. </w:t>
      </w:r>
      <w:r w:rsidR="00806467">
        <w:t xml:space="preserve">External stakeholders are engaged </w:t>
      </w:r>
      <w:r w:rsidR="00CF696C" w:rsidRPr="00D546CA">
        <w:t>when Lotto NZ makes changes to its games or launches new products</w:t>
      </w:r>
      <w:r w:rsidR="00E37C39" w:rsidRPr="00D546CA">
        <w:t>.</w:t>
      </w:r>
    </w:p>
    <w:p w14:paraId="0761B204" w14:textId="33A9F32E" w:rsidR="00D47F9E" w:rsidRDefault="009F15B8" w:rsidP="00D47F9E">
      <w:pPr>
        <w:pStyle w:val="Heading3"/>
        <w:rPr>
          <w:iCs/>
        </w:rPr>
      </w:pPr>
      <w:r w:rsidRPr="00A56B2F">
        <w:rPr>
          <w:iCs/>
        </w:rPr>
        <w:t>What is the highest rated product and how are acceptable thresholds set?</w:t>
      </w:r>
    </w:p>
    <w:p w14:paraId="2C2F75CB" w14:textId="0A8D0318" w:rsidR="009F15B8" w:rsidRDefault="008A6C4E" w:rsidP="0042449F">
      <w:pPr>
        <w:spacing w:after="180" w:line="264" w:lineRule="auto"/>
      </w:pPr>
      <w:r>
        <w:t>Gamgard</w:t>
      </w:r>
      <w:r w:rsidR="009F15B8">
        <w:t xml:space="preserve"> score thresholds are used to inform the process, with a score of 61 being the limit set as unacceptable to Lotto NZ. No product has scored over 61 before going to the Executive team. </w:t>
      </w:r>
      <w:r w:rsidR="004071D1">
        <w:t xml:space="preserve">The </w:t>
      </w:r>
      <w:r w:rsidR="009F15B8">
        <w:t xml:space="preserve">highest </w:t>
      </w:r>
      <w:r>
        <w:t>Gamgard</w:t>
      </w:r>
      <w:r w:rsidR="00340F17">
        <w:t xml:space="preserve"> score</w:t>
      </w:r>
      <w:r w:rsidR="009F15B8">
        <w:t xml:space="preserve"> </w:t>
      </w:r>
      <w:r w:rsidR="004071D1">
        <w:t xml:space="preserve">was </w:t>
      </w:r>
      <w:r w:rsidR="00340F17">
        <w:t xml:space="preserve">for </w:t>
      </w:r>
      <w:r w:rsidR="004071D1">
        <w:t xml:space="preserve">CashBuster, which uses pull tabs that allow game completion in 15-20 seconds. This </w:t>
      </w:r>
      <w:r w:rsidR="00243991">
        <w:t xml:space="preserve">game </w:t>
      </w:r>
      <w:r w:rsidR="004071D1">
        <w:t>achieves a score of</w:t>
      </w:r>
      <w:r w:rsidR="009F15B8">
        <w:t xml:space="preserve"> 53 (60 without </w:t>
      </w:r>
      <w:r>
        <w:t>Gamgard</w:t>
      </w:r>
      <w:r w:rsidR="009F15B8">
        <w:t xml:space="preserve"> responsible gaming measures in place). </w:t>
      </w:r>
    </w:p>
    <w:p w14:paraId="33C6B13B" w14:textId="7F4FA323" w:rsidR="009F15B8" w:rsidRDefault="009F15B8" w:rsidP="0042449F">
      <w:pPr>
        <w:spacing w:after="180" w:line="264" w:lineRule="auto"/>
      </w:pPr>
      <w:r>
        <w:t xml:space="preserve">At a high level, </w:t>
      </w:r>
      <w:r w:rsidR="008A6C4E">
        <w:t>Gamgard</w:t>
      </w:r>
      <w:r>
        <w:t xml:space="preserve"> is being used as a pre-screening tool to triage games into</w:t>
      </w:r>
      <w:r w:rsidR="000779B2">
        <w:t xml:space="preserve"> risk categories</w:t>
      </w:r>
      <w:r>
        <w:t>:</w:t>
      </w:r>
    </w:p>
    <w:p w14:paraId="5CBFBFF1" w14:textId="23915797" w:rsidR="00F43848" w:rsidRDefault="009F15B8" w:rsidP="00352919">
      <w:pPr>
        <w:pStyle w:val="BodyText"/>
        <w:numPr>
          <w:ilvl w:val="0"/>
          <w:numId w:val="29"/>
        </w:numPr>
      </w:pPr>
      <w:r>
        <w:t>Higher risk (61-100) – Do not proceed</w:t>
      </w:r>
      <w:r w:rsidR="004A5B69">
        <w:t xml:space="preserve"> (red traffic light)</w:t>
      </w:r>
    </w:p>
    <w:p w14:paraId="110953D0" w14:textId="15AAFCEA" w:rsidR="009F15B8" w:rsidRDefault="009F15B8" w:rsidP="00352919">
      <w:pPr>
        <w:pStyle w:val="BodyText"/>
        <w:numPr>
          <w:ilvl w:val="0"/>
          <w:numId w:val="29"/>
        </w:numPr>
      </w:pPr>
      <w:r>
        <w:t>Moderate (4</w:t>
      </w:r>
      <w:r w:rsidR="00D47F9E">
        <w:t>1</w:t>
      </w:r>
      <w:r>
        <w:t>-6</w:t>
      </w:r>
      <w:r w:rsidR="00D47F9E">
        <w:t>0</w:t>
      </w:r>
      <w:r>
        <w:t>) – Triggers a more thorough review process</w:t>
      </w:r>
      <w:r w:rsidR="004A5B69">
        <w:t xml:space="preserve"> (yellow traffic light)</w:t>
      </w:r>
    </w:p>
    <w:p w14:paraId="2DE102BE" w14:textId="1044EA63" w:rsidR="009F15B8" w:rsidRDefault="009F15B8" w:rsidP="00352919">
      <w:pPr>
        <w:pStyle w:val="BodyText"/>
        <w:numPr>
          <w:ilvl w:val="0"/>
          <w:numId w:val="29"/>
        </w:numPr>
      </w:pPr>
      <w:r>
        <w:t>Low risk (0-</w:t>
      </w:r>
      <w:r w:rsidR="00D47F9E">
        <w:t>40</w:t>
      </w:r>
      <w:r>
        <w:t xml:space="preserve">) – Triggers </w:t>
      </w:r>
      <w:r w:rsidR="004071D1">
        <w:t>review and approval</w:t>
      </w:r>
      <w:r>
        <w:t xml:space="preserve"> process</w:t>
      </w:r>
      <w:r w:rsidR="004A5B69">
        <w:t xml:space="preserve"> (green traffic light)</w:t>
      </w:r>
    </w:p>
    <w:p w14:paraId="2C3304FF" w14:textId="05D6B39E" w:rsidR="009F15B8" w:rsidRDefault="009F15B8" w:rsidP="00BE3DCD">
      <w:pPr>
        <w:spacing w:after="180" w:line="264" w:lineRule="auto"/>
      </w:pPr>
      <w:r>
        <w:t>While no advice is given</w:t>
      </w:r>
      <w:r w:rsidR="000779B2">
        <w:t xml:space="preserve"> by </w:t>
      </w:r>
      <w:r w:rsidR="008A6C4E">
        <w:t>Gamgard</w:t>
      </w:r>
      <w:r>
        <w:t xml:space="preserve"> </w:t>
      </w:r>
      <w:r w:rsidR="00562CB2">
        <w:t xml:space="preserve">to </w:t>
      </w:r>
      <w:r>
        <w:t xml:space="preserve">a provider to set a threshold of acceptance for this process, the traffic light colour system around harm is the most logical interpretation. Consequently, Lotto NZ has never tried to provide a game with a score over 60. </w:t>
      </w:r>
    </w:p>
    <w:p w14:paraId="696A60DF" w14:textId="77777777" w:rsidR="009F15B8" w:rsidRPr="00E70178" w:rsidRDefault="009F15B8" w:rsidP="00D47F9E">
      <w:pPr>
        <w:pStyle w:val="Heading3"/>
      </w:pPr>
      <w:r w:rsidRPr="00E70178">
        <w:t>Principle-based guidelines</w:t>
      </w:r>
    </w:p>
    <w:p w14:paraId="31133EA1" w14:textId="3B600BA8" w:rsidR="009F15B8" w:rsidRDefault="009F15B8" w:rsidP="00BE3DCD">
      <w:pPr>
        <w:spacing w:after="180" w:line="264" w:lineRule="auto"/>
      </w:pPr>
      <w:r>
        <w:t xml:space="preserve">As part of the responsible gambling wrap-around for </w:t>
      </w:r>
      <w:r w:rsidR="008A6C4E">
        <w:t>Gamgard</w:t>
      </w:r>
      <w:r>
        <w:t xml:space="preserve">, a principles-based approach is used as an additional control beyond the </w:t>
      </w:r>
      <w:r w:rsidR="008A6C4E">
        <w:t>Gamgard</w:t>
      </w:r>
      <w:r>
        <w:t xml:space="preserve"> scoring</w:t>
      </w:r>
      <w:r w:rsidR="00A33295">
        <w:t xml:space="preserve">. This approach </w:t>
      </w:r>
      <w:r w:rsidR="00E16BCC">
        <w:t xml:space="preserve">follows </w:t>
      </w:r>
      <w:r>
        <w:t>the</w:t>
      </w:r>
      <w:r w:rsidRPr="001A3A05">
        <w:t xml:space="preserve"> </w:t>
      </w:r>
      <w:r>
        <w:t>Lotto NZ Harm Minimisation Guidelines for Lotto NZ Products (V 2.</w:t>
      </w:r>
      <w:r w:rsidR="00FD1F9A">
        <w:t>4</w:t>
      </w:r>
      <w:r>
        <w:t xml:space="preserve"> </w:t>
      </w:r>
      <w:r w:rsidR="00FD1F9A">
        <w:t>19</w:t>
      </w:r>
      <w:r>
        <w:t>-0</w:t>
      </w:r>
      <w:r w:rsidR="00FD1F9A">
        <w:t>3</w:t>
      </w:r>
      <w:r>
        <w:t>-20</w:t>
      </w:r>
      <w:r w:rsidR="00C56174">
        <w:t>2</w:t>
      </w:r>
      <w:r w:rsidR="00FD1F9A">
        <w:t>1</w:t>
      </w:r>
      <w:r>
        <w:t>), in particular Section 3.2</w:t>
      </w:r>
      <w:r w:rsidR="004E2153">
        <w:t xml:space="preserve"> Design Principles for physical and digital instant games</w:t>
      </w:r>
      <w:r w:rsidR="002B7D0B">
        <w:t xml:space="preserve"> (</w:t>
      </w:r>
      <w:r w:rsidR="00E5188D" w:rsidRPr="00D546CA">
        <w:t xml:space="preserve">Lotto NZ </w:t>
      </w:r>
      <w:r w:rsidR="002B7D0B">
        <w:t>, 202</w:t>
      </w:r>
      <w:r w:rsidR="00FD1F9A">
        <w:t>1</w:t>
      </w:r>
      <w:r w:rsidR="002B7D0B">
        <w:t>)</w:t>
      </w:r>
      <w:r>
        <w:t xml:space="preserve">. The relevance of this is that it allows </w:t>
      </w:r>
      <w:r w:rsidR="00D218A3">
        <w:t>detection</w:t>
      </w:r>
      <w:r>
        <w:t xml:space="preserve"> of some gaming elements not covered in </w:t>
      </w:r>
      <w:r w:rsidR="008A6C4E">
        <w:t>Gamgard</w:t>
      </w:r>
      <w:r>
        <w:t xml:space="preserve">, but </w:t>
      </w:r>
      <w:r w:rsidR="002F7999">
        <w:t>included</w:t>
      </w:r>
      <w:r>
        <w:t xml:space="preserve"> in other tools, </w:t>
      </w:r>
      <w:r w:rsidR="002F7999">
        <w:t>such as</w:t>
      </w:r>
      <w:r>
        <w:t>:</w:t>
      </w:r>
    </w:p>
    <w:p w14:paraId="4A566461" w14:textId="6EAC00B3" w:rsidR="009F15B8" w:rsidRDefault="009F15B8" w:rsidP="00D546CA">
      <w:pPr>
        <w:spacing w:after="180" w:line="264" w:lineRule="auto"/>
      </w:pPr>
      <w:r>
        <w:t xml:space="preserve">Noise: </w:t>
      </w:r>
      <w:r w:rsidRPr="00BE3DCD">
        <w:t>“No depiction of automatic gaming machines (</w:t>
      </w:r>
      <w:r w:rsidR="00D218A3" w:rsidRPr="00BE3DCD">
        <w:t>i.e.,</w:t>
      </w:r>
      <w:r w:rsidRPr="00BE3DCD">
        <w:t xml:space="preserve"> pokies)”</w:t>
      </w:r>
      <w:r w:rsidR="00091DCE">
        <w:t xml:space="preserve"> (</w:t>
      </w:r>
      <w:bookmarkStart w:id="382" w:name="_Hlk87004835"/>
      <w:r w:rsidR="00E5188D" w:rsidRPr="00D546CA">
        <w:t>Lotto NZ</w:t>
      </w:r>
      <w:r w:rsidR="00E5188D" w:rsidRPr="00BA6D18">
        <w:rPr>
          <w:rFonts w:cstheme="minorHAnsi"/>
          <w:sz w:val="22"/>
          <w:szCs w:val="22"/>
        </w:rPr>
        <w:t xml:space="preserve"> </w:t>
      </w:r>
      <w:bookmarkEnd w:id="382"/>
      <w:r w:rsidR="00091DCE">
        <w:t>, 2021, p.</w:t>
      </w:r>
      <w:r w:rsidR="00384B4B">
        <w:t xml:space="preserve"> 1</w:t>
      </w:r>
      <w:r w:rsidR="00D851E0">
        <w:t>8</w:t>
      </w:r>
      <w:r w:rsidR="00091DCE">
        <w:t>)</w:t>
      </w:r>
      <w:r>
        <w:t xml:space="preserve"> is included as a key principle. Consequently, the use of audio around a “coin dropping noise” in one online game was altered. Note: Other noises and lights can be used. </w:t>
      </w:r>
    </w:p>
    <w:p w14:paraId="6F55B86C" w14:textId="57A3B69B" w:rsidR="009F15B8" w:rsidRDefault="004071D1" w:rsidP="00352919">
      <w:pPr>
        <w:pStyle w:val="BodyText"/>
        <w:numPr>
          <w:ilvl w:val="0"/>
          <w:numId w:val="30"/>
        </w:numPr>
      </w:pPr>
      <w:r>
        <w:t>Artwork</w:t>
      </w:r>
      <w:r w:rsidR="009F15B8">
        <w:t xml:space="preserve"> and visual appeal: </w:t>
      </w:r>
      <w:r w:rsidR="009F15B8" w:rsidRPr="00BE3DCD">
        <w:t>“No design symbols or language that primarily appeal to children and those under 18”</w:t>
      </w:r>
      <w:r w:rsidR="009F15B8">
        <w:t xml:space="preserve"> </w:t>
      </w:r>
      <w:r w:rsidR="00D851E0">
        <w:t>(</w:t>
      </w:r>
      <w:r w:rsidR="00E5188D" w:rsidRPr="00F65B24">
        <w:t>Lotto NZ</w:t>
      </w:r>
      <w:r w:rsidR="00E5188D" w:rsidRPr="00BA6D18">
        <w:rPr>
          <w:rFonts w:cstheme="minorHAnsi"/>
          <w:sz w:val="22"/>
          <w:szCs w:val="22"/>
        </w:rPr>
        <w:t xml:space="preserve"> </w:t>
      </w:r>
      <w:r w:rsidR="00D851E0">
        <w:t>, 2021, p</w:t>
      </w:r>
      <w:r w:rsidR="00384B4B">
        <w:t xml:space="preserve">. </w:t>
      </w:r>
      <w:r w:rsidR="00D851E0">
        <w:t xml:space="preserve">17) </w:t>
      </w:r>
      <w:r w:rsidR="009F15B8">
        <w:t xml:space="preserve">as part of the Social Responsibility principle. This meant that a game that passed the </w:t>
      </w:r>
      <w:r w:rsidR="008A6C4E">
        <w:t>Gamgard</w:t>
      </w:r>
      <w:r w:rsidR="009F15B8">
        <w:t xml:space="preserve"> score threshold (scoring a 52), was rejected based on this principle because it depicted ice cream icons, which were deemed to appeal to children. </w:t>
      </w:r>
    </w:p>
    <w:p w14:paraId="4691099C" w14:textId="4B5DD2D6" w:rsidR="009F15B8" w:rsidRDefault="009F15B8" w:rsidP="00352919">
      <w:pPr>
        <w:pStyle w:val="BodyText"/>
        <w:numPr>
          <w:ilvl w:val="0"/>
          <w:numId w:val="30"/>
        </w:numPr>
      </w:pPr>
      <w:r>
        <w:t xml:space="preserve">Marketing and misrepresenting win rates: </w:t>
      </w:r>
      <w:r w:rsidRPr="00BE3DCD">
        <w:t xml:space="preserve">“All text accurately reflects the odds or likelihood of winning.” </w:t>
      </w:r>
      <w:r w:rsidR="00D851E0">
        <w:t>(</w:t>
      </w:r>
      <w:r w:rsidR="006725DE">
        <w:t>Lotto NZ</w:t>
      </w:r>
      <w:r w:rsidR="00D851E0">
        <w:t xml:space="preserve">, </w:t>
      </w:r>
      <w:r w:rsidR="006725DE">
        <w:t>2021</w:t>
      </w:r>
      <w:r w:rsidR="00D851E0">
        <w:t>, p. 18)</w:t>
      </w:r>
      <w:r w:rsidR="00384B4B">
        <w:t xml:space="preserve"> </w:t>
      </w:r>
      <w:r>
        <w:t xml:space="preserve">One game had advertising that represented the likelihood of winning beyond the actual win rate. This game was rejected based on this principle. </w:t>
      </w:r>
    </w:p>
    <w:p w14:paraId="452A819C" w14:textId="0459BD88" w:rsidR="009F15B8" w:rsidRDefault="009F15B8" w:rsidP="00BE3DCD">
      <w:pPr>
        <w:spacing w:after="180" w:line="264" w:lineRule="auto"/>
      </w:pPr>
      <w:r w:rsidRPr="00BE3DCD">
        <w:t>Recommendation</w:t>
      </w:r>
      <w:r w:rsidR="00D47F9E" w:rsidRPr="00BE3DCD">
        <w:t xml:space="preserve">:  </w:t>
      </w:r>
      <w:bookmarkStart w:id="383" w:name="_Hlk72847261"/>
      <w:r w:rsidR="005F7861">
        <w:t>Some</w:t>
      </w:r>
      <w:r>
        <w:t xml:space="preserve"> aspects offered in other</w:t>
      </w:r>
      <w:r w:rsidR="005A7862">
        <w:t xml:space="preserve"> risk assessment</w:t>
      </w:r>
      <w:r>
        <w:t xml:space="preserve"> tools could be more directly imbedded into a wrap-</w:t>
      </w:r>
      <w:r w:rsidRPr="00D47F9E">
        <w:t>around</w:t>
      </w:r>
      <w:r>
        <w:t xml:space="preserve"> process </w:t>
      </w:r>
      <w:r w:rsidR="007C1BA5">
        <w:t>with</w:t>
      </w:r>
      <w:r>
        <w:t xml:space="preserve"> </w:t>
      </w:r>
      <w:r w:rsidR="008A6C4E">
        <w:t>Gamgard</w:t>
      </w:r>
      <w:r>
        <w:t>. For example, if there is a more in-depth assessment in the evaluation process, includ</w:t>
      </w:r>
      <w:r w:rsidR="005A7862">
        <w:t>e</w:t>
      </w:r>
      <w:r>
        <w:t xml:space="preserve"> active assessment of the stimulation level of each product (</w:t>
      </w:r>
      <w:r w:rsidR="005A7862">
        <w:t>i.e.,</w:t>
      </w:r>
      <w:r>
        <w:t xml:space="preserve"> noise and light) as this relates to gambling harm. </w:t>
      </w:r>
    </w:p>
    <w:p w14:paraId="43DC5664" w14:textId="2F996C9F" w:rsidR="00D47F9E" w:rsidRDefault="00D47F9E" w:rsidP="00D47F9E">
      <w:pPr>
        <w:pStyle w:val="Heading2"/>
      </w:pPr>
      <w:bookmarkStart w:id="384" w:name="_Toc87263196"/>
      <w:bookmarkEnd w:id="383"/>
      <w:r>
        <w:t>Individual scoring sessions</w:t>
      </w:r>
      <w:bookmarkEnd w:id="384"/>
    </w:p>
    <w:p w14:paraId="4432D1BC" w14:textId="2945A19D" w:rsidR="00564E99" w:rsidRDefault="004071D1" w:rsidP="008A2359">
      <w:pPr>
        <w:spacing w:after="180" w:line="264" w:lineRule="auto"/>
      </w:pPr>
      <w:r>
        <w:t xml:space="preserve">Each factor in the </w:t>
      </w:r>
      <w:r w:rsidR="008A6C4E">
        <w:t>Gamgard</w:t>
      </w:r>
      <w:r>
        <w:t xml:space="preserve"> tool was rated for the six games by </w:t>
      </w:r>
      <w:r w:rsidR="00BE3B78">
        <w:t>four</w:t>
      </w:r>
      <w:r>
        <w:t xml:space="preserve"> assessors</w:t>
      </w:r>
      <w:r w:rsidR="006725DE">
        <w:t xml:space="preserve"> in a test environment</w:t>
      </w:r>
      <w:r>
        <w:t xml:space="preserve">, totalling 24 ratings for each risk factor. </w:t>
      </w:r>
      <w:r w:rsidR="003A7D70">
        <w:t xml:space="preserve">This process was designed to evaluate the tool and differs to the standard Lotto NZ method where Products Managers assess in their areas of expertise, consult with the wider team when required and have an annual peer review of scores. </w:t>
      </w:r>
      <w:r>
        <w:t xml:space="preserve">Interrater reliability </w:t>
      </w:r>
      <w:r w:rsidR="002E42BA">
        <w:t xml:space="preserve">was </w:t>
      </w:r>
      <w:r w:rsidR="0056550E">
        <w:t xml:space="preserve">analysed </w:t>
      </w:r>
      <w:r w:rsidR="00F1552E">
        <w:t xml:space="preserve">using </w:t>
      </w:r>
      <w:r w:rsidR="00CE2A51">
        <w:t xml:space="preserve"> Krippendorff’s alpha</w:t>
      </w:r>
      <w:r w:rsidR="00F1552E">
        <w:t xml:space="preserve">, </w:t>
      </w:r>
      <w:r w:rsidR="00A16603">
        <w:t xml:space="preserve">a measure of </w:t>
      </w:r>
      <w:r w:rsidR="00E95554">
        <w:t>the agreement among raters</w:t>
      </w:r>
      <w:r w:rsidR="00B24E1B">
        <w:t xml:space="preserve"> </w:t>
      </w:r>
      <w:r w:rsidR="00DD20A0">
        <w:t>which is applicable to any number of coders (</w:t>
      </w:r>
      <w:r w:rsidR="003938C5">
        <w:t>Kr</w:t>
      </w:r>
      <w:r w:rsidR="008F708A">
        <w:t>i</w:t>
      </w:r>
      <w:r w:rsidR="003938C5">
        <w:t>ppendorf</w:t>
      </w:r>
      <w:r w:rsidR="008F708A">
        <w:t>f</w:t>
      </w:r>
      <w:r w:rsidR="003938C5">
        <w:t>, 2011)</w:t>
      </w:r>
      <w:r w:rsidR="00DD20A0">
        <w:t>.</w:t>
      </w:r>
      <w:r w:rsidR="008D0A18">
        <w:t xml:space="preserve"> </w:t>
      </w:r>
      <w:r w:rsidR="009A0469">
        <w:t>If all raters</w:t>
      </w:r>
      <w:r w:rsidR="00184DC4">
        <w:t>, or nearly all raters, g</w:t>
      </w:r>
      <w:r w:rsidR="005069F4">
        <w:t>i</w:t>
      </w:r>
      <w:r w:rsidR="00184DC4">
        <w:t xml:space="preserve">ve a similar </w:t>
      </w:r>
      <w:r w:rsidR="004A294E">
        <w:t>score within each game</w:t>
      </w:r>
      <w:r w:rsidR="00FA4EF8">
        <w:t xml:space="preserve"> the </w:t>
      </w:r>
      <w:r w:rsidR="00EF624F">
        <w:t xml:space="preserve">Krippendorff’s </w:t>
      </w:r>
      <w:r w:rsidR="00720B73">
        <w:t>alpha result</w:t>
      </w:r>
      <w:r w:rsidR="00D0186D">
        <w:t xml:space="preserve"> is higher</w:t>
      </w:r>
      <w:r w:rsidR="006933E0">
        <w:t xml:space="preserve">. </w:t>
      </w:r>
      <w:r w:rsidR="004671BA" w:rsidRPr="004671BA">
        <w:t xml:space="preserve">Krippendorff suggests: “[I]t is customary to require </w:t>
      </w:r>
      <w:r w:rsidR="004671BA" w:rsidRPr="004671BA">
        <w:rPr>
          <w:rFonts w:hint="eastAsia"/>
        </w:rPr>
        <w:t>α</w:t>
      </w:r>
      <w:r w:rsidR="004671BA" w:rsidRPr="004671BA">
        <w:t xml:space="preserve"> ≥ .800. Where tentative conclusions are still acceptable, </w:t>
      </w:r>
      <w:r w:rsidR="004671BA" w:rsidRPr="004671BA">
        <w:rPr>
          <w:rFonts w:hint="eastAsia"/>
        </w:rPr>
        <w:t>α</w:t>
      </w:r>
      <w:r w:rsidR="004671BA" w:rsidRPr="004671BA">
        <w:t xml:space="preserve"> ≥ .667 is the lowest conceivable limit (</w:t>
      </w:r>
      <w:r w:rsidR="004671BA">
        <w:t xml:space="preserve">Kirppendorff, </w:t>
      </w:r>
      <w:r w:rsidR="004671BA" w:rsidRPr="004671BA">
        <w:t>2004, p. 241)</w:t>
      </w:r>
      <w:r w:rsidR="008F708A">
        <w:t>.</w:t>
      </w:r>
      <w:r w:rsidR="004671BA" w:rsidRPr="004671BA">
        <w:t>”</w:t>
      </w:r>
      <w:r w:rsidR="00536270">
        <w:t xml:space="preserve"> </w:t>
      </w:r>
      <w:r w:rsidR="0058408C">
        <w:t xml:space="preserve">Scoring consistency </w:t>
      </w:r>
      <w:r>
        <w:t>is reported for each risk factor</w:t>
      </w:r>
      <w:r w:rsidR="00B76156">
        <w:t xml:space="preserve"> in</w:t>
      </w:r>
      <w:r w:rsidR="002E4362">
        <w:t xml:space="preserve"> </w:t>
      </w:r>
      <w:r w:rsidR="00E273BD">
        <w:fldChar w:fldCharType="begin"/>
      </w:r>
      <w:r w:rsidR="00E273BD">
        <w:instrText xml:space="preserve"> REF _Ref73007623 \h </w:instrText>
      </w:r>
      <w:r w:rsidR="008A2359">
        <w:instrText xml:space="preserve"> \* MERGEFORMAT </w:instrText>
      </w:r>
      <w:r w:rsidR="00E273BD">
        <w:fldChar w:fldCharType="separate"/>
      </w:r>
      <w:r w:rsidR="00B24127">
        <w:t>Table 3</w:t>
      </w:r>
      <w:r w:rsidR="00B24127">
        <w:noBreakHyphen/>
        <w:t>1 Scoring consistency (</w:t>
      </w:r>
      <w:proofErr w:type="spellStart"/>
      <w:r w:rsidR="00B24127">
        <w:t>Krippendorff’s</w:t>
      </w:r>
      <w:proofErr w:type="spellEnd"/>
      <w:r w:rsidR="00B24127">
        <w:t xml:space="preserve"> alpha) and mean confidence rating for individual risk factors</w:t>
      </w:r>
      <w:r w:rsidR="00E273BD">
        <w:fldChar w:fldCharType="end"/>
      </w:r>
      <w:r w:rsidR="00D21650">
        <w:t xml:space="preserve"> Also, reported is the</w:t>
      </w:r>
      <w:r w:rsidR="00AB0C82" w:rsidRPr="008A2359">
        <w:t xml:space="preserve"> </w:t>
      </w:r>
      <w:r w:rsidR="00AB0C82" w:rsidRPr="00D21650">
        <w:t xml:space="preserve">mean confidence </w:t>
      </w:r>
      <w:r w:rsidR="0023625F" w:rsidRPr="00D21650">
        <w:t>rating. This</w:t>
      </w:r>
      <w:r w:rsidR="0023625F">
        <w:t xml:space="preserve"> was</w:t>
      </w:r>
      <w:r w:rsidR="00AB0C82">
        <w:t xml:space="preserve"> </w:t>
      </w:r>
      <w:r w:rsidR="00AB0C82">
        <w:lastRenderedPageBreak/>
        <w:t xml:space="preserve">calculated for each risk factor </w:t>
      </w:r>
      <w:r w:rsidR="001F570E">
        <w:t>using</w:t>
      </w:r>
      <w:r w:rsidR="00477CA7">
        <w:t xml:space="preserve"> </w:t>
      </w:r>
      <w:r w:rsidR="00827121">
        <w:t xml:space="preserve">ratings from the </w:t>
      </w:r>
      <w:r w:rsidR="00BE3B78">
        <w:t>four</w:t>
      </w:r>
      <w:r w:rsidR="002B1E42">
        <w:t xml:space="preserve"> assessors</w:t>
      </w:r>
      <w:r w:rsidR="00477CA7">
        <w:t xml:space="preserve"> </w:t>
      </w:r>
      <w:r w:rsidR="00E836C2">
        <w:t>on a scale of 1 (not confident</w:t>
      </w:r>
      <w:r w:rsidR="005F00DC">
        <w:t xml:space="preserve"> at all</w:t>
      </w:r>
      <w:r w:rsidR="00E836C2">
        <w:t>) to 5 (very confident)</w:t>
      </w:r>
      <w:r w:rsidR="00165C0D">
        <w:t xml:space="preserve"> </w:t>
      </w:r>
      <w:r w:rsidR="00477CA7">
        <w:t xml:space="preserve">across </w:t>
      </w:r>
      <w:r w:rsidR="001F570E">
        <w:t>all games.</w:t>
      </w:r>
    </w:p>
    <w:p w14:paraId="0DC8DE58" w14:textId="2B2BA428" w:rsidR="00A66870" w:rsidRDefault="00564E99" w:rsidP="004071D1">
      <w:r>
        <w:br w:type="page"/>
      </w:r>
    </w:p>
    <w:p w14:paraId="40B981D0" w14:textId="3C7DC12A" w:rsidR="00B76156" w:rsidRDefault="00B76156" w:rsidP="005E491A">
      <w:pPr>
        <w:pStyle w:val="Caption"/>
        <w:keepNext/>
      </w:pPr>
      <w:bookmarkStart w:id="385" w:name="_Ref73007623"/>
      <w:bookmarkStart w:id="386" w:name="_Toc87263219"/>
      <w:r>
        <w:lastRenderedPageBreak/>
        <w:t xml:space="preserve">Table </w:t>
      </w:r>
      <w:r>
        <w:fldChar w:fldCharType="begin"/>
      </w:r>
      <w:r>
        <w:instrText>STYLEREF 1 \s</w:instrText>
      </w:r>
      <w:r>
        <w:fldChar w:fldCharType="separate"/>
      </w:r>
      <w:r w:rsidR="00B24127">
        <w:rPr>
          <w:noProof/>
        </w:rPr>
        <w:t>3</w:t>
      </w:r>
      <w:r>
        <w:fldChar w:fldCharType="end"/>
      </w:r>
      <w:r>
        <w:noBreakHyphen/>
      </w:r>
      <w:r>
        <w:fldChar w:fldCharType="begin"/>
      </w:r>
      <w:r>
        <w:instrText>SEQ Table \* ARABIC \s 1</w:instrText>
      </w:r>
      <w:r>
        <w:fldChar w:fldCharType="separate"/>
      </w:r>
      <w:r w:rsidR="00B24127">
        <w:rPr>
          <w:noProof/>
        </w:rPr>
        <w:t>1</w:t>
      </w:r>
      <w:r>
        <w:fldChar w:fldCharType="end"/>
      </w:r>
      <w:r>
        <w:t xml:space="preserve"> Scoring consistency (</w:t>
      </w:r>
      <w:r w:rsidR="000D558D">
        <w:t>Krippendorff’s alpha</w:t>
      </w:r>
      <w:r>
        <w:t>) and mean confidence rating for individual risk factors</w:t>
      </w:r>
      <w:bookmarkEnd w:id="385"/>
      <w:bookmarkEnd w:id="386"/>
    </w:p>
    <w:tbl>
      <w:tblPr>
        <w:tblStyle w:val="TableGrid"/>
        <w:tblW w:w="9251" w:type="dxa"/>
        <w:tblLook w:val="04A0" w:firstRow="1" w:lastRow="0" w:firstColumn="1" w:lastColumn="0" w:noHBand="0" w:noVBand="1"/>
      </w:tblPr>
      <w:tblGrid>
        <w:gridCol w:w="3681"/>
        <w:gridCol w:w="2835"/>
        <w:gridCol w:w="2735"/>
      </w:tblGrid>
      <w:tr w:rsidR="00A66870" w:rsidRPr="00A66870" w14:paraId="76C0B375" w14:textId="5F9C884A" w:rsidTr="00A66870">
        <w:tc>
          <w:tcPr>
            <w:tcW w:w="3681" w:type="dxa"/>
            <w:tcBorders>
              <w:top w:val="single" w:sz="4" w:space="0" w:color="auto"/>
              <w:left w:val="single" w:sz="4" w:space="0" w:color="auto"/>
              <w:bottom w:val="single" w:sz="4" w:space="0" w:color="auto"/>
              <w:right w:val="single" w:sz="4" w:space="0" w:color="auto"/>
            </w:tcBorders>
            <w:hideMark/>
          </w:tcPr>
          <w:p w14:paraId="3C500B84" w14:textId="0A08FFFC" w:rsidR="00A66870" w:rsidRPr="00A66870" w:rsidRDefault="008A6C4E">
            <w:pPr>
              <w:rPr>
                <w:b/>
                <w:bCs/>
                <w:color w:val="auto"/>
              </w:rPr>
            </w:pPr>
            <w:r>
              <w:rPr>
                <w:b/>
                <w:bCs/>
              </w:rPr>
              <w:t>Gamgard</w:t>
            </w:r>
            <w:r w:rsidR="00A66870" w:rsidRPr="00A66870">
              <w:rPr>
                <w:b/>
                <w:bCs/>
              </w:rPr>
              <w:t xml:space="preserve"> item</w:t>
            </w:r>
          </w:p>
        </w:tc>
        <w:tc>
          <w:tcPr>
            <w:tcW w:w="2835" w:type="dxa"/>
            <w:tcBorders>
              <w:top w:val="single" w:sz="4" w:space="0" w:color="auto"/>
              <w:left w:val="single" w:sz="4" w:space="0" w:color="auto"/>
              <w:bottom w:val="single" w:sz="4" w:space="0" w:color="auto"/>
              <w:right w:val="single" w:sz="4" w:space="0" w:color="auto"/>
            </w:tcBorders>
            <w:hideMark/>
          </w:tcPr>
          <w:p w14:paraId="65D6A68F" w14:textId="55A7341C" w:rsidR="00A66870" w:rsidRPr="00A66870" w:rsidRDefault="00A66870" w:rsidP="00A66870">
            <w:pPr>
              <w:jc w:val="center"/>
              <w:rPr>
                <w:rFonts w:cs="Georgia"/>
                <w:b/>
                <w:bCs/>
              </w:rPr>
            </w:pPr>
            <w:r w:rsidRPr="00A66870">
              <w:rPr>
                <w:b/>
                <w:bCs/>
              </w:rPr>
              <w:t>Scoring consistency</w:t>
            </w:r>
            <w:r w:rsidR="000D558D">
              <w:rPr>
                <w:b/>
                <w:bCs/>
              </w:rPr>
              <w:t xml:space="preserve"> (</w:t>
            </w:r>
            <w:r w:rsidR="000D558D" w:rsidRPr="008D49BE">
              <w:rPr>
                <w:rFonts w:ascii="Cambria" w:hAnsi="Cambria" w:cs="Cambria"/>
              </w:rPr>
              <w:t>α</w:t>
            </w:r>
            <w:r w:rsidR="000D558D">
              <w:rPr>
                <w:rFonts w:ascii="Cambria" w:hAnsi="Cambria" w:cs="Cambria"/>
              </w:rPr>
              <w:t>)</w:t>
            </w:r>
          </w:p>
        </w:tc>
        <w:tc>
          <w:tcPr>
            <w:tcW w:w="2735" w:type="dxa"/>
            <w:tcBorders>
              <w:top w:val="single" w:sz="4" w:space="0" w:color="auto"/>
              <w:left w:val="single" w:sz="4" w:space="0" w:color="auto"/>
              <w:bottom w:val="single" w:sz="4" w:space="0" w:color="auto"/>
              <w:right w:val="single" w:sz="4" w:space="0" w:color="auto"/>
            </w:tcBorders>
          </w:tcPr>
          <w:p w14:paraId="1325787F" w14:textId="44A288E2" w:rsidR="00A66870" w:rsidRPr="00A66870" w:rsidRDefault="00A66870" w:rsidP="00A66870">
            <w:pPr>
              <w:jc w:val="center"/>
              <w:rPr>
                <w:b/>
                <w:bCs/>
              </w:rPr>
            </w:pPr>
            <w:r w:rsidRPr="00A66870">
              <w:rPr>
                <w:b/>
                <w:bCs/>
              </w:rPr>
              <w:t>Confidence in Score</w:t>
            </w:r>
          </w:p>
        </w:tc>
      </w:tr>
      <w:tr w:rsidR="00A66870" w:rsidRPr="00A66870" w14:paraId="526ACE3C" w14:textId="1F8C4C0C" w:rsidTr="00A66870">
        <w:tc>
          <w:tcPr>
            <w:tcW w:w="3681" w:type="dxa"/>
            <w:tcBorders>
              <w:top w:val="single" w:sz="4" w:space="0" w:color="auto"/>
              <w:left w:val="single" w:sz="4" w:space="0" w:color="auto"/>
              <w:bottom w:val="single" w:sz="4" w:space="0" w:color="auto"/>
              <w:right w:val="single" w:sz="4" w:space="0" w:color="auto"/>
            </w:tcBorders>
          </w:tcPr>
          <w:p w14:paraId="63284C17" w14:textId="77777777" w:rsidR="00A66870" w:rsidRDefault="00A66870">
            <w:r w:rsidRPr="00A66870">
              <w:t xml:space="preserve">Risk Factor 1 </w:t>
            </w:r>
          </w:p>
          <w:p w14:paraId="2485C896" w14:textId="1A87B49B" w:rsidR="00A66870" w:rsidRPr="00A66870" w:rsidRDefault="00A66870">
            <w:r w:rsidRPr="00A66870">
              <w:t>Event frequency</w:t>
            </w:r>
          </w:p>
        </w:tc>
        <w:tc>
          <w:tcPr>
            <w:tcW w:w="2835" w:type="dxa"/>
            <w:tcBorders>
              <w:top w:val="single" w:sz="4" w:space="0" w:color="auto"/>
              <w:left w:val="single" w:sz="4" w:space="0" w:color="auto"/>
              <w:bottom w:val="single" w:sz="4" w:space="0" w:color="auto"/>
              <w:right w:val="single" w:sz="4" w:space="0" w:color="auto"/>
            </w:tcBorders>
          </w:tcPr>
          <w:p w14:paraId="4AA260DD" w14:textId="1DE8C4F0" w:rsidR="00A66870" w:rsidRPr="00A66870" w:rsidRDefault="003D4E32" w:rsidP="00A66870">
            <w:pPr>
              <w:jc w:val="center"/>
              <w:rPr>
                <w:rFonts w:eastAsia="Calibri"/>
              </w:rPr>
            </w:pPr>
            <w:r>
              <w:rPr>
                <w:rFonts w:eastAsia="Calibri"/>
              </w:rPr>
              <w:t>1</w:t>
            </w:r>
          </w:p>
        </w:tc>
        <w:tc>
          <w:tcPr>
            <w:tcW w:w="2735" w:type="dxa"/>
            <w:tcBorders>
              <w:top w:val="single" w:sz="4" w:space="0" w:color="auto"/>
              <w:left w:val="single" w:sz="4" w:space="0" w:color="auto"/>
              <w:bottom w:val="single" w:sz="4" w:space="0" w:color="auto"/>
              <w:right w:val="single" w:sz="4" w:space="0" w:color="auto"/>
            </w:tcBorders>
          </w:tcPr>
          <w:p w14:paraId="644E2CC4" w14:textId="5D0D4F9A" w:rsidR="00A66870" w:rsidRPr="00A66870" w:rsidRDefault="00A66870" w:rsidP="00A66870">
            <w:pPr>
              <w:jc w:val="center"/>
            </w:pPr>
            <w:r w:rsidRPr="00A66870">
              <w:t>4.7/5</w:t>
            </w:r>
          </w:p>
        </w:tc>
      </w:tr>
      <w:tr w:rsidR="00A66870" w:rsidRPr="00A66870" w14:paraId="12226B27" w14:textId="26185530" w:rsidTr="00A66870">
        <w:tc>
          <w:tcPr>
            <w:tcW w:w="3681" w:type="dxa"/>
            <w:tcBorders>
              <w:top w:val="single" w:sz="4" w:space="0" w:color="auto"/>
              <w:left w:val="single" w:sz="4" w:space="0" w:color="auto"/>
              <w:bottom w:val="single" w:sz="4" w:space="0" w:color="auto"/>
              <w:right w:val="single" w:sz="4" w:space="0" w:color="auto"/>
            </w:tcBorders>
          </w:tcPr>
          <w:p w14:paraId="1FDF0D1E" w14:textId="77777777" w:rsidR="00A66870" w:rsidRDefault="00A66870">
            <w:r w:rsidRPr="00A66870">
              <w:t>Risk Factor 2</w:t>
            </w:r>
          </w:p>
          <w:p w14:paraId="5A231975" w14:textId="29EDB900" w:rsidR="00A66870" w:rsidRPr="00A66870" w:rsidRDefault="00A66870">
            <w:r w:rsidRPr="00A66870">
              <w:t>Multi-game / stake opportunities</w:t>
            </w:r>
          </w:p>
        </w:tc>
        <w:tc>
          <w:tcPr>
            <w:tcW w:w="2835" w:type="dxa"/>
            <w:tcBorders>
              <w:top w:val="single" w:sz="4" w:space="0" w:color="auto"/>
              <w:left w:val="single" w:sz="4" w:space="0" w:color="auto"/>
              <w:bottom w:val="single" w:sz="4" w:space="0" w:color="auto"/>
              <w:right w:val="single" w:sz="4" w:space="0" w:color="auto"/>
            </w:tcBorders>
          </w:tcPr>
          <w:p w14:paraId="60A76D8C" w14:textId="6950428C" w:rsidR="00A66870" w:rsidRPr="00A66870" w:rsidRDefault="00E46109" w:rsidP="00A66870">
            <w:pPr>
              <w:jc w:val="center"/>
            </w:pPr>
            <w:r>
              <w:t>0.711</w:t>
            </w:r>
          </w:p>
        </w:tc>
        <w:tc>
          <w:tcPr>
            <w:tcW w:w="2735" w:type="dxa"/>
            <w:tcBorders>
              <w:top w:val="single" w:sz="4" w:space="0" w:color="auto"/>
              <w:left w:val="single" w:sz="4" w:space="0" w:color="auto"/>
              <w:bottom w:val="single" w:sz="4" w:space="0" w:color="auto"/>
              <w:right w:val="single" w:sz="4" w:space="0" w:color="auto"/>
            </w:tcBorders>
          </w:tcPr>
          <w:p w14:paraId="0E88E131" w14:textId="48B21641" w:rsidR="00A66870" w:rsidRPr="00A66870" w:rsidRDefault="00A66870" w:rsidP="00A66870">
            <w:pPr>
              <w:jc w:val="center"/>
            </w:pPr>
            <w:r w:rsidRPr="00A66870">
              <w:t>4.7/5</w:t>
            </w:r>
          </w:p>
        </w:tc>
      </w:tr>
      <w:tr w:rsidR="00A66870" w:rsidRPr="00A66870" w14:paraId="25C562C5" w14:textId="3433C49B" w:rsidTr="00A66870">
        <w:tc>
          <w:tcPr>
            <w:tcW w:w="3681" w:type="dxa"/>
            <w:tcBorders>
              <w:top w:val="single" w:sz="4" w:space="0" w:color="auto"/>
              <w:left w:val="single" w:sz="4" w:space="0" w:color="auto"/>
              <w:bottom w:val="single" w:sz="4" w:space="0" w:color="auto"/>
              <w:right w:val="single" w:sz="4" w:space="0" w:color="auto"/>
            </w:tcBorders>
          </w:tcPr>
          <w:p w14:paraId="3C7A4923" w14:textId="77777777" w:rsidR="00A66870" w:rsidRDefault="00A66870">
            <w:bookmarkStart w:id="387" w:name="_Hlk72910543"/>
            <w:r w:rsidRPr="00A66870">
              <w:t xml:space="preserve">Risk Factor 3 </w:t>
            </w:r>
          </w:p>
          <w:p w14:paraId="74F39133" w14:textId="67016B32" w:rsidR="00A66870" w:rsidRPr="00A66870" w:rsidRDefault="00A66870">
            <w:r w:rsidRPr="00A66870">
              <w:t>Variable / fixed stake size</w:t>
            </w:r>
            <w:bookmarkEnd w:id="387"/>
          </w:p>
        </w:tc>
        <w:tc>
          <w:tcPr>
            <w:tcW w:w="2835" w:type="dxa"/>
            <w:tcBorders>
              <w:top w:val="single" w:sz="4" w:space="0" w:color="auto"/>
              <w:left w:val="single" w:sz="4" w:space="0" w:color="auto"/>
              <w:bottom w:val="single" w:sz="4" w:space="0" w:color="auto"/>
              <w:right w:val="single" w:sz="4" w:space="0" w:color="auto"/>
            </w:tcBorders>
          </w:tcPr>
          <w:p w14:paraId="1570DC70" w14:textId="62609E50" w:rsidR="00A66870" w:rsidRPr="00A66870" w:rsidRDefault="00A62FEB" w:rsidP="00A66870">
            <w:pPr>
              <w:jc w:val="center"/>
            </w:pPr>
            <w:r>
              <w:t>0.507</w:t>
            </w:r>
          </w:p>
        </w:tc>
        <w:tc>
          <w:tcPr>
            <w:tcW w:w="2735" w:type="dxa"/>
            <w:tcBorders>
              <w:top w:val="single" w:sz="4" w:space="0" w:color="auto"/>
              <w:left w:val="single" w:sz="4" w:space="0" w:color="auto"/>
              <w:bottom w:val="single" w:sz="4" w:space="0" w:color="auto"/>
              <w:right w:val="single" w:sz="4" w:space="0" w:color="auto"/>
            </w:tcBorders>
          </w:tcPr>
          <w:p w14:paraId="410A43CD" w14:textId="2CF106FB" w:rsidR="00A66870" w:rsidRPr="00A66870" w:rsidRDefault="00A66870" w:rsidP="00A66870">
            <w:pPr>
              <w:jc w:val="center"/>
            </w:pPr>
            <w:r w:rsidRPr="00A66870">
              <w:t>4.2/5</w:t>
            </w:r>
          </w:p>
        </w:tc>
      </w:tr>
      <w:tr w:rsidR="00A66870" w:rsidRPr="00A66870" w14:paraId="14F9D9A0" w14:textId="41D7F2FA" w:rsidTr="00A66870">
        <w:tc>
          <w:tcPr>
            <w:tcW w:w="3681" w:type="dxa"/>
            <w:tcBorders>
              <w:top w:val="single" w:sz="4" w:space="0" w:color="auto"/>
              <w:left w:val="single" w:sz="4" w:space="0" w:color="auto"/>
              <w:bottom w:val="single" w:sz="4" w:space="0" w:color="auto"/>
              <w:right w:val="single" w:sz="4" w:space="0" w:color="auto"/>
            </w:tcBorders>
          </w:tcPr>
          <w:p w14:paraId="68E834CF" w14:textId="77777777" w:rsidR="00A66870" w:rsidRDefault="00A66870">
            <w:bookmarkStart w:id="388" w:name="_Hlk72910652"/>
            <w:r w:rsidRPr="00A66870">
              <w:t xml:space="preserve">Risk Factor 4 </w:t>
            </w:r>
          </w:p>
          <w:p w14:paraId="319085D3" w14:textId="7F7FE7B0" w:rsidR="00A66870" w:rsidRPr="00A66870" w:rsidRDefault="00A66870">
            <w:r w:rsidRPr="00A66870">
              <w:t>Prizeback percentage</w:t>
            </w:r>
            <w:bookmarkEnd w:id="388"/>
          </w:p>
        </w:tc>
        <w:tc>
          <w:tcPr>
            <w:tcW w:w="2835" w:type="dxa"/>
            <w:tcBorders>
              <w:top w:val="single" w:sz="4" w:space="0" w:color="auto"/>
              <w:left w:val="single" w:sz="4" w:space="0" w:color="auto"/>
              <w:bottom w:val="single" w:sz="4" w:space="0" w:color="auto"/>
              <w:right w:val="single" w:sz="4" w:space="0" w:color="auto"/>
            </w:tcBorders>
          </w:tcPr>
          <w:p w14:paraId="32D79EF5" w14:textId="2FA63E54" w:rsidR="00A66870" w:rsidRPr="00A66870" w:rsidRDefault="00A62FEB" w:rsidP="00A66870">
            <w:pPr>
              <w:jc w:val="center"/>
              <w:rPr>
                <w:rFonts w:eastAsia="Calibri"/>
              </w:rPr>
            </w:pPr>
            <w:r>
              <w:rPr>
                <w:rFonts w:eastAsia="Calibri"/>
              </w:rPr>
              <w:t>1</w:t>
            </w:r>
          </w:p>
        </w:tc>
        <w:tc>
          <w:tcPr>
            <w:tcW w:w="2735" w:type="dxa"/>
            <w:tcBorders>
              <w:top w:val="single" w:sz="4" w:space="0" w:color="auto"/>
              <w:left w:val="single" w:sz="4" w:space="0" w:color="auto"/>
              <w:bottom w:val="single" w:sz="4" w:space="0" w:color="auto"/>
              <w:right w:val="single" w:sz="4" w:space="0" w:color="auto"/>
            </w:tcBorders>
          </w:tcPr>
          <w:p w14:paraId="1491430E" w14:textId="2DE29816" w:rsidR="00A66870" w:rsidRPr="00A66870" w:rsidRDefault="00A66870" w:rsidP="00A66870">
            <w:pPr>
              <w:jc w:val="center"/>
            </w:pPr>
            <w:r w:rsidRPr="00A66870">
              <w:t>4.6/5</w:t>
            </w:r>
          </w:p>
        </w:tc>
      </w:tr>
      <w:tr w:rsidR="00A66870" w:rsidRPr="00A66870" w14:paraId="63172D1D" w14:textId="23C62895" w:rsidTr="00A66870">
        <w:tc>
          <w:tcPr>
            <w:tcW w:w="3681" w:type="dxa"/>
            <w:tcBorders>
              <w:top w:val="single" w:sz="4" w:space="0" w:color="auto"/>
              <w:left w:val="single" w:sz="4" w:space="0" w:color="auto"/>
              <w:bottom w:val="single" w:sz="4" w:space="0" w:color="auto"/>
              <w:right w:val="single" w:sz="4" w:space="0" w:color="auto"/>
            </w:tcBorders>
            <w:hideMark/>
          </w:tcPr>
          <w:p w14:paraId="1998BC98" w14:textId="5EC6BF54" w:rsidR="00A66870" w:rsidRDefault="00A66870">
            <w:bookmarkStart w:id="389" w:name="_Hlk72911067"/>
            <w:r w:rsidRPr="00A66870">
              <w:t xml:space="preserve">Risk factor 5 </w:t>
            </w:r>
          </w:p>
          <w:p w14:paraId="501E8094" w14:textId="2F3EDC5E" w:rsidR="00A66870" w:rsidRPr="00A66870" w:rsidRDefault="00A66870">
            <w:r w:rsidRPr="00A66870">
              <w:t>Jackpot size</w:t>
            </w:r>
            <w:bookmarkEnd w:id="389"/>
          </w:p>
        </w:tc>
        <w:tc>
          <w:tcPr>
            <w:tcW w:w="2835" w:type="dxa"/>
            <w:tcBorders>
              <w:top w:val="single" w:sz="4" w:space="0" w:color="auto"/>
              <w:left w:val="single" w:sz="4" w:space="0" w:color="auto"/>
              <w:bottom w:val="single" w:sz="4" w:space="0" w:color="auto"/>
              <w:right w:val="single" w:sz="4" w:space="0" w:color="auto"/>
            </w:tcBorders>
          </w:tcPr>
          <w:p w14:paraId="5FBCA51D" w14:textId="17B1D923" w:rsidR="00A66870" w:rsidRPr="00A66870" w:rsidRDefault="00A62FEB" w:rsidP="00A66870">
            <w:pPr>
              <w:jc w:val="center"/>
              <w:rPr>
                <w:rFonts w:eastAsia="Calibri"/>
              </w:rPr>
            </w:pPr>
            <w:r>
              <w:rPr>
                <w:rFonts w:eastAsia="Calibri"/>
              </w:rPr>
              <w:t>1</w:t>
            </w:r>
          </w:p>
        </w:tc>
        <w:tc>
          <w:tcPr>
            <w:tcW w:w="2735" w:type="dxa"/>
            <w:tcBorders>
              <w:top w:val="single" w:sz="4" w:space="0" w:color="auto"/>
              <w:left w:val="single" w:sz="4" w:space="0" w:color="auto"/>
              <w:bottom w:val="single" w:sz="4" w:space="0" w:color="auto"/>
              <w:right w:val="single" w:sz="4" w:space="0" w:color="auto"/>
            </w:tcBorders>
          </w:tcPr>
          <w:p w14:paraId="040FB453" w14:textId="2470989D" w:rsidR="00A66870" w:rsidRPr="00A66870" w:rsidRDefault="00A66870" w:rsidP="00A66870">
            <w:pPr>
              <w:jc w:val="center"/>
            </w:pPr>
            <w:r w:rsidRPr="00A66870">
              <w:t>4.6/5</w:t>
            </w:r>
          </w:p>
        </w:tc>
      </w:tr>
      <w:tr w:rsidR="00A66870" w:rsidRPr="00A66870" w14:paraId="1E3F6442" w14:textId="69857F9C" w:rsidTr="00A66870">
        <w:tc>
          <w:tcPr>
            <w:tcW w:w="3681" w:type="dxa"/>
            <w:tcBorders>
              <w:top w:val="single" w:sz="4" w:space="0" w:color="auto"/>
              <w:left w:val="single" w:sz="4" w:space="0" w:color="auto"/>
              <w:bottom w:val="single" w:sz="4" w:space="0" w:color="auto"/>
              <w:right w:val="single" w:sz="4" w:space="0" w:color="auto"/>
            </w:tcBorders>
            <w:hideMark/>
          </w:tcPr>
          <w:p w14:paraId="638233A3" w14:textId="51F8933C" w:rsidR="00A66870" w:rsidRDefault="00A66870">
            <w:bookmarkStart w:id="390" w:name="_Hlk72911463"/>
            <w:r w:rsidRPr="00A66870">
              <w:t xml:space="preserve">Risk factor 6 </w:t>
            </w:r>
          </w:p>
          <w:p w14:paraId="0B2A9ABD" w14:textId="09A6EA96" w:rsidR="00A66870" w:rsidRPr="00A66870" w:rsidRDefault="00A66870">
            <w:r w:rsidRPr="00A66870">
              <w:t>Near win opportunities</w:t>
            </w:r>
            <w:bookmarkEnd w:id="390"/>
          </w:p>
        </w:tc>
        <w:tc>
          <w:tcPr>
            <w:tcW w:w="2835" w:type="dxa"/>
            <w:tcBorders>
              <w:top w:val="single" w:sz="4" w:space="0" w:color="auto"/>
              <w:left w:val="single" w:sz="4" w:space="0" w:color="auto"/>
              <w:bottom w:val="single" w:sz="4" w:space="0" w:color="auto"/>
              <w:right w:val="single" w:sz="4" w:space="0" w:color="auto"/>
            </w:tcBorders>
          </w:tcPr>
          <w:p w14:paraId="534F24B0" w14:textId="1CE3C52C" w:rsidR="00A66870" w:rsidRPr="00A66870" w:rsidRDefault="00A62FEB" w:rsidP="00A66870">
            <w:pPr>
              <w:jc w:val="center"/>
              <w:rPr>
                <w:rFonts w:eastAsia="Calibri"/>
              </w:rPr>
            </w:pPr>
            <w:r>
              <w:rPr>
                <w:rFonts w:eastAsia="Calibri"/>
              </w:rPr>
              <w:t>1</w:t>
            </w:r>
          </w:p>
        </w:tc>
        <w:tc>
          <w:tcPr>
            <w:tcW w:w="2735" w:type="dxa"/>
            <w:tcBorders>
              <w:top w:val="single" w:sz="4" w:space="0" w:color="auto"/>
              <w:left w:val="single" w:sz="4" w:space="0" w:color="auto"/>
              <w:bottom w:val="single" w:sz="4" w:space="0" w:color="auto"/>
              <w:right w:val="single" w:sz="4" w:space="0" w:color="auto"/>
            </w:tcBorders>
          </w:tcPr>
          <w:p w14:paraId="417D6B00" w14:textId="288B7DC0" w:rsidR="00A66870" w:rsidRPr="00A66870" w:rsidRDefault="00A66870" w:rsidP="00A66870">
            <w:pPr>
              <w:jc w:val="center"/>
            </w:pPr>
            <w:r w:rsidRPr="00A66870">
              <w:t>4.7/5</w:t>
            </w:r>
          </w:p>
        </w:tc>
      </w:tr>
      <w:tr w:rsidR="00A66870" w:rsidRPr="00A66870" w14:paraId="0A4870C1" w14:textId="037EA4FD" w:rsidTr="00A66870">
        <w:tc>
          <w:tcPr>
            <w:tcW w:w="3681" w:type="dxa"/>
            <w:tcBorders>
              <w:top w:val="single" w:sz="4" w:space="0" w:color="auto"/>
              <w:left w:val="single" w:sz="4" w:space="0" w:color="auto"/>
              <w:bottom w:val="single" w:sz="4" w:space="0" w:color="auto"/>
              <w:right w:val="single" w:sz="4" w:space="0" w:color="auto"/>
            </w:tcBorders>
            <w:hideMark/>
          </w:tcPr>
          <w:p w14:paraId="063F4C05" w14:textId="77777777" w:rsidR="00A66870" w:rsidRDefault="00A66870">
            <w:bookmarkStart w:id="391" w:name="_Hlk72912158"/>
            <w:r w:rsidRPr="00A66870">
              <w:t xml:space="preserve">Risk factor 7  </w:t>
            </w:r>
          </w:p>
          <w:p w14:paraId="00F5F62C" w14:textId="3EB3793F" w:rsidR="00A66870" w:rsidRPr="00A66870" w:rsidRDefault="00A66870">
            <w:r w:rsidRPr="00A66870">
              <w:t>Continuity of play</w:t>
            </w:r>
            <w:bookmarkEnd w:id="391"/>
          </w:p>
        </w:tc>
        <w:tc>
          <w:tcPr>
            <w:tcW w:w="2835" w:type="dxa"/>
            <w:tcBorders>
              <w:top w:val="single" w:sz="4" w:space="0" w:color="auto"/>
              <w:left w:val="single" w:sz="4" w:space="0" w:color="auto"/>
              <w:bottom w:val="single" w:sz="4" w:space="0" w:color="auto"/>
              <w:right w:val="single" w:sz="4" w:space="0" w:color="auto"/>
            </w:tcBorders>
          </w:tcPr>
          <w:p w14:paraId="12E8DBE4" w14:textId="690FD7F6" w:rsidR="00A66870" w:rsidRPr="00A66870" w:rsidRDefault="00A62FEB" w:rsidP="00A66870">
            <w:pPr>
              <w:jc w:val="center"/>
              <w:rPr>
                <w:rFonts w:eastAsia="Calibri"/>
              </w:rPr>
            </w:pPr>
            <w:r>
              <w:rPr>
                <w:rFonts w:eastAsia="Calibri"/>
              </w:rPr>
              <w:t>1</w:t>
            </w:r>
          </w:p>
        </w:tc>
        <w:tc>
          <w:tcPr>
            <w:tcW w:w="2735" w:type="dxa"/>
            <w:tcBorders>
              <w:top w:val="single" w:sz="4" w:space="0" w:color="auto"/>
              <w:left w:val="single" w:sz="4" w:space="0" w:color="auto"/>
              <w:bottom w:val="single" w:sz="4" w:space="0" w:color="auto"/>
              <w:right w:val="single" w:sz="4" w:space="0" w:color="auto"/>
            </w:tcBorders>
          </w:tcPr>
          <w:p w14:paraId="2C8C240D" w14:textId="5D433F98" w:rsidR="00A66870" w:rsidRPr="00A66870" w:rsidRDefault="00A66870" w:rsidP="00A66870">
            <w:pPr>
              <w:jc w:val="center"/>
            </w:pPr>
            <w:r w:rsidRPr="00A66870">
              <w:t>4.6/5</w:t>
            </w:r>
          </w:p>
        </w:tc>
      </w:tr>
      <w:tr w:rsidR="00A66870" w:rsidRPr="00A66870" w14:paraId="46335746" w14:textId="174FCBA9" w:rsidTr="00A66870">
        <w:tc>
          <w:tcPr>
            <w:tcW w:w="3681" w:type="dxa"/>
            <w:tcBorders>
              <w:top w:val="single" w:sz="4" w:space="0" w:color="auto"/>
              <w:left w:val="single" w:sz="4" w:space="0" w:color="auto"/>
              <w:bottom w:val="single" w:sz="4" w:space="0" w:color="auto"/>
              <w:right w:val="single" w:sz="4" w:space="0" w:color="auto"/>
            </w:tcBorders>
            <w:hideMark/>
          </w:tcPr>
          <w:p w14:paraId="2FE52411" w14:textId="77777777" w:rsidR="00A66870" w:rsidRDefault="00A66870">
            <w:bookmarkStart w:id="392" w:name="_Hlk72912453"/>
            <w:r w:rsidRPr="00A66870">
              <w:t xml:space="preserve">Risk factor 8 </w:t>
            </w:r>
          </w:p>
          <w:p w14:paraId="181A5510" w14:textId="3A642B7D" w:rsidR="00A66870" w:rsidRPr="00A66870" w:rsidRDefault="00A66870">
            <w:r w:rsidRPr="00A66870">
              <w:t>Accessibility points</w:t>
            </w:r>
            <w:bookmarkEnd w:id="392"/>
          </w:p>
        </w:tc>
        <w:tc>
          <w:tcPr>
            <w:tcW w:w="2835" w:type="dxa"/>
            <w:tcBorders>
              <w:top w:val="single" w:sz="4" w:space="0" w:color="auto"/>
              <w:left w:val="single" w:sz="4" w:space="0" w:color="auto"/>
              <w:bottom w:val="single" w:sz="4" w:space="0" w:color="auto"/>
              <w:right w:val="single" w:sz="4" w:space="0" w:color="auto"/>
            </w:tcBorders>
          </w:tcPr>
          <w:p w14:paraId="1BB69308" w14:textId="1FDCF44D" w:rsidR="00A66870" w:rsidRPr="00A66870" w:rsidRDefault="00A62FEB" w:rsidP="00A66870">
            <w:pPr>
              <w:jc w:val="center"/>
              <w:rPr>
                <w:rFonts w:eastAsia="Calibri"/>
              </w:rPr>
            </w:pPr>
            <w:r>
              <w:rPr>
                <w:rFonts w:eastAsia="Calibri"/>
              </w:rPr>
              <w:t>1</w:t>
            </w:r>
          </w:p>
        </w:tc>
        <w:tc>
          <w:tcPr>
            <w:tcW w:w="2735" w:type="dxa"/>
            <w:tcBorders>
              <w:top w:val="single" w:sz="4" w:space="0" w:color="auto"/>
              <w:left w:val="single" w:sz="4" w:space="0" w:color="auto"/>
              <w:bottom w:val="single" w:sz="4" w:space="0" w:color="auto"/>
              <w:right w:val="single" w:sz="4" w:space="0" w:color="auto"/>
            </w:tcBorders>
          </w:tcPr>
          <w:p w14:paraId="6B44CA10" w14:textId="35E79ECA" w:rsidR="00A66870" w:rsidRPr="00A66870" w:rsidRDefault="00A66870" w:rsidP="00A66870">
            <w:pPr>
              <w:jc w:val="center"/>
            </w:pPr>
            <w:r w:rsidRPr="00A66870">
              <w:t>5/5</w:t>
            </w:r>
          </w:p>
        </w:tc>
      </w:tr>
      <w:tr w:rsidR="00A66870" w:rsidRPr="00A66870" w14:paraId="32919C5F" w14:textId="4908C671" w:rsidTr="00A66870">
        <w:tc>
          <w:tcPr>
            <w:tcW w:w="3681" w:type="dxa"/>
            <w:tcBorders>
              <w:top w:val="single" w:sz="4" w:space="0" w:color="auto"/>
              <w:left w:val="single" w:sz="4" w:space="0" w:color="auto"/>
              <w:bottom w:val="single" w:sz="4" w:space="0" w:color="auto"/>
              <w:right w:val="single" w:sz="4" w:space="0" w:color="auto"/>
            </w:tcBorders>
            <w:hideMark/>
          </w:tcPr>
          <w:p w14:paraId="02C3FF40" w14:textId="77777777" w:rsidR="00A66870" w:rsidRDefault="00A66870">
            <w:bookmarkStart w:id="393" w:name="_Hlk72912567"/>
            <w:r w:rsidRPr="00A66870">
              <w:t xml:space="preserve">Risk factor 9 </w:t>
            </w:r>
          </w:p>
          <w:p w14:paraId="3AA7E934" w14:textId="1ED5950E" w:rsidR="00A66870" w:rsidRPr="00A66870" w:rsidRDefault="00A66870">
            <w:r w:rsidRPr="00A66870">
              <w:t>Payment options</w:t>
            </w:r>
            <w:bookmarkEnd w:id="393"/>
          </w:p>
        </w:tc>
        <w:tc>
          <w:tcPr>
            <w:tcW w:w="2835" w:type="dxa"/>
            <w:tcBorders>
              <w:top w:val="single" w:sz="4" w:space="0" w:color="auto"/>
              <w:left w:val="single" w:sz="4" w:space="0" w:color="auto"/>
              <w:bottom w:val="single" w:sz="4" w:space="0" w:color="auto"/>
              <w:right w:val="single" w:sz="4" w:space="0" w:color="auto"/>
            </w:tcBorders>
          </w:tcPr>
          <w:p w14:paraId="081BEE4C" w14:textId="7A94F214" w:rsidR="00A66870" w:rsidRPr="00A66870" w:rsidRDefault="00A62FEB" w:rsidP="00A66870">
            <w:pPr>
              <w:jc w:val="center"/>
              <w:rPr>
                <w:rFonts w:eastAsia="Calibri"/>
              </w:rPr>
            </w:pPr>
            <w:r>
              <w:rPr>
                <w:rFonts w:eastAsia="Calibri"/>
              </w:rPr>
              <w:t>1</w:t>
            </w:r>
          </w:p>
        </w:tc>
        <w:tc>
          <w:tcPr>
            <w:tcW w:w="2735" w:type="dxa"/>
            <w:tcBorders>
              <w:top w:val="single" w:sz="4" w:space="0" w:color="auto"/>
              <w:left w:val="single" w:sz="4" w:space="0" w:color="auto"/>
              <w:bottom w:val="single" w:sz="4" w:space="0" w:color="auto"/>
              <w:right w:val="single" w:sz="4" w:space="0" w:color="auto"/>
            </w:tcBorders>
          </w:tcPr>
          <w:p w14:paraId="70B1B5FD" w14:textId="3CE825A1" w:rsidR="00A66870" w:rsidRPr="00A66870" w:rsidRDefault="00A66870" w:rsidP="00A66870">
            <w:pPr>
              <w:jc w:val="center"/>
            </w:pPr>
            <w:r w:rsidRPr="00A66870">
              <w:t>4.6/5</w:t>
            </w:r>
          </w:p>
        </w:tc>
      </w:tr>
      <w:tr w:rsidR="00A66870" w:rsidRPr="00A66870" w14:paraId="2E7B60FA" w14:textId="6C9F9C0D" w:rsidTr="00A66870">
        <w:tc>
          <w:tcPr>
            <w:tcW w:w="3681" w:type="dxa"/>
            <w:tcBorders>
              <w:top w:val="single" w:sz="4" w:space="0" w:color="auto"/>
              <w:left w:val="single" w:sz="4" w:space="0" w:color="auto"/>
              <w:bottom w:val="single" w:sz="4" w:space="0" w:color="auto"/>
              <w:right w:val="single" w:sz="4" w:space="0" w:color="auto"/>
            </w:tcBorders>
            <w:hideMark/>
          </w:tcPr>
          <w:p w14:paraId="509734A4" w14:textId="77777777" w:rsidR="00A66870" w:rsidRDefault="00A66870">
            <w:bookmarkStart w:id="394" w:name="_Hlk72912681"/>
            <w:r w:rsidRPr="00A66870">
              <w:t xml:space="preserve">Risk factor 10 </w:t>
            </w:r>
          </w:p>
          <w:p w14:paraId="1728BC49" w14:textId="0DA36646" w:rsidR="00A66870" w:rsidRPr="00A66870" w:rsidRDefault="00A66870">
            <w:r w:rsidRPr="00A66870">
              <w:t>Illusion of control</w:t>
            </w:r>
            <w:bookmarkEnd w:id="394"/>
          </w:p>
        </w:tc>
        <w:tc>
          <w:tcPr>
            <w:tcW w:w="2835" w:type="dxa"/>
            <w:tcBorders>
              <w:top w:val="single" w:sz="4" w:space="0" w:color="auto"/>
              <w:left w:val="single" w:sz="4" w:space="0" w:color="auto"/>
              <w:bottom w:val="single" w:sz="4" w:space="0" w:color="auto"/>
              <w:right w:val="single" w:sz="4" w:space="0" w:color="auto"/>
            </w:tcBorders>
          </w:tcPr>
          <w:p w14:paraId="1CDEE81D" w14:textId="1C481EC5" w:rsidR="00A66870" w:rsidRPr="00A66870" w:rsidRDefault="00A62FEB" w:rsidP="00A66870">
            <w:pPr>
              <w:jc w:val="center"/>
            </w:pPr>
            <w:r>
              <w:t>-0.269</w:t>
            </w:r>
          </w:p>
        </w:tc>
        <w:tc>
          <w:tcPr>
            <w:tcW w:w="2735" w:type="dxa"/>
            <w:tcBorders>
              <w:top w:val="single" w:sz="4" w:space="0" w:color="auto"/>
              <w:left w:val="single" w:sz="4" w:space="0" w:color="auto"/>
              <w:bottom w:val="single" w:sz="4" w:space="0" w:color="auto"/>
              <w:right w:val="single" w:sz="4" w:space="0" w:color="auto"/>
            </w:tcBorders>
          </w:tcPr>
          <w:p w14:paraId="01E64060" w14:textId="77777777" w:rsidR="00A66870" w:rsidRPr="00A66870" w:rsidRDefault="00A66870" w:rsidP="00A66870">
            <w:pPr>
              <w:jc w:val="center"/>
            </w:pPr>
            <w:r w:rsidRPr="00A66870">
              <w:t>3.2/5</w:t>
            </w:r>
          </w:p>
          <w:p w14:paraId="4232835A" w14:textId="77777777" w:rsidR="00A66870" w:rsidRPr="00A66870" w:rsidRDefault="00A66870" w:rsidP="00A66870">
            <w:pPr>
              <w:jc w:val="center"/>
            </w:pPr>
          </w:p>
        </w:tc>
      </w:tr>
      <w:tr w:rsidR="00A66870" w:rsidRPr="00A66870" w14:paraId="0916765F" w14:textId="26E5EB70" w:rsidTr="00A66870">
        <w:tc>
          <w:tcPr>
            <w:tcW w:w="3681" w:type="dxa"/>
            <w:tcBorders>
              <w:top w:val="single" w:sz="4" w:space="0" w:color="auto"/>
              <w:left w:val="single" w:sz="4" w:space="0" w:color="auto"/>
              <w:bottom w:val="single" w:sz="4" w:space="0" w:color="auto"/>
              <w:right w:val="single" w:sz="4" w:space="0" w:color="auto"/>
            </w:tcBorders>
          </w:tcPr>
          <w:p w14:paraId="35436ABD" w14:textId="2EA95ED4" w:rsidR="00A66870" w:rsidRPr="00A66870" w:rsidRDefault="00A66870">
            <w:bookmarkStart w:id="395" w:name="_Hlk72912770"/>
            <w:r w:rsidRPr="00A66870">
              <w:t>Responsible gaming features 11</w:t>
            </w:r>
            <w:r>
              <w:t xml:space="preserve"> </w:t>
            </w:r>
            <w:r w:rsidRPr="00A66870">
              <w:t>Pop up reminders</w:t>
            </w:r>
            <w:bookmarkEnd w:id="395"/>
          </w:p>
        </w:tc>
        <w:tc>
          <w:tcPr>
            <w:tcW w:w="2835" w:type="dxa"/>
            <w:tcBorders>
              <w:top w:val="single" w:sz="4" w:space="0" w:color="auto"/>
              <w:left w:val="single" w:sz="4" w:space="0" w:color="auto"/>
              <w:bottom w:val="single" w:sz="4" w:space="0" w:color="auto"/>
              <w:right w:val="single" w:sz="4" w:space="0" w:color="auto"/>
            </w:tcBorders>
          </w:tcPr>
          <w:p w14:paraId="226EA0AB" w14:textId="15D11DC5" w:rsidR="00A66870" w:rsidRPr="00A66870" w:rsidRDefault="00A62FEB" w:rsidP="00A66870">
            <w:pPr>
              <w:jc w:val="center"/>
              <w:rPr>
                <w:rFonts w:eastAsia="Calibri"/>
              </w:rPr>
            </w:pPr>
            <w:r>
              <w:rPr>
                <w:rFonts w:eastAsia="Calibri"/>
              </w:rPr>
              <w:t>1</w:t>
            </w:r>
          </w:p>
        </w:tc>
        <w:tc>
          <w:tcPr>
            <w:tcW w:w="2735" w:type="dxa"/>
            <w:tcBorders>
              <w:top w:val="single" w:sz="4" w:space="0" w:color="auto"/>
              <w:left w:val="single" w:sz="4" w:space="0" w:color="auto"/>
              <w:bottom w:val="single" w:sz="4" w:space="0" w:color="auto"/>
              <w:right w:val="single" w:sz="4" w:space="0" w:color="auto"/>
            </w:tcBorders>
          </w:tcPr>
          <w:p w14:paraId="5D85F610" w14:textId="6CE50CFF" w:rsidR="00A66870" w:rsidRPr="00A66870" w:rsidRDefault="00A66870" w:rsidP="00A66870">
            <w:pPr>
              <w:jc w:val="center"/>
            </w:pPr>
            <w:r w:rsidRPr="00A66870">
              <w:t>5/5</w:t>
            </w:r>
          </w:p>
        </w:tc>
      </w:tr>
      <w:tr w:rsidR="00A66870" w:rsidRPr="00A66870" w14:paraId="5350C62A" w14:textId="773D9D80" w:rsidTr="00A66870">
        <w:tc>
          <w:tcPr>
            <w:tcW w:w="3681" w:type="dxa"/>
            <w:tcBorders>
              <w:top w:val="single" w:sz="4" w:space="0" w:color="auto"/>
              <w:left w:val="single" w:sz="4" w:space="0" w:color="auto"/>
              <w:bottom w:val="single" w:sz="4" w:space="0" w:color="auto"/>
              <w:right w:val="single" w:sz="4" w:space="0" w:color="auto"/>
            </w:tcBorders>
            <w:hideMark/>
          </w:tcPr>
          <w:p w14:paraId="3DC7E178" w14:textId="396F8E03" w:rsidR="00A66870" w:rsidRPr="00A66870" w:rsidRDefault="00A66870">
            <w:bookmarkStart w:id="396" w:name="_Hlk72913129"/>
            <w:r w:rsidRPr="00A66870">
              <w:t>Responsible gaming features 12 Spend Limit</w:t>
            </w:r>
            <w:bookmarkEnd w:id="396"/>
          </w:p>
        </w:tc>
        <w:tc>
          <w:tcPr>
            <w:tcW w:w="2835" w:type="dxa"/>
            <w:tcBorders>
              <w:top w:val="single" w:sz="4" w:space="0" w:color="auto"/>
              <w:left w:val="single" w:sz="4" w:space="0" w:color="auto"/>
              <w:bottom w:val="single" w:sz="4" w:space="0" w:color="auto"/>
              <w:right w:val="single" w:sz="4" w:space="0" w:color="auto"/>
            </w:tcBorders>
          </w:tcPr>
          <w:p w14:paraId="2D37DE1D" w14:textId="126FDCDF" w:rsidR="00A66870" w:rsidRPr="00A66870" w:rsidRDefault="00A62FEB" w:rsidP="00A66870">
            <w:pPr>
              <w:jc w:val="center"/>
              <w:rPr>
                <w:rFonts w:eastAsia="Calibri"/>
              </w:rPr>
            </w:pPr>
            <w:r>
              <w:rPr>
                <w:rFonts w:eastAsia="Calibri"/>
              </w:rPr>
              <w:t>1</w:t>
            </w:r>
          </w:p>
        </w:tc>
        <w:tc>
          <w:tcPr>
            <w:tcW w:w="2735" w:type="dxa"/>
            <w:tcBorders>
              <w:top w:val="single" w:sz="4" w:space="0" w:color="auto"/>
              <w:left w:val="single" w:sz="4" w:space="0" w:color="auto"/>
              <w:bottom w:val="single" w:sz="4" w:space="0" w:color="auto"/>
              <w:right w:val="single" w:sz="4" w:space="0" w:color="auto"/>
            </w:tcBorders>
          </w:tcPr>
          <w:p w14:paraId="11D0219A" w14:textId="63BF94DC" w:rsidR="00A66870" w:rsidRPr="00A66870" w:rsidRDefault="00A66870" w:rsidP="00A66870">
            <w:pPr>
              <w:jc w:val="center"/>
            </w:pPr>
            <w:r w:rsidRPr="00A66870">
              <w:t>4.9/5</w:t>
            </w:r>
          </w:p>
        </w:tc>
      </w:tr>
      <w:tr w:rsidR="00A66870" w:rsidRPr="00A66870" w14:paraId="43A5B7ED" w14:textId="78A5CC36" w:rsidTr="00A66870">
        <w:tc>
          <w:tcPr>
            <w:tcW w:w="3681" w:type="dxa"/>
            <w:tcBorders>
              <w:top w:val="single" w:sz="4" w:space="0" w:color="auto"/>
              <w:left w:val="single" w:sz="4" w:space="0" w:color="auto"/>
              <w:bottom w:val="single" w:sz="4" w:space="0" w:color="auto"/>
              <w:right w:val="single" w:sz="4" w:space="0" w:color="auto"/>
            </w:tcBorders>
            <w:hideMark/>
          </w:tcPr>
          <w:p w14:paraId="5CCF2BF9" w14:textId="4B0AC08D" w:rsidR="00A66870" w:rsidRPr="00A66870" w:rsidRDefault="00A66870">
            <w:r w:rsidRPr="00A66870">
              <w:t>Responsible gaming features 13 Player-defined time limits</w:t>
            </w:r>
          </w:p>
        </w:tc>
        <w:tc>
          <w:tcPr>
            <w:tcW w:w="2835" w:type="dxa"/>
            <w:tcBorders>
              <w:top w:val="single" w:sz="4" w:space="0" w:color="auto"/>
              <w:left w:val="single" w:sz="4" w:space="0" w:color="auto"/>
              <w:bottom w:val="single" w:sz="4" w:space="0" w:color="auto"/>
              <w:right w:val="single" w:sz="4" w:space="0" w:color="auto"/>
            </w:tcBorders>
          </w:tcPr>
          <w:p w14:paraId="727668F7" w14:textId="6879035E" w:rsidR="00A66870" w:rsidRPr="00A66870" w:rsidRDefault="00A62FEB" w:rsidP="00A66870">
            <w:pPr>
              <w:jc w:val="center"/>
              <w:rPr>
                <w:rFonts w:eastAsia="Calibri"/>
              </w:rPr>
            </w:pPr>
            <w:r>
              <w:rPr>
                <w:rFonts w:eastAsia="Calibri"/>
              </w:rPr>
              <w:t>1</w:t>
            </w:r>
          </w:p>
        </w:tc>
        <w:tc>
          <w:tcPr>
            <w:tcW w:w="2735" w:type="dxa"/>
            <w:tcBorders>
              <w:top w:val="single" w:sz="4" w:space="0" w:color="auto"/>
              <w:left w:val="single" w:sz="4" w:space="0" w:color="auto"/>
              <w:bottom w:val="single" w:sz="4" w:space="0" w:color="auto"/>
              <w:right w:val="single" w:sz="4" w:space="0" w:color="auto"/>
            </w:tcBorders>
          </w:tcPr>
          <w:p w14:paraId="0B982776" w14:textId="44D41560" w:rsidR="00A66870" w:rsidRPr="00A66870" w:rsidRDefault="00A66870" w:rsidP="00A66870">
            <w:pPr>
              <w:jc w:val="center"/>
            </w:pPr>
            <w:r w:rsidRPr="00A66870">
              <w:t>5/5</w:t>
            </w:r>
          </w:p>
        </w:tc>
      </w:tr>
      <w:tr w:rsidR="00A66870" w:rsidRPr="00A66870" w14:paraId="4B9501B6" w14:textId="672E8673" w:rsidTr="00A66870">
        <w:tc>
          <w:tcPr>
            <w:tcW w:w="3681" w:type="dxa"/>
            <w:tcBorders>
              <w:top w:val="single" w:sz="4" w:space="0" w:color="auto"/>
              <w:left w:val="single" w:sz="4" w:space="0" w:color="auto"/>
              <w:bottom w:val="single" w:sz="4" w:space="0" w:color="auto"/>
              <w:right w:val="single" w:sz="4" w:space="0" w:color="auto"/>
            </w:tcBorders>
            <w:hideMark/>
          </w:tcPr>
          <w:p w14:paraId="478DE407" w14:textId="1E21D7BE" w:rsidR="00A66870" w:rsidRPr="00A66870" w:rsidRDefault="00A66870">
            <w:r w:rsidRPr="00A66870">
              <w:t>Responsible gaming features 14 Behavioural feedback tools</w:t>
            </w:r>
          </w:p>
        </w:tc>
        <w:tc>
          <w:tcPr>
            <w:tcW w:w="2835" w:type="dxa"/>
            <w:tcBorders>
              <w:top w:val="single" w:sz="4" w:space="0" w:color="auto"/>
              <w:left w:val="single" w:sz="4" w:space="0" w:color="auto"/>
              <w:bottom w:val="single" w:sz="4" w:space="0" w:color="auto"/>
              <w:right w:val="single" w:sz="4" w:space="0" w:color="auto"/>
            </w:tcBorders>
          </w:tcPr>
          <w:p w14:paraId="059F4E8C" w14:textId="6ECE3DB1" w:rsidR="00A66870" w:rsidRPr="00A66870" w:rsidRDefault="00A62FEB" w:rsidP="00A66870">
            <w:pPr>
              <w:jc w:val="center"/>
            </w:pPr>
            <w:r>
              <w:t>0.38</w:t>
            </w:r>
          </w:p>
        </w:tc>
        <w:tc>
          <w:tcPr>
            <w:tcW w:w="2735" w:type="dxa"/>
            <w:tcBorders>
              <w:top w:val="single" w:sz="4" w:space="0" w:color="auto"/>
              <w:left w:val="single" w:sz="4" w:space="0" w:color="auto"/>
              <w:bottom w:val="single" w:sz="4" w:space="0" w:color="auto"/>
              <w:right w:val="single" w:sz="4" w:space="0" w:color="auto"/>
            </w:tcBorders>
          </w:tcPr>
          <w:p w14:paraId="7EE8C689" w14:textId="06004B58" w:rsidR="00A66870" w:rsidRPr="00A66870" w:rsidRDefault="00A66870" w:rsidP="00A66870">
            <w:pPr>
              <w:jc w:val="center"/>
            </w:pPr>
            <w:r w:rsidRPr="00A66870">
              <w:t>3.9/5</w:t>
            </w:r>
          </w:p>
        </w:tc>
      </w:tr>
    </w:tbl>
    <w:p w14:paraId="0E0FB25A" w14:textId="77777777" w:rsidR="00A66870" w:rsidRDefault="00A66870" w:rsidP="004071D1"/>
    <w:p w14:paraId="56904A61" w14:textId="2EB35D1C" w:rsidR="004071D1" w:rsidRDefault="004071D1" w:rsidP="004071D1">
      <w:pPr>
        <w:pStyle w:val="Heading3"/>
      </w:pPr>
      <w:r w:rsidRPr="00711950">
        <w:t xml:space="preserve">Risk </w:t>
      </w:r>
      <w:r w:rsidR="005277AA">
        <w:t>f</w:t>
      </w:r>
      <w:r w:rsidR="005277AA" w:rsidRPr="00711950">
        <w:t xml:space="preserve">actor </w:t>
      </w:r>
      <w:r w:rsidRPr="00711950">
        <w:t>1 – Event frequency</w:t>
      </w:r>
    </w:p>
    <w:p w14:paraId="5EE6B05C" w14:textId="37148537" w:rsidR="00BE7A42" w:rsidRPr="00044030" w:rsidRDefault="00A71471" w:rsidP="008D49BE">
      <w:pPr>
        <w:spacing w:after="180" w:line="264" w:lineRule="auto"/>
      </w:pPr>
      <w:r>
        <w:t xml:space="preserve">Event frequency is </w:t>
      </w:r>
      <w:r w:rsidR="00F44A03">
        <w:t xml:space="preserve">measured using </w:t>
      </w:r>
      <w:r>
        <w:t xml:space="preserve">the </w:t>
      </w:r>
      <w:r w:rsidR="0029226F">
        <w:t>time taken to purchase</w:t>
      </w:r>
      <w:r w:rsidR="00F44A03">
        <w:t xml:space="preserve"> a game, get the result, and purchase the game again.</w:t>
      </w:r>
      <w:r w:rsidR="00EC6CDC">
        <w:t xml:space="preserve"> For example, </w:t>
      </w:r>
      <w:r w:rsidR="009264F2">
        <w:t xml:space="preserve">Lotto </w:t>
      </w:r>
      <w:r w:rsidR="007832E6">
        <w:t>draws take place weekly</w:t>
      </w:r>
      <w:r w:rsidR="00EC6CDC">
        <w:t>,</w:t>
      </w:r>
      <w:r w:rsidR="007832E6">
        <w:t xml:space="preserve"> therefore event frequency falls into the </w:t>
      </w:r>
      <w:r w:rsidR="00EC6CDC">
        <w:t>‘</w:t>
      </w:r>
      <w:r w:rsidR="006E1AFC">
        <w:t>two</w:t>
      </w:r>
      <w:r w:rsidR="007832E6">
        <w:t xml:space="preserve"> to </w:t>
      </w:r>
      <w:r w:rsidR="006E1AFC">
        <w:t>seven</w:t>
      </w:r>
      <w:r w:rsidR="007832E6">
        <w:t xml:space="preserve"> days</w:t>
      </w:r>
      <w:r w:rsidR="00EC6CDC">
        <w:t>’</w:t>
      </w:r>
      <w:r w:rsidR="007832E6">
        <w:t xml:space="preserve"> category.</w:t>
      </w:r>
    </w:p>
    <w:p w14:paraId="55A83609" w14:textId="378920E9" w:rsidR="004071D1" w:rsidRDefault="004071D1" w:rsidP="008D49BE">
      <w:pPr>
        <w:spacing w:after="180" w:line="264" w:lineRule="auto"/>
      </w:pPr>
      <w:r w:rsidRPr="00100FB2">
        <w:t>The scale scores focus</w:t>
      </w:r>
      <w:r w:rsidR="00FA253A">
        <w:t xml:space="preserve"> on </w:t>
      </w:r>
      <w:r w:rsidRPr="00100FB2">
        <w:t xml:space="preserve">the frequency of a game based on X seconds of a game, such that the maximum score </w:t>
      </w:r>
      <w:r w:rsidR="00AE0E48">
        <w:t xml:space="preserve">is </w:t>
      </w:r>
      <w:r w:rsidRPr="00100FB2">
        <w:t xml:space="preserve">provided if </w:t>
      </w:r>
      <w:r w:rsidR="00964454">
        <w:t>event frequency</w:t>
      </w:r>
      <w:r w:rsidR="005456FC">
        <w:t xml:space="preserve"> is 5 seconds or less</w:t>
      </w:r>
      <w:r w:rsidR="00AE0E48">
        <w:t>. The minimum score will be applied if game</w:t>
      </w:r>
      <w:r w:rsidR="00964454">
        <w:t xml:space="preserve"> </w:t>
      </w:r>
      <w:r w:rsidR="009007DD">
        <w:t>frequency</w:t>
      </w:r>
      <w:r w:rsidR="00964454">
        <w:t xml:space="preserve"> is </w:t>
      </w:r>
      <w:r w:rsidR="009007DD">
        <w:t>more than 7 days</w:t>
      </w:r>
      <w:r w:rsidRPr="00100FB2">
        <w:t xml:space="preserve">. Overall, 40% of the maximum </w:t>
      </w:r>
      <w:r w:rsidR="008A6C4E">
        <w:t>Gamgard</w:t>
      </w:r>
      <w:r w:rsidRPr="00100FB2">
        <w:t xml:space="preserve"> harm score sits with this item</w:t>
      </w:r>
      <w:r w:rsidR="00FA253A">
        <w:t>,</w:t>
      </w:r>
      <w:r w:rsidRPr="00100FB2">
        <w:t xml:space="preserve"> which strongly affects where the mid-point (i.e. mean and median scores) can sit for most game types. This is important as it </w:t>
      </w:r>
      <w:r w:rsidR="00CC0DAD">
        <w:t xml:space="preserve">has an </w:t>
      </w:r>
      <w:r w:rsidRPr="00100FB2">
        <w:t>impact o</w:t>
      </w:r>
      <w:r w:rsidR="00C8779C">
        <w:t>n</w:t>
      </w:r>
      <w:r w:rsidRPr="00100FB2">
        <w:t xml:space="preserve"> what providers are working towards as cut-off thresholds for determining an inappropriate game. Even some EGMs</w:t>
      </w:r>
      <w:r w:rsidR="001B5C26">
        <w:t xml:space="preserve">, </w:t>
      </w:r>
      <w:r w:rsidRPr="00100FB2">
        <w:t>which typically have very high association with gambling harm</w:t>
      </w:r>
      <w:r w:rsidR="00CC0DAD">
        <w:t>,</w:t>
      </w:r>
      <w:r w:rsidRPr="00100FB2">
        <w:t xml:space="preserve"> are not delivering a time of </w:t>
      </w:r>
      <w:r w:rsidR="00EB109D">
        <w:t>five</w:t>
      </w:r>
      <w:r w:rsidR="00F43848" w:rsidRPr="00100FB2">
        <w:t xml:space="preserve"> seconds or less and achieving the highest score</w:t>
      </w:r>
      <w:r w:rsidRPr="00100FB2">
        <w:t>.</w:t>
      </w:r>
    </w:p>
    <w:p w14:paraId="4742DF41" w14:textId="7E65F7AD" w:rsidR="004071D1" w:rsidRDefault="004071D1" w:rsidP="008D49BE">
      <w:pPr>
        <w:spacing w:after="180" w:line="264" w:lineRule="auto"/>
      </w:pPr>
      <w:r>
        <w:t xml:space="preserve">Scoring </w:t>
      </w:r>
      <w:r w:rsidR="0041106E">
        <w:t>was consistent</w:t>
      </w:r>
      <w:r>
        <w:t xml:space="preserve"> (</w:t>
      </w:r>
      <w:r w:rsidRPr="008D49BE">
        <w:rPr>
          <w:rFonts w:ascii="Cambria" w:hAnsi="Cambria" w:cs="Cambria"/>
        </w:rPr>
        <w:t>α</w:t>
      </w:r>
      <w:r>
        <w:t xml:space="preserve"> </w:t>
      </w:r>
      <w:r w:rsidR="000448A2">
        <w:t>=1</w:t>
      </w:r>
      <w:r>
        <w:t>) and confidence high (4.7/5) among Product Managers and Experts due to the nature of the games and objective measures taken by Lotto</w:t>
      </w:r>
      <w:r w:rsidR="00397335">
        <w:t xml:space="preserve"> </w:t>
      </w:r>
      <w:r>
        <w:t xml:space="preserve">NZ.  However, calculation of time is complicated, particularly in </w:t>
      </w:r>
      <w:r w:rsidR="001B5C26">
        <w:t>face-to-face</w:t>
      </w:r>
      <w:r>
        <w:t xml:space="preserve"> transactions. Determining an average time to purchase may be difficult</w:t>
      </w:r>
      <w:r w:rsidR="00AD35E3">
        <w:t>,</w:t>
      </w:r>
      <w:r>
        <w:t xml:space="preserve"> e.g.</w:t>
      </w:r>
      <w:r w:rsidR="00AD35E3">
        <w:t>,</w:t>
      </w:r>
      <w:r>
        <w:t xml:space="preserve"> queuing time is dependent on number of customers and staff; time/day of the week.  Given that the intent of this factor is to capture harm</w:t>
      </w:r>
      <w:r w:rsidR="00AD35E3">
        <w:t>,</w:t>
      </w:r>
      <w:r>
        <w:t xml:space="preserve"> it may be more accurate to look at only the fastest time for in store purchase and play. </w:t>
      </w:r>
    </w:p>
    <w:p w14:paraId="6D51F1E9" w14:textId="0277AE42" w:rsidR="004071D1" w:rsidRDefault="004071D1" w:rsidP="008D49BE">
      <w:pPr>
        <w:spacing w:after="180" w:line="264" w:lineRule="auto"/>
      </w:pPr>
      <w:r>
        <w:t>Event frequency interpretation for scratch tickets is defined in the tool for physical tickets “often take 31 seconds to 2 minutes and 59 seconds to purchase”</w:t>
      </w:r>
      <w:r w:rsidR="00DB699E">
        <w:t xml:space="preserve"> </w:t>
      </w:r>
      <w:r w:rsidR="00DB699E" w:rsidRPr="007003CF">
        <w:t>(</w:t>
      </w:r>
      <w:r w:rsidR="001E27E8">
        <w:t>Gamgard risk assessment tool)</w:t>
      </w:r>
      <w:r w:rsidRPr="007003CF">
        <w:t>.</w:t>
      </w:r>
      <w:r>
        <w:t xml:space="preserve">  This can be programmed into online scratch tickets to influence the score</w:t>
      </w:r>
      <w:r w:rsidR="00FA4863">
        <w:t xml:space="preserve">. For </w:t>
      </w:r>
      <w:r>
        <w:t xml:space="preserve">example, delaying the online scratch ticket to 11 seconds for a full reveal (reveal all button) provides a significant drop in score. There is a risk that scorers will follow this example rather than measuring time, where for some games </w:t>
      </w:r>
      <w:r w:rsidR="008B06F5">
        <w:t>such as</w:t>
      </w:r>
      <w:r>
        <w:t xml:space="preserve"> Instant Kiwi Crossword, the measured time taken to purchase and play was longer than the example.</w:t>
      </w:r>
    </w:p>
    <w:p w14:paraId="19DA4A28" w14:textId="28681AF6" w:rsidR="00F43848" w:rsidRPr="004071D1" w:rsidRDefault="00F43848" w:rsidP="008D49BE">
      <w:pPr>
        <w:spacing w:after="180" w:line="264" w:lineRule="auto"/>
      </w:pPr>
      <w:r>
        <w:lastRenderedPageBreak/>
        <w:t>Based on the contribution from this risk factor alone</w:t>
      </w:r>
      <w:r w:rsidR="008B06F5">
        <w:t>,</w:t>
      </w:r>
      <w:r>
        <w:t xml:space="preserve"> no Lotto NZ game could achieve a risk score in the very high category.</w:t>
      </w:r>
    </w:p>
    <w:p w14:paraId="36216FE2" w14:textId="32791F9B" w:rsidR="00FA5623" w:rsidRDefault="00FA5623" w:rsidP="00FA5623">
      <w:pPr>
        <w:pStyle w:val="Heading3"/>
      </w:pPr>
      <w:r w:rsidRPr="00711950">
        <w:t xml:space="preserve">Risk </w:t>
      </w:r>
      <w:r w:rsidR="005277AA">
        <w:t>f</w:t>
      </w:r>
      <w:r w:rsidR="005277AA" w:rsidRPr="00711950">
        <w:t xml:space="preserve">actor </w:t>
      </w:r>
      <w:r w:rsidRPr="00711950">
        <w:t>2 – Multi-game / stake opportunities</w:t>
      </w:r>
    </w:p>
    <w:p w14:paraId="6EA838A4" w14:textId="52505F42" w:rsidR="00C6252E" w:rsidRDefault="00CA7CA3" w:rsidP="0089114C">
      <w:pPr>
        <w:spacing w:after="180" w:line="264" w:lineRule="auto"/>
      </w:pPr>
      <w:r>
        <w:t xml:space="preserve">Multi-game/stake opportunities </w:t>
      </w:r>
      <w:r w:rsidR="00D6121E">
        <w:t>explores</w:t>
      </w:r>
      <w:r w:rsidR="001C4BAF">
        <w:t xml:space="preserve"> the opportunity to play multiple games/stakes at the same time. It </w:t>
      </w:r>
      <w:r w:rsidR="004226BD">
        <w:t xml:space="preserve">categorises </w:t>
      </w:r>
      <w:r w:rsidR="00140778">
        <w:t xml:space="preserve">games into </w:t>
      </w:r>
      <w:r w:rsidR="002A17C6">
        <w:t xml:space="preserve">one purchase allowed per transaction, a fixed number of multi-purchases allowed per transaction, or unlimited purchases allowed per transaction. </w:t>
      </w:r>
    </w:p>
    <w:p w14:paraId="29F5BE7E" w14:textId="50E23998" w:rsidR="00FA5623" w:rsidRDefault="00FA5623" w:rsidP="0089114C">
      <w:pPr>
        <w:spacing w:after="180" w:line="264" w:lineRule="auto"/>
      </w:pPr>
      <w:r>
        <w:t xml:space="preserve">While </w:t>
      </w:r>
      <w:r w:rsidR="00762770">
        <w:t xml:space="preserve">scoring consistency </w:t>
      </w:r>
      <w:r w:rsidR="001A6EC6">
        <w:t>analysis showed agreement</w:t>
      </w:r>
      <w:r w:rsidR="00762770">
        <w:t xml:space="preserve"> </w:t>
      </w:r>
      <w:r>
        <w:t>(</w:t>
      </w:r>
      <w:r w:rsidRPr="0089114C">
        <w:rPr>
          <w:rFonts w:ascii="Cambria" w:hAnsi="Cambria" w:cs="Cambria"/>
        </w:rPr>
        <w:t>α</w:t>
      </w:r>
      <w:r>
        <w:t xml:space="preserve"> = </w:t>
      </w:r>
      <w:r w:rsidR="00762770">
        <w:t>0.711</w:t>
      </w:r>
      <w:r>
        <w:t>)</w:t>
      </w:r>
      <w:r w:rsidR="00A2655A">
        <w:t>,</w:t>
      </w:r>
      <w:r>
        <w:t xml:space="preserve"> t</w:t>
      </w:r>
      <w:r w:rsidRPr="00FA5623">
        <w:t>here was some variability in scoring on this item</w:t>
      </w:r>
      <w:r w:rsidR="00A2655A">
        <w:t>. For example,</w:t>
      </w:r>
      <w:r w:rsidRPr="00FA5623">
        <w:t xml:space="preserve"> for instant win tickets in person </w:t>
      </w:r>
      <w:r w:rsidR="00A2655A">
        <w:t>may be interpreted</w:t>
      </w:r>
      <w:r w:rsidRPr="00FA5623">
        <w:t xml:space="preserve"> as being per purchase (i.e.</w:t>
      </w:r>
      <w:r w:rsidR="00CD531A">
        <w:t>, someone</w:t>
      </w:r>
      <w:r w:rsidRPr="00FA5623">
        <w:t xml:space="preserve"> can purchase unlimited tickets per transaction in person) and per game (i.e. only one bet per game</w:t>
      </w:r>
      <w:r w:rsidR="00CD531A">
        <w:t xml:space="preserve"> is allowed</w:t>
      </w:r>
      <w:r w:rsidRPr="00FA5623">
        <w:t xml:space="preserve">).  </w:t>
      </w:r>
    </w:p>
    <w:p w14:paraId="38AE1256" w14:textId="5CB30A8C" w:rsidR="001C764A" w:rsidRDefault="00FA5623" w:rsidP="0089114C">
      <w:pPr>
        <w:spacing w:after="180" w:line="264" w:lineRule="auto"/>
      </w:pPr>
      <w:r w:rsidRPr="00FA5623">
        <w:t>Lotto</w:t>
      </w:r>
      <w:r w:rsidR="00185C86">
        <w:t xml:space="preserve"> </w:t>
      </w:r>
      <w:r w:rsidRPr="00FA5623">
        <w:t xml:space="preserve">NZ interpreted in-store Instant Kiwi as unlimited purchases are allowed per transaction, </w:t>
      </w:r>
      <w:r>
        <w:t>which is supported by internal guidelines and applies</w:t>
      </w:r>
      <w:r w:rsidRPr="00FA5623">
        <w:t xml:space="preserve"> the intent of the question to capture harm. All scorers were confident that the score they awarded was correct</w:t>
      </w:r>
      <w:r>
        <w:t xml:space="preserve"> (4.7/5)</w:t>
      </w:r>
      <w:r w:rsidRPr="00FA5623">
        <w:t>.</w:t>
      </w:r>
      <w:r>
        <w:t xml:space="preserve">  </w:t>
      </w:r>
    </w:p>
    <w:p w14:paraId="5DF1077F" w14:textId="4C3BFC49" w:rsidR="00FA5623" w:rsidRPr="00FA5623" w:rsidRDefault="00FA5623" w:rsidP="00FA5623">
      <w:pPr>
        <w:pStyle w:val="Heading3"/>
      </w:pPr>
      <w:r w:rsidRPr="00FA5623">
        <w:t xml:space="preserve">Risk </w:t>
      </w:r>
      <w:r w:rsidR="005277AA">
        <w:t>f</w:t>
      </w:r>
      <w:r w:rsidR="005277AA" w:rsidRPr="00FA5623">
        <w:t xml:space="preserve">actor </w:t>
      </w:r>
      <w:r w:rsidRPr="00FA5623">
        <w:t>3 – Variable / fixed stake size</w:t>
      </w:r>
    </w:p>
    <w:p w14:paraId="7C846DB6" w14:textId="7288A84D" w:rsidR="001A7B44" w:rsidRDefault="00515994" w:rsidP="008965BA">
      <w:pPr>
        <w:spacing w:after="180" w:line="264" w:lineRule="auto"/>
      </w:pPr>
      <w:r>
        <w:t>This risk factor refers to the extent to which a player can determine the stake size</w:t>
      </w:r>
      <w:r w:rsidR="00E10089">
        <w:t>, whether there is one fixed stake size, several offered or unlimited</w:t>
      </w:r>
      <w:r w:rsidR="0027480E">
        <w:t xml:space="preserve"> stake size</w:t>
      </w:r>
      <w:r w:rsidR="00E10089">
        <w:t xml:space="preserve">. </w:t>
      </w:r>
    </w:p>
    <w:p w14:paraId="69B225F3" w14:textId="73F36605" w:rsidR="00FA5623" w:rsidRDefault="001A7B44" w:rsidP="008965BA">
      <w:pPr>
        <w:spacing w:after="180" w:line="264" w:lineRule="auto"/>
      </w:pPr>
      <w:r>
        <w:t>S</w:t>
      </w:r>
      <w:r w:rsidR="00FA5623">
        <w:t xml:space="preserve">coring of this factor identified </w:t>
      </w:r>
      <w:r w:rsidR="00F72A2D">
        <w:t>a tendency towards disagreement</w:t>
      </w:r>
      <w:r w:rsidR="00FA5623">
        <w:t xml:space="preserve"> (</w:t>
      </w:r>
      <w:r w:rsidR="00FA5623" w:rsidRPr="008965BA">
        <w:rPr>
          <w:rFonts w:ascii="Cambria" w:hAnsi="Cambria" w:cs="Cambria"/>
        </w:rPr>
        <w:t>α</w:t>
      </w:r>
      <w:r w:rsidR="00FA5623">
        <w:t xml:space="preserve"> = 0.</w:t>
      </w:r>
      <w:r w:rsidR="001A6EC6">
        <w:t>507</w:t>
      </w:r>
      <w:r w:rsidR="00FA5623">
        <w:t xml:space="preserve">) between scorers. Using Lotto as an example, while </w:t>
      </w:r>
      <w:r w:rsidR="007E2461">
        <w:t>one</w:t>
      </w:r>
      <w:r w:rsidR="00FA5623">
        <w:t xml:space="preserve"> line costs </w:t>
      </w:r>
      <w:r w:rsidR="00F27255">
        <w:t>70c</w:t>
      </w:r>
      <w:r w:rsidR="00FA5623">
        <w:t xml:space="preserve">, </w:t>
      </w:r>
      <w:r w:rsidR="00F27255">
        <w:rPr>
          <w:lang w:val="en-CA"/>
        </w:rPr>
        <w:t>the minimum ticket (at least four lines of Lotto) costs $2.80.</w:t>
      </w:r>
      <w:r w:rsidR="007E2461">
        <w:t xml:space="preserve"> This,</w:t>
      </w:r>
      <w:r w:rsidR="00FA5623">
        <w:t xml:space="preserve"> therefore, could be interpreted as several fixed stake sizes offered (ticket price options) or </w:t>
      </w:r>
      <w:r w:rsidR="0027480E">
        <w:t xml:space="preserve">one </w:t>
      </w:r>
      <w:r w:rsidR="00FA5623">
        <w:t>fixed stake size (per line</w:t>
      </w:r>
      <w:r w:rsidR="00012111">
        <w:t>)</w:t>
      </w:r>
      <w:r w:rsidR="00FA5623">
        <w:t>. This was reflected in the confidence scores of some assessors being lower for Lotto and Keno games</w:t>
      </w:r>
      <w:r w:rsidR="00DB6D75">
        <w:t xml:space="preserve">; </w:t>
      </w:r>
      <w:r w:rsidR="00FA5623">
        <w:t>however</w:t>
      </w:r>
      <w:r w:rsidR="0027480E">
        <w:t>,</w:t>
      </w:r>
      <w:r w:rsidR="00FA5623">
        <w:t xml:space="preserve"> overall confidence in scoring this factor was high (4.2/5) and may be further </w:t>
      </w:r>
      <w:r w:rsidR="00861501">
        <w:t xml:space="preserve">improved </w:t>
      </w:r>
      <w:r w:rsidR="00FA5623">
        <w:t xml:space="preserve">by </w:t>
      </w:r>
      <w:r w:rsidR="00B9650F">
        <w:t xml:space="preserve">an agreed </w:t>
      </w:r>
      <w:r w:rsidR="00725E11">
        <w:t xml:space="preserve">upon </w:t>
      </w:r>
      <w:r w:rsidR="00B9650F">
        <w:t>and consistently applied</w:t>
      </w:r>
      <w:r w:rsidR="00FA5623">
        <w:t xml:space="preserve"> method of scoring throughout New Zealand.</w:t>
      </w:r>
    </w:p>
    <w:p w14:paraId="466089F6" w14:textId="3D647A3C" w:rsidR="00FA5623" w:rsidRDefault="00D730E9" w:rsidP="008965BA">
      <w:pPr>
        <w:spacing w:after="180" w:line="264" w:lineRule="auto"/>
      </w:pPr>
      <w:r>
        <w:t xml:space="preserve">Application of </w:t>
      </w:r>
      <w:r w:rsidR="008A6C4E">
        <w:t>Gamgard</w:t>
      </w:r>
      <w:r>
        <w:t xml:space="preserve"> is intended for </w:t>
      </w:r>
      <w:r w:rsidR="007F4F8A">
        <w:t>an individual game</w:t>
      </w:r>
      <w:r w:rsidR="005E342E">
        <w:t xml:space="preserve">. This </w:t>
      </w:r>
      <w:r w:rsidR="001477EB">
        <w:t xml:space="preserve">means it does not take into account </w:t>
      </w:r>
      <w:r w:rsidR="00D27F88">
        <w:t xml:space="preserve">that a customer can </w:t>
      </w:r>
      <w:r w:rsidR="000C0CCF">
        <w:t xml:space="preserve">determine stake size through ticket </w:t>
      </w:r>
      <w:r w:rsidR="00D27F88">
        <w:t xml:space="preserve">purchase </w:t>
      </w:r>
      <w:r w:rsidR="000C0CCF">
        <w:t>choice</w:t>
      </w:r>
      <w:r w:rsidR="00DB6D75">
        <w:t>,</w:t>
      </w:r>
      <w:r w:rsidR="00B438E0">
        <w:t xml:space="preserve"> </w:t>
      </w:r>
      <w:r w:rsidR="00DB6D75">
        <w:t>e.g.</w:t>
      </w:r>
      <w:r w:rsidR="00FA5623">
        <w:t xml:space="preserve"> a $1 to</w:t>
      </w:r>
      <w:r w:rsidR="00DB6D75">
        <w:t xml:space="preserve"> a</w:t>
      </w:r>
      <w:r w:rsidR="00FA5623">
        <w:t xml:space="preserve"> $3 Instant Kiwi ticket.</w:t>
      </w:r>
    </w:p>
    <w:p w14:paraId="68BCD50B" w14:textId="52B22A76" w:rsidR="00FA5623" w:rsidRDefault="00FA5623" w:rsidP="00FA5623">
      <w:pPr>
        <w:pStyle w:val="Heading3"/>
      </w:pPr>
      <w:r w:rsidRPr="00FA5623">
        <w:t xml:space="preserve">Risk </w:t>
      </w:r>
      <w:r w:rsidR="005277AA">
        <w:t>f</w:t>
      </w:r>
      <w:r w:rsidR="005277AA" w:rsidRPr="00FA5623">
        <w:t xml:space="preserve">actor </w:t>
      </w:r>
      <w:r w:rsidRPr="00FA5623">
        <w:t>4 – Prizeback percentage</w:t>
      </w:r>
    </w:p>
    <w:p w14:paraId="1B1BD504" w14:textId="70E98D7D" w:rsidR="00B9650F" w:rsidRDefault="00FA5623" w:rsidP="00075E77">
      <w:pPr>
        <w:spacing w:after="180" w:line="264" w:lineRule="auto"/>
      </w:pPr>
      <w:r>
        <w:t>This is an objective measure, clearly defined</w:t>
      </w:r>
      <w:r w:rsidR="00A95F85">
        <w:t xml:space="preserve"> as the average percentage of stake that is pa</w:t>
      </w:r>
      <w:r w:rsidR="00D0135A">
        <w:t>i</w:t>
      </w:r>
      <w:r w:rsidR="00A95F85">
        <w:t>d</w:t>
      </w:r>
      <w:r w:rsidR="003F2DB2">
        <w:t xml:space="preserve"> back in winnings</w:t>
      </w:r>
      <w:r>
        <w:t xml:space="preserve">. In terms of identifying contribution of the scores to harm, it is reliant on the player being aware of the payback which may not be the case for all games e.g. Keno </w:t>
      </w:r>
      <w:r w:rsidR="00E44D13">
        <w:t>prizeback percentage</w:t>
      </w:r>
      <w:r>
        <w:t xml:space="preserve"> varies depending on the amount bet and number of balls selected. Ratings were consistent across participants and researchers (</w:t>
      </w:r>
      <w:r w:rsidRPr="00075E77">
        <w:rPr>
          <w:rFonts w:ascii="Cambria" w:hAnsi="Cambria" w:cs="Cambria"/>
        </w:rPr>
        <w:t>α</w:t>
      </w:r>
      <w:r w:rsidR="00F72A2D">
        <w:t>=1</w:t>
      </w:r>
      <w:r>
        <w:t>).</w:t>
      </w:r>
    </w:p>
    <w:p w14:paraId="3DDF16C5" w14:textId="03A47D75" w:rsidR="00FA5623" w:rsidRDefault="00B9650F" w:rsidP="00B9650F">
      <w:pPr>
        <w:pStyle w:val="Heading3"/>
      </w:pPr>
      <w:r>
        <w:t>Risk factor 5 – Jackpot size</w:t>
      </w:r>
    </w:p>
    <w:p w14:paraId="27E92FCF" w14:textId="237C9699" w:rsidR="00CD7862" w:rsidRDefault="00B9650F" w:rsidP="009C1332">
      <w:pPr>
        <w:spacing w:after="180" w:line="264" w:lineRule="auto"/>
      </w:pPr>
      <w:r>
        <w:t>This is an objective measure, clearly defined</w:t>
      </w:r>
      <w:r w:rsidR="000B5C5A">
        <w:t xml:space="preserve"> </w:t>
      </w:r>
      <w:r w:rsidR="001F4DE4">
        <w:t>as the largest amount of money the player believes they can possibl</w:t>
      </w:r>
      <w:r w:rsidR="0012298B">
        <w:t>y</w:t>
      </w:r>
      <w:r w:rsidR="001F4DE4">
        <w:t xml:space="preserve"> win</w:t>
      </w:r>
      <w:r>
        <w:t>. Ratings were consistent (</w:t>
      </w:r>
      <w:r w:rsidRPr="00E44D13">
        <w:rPr>
          <w:rFonts w:ascii="Cambria" w:hAnsi="Cambria" w:cs="Cambria"/>
        </w:rPr>
        <w:t>α</w:t>
      </w:r>
      <w:r w:rsidR="00F72A2D">
        <w:t>=1</w:t>
      </w:r>
      <w:r>
        <w:t>) across participants and researchers</w:t>
      </w:r>
      <w:r w:rsidR="00221F03">
        <w:t xml:space="preserve"> with high confidence in scoring (4.6/5)</w:t>
      </w:r>
      <w:r>
        <w:t xml:space="preserve">. </w:t>
      </w:r>
    </w:p>
    <w:p w14:paraId="466A9B2E" w14:textId="2CAF2C4D" w:rsidR="00CD7862" w:rsidRDefault="00CD7862" w:rsidP="009C1332">
      <w:pPr>
        <w:spacing w:after="180" w:line="264" w:lineRule="auto"/>
      </w:pPr>
      <w:r>
        <w:t xml:space="preserve">There is also an element of linking </w:t>
      </w:r>
      <w:r w:rsidR="001F1E68">
        <w:t xml:space="preserve">the </w:t>
      </w:r>
      <w:r>
        <w:t>amount of game play to jackpot size</w:t>
      </w:r>
      <w:r w:rsidR="001F1E68">
        <w:t>, e</w:t>
      </w:r>
      <w:r>
        <w:t>.g.</w:t>
      </w:r>
      <w:r w:rsidR="001F1E68">
        <w:t>, a</w:t>
      </w:r>
      <w:r>
        <w:t xml:space="preserve"> $3 crossword with a maximum prize of $40,000</w:t>
      </w:r>
      <w:r w:rsidR="0002317C">
        <w:t>.</w:t>
      </w:r>
    </w:p>
    <w:p w14:paraId="037BE3B7" w14:textId="0D8380A2" w:rsidR="00CD7862" w:rsidRPr="00392C7E" w:rsidRDefault="00CD7862" w:rsidP="00392C7E">
      <w:pPr>
        <w:spacing w:after="180" w:line="264" w:lineRule="auto"/>
        <w:jc w:val="center"/>
        <w:rPr>
          <w:i/>
          <w:iCs/>
        </w:rPr>
      </w:pPr>
      <w:r w:rsidRPr="00392C7E">
        <w:rPr>
          <w:i/>
          <w:iCs/>
        </w:rPr>
        <w:t>“It offers more game play so don't have to offer as much money”</w:t>
      </w:r>
      <w:r w:rsidR="00B8765F">
        <w:rPr>
          <w:i/>
          <w:iCs/>
        </w:rPr>
        <w:t>(Focus group)</w:t>
      </w:r>
      <w:r w:rsidRPr="00392C7E">
        <w:rPr>
          <w:i/>
          <w:iCs/>
        </w:rPr>
        <w:t>.</w:t>
      </w:r>
    </w:p>
    <w:p w14:paraId="5DEF6D51" w14:textId="042F49E0" w:rsidR="00B9650F" w:rsidRDefault="00B9650F" w:rsidP="00392C7E">
      <w:pPr>
        <w:spacing w:after="180" w:line="264" w:lineRule="auto"/>
      </w:pPr>
      <w:r>
        <w:t>The jackpot size has been converted directly from USD to NZD which results in bandwidths that may not align with game design e.g. NZ</w:t>
      </w:r>
      <w:r w:rsidR="00581489">
        <w:t>D</w:t>
      </w:r>
      <w:r>
        <w:t xml:space="preserve"> 2,291-22,896. It may be more appropriate to set categories according to useful game limits e.g. $5,000, $10,000, $20,000 etc. No Lotto NZ games fall into the highest scoring category.  </w:t>
      </w:r>
    </w:p>
    <w:p w14:paraId="36E6CB8F" w14:textId="32C9E2C0" w:rsidR="00F2018B" w:rsidRDefault="00B9650F" w:rsidP="00B9650F">
      <w:pPr>
        <w:pStyle w:val="Heading3"/>
      </w:pPr>
      <w:r>
        <w:t>Risk factor 6 – Near win opportunities</w:t>
      </w:r>
    </w:p>
    <w:p w14:paraId="060CA79C" w14:textId="641A6ABF" w:rsidR="00B9650F" w:rsidRDefault="00BB7297" w:rsidP="00581489">
      <w:pPr>
        <w:pStyle w:val="BodyText2"/>
        <w:spacing w:after="180"/>
        <w:ind w:left="0"/>
      </w:pPr>
      <w:r>
        <w:t xml:space="preserve">Near win opportunities </w:t>
      </w:r>
      <w:r w:rsidR="008374EA">
        <w:t>refer to intentionally manufactured instances when the player believes they nearly won (i.e. not occurring purely by chance)</w:t>
      </w:r>
      <w:r w:rsidR="008F223D">
        <w:t>.</w:t>
      </w:r>
      <w:r w:rsidR="00B9650F">
        <w:t xml:space="preserve"> </w:t>
      </w:r>
      <w:r w:rsidR="003602BD">
        <w:t>This</w:t>
      </w:r>
      <w:r w:rsidR="006D4145">
        <w:t xml:space="preserve"> is an objective measure</w:t>
      </w:r>
      <w:r w:rsidR="00417237">
        <w:t>.</w:t>
      </w:r>
      <w:r w:rsidR="006D4145">
        <w:t xml:space="preserve"> </w:t>
      </w:r>
      <w:r w:rsidR="00417237">
        <w:t>I</w:t>
      </w:r>
      <w:r w:rsidR="006D4145">
        <w:t>nclusion of near-win opportunities is</w:t>
      </w:r>
      <w:r w:rsidR="00237663">
        <w:t xml:space="preserve"> </w:t>
      </w:r>
      <w:r w:rsidR="00B9650F">
        <w:t xml:space="preserve">clearly defined in the Lotto NZ game designs. It requires the scorer to be familiar with the game design to score accurately. </w:t>
      </w:r>
      <w:r w:rsidR="00F72A2D">
        <w:t>Raters were in agreement</w:t>
      </w:r>
      <w:r w:rsidR="00CD7862">
        <w:t xml:space="preserve"> (</w:t>
      </w:r>
      <w:r w:rsidR="00CD7862">
        <w:rPr>
          <w:rFonts w:ascii="Times New Roman" w:hAnsi="Times New Roman" w:cs="Times New Roman"/>
        </w:rPr>
        <w:t>α</w:t>
      </w:r>
      <w:r w:rsidR="00CD7862">
        <w:t xml:space="preserve"> </w:t>
      </w:r>
      <w:r w:rsidR="00F72A2D">
        <w:t>=1</w:t>
      </w:r>
      <w:r w:rsidR="00CD7862">
        <w:t xml:space="preserve">) and </w:t>
      </w:r>
      <w:r w:rsidR="00F72A2D">
        <w:t xml:space="preserve">they </w:t>
      </w:r>
      <w:r w:rsidR="00CD7862">
        <w:t xml:space="preserve">were confident in their scores (4.6/5). It was </w:t>
      </w:r>
      <w:r w:rsidR="00CD7862">
        <w:lastRenderedPageBreak/>
        <w:t>recognised that this may not necessarily be a strong indicator of harm which is reflected in the contribution to overall risk score</w:t>
      </w:r>
      <w:r w:rsidR="005D7211">
        <w:t xml:space="preserve"> within the tool</w:t>
      </w:r>
      <w:r w:rsidR="00CD7862">
        <w:t>:</w:t>
      </w:r>
    </w:p>
    <w:p w14:paraId="3721442F" w14:textId="3A101140" w:rsidR="00CD7862" w:rsidRPr="00CD7862" w:rsidRDefault="00CD7862" w:rsidP="005D7211">
      <w:pPr>
        <w:pStyle w:val="BodyText2"/>
        <w:spacing w:after="180"/>
        <w:ind w:left="0"/>
        <w:jc w:val="center"/>
        <w:rPr>
          <w:i/>
          <w:iCs/>
        </w:rPr>
      </w:pPr>
      <w:r>
        <w:rPr>
          <w:i/>
          <w:iCs/>
        </w:rPr>
        <w:t>“</w:t>
      </w:r>
      <w:r w:rsidRPr="00CD7862">
        <w:rPr>
          <w:i/>
          <w:iCs/>
        </w:rPr>
        <w:t>We know information the player doesn't know.  This information you'd have to purchase a lot of tickets to figure out.  For a vulnerable player they get the nearly win moment</w:t>
      </w:r>
      <w:r>
        <w:rPr>
          <w:i/>
          <w:iCs/>
        </w:rPr>
        <w:t>”</w:t>
      </w:r>
      <w:r w:rsidR="000E45EB">
        <w:rPr>
          <w:i/>
          <w:iCs/>
        </w:rPr>
        <w:t xml:space="preserve"> (Focus group)</w:t>
      </w:r>
    </w:p>
    <w:p w14:paraId="38AC340F" w14:textId="41FCD149" w:rsidR="00600FDC" w:rsidRDefault="00CD7862" w:rsidP="00CD7862">
      <w:pPr>
        <w:pStyle w:val="Heading3"/>
      </w:pPr>
      <w:r>
        <w:t>Risk factor 7 – Continuity of play</w:t>
      </w:r>
    </w:p>
    <w:p w14:paraId="0CBDA5BE" w14:textId="78413C5D" w:rsidR="00156472" w:rsidRDefault="00CD7862" w:rsidP="005D7211">
      <w:pPr>
        <w:spacing w:after="180" w:line="264" w:lineRule="auto"/>
      </w:pPr>
      <w:r>
        <w:t>This is an objective measure</w:t>
      </w:r>
      <w:r w:rsidR="00F06BF7">
        <w:t xml:space="preserve"> regarding how long the game can be played without a mandatory break.</w:t>
      </w:r>
      <w:r w:rsidR="00585999">
        <w:t xml:space="preserve"> </w:t>
      </w:r>
      <w:r w:rsidR="0080726F">
        <w:t xml:space="preserve">Continuity of play is </w:t>
      </w:r>
      <w:r>
        <w:t xml:space="preserve">easily </w:t>
      </w:r>
      <w:r w:rsidR="007A17EC">
        <w:t>assessed based on t</w:t>
      </w:r>
      <w:r>
        <w:t>he explanation within this factor of “</w:t>
      </w:r>
      <w:r w:rsidRPr="005D7211">
        <w:t xml:space="preserve">a time limit of 30 seconds between purchase and result being a break in play, </w:t>
      </w:r>
      <w:r>
        <w:t>and</w:t>
      </w:r>
      <w:r w:rsidRPr="005D7211">
        <w:t xml:space="preserve"> it is unlikely that players would purchase so many scratch tickets that it would take an hour to scratch them”,</w:t>
      </w:r>
      <w:r>
        <w:t xml:space="preserve"> </w:t>
      </w:r>
      <w:r w:rsidR="007A17EC">
        <w:t xml:space="preserve">This </w:t>
      </w:r>
      <w:r>
        <w:t xml:space="preserve">reduces the number of </w:t>
      </w:r>
      <w:r w:rsidR="00D74B18">
        <w:t xml:space="preserve">game types </w:t>
      </w:r>
      <w:r>
        <w:t>that are given harm scores to a limited number</w:t>
      </w:r>
      <w:r w:rsidR="00D74B18">
        <w:t>,</w:t>
      </w:r>
      <w:r>
        <w:t xml:space="preserve"> </w:t>
      </w:r>
      <w:r w:rsidR="00D74B18">
        <w:t>e.g.,</w:t>
      </w:r>
      <w:r>
        <w:t xml:space="preserve"> EGMs.  </w:t>
      </w:r>
      <w:r w:rsidR="00A0627D">
        <w:t xml:space="preserve">Scoring </w:t>
      </w:r>
      <w:r w:rsidR="0013510B">
        <w:t>was consistent with raters in agreement</w:t>
      </w:r>
      <w:r w:rsidR="007A17EC">
        <w:t xml:space="preserve"> (</w:t>
      </w:r>
      <w:r w:rsidR="007A17EC" w:rsidRPr="005D7211">
        <w:rPr>
          <w:rFonts w:ascii="Cambria" w:hAnsi="Cambria" w:cs="Cambria"/>
        </w:rPr>
        <w:t>α</w:t>
      </w:r>
      <w:r w:rsidR="007A17EC">
        <w:t xml:space="preserve"> </w:t>
      </w:r>
      <w:r w:rsidR="00A0627D">
        <w:t>=1</w:t>
      </w:r>
      <w:r w:rsidR="007A17EC">
        <w:t>) and confidence in scoring was high (4.6/5).</w:t>
      </w:r>
    </w:p>
    <w:p w14:paraId="27F3AEE9" w14:textId="3A497037" w:rsidR="007A17EC" w:rsidRDefault="007A17EC" w:rsidP="007A17EC">
      <w:pPr>
        <w:pStyle w:val="Heading3"/>
      </w:pPr>
      <w:r>
        <w:t>Risk factor 8 – Accessibility points</w:t>
      </w:r>
    </w:p>
    <w:p w14:paraId="793B6C4D" w14:textId="401D1B23" w:rsidR="007A17EC" w:rsidRDefault="000B2579" w:rsidP="003F3256">
      <w:pPr>
        <w:spacing w:after="180" w:line="264" w:lineRule="auto"/>
      </w:pPr>
      <w:r>
        <w:t xml:space="preserve">Accessibility points </w:t>
      </w:r>
      <w:r w:rsidR="0048592A">
        <w:t>identify how easily a player can access a game, for example</w:t>
      </w:r>
      <w:r w:rsidR="00D74B18">
        <w:t>, having to</w:t>
      </w:r>
      <w:r w:rsidR="0048592A">
        <w:t xml:space="preserve"> </w:t>
      </w:r>
      <w:r w:rsidR="00547B64">
        <w:t xml:space="preserve">travel to a destination resort to gamble versus accessing online. </w:t>
      </w:r>
      <w:r w:rsidR="007A17EC">
        <w:t>This measure is easy to interpret with consistent ratings across participants and experts (</w:t>
      </w:r>
      <w:r w:rsidR="007A17EC" w:rsidRPr="003F3256">
        <w:rPr>
          <w:rFonts w:ascii="Cambria" w:hAnsi="Cambria" w:cs="Cambria"/>
        </w:rPr>
        <w:t>α</w:t>
      </w:r>
      <w:r w:rsidR="007A17EC">
        <w:t xml:space="preserve"> </w:t>
      </w:r>
      <w:r w:rsidR="0013510B">
        <w:t>=1</w:t>
      </w:r>
      <w:r w:rsidR="007A17EC">
        <w:t>, confidence in score 5/5).</w:t>
      </w:r>
    </w:p>
    <w:p w14:paraId="380AFC0E" w14:textId="4E0349FF" w:rsidR="00812F59" w:rsidRDefault="007A17EC" w:rsidP="007A17EC">
      <w:pPr>
        <w:pStyle w:val="Heading3"/>
      </w:pPr>
      <w:r>
        <w:t>Risk factor 9 – Payment options</w:t>
      </w:r>
    </w:p>
    <w:p w14:paraId="6F3A95C6" w14:textId="21693B87" w:rsidR="007A17EC" w:rsidRDefault="007A17EC" w:rsidP="003F3256">
      <w:pPr>
        <w:pStyle w:val="BodyText2"/>
        <w:spacing w:after="180"/>
        <w:ind w:left="0"/>
      </w:pPr>
      <w:r>
        <w:t xml:space="preserve">This is an objective measure </w:t>
      </w:r>
      <w:r w:rsidR="00DC41FC">
        <w:t xml:space="preserve">about the type of payment used </w:t>
      </w:r>
      <w:r w:rsidR="00AA4F32">
        <w:t>to gamble e.g. cash, debit, credit</w:t>
      </w:r>
      <w:r w:rsidR="005F3592">
        <w:t xml:space="preserve">. </w:t>
      </w:r>
      <w:r w:rsidR="00541576">
        <w:t xml:space="preserve">Ratings for this </w:t>
      </w:r>
      <w:r w:rsidR="00DC13B0">
        <w:t xml:space="preserve">factor </w:t>
      </w:r>
      <w:r w:rsidR="0013510B">
        <w:t>were in agreement</w:t>
      </w:r>
      <w:r>
        <w:t xml:space="preserve"> </w:t>
      </w:r>
      <w:r w:rsidRPr="0013510B">
        <w:t>(</w:t>
      </w:r>
      <w:r w:rsidRPr="0013510B">
        <w:rPr>
          <w:rFonts w:ascii="Times New Roman" w:hAnsi="Times New Roman" w:cs="Times New Roman"/>
        </w:rPr>
        <w:t>α</w:t>
      </w:r>
      <w:r w:rsidR="0013510B" w:rsidRPr="0013510B">
        <w:rPr>
          <w:rFonts w:ascii="Times New Roman" w:hAnsi="Times New Roman" w:cs="Times New Roman"/>
        </w:rPr>
        <w:t>=1</w:t>
      </w:r>
      <w:r w:rsidRPr="0013510B">
        <w:t>)</w:t>
      </w:r>
      <w:r>
        <w:t xml:space="preserve"> and </w:t>
      </w:r>
      <w:r w:rsidR="007B770A">
        <w:t>assessors were confident in their scoring</w:t>
      </w:r>
      <w:r>
        <w:t xml:space="preserve"> (4.6/5). As with other measures it requires the person completing the assessment to be informed </w:t>
      </w:r>
      <w:r w:rsidR="001D51BA">
        <w:t>of the</w:t>
      </w:r>
      <w:r>
        <w:t xml:space="preserve"> payment methods </w:t>
      </w:r>
      <w:r w:rsidR="001D51BA">
        <w:t xml:space="preserve">that </w:t>
      </w:r>
      <w:r>
        <w:t>are available.</w:t>
      </w:r>
    </w:p>
    <w:p w14:paraId="0A37247C" w14:textId="1C83444E" w:rsidR="007A17EC" w:rsidRDefault="007A17EC" w:rsidP="007A17EC">
      <w:pPr>
        <w:pStyle w:val="Heading3"/>
      </w:pPr>
      <w:r w:rsidRPr="007A17EC">
        <w:t>Risk factor 10 – Illusion of control</w:t>
      </w:r>
    </w:p>
    <w:p w14:paraId="0535143D" w14:textId="22C06DC7" w:rsidR="00D72695" w:rsidRDefault="00D72695" w:rsidP="007A3F0E">
      <w:pPr>
        <w:spacing w:after="180" w:line="264" w:lineRule="auto"/>
      </w:pPr>
      <w:r>
        <w:t xml:space="preserve">Illusion of control </w:t>
      </w:r>
      <w:r w:rsidR="00691583">
        <w:t>refers to any elements of a game of chance that may suggest there is s</w:t>
      </w:r>
      <w:r w:rsidR="00E17421">
        <w:t>k</w:t>
      </w:r>
      <w:r w:rsidR="00691583">
        <w:t>ill involved</w:t>
      </w:r>
      <w:r w:rsidR="007B46B3">
        <w:t>, or where the player is given a hint that they believe will</w:t>
      </w:r>
      <w:r w:rsidR="00A05127">
        <w:t xml:space="preserve"> help them</w:t>
      </w:r>
      <w:r w:rsidR="007B46B3">
        <w:t xml:space="preserve"> win. </w:t>
      </w:r>
    </w:p>
    <w:p w14:paraId="0621E115" w14:textId="60001B72" w:rsidR="007A17EC" w:rsidRPr="007A3F0E" w:rsidRDefault="007A17EC" w:rsidP="007A3F0E">
      <w:pPr>
        <w:spacing w:after="180" w:line="264" w:lineRule="auto"/>
      </w:pPr>
      <w:r>
        <w:t>There is a possible gap between active game intent around illusion of control and a player’s cognitive bias around illusion of control based on the inputs they can control. Arguably, both can</w:t>
      </w:r>
      <w:r w:rsidR="001D51BA">
        <w:t xml:space="preserve"> have an</w:t>
      </w:r>
      <w:r>
        <w:t xml:space="preserve"> impact</w:t>
      </w:r>
      <w:r w:rsidR="001D51BA">
        <w:t xml:space="preserve"> on</w:t>
      </w:r>
      <w:r>
        <w:t xml:space="preserve"> gambling harm.  In assessing games against this risk factor some assessors interpreted it as player perception of control, while others recognised that there was no actual control over the outcome</w:t>
      </w:r>
      <w:r w:rsidR="002A278F">
        <w:t>. This</w:t>
      </w:r>
      <w:r>
        <w:t xml:space="preserve"> result</w:t>
      </w:r>
      <w:r w:rsidR="002A278F">
        <w:t>ed</w:t>
      </w:r>
      <w:r>
        <w:t xml:space="preserve"> in</w:t>
      </w:r>
      <w:r w:rsidR="002D2E45">
        <w:t xml:space="preserve"> </w:t>
      </w:r>
      <w:r w:rsidR="00757FBC">
        <w:t xml:space="preserve">unacceptable </w:t>
      </w:r>
      <w:r w:rsidR="00A051BB">
        <w:t xml:space="preserve">agreement </w:t>
      </w:r>
      <w:r>
        <w:t>(</w:t>
      </w:r>
      <w:r w:rsidRPr="007A3F0E">
        <w:rPr>
          <w:rFonts w:ascii="Cambria" w:hAnsi="Cambria" w:cs="Cambria"/>
        </w:rPr>
        <w:t>α</w:t>
      </w:r>
      <w:r>
        <w:t xml:space="preserve"> = </w:t>
      </w:r>
      <w:r w:rsidR="00A051BB">
        <w:t>-0.269</w:t>
      </w:r>
      <w:r>
        <w:t>)</w:t>
      </w:r>
      <w:r w:rsidR="00810BEC">
        <w:t>,</w:t>
      </w:r>
      <w:r>
        <w:t xml:space="preserve"> and reduced confidence compared to other factors </w:t>
      </w:r>
      <w:r w:rsidR="002A278F">
        <w:t xml:space="preserve">(3.2/5) </w:t>
      </w:r>
      <w:r>
        <w:t>that the score given was correct.</w:t>
      </w:r>
    </w:p>
    <w:p w14:paraId="7AD99155" w14:textId="2F5740B5" w:rsidR="007A17EC" w:rsidRDefault="007A17EC" w:rsidP="007A3F0E">
      <w:pPr>
        <w:spacing w:after="180" w:line="264" w:lineRule="auto"/>
      </w:pPr>
      <w:r>
        <w:t xml:space="preserve">The examples provided in the instructions make it clear that an aspect of the game must provide an explicit hint or provide some level of skill (e.g. nudge button, stopping device) such that the timing might influence the outcome. However, for some games </w:t>
      </w:r>
      <w:r w:rsidR="00140560">
        <w:t xml:space="preserve">it </w:t>
      </w:r>
      <w:r>
        <w:t>is less clear where the line is drawn (e.g.</w:t>
      </w:r>
      <w:r w:rsidR="00140560">
        <w:t>,</w:t>
      </w:r>
      <w:r>
        <w:t xml:space="preserve"> mimic of a crossword, where the outcome is </w:t>
      </w:r>
      <w:r w:rsidRPr="00402320">
        <w:t xml:space="preserve">not altered </w:t>
      </w:r>
      <w:r w:rsidR="00531600">
        <w:t>even though</w:t>
      </w:r>
      <w:r w:rsidR="00531600" w:rsidRPr="00402320">
        <w:t xml:space="preserve"> </w:t>
      </w:r>
      <w:r w:rsidRPr="00402320">
        <w:t>the</w:t>
      </w:r>
      <w:r w:rsidR="00146A75" w:rsidRPr="00402320">
        <w:t xml:space="preserve"> nature</w:t>
      </w:r>
      <w:r w:rsidR="00146A75">
        <w:t xml:space="preserve"> of a</w:t>
      </w:r>
      <w:r w:rsidR="00A95DBB">
        <w:t xml:space="preserve"> crossword </w:t>
      </w:r>
      <w:r w:rsidR="005F5124">
        <w:t>implies the</w:t>
      </w:r>
      <w:r w:rsidR="00D4662D">
        <w:t>re is some level of skill involved</w:t>
      </w:r>
      <w:r w:rsidR="00115960">
        <w:t>).</w:t>
      </w:r>
    </w:p>
    <w:p w14:paraId="0A294FDD" w14:textId="415A248A" w:rsidR="007A17EC" w:rsidRDefault="007A17EC" w:rsidP="007A3F0E">
      <w:pPr>
        <w:spacing w:after="180" w:line="264" w:lineRule="auto"/>
      </w:pPr>
      <w:r>
        <w:t>In relation to player control, for games like Lottery Draws, having the ability to pick numbers (e.g</w:t>
      </w:r>
      <w:r w:rsidR="00531600">
        <w:t>., players</w:t>
      </w:r>
      <w:r>
        <w:t xml:space="preserve"> may perceive they have lucky numbers) as opposed to having them randomly generated arguably provides people with some illusion that this control over numbers picked (not numbers drawn) gives them some control over the outcome. See also Dixon (2000), who controlled whether the player was able to select the roulette chip location or whether an experimenter set the location of chips (neither of which impacted the actual chance of winning). Players wagered more chips when they were in control of chip placement. </w:t>
      </w:r>
    </w:p>
    <w:p w14:paraId="72E01BB5" w14:textId="27A71D87" w:rsidR="007A17EC" w:rsidRDefault="007A17EC" w:rsidP="007A3F0E">
      <w:pPr>
        <w:pStyle w:val="BodyText2"/>
        <w:spacing w:afterLines="180" w:after="432"/>
        <w:ind w:left="0"/>
      </w:pPr>
      <w:r>
        <w:t>The scale could include both aspects, with the player perception element rated as a middle score, rather than as a 0 score.</w:t>
      </w:r>
    </w:p>
    <w:p w14:paraId="5A76A530" w14:textId="3A38923B" w:rsidR="007A17EC" w:rsidRDefault="007A17EC" w:rsidP="007A17EC">
      <w:pPr>
        <w:pStyle w:val="Heading3"/>
        <w:rPr>
          <w:rFonts w:ascii="Georgia" w:hAnsi="Georgia"/>
          <w:color w:val="auto"/>
        </w:rPr>
      </w:pPr>
      <w:r>
        <w:t>Responsible gaming feature 11 – Pop up reminders</w:t>
      </w:r>
    </w:p>
    <w:p w14:paraId="3D7AF94B" w14:textId="315DCC77" w:rsidR="007A17EC" w:rsidRDefault="00E21794" w:rsidP="00A70D8A">
      <w:pPr>
        <w:spacing w:after="180" w:line="264" w:lineRule="auto"/>
      </w:pPr>
      <w:r>
        <w:t>Pop up reminders is</w:t>
      </w:r>
      <w:r w:rsidR="00185D13">
        <w:t xml:space="preserve"> the first of four responsible gaming features that </w:t>
      </w:r>
      <w:r w:rsidR="00DE74C4">
        <w:t xml:space="preserve">can </w:t>
      </w:r>
      <w:r w:rsidR="004D18AB">
        <w:t xml:space="preserve">be applied in a game to </w:t>
      </w:r>
      <w:r w:rsidR="00DE74C4">
        <w:t xml:space="preserve">reduce the overall risk score in </w:t>
      </w:r>
      <w:r w:rsidR="008A6C4E">
        <w:t>Gamgard</w:t>
      </w:r>
      <w:r w:rsidR="00DE74C4">
        <w:t xml:space="preserve">. </w:t>
      </w:r>
      <w:r w:rsidR="007A17EC">
        <w:t xml:space="preserve">Pop up reminders </w:t>
      </w:r>
      <w:r w:rsidR="00BE4CBC">
        <w:t xml:space="preserve">are any kind of pop up that </w:t>
      </w:r>
      <w:r w:rsidR="007B33A1">
        <w:t xml:space="preserve">reminds </w:t>
      </w:r>
      <w:r w:rsidR="00A84FCD">
        <w:t xml:space="preserve">a player how long they have been playing a particular </w:t>
      </w:r>
      <w:r w:rsidR="005C3CCD">
        <w:t>game</w:t>
      </w:r>
      <w:r w:rsidR="00B666BD">
        <w:t>. They</w:t>
      </w:r>
      <w:r w:rsidR="00A84FCD">
        <w:t xml:space="preserve"> </w:t>
      </w:r>
      <w:r w:rsidR="007A17EC">
        <w:t xml:space="preserve">are not used by Lotto NZ. This feature is likely to be of most benefit in EGMs. </w:t>
      </w:r>
    </w:p>
    <w:p w14:paraId="19F15F9E" w14:textId="6C76A963" w:rsidR="00150D79" w:rsidRDefault="007A17EC" w:rsidP="00A70D8A">
      <w:pPr>
        <w:pStyle w:val="BodyText2"/>
        <w:spacing w:after="180"/>
        <w:ind w:left="0"/>
        <w:rPr>
          <w:color w:val="000000" w:themeColor="text1"/>
        </w:rPr>
      </w:pPr>
      <w:r>
        <w:lastRenderedPageBreak/>
        <w:t>In applying the scoring bands to New Zealand gamblers, it may be more suitable to reduce the time limit control to a shorter timeframe. Outside of casinos more than 85% of frequent EGM players play for 2 hours or less (</w:t>
      </w:r>
      <w:r w:rsidR="00C76BDC">
        <w:t xml:space="preserve">Abbott, Bellringer, Garrett </w:t>
      </w:r>
      <w:r w:rsidR="00C560E4">
        <w:t>and Mundy-</w:t>
      </w:r>
      <w:r w:rsidR="002F5DD0">
        <w:t>McPherson</w:t>
      </w:r>
      <w:r>
        <w:t>, 201</w:t>
      </w:r>
      <w:r w:rsidR="009D6C97">
        <w:t>4</w:t>
      </w:r>
      <w:r>
        <w:t xml:space="preserve">). It could be more appropriate </w:t>
      </w:r>
      <w:r>
        <w:rPr>
          <w:color w:val="000000" w:themeColor="text1"/>
        </w:rPr>
        <w:t xml:space="preserve">to align with </w:t>
      </w:r>
      <w:r w:rsidR="00150D79">
        <w:rPr>
          <w:color w:val="000000" w:themeColor="text1"/>
        </w:rPr>
        <w:t>M</w:t>
      </w:r>
      <w:r>
        <w:rPr>
          <w:color w:val="000000" w:themeColor="text1"/>
        </w:rPr>
        <w:t xml:space="preserve">inistry of </w:t>
      </w:r>
      <w:r w:rsidR="00150D79">
        <w:rPr>
          <w:color w:val="000000" w:themeColor="text1"/>
        </w:rPr>
        <w:t>H</w:t>
      </w:r>
      <w:r>
        <w:rPr>
          <w:color w:val="000000" w:themeColor="text1"/>
        </w:rPr>
        <w:t xml:space="preserve">ealth </w:t>
      </w:r>
      <w:r w:rsidR="00150D79">
        <w:rPr>
          <w:color w:val="000000" w:themeColor="text1"/>
        </w:rPr>
        <w:t xml:space="preserve">or </w:t>
      </w:r>
      <w:r>
        <w:rPr>
          <w:color w:val="000000" w:themeColor="text1"/>
        </w:rPr>
        <w:t>international time classifications e.g. pop up at 30 minutes, 1 hour, 2 hours</w:t>
      </w:r>
      <w:r w:rsidR="00150D79">
        <w:rPr>
          <w:color w:val="000000" w:themeColor="text1"/>
        </w:rPr>
        <w:t xml:space="preserve"> as shown in </w:t>
      </w:r>
      <w:r w:rsidR="001E0563">
        <w:rPr>
          <w:color w:val="000000" w:themeColor="text1"/>
        </w:rPr>
        <w:t>Figure 6.</w:t>
      </w:r>
    </w:p>
    <w:p w14:paraId="5C67B952" w14:textId="77777777" w:rsidR="001E0563" w:rsidRDefault="001E0563" w:rsidP="00A70D8A">
      <w:pPr>
        <w:pStyle w:val="BodyText2"/>
        <w:spacing w:after="180"/>
        <w:ind w:left="0"/>
        <w:rPr>
          <w:color w:val="000000" w:themeColor="text1"/>
        </w:rPr>
      </w:pPr>
    </w:p>
    <w:p w14:paraId="11698FBF" w14:textId="77777777" w:rsidR="00150D79" w:rsidRDefault="007A17EC" w:rsidP="00150D79">
      <w:pPr>
        <w:pStyle w:val="BodyText2"/>
        <w:keepNext/>
        <w:ind w:left="0"/>
      </w:pPr>
      <w:r>
        <w:rPr>
          <w:color w:val="000000" w:themeColor="text1"/>
        </w:rPr>
        <w:t xml:space="preserve"> </w:t>
      </w:r>
      <w:r w:rsidR="00150D79">
        <w:rPr>
          <w:noProof/>
        </w:rPr>
        <w:drawing>
          <wp:inline distT="0" distB="0" distL="0" distR="0" wp14:anchorId="08B84138" wp14:editId="43ED70ED">
            <wp:extent cx="5501772" cy="4005618"/>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1324" b="1656"/>
                    <a:stretch/>
                  </pic:blipFill>
                  <pic:spPr bwMode="auto">
                    <a:xfrm>
                      <a:off x="0" y="0"/>
                      <a:ext cx="5572987" cy="4057467"/>
                    </a:xfrm>
                    <a:prstGeom prst="rect">
                      <a:avLst/>
                    </a:prstGeom>
                    <a:ln>
                      <a:noFill/>
                    </a:ln>
                    <a:extLst>
                      <a:ext uri="{53640926-AAD7-44D8-BBD7-CCE9431645EC}">
                        <a14:shadowObscured xmlns:a14="http://schemas.microsoft.com/office/drawing/2010/main"/>
                      </a:ext>
                    </a:extLst>
                  </pic:spPr>
                </pic:pic>
              </a:graphicData>
            </a:graphic>
          </wp:inline>
        </w:drawing>
      </w:r>
    </w:p>
    <w:p w14:paraId="5124896D" w14:textId="77B248AC" w:rsidR="007A17EC" w:rsidRDefault="00150D79" w:rsidP="00150D79">
      <w:pPr>
        <w:pStyle w:val="Caption"/>
      </w:pPr>
      <w:bookmarkStart w:id="397" w:name="_Ref72913059"/>
      <w:bookmarkStart w:id="398" w:name="_Toc87263214"/>
      <w:r>
        <w:t xml:space="preserve">Figure </w:t>
      </w:r>
      <w:r>
        <w:fldChar w:fldCharType="begin"/>
      </w:r>
      <w:r>
        <w:instrText>SEQ Figure \* ARABIC</w:instrText>
      </w:r>
      <w:r>
        <w:fldChar w:fldCharType="separate"/>
      </w:r>
      <w:r w:rsidR="008F60FD">
        <w:rPr>
          <w:noProof/>
        </w:rPr>
        <w:t>8</w:t>
      </w:r>
      <w:r>
        <w:fldChar w:fldCharType="end"/>
      </w:r>
      <w:r>
        <w:t xml:space="preserve"> Frequency of participation in EGMs by time spent playing EGMs in an average day</w:t>
      </w:r>
      <w:bookmarkEnd w:id="397"/>
      <w:r w:rsidR="00EA1D90">
        <w:t>.</w:t>
      </w:r>
      <w:bookmarkEnd w:id="398"/>
    </w:p>
    <w:p w14:paraId="59198187" w14:textId="5A0405CA" w:rsidR="00E51DF7" w:rsidRPr="00E51DF7" w:rsidRDefault="00E51DF7" w:rsidP="00AF2BAA">
      <w:r>
        <w:t xml:space="preserve">Source: </w:t>
      </w:r>
      <w:r w:rsidR="00C560E4">
        <w:t>Abbott et al</w:t>
      </w:r>
      <w:r>
        <w:t>, 201</w:t>
      </w:r>
      <w:r w:rsidR="009D6C97">
        <w:t>4</w:t>
      </w:r>
      <w:r w:rsidR="00BB569E">
        <w:t xml:space="preserve">, </w:t>
      </w:r>
      <w:r w:rsidR="00AF2BAA">
        <w:t>New Zealand 2012 National gambling study: overview and gambling participation</w:t>
      </w:r>
      <w:r w:rsidR="00BB569E">
        <w:t>, p.</w:t>
      </w:r>
      <w:r w:rsidR="00EC5F83">
        <w:t>54.</w:t>
      </w:r>
    </w:p>
    <w:p w14:paraId="0C4EA361" w14:textId="17873426" w:rsidR="007A17EC" w:rsidRDefault="00150D79" w:rsidP="00150D79">
      <w:pPr>
        <w:pStyle w:val="Heading3"/>
      </w:pPr>
      <w:bookmarkStart w:id="399" w:name="_Ref72920488"/>
      <w:r>
        <w:t>Responsible gaming feature 12- Spend Limit</w:t>
      </w:r>
      <w:bookmarkEnd w:id="399"/>
    </w:p>
    <w:p w14:paraId="630B594D" w14:textId="0B913654" w:rsidR="00150D79" w:rsidRDefault="00723EFD" w:rsidP="00E23228">
      <w:pPr>
        <w:spacing w:after="180" w:line="264" w:lineRule="auto"/>
      </w:pPr>
      <w:r>
        <w:t xml:space="preserve">Player defined spend, loss or deposit limits </w:t>
      </w:r>
      <w:r w:rsidR="009F32A7">
        <w:t xml:space="preserve">are when the players have the option to define how much they want to spend, deposit, or lose within a specified time period. </w:t>
      </w:r>
      <w:r w:rsidR="00040CC8">
        <w:t>Limits can be voluntary or mandatory</w:t>
      </w:r>
      <w:r w:rsidR="006F206E">
        <w:t xml:space="preserve">. </w:t>
      </w:r>
      <w:r w:rsidR="00150D79">
        <w:t>As with other objective measures this feature was scored consistently across all assessors</w:t>
      </w:r>
      <w:r w:rsidR="00204D88">
        <w:t xml:space="preserve"> (</w:t>
      </w:r>
      <w:r w:rsidR="00204D88">
        <w:rPr>
          <w:rFonts w:ascii="Times New Roman" w:hAnsi="Times New Roman" w:cs="Times New Roman"/>
        </w:rPr>
        <w:t>α</w:t>
      </w:r>
      <w:r w:rsidR="00204D88">
        <w:t xml:space="preserve"> </w:t>
      </w:r>
      <w:r w:rsidR="00B67068">
        <w:t>=1</w:t>
      </w:r>
      <w:r w:rsidR="00204D88">
        <w:t>, confidence in scoring 4.9/5)</w:t>
      </w:r>
      <w:r w:rsidR="00150D79">
        <w:t>. Player defined spend limits enables appropriate use of behavioural feedback tools (</w:t>
      </w:r>
      <w:r w:rsidR="006A137A">
        <w:t xml:space="preserve">see </w:t>
      </w:r>
      <w:r w:rsidR="006A137A">
        <w:fldChar w:fldCharType="begin"/>
      </w:r>
      <w:r w:rsidR="006A137A">
        <w:instrText xml:space="preserve"> REF _Ref72920462 \r \h </w:instrText>
      </w:r>
      <w:r w:rsidR="006A137A">
        <w:fldChar w:fldCharType="separate"/>
      </w:r>
      <w:r w:rsidR="00B24127">
        <w:t>3.4.14</w:t>
      </w:r>
      <w:r w:rsidR="006A137A">
        <w:fldChar w:fldCharType="end"/>
      </w:r>
      <w:r w:rsidR="00150D79">
        <w:t>).</w:t>
      </w:r>
      <w:r w:rsidR="007E0E3B">
        <w:t xml:space="preserve">  Lotto NZ’s enforced limits are not capture</w:t>
      </w:r>
      <w:r w:rsidR="002E3D3C">
        <w:t>d</w:t>
      </w:r>
      <w:r w:rsidR="007E0E3B">
        <w:t xml:space="preserve"> within this </w:t>
      </w:r>
      <w:r w:rsidR="00891D95">
        <w:t>as they are set by Lotto NZ, not the player</w:t>
      </w:r>
      <w:r w:rsidR="003509BC">
        <w:t xml:space="preserve">, with the option of lowering the </w:t>
      </w:r>
      <w:r w:rsidR="005049D8">
        <w:t>limits</w:t>
      </w:r>
      <w:r w:rsidR="00172A5B">
        <w:t xml:space="preserve"> over the course of a week or month</w:t>
      </w:r>
      <w:r w:rsidR="005049D8">
        <w:t xml:space="preserve"> </w:t>
      </w:r>
      <w:r w:rsidR="00306A11">
        <w:t>by the player</w:t>
      </w:r>
      <w:r w:rsidR="009448F5">
        <w:t xml:space="preserve"> within their account settings</w:t>
      </w:r>
      <w:r w:rsidR="00891D95">
        <w:t xml:space="preserve">. It </w:t>
      </w:r>
      <w:r w:rsidR="00B2012E">
        <w:t xml:space="preserve">could be </w:t>
      </w:r>
      <w:r w:rsidR="00441E27">
        <w:t>useful to consider</w:t>
      </w:r>
      <w:r w:rsidR="00B2012E">
        <w:t xml:space="preserve"> </w:t>
      </w:r>
      <w:r w:rsidR="00C60B9A">
        <w:t>having</w:t>
      </w:r>
      <w:r w:rsidR="00FB73BE">
        <w:t xml:space="preserve"> mandatory</w:t>
      </w:r>
      <w:r w:rsidR="00B2012E">
        <w:t xml:space="preserve"> player defined limits</w:t>
      </w:r>
      <w:r w:rsidR="00C60B9A">
        <w:t xml:space="preserve"> as an </w:t>
      </w:r>
      <w:r w:rsidR="002F5DD0">
        <w:t>option and</w:t>
      </w:r>
      <w:r w:rsidR="0009211D">
        <w:t xml:space="preserve"> keeping these below </w:t>
      </w:r>
      <w:r w:rsidR="00B2012E">
        <w:t xml:space="preserve">the </w:t>
      </w:r>
      <w:r w:rsidR="0009211D">
        <w:t>maximum</w:t>
      </w:r>
      <w:r w:rsidR="00A43E80">
        <w:t xml:space="preserve"> </w:t>
      </w:r>
      <w:r w:rsidR="0009211D">
        <w:t>defined</w:t>
      </w:r>
      <w:r w:rsidR="00A43E80">
        <w:t xml:space="preserve"> by </w:t>
      </w:r>
      <w:r w:rsidR="00F75E1E">
        <w:t>Lotto NZ</w:t>
      </w:r>
      <w:r w:rsidR="00DD1A54">
        <w:t>.</w:t>
      </w:r>
    </w:p>
    <w:p w14:paraId="3CBF5B72" w14:textId="38E84D07" w:rsidR="006A137A" w:rsidRDefault="006A137A" w:rsidP="006A137A">
      <w:pPr>
        <w:pStyle w:val="Heading3"/>
      </w:pPr>
      <w:r w:rsidRPr="001164B2">
        <w:t>Responsible gaming feature 13 – Player-defined time limits</w:t>
      </w:r>
    </w:p>
    <w:p w14:paraId="3A118C28" w14:textId="3EA7623E" w:rsidR="006A137A" w:rsidRDefault="006A137A" w:rsidP="003525D7">
      <w:pPr>
        <w:spacing w:after="180" w:line="264" w:lineRule="auto"/>
      </w:pPr>
      <w:r>
        <w:t>This feature puts the responsibility on the player to set</w:t>
      </w:r>
      <w:r w:rsidR="004A7EA0">
        <w:t xml:space="preserve"> time</w:t>
      </w:r>
      <w:r>
        <w:t xml:space="preserve"> limits, making them consciously pay attention to their gambling time.  </w:t>
      </w:r>
      <w:r w:rsidR="0001731E">
        <w:t xml:space="preserve">The limits can be voluntary or mandatory. </w:t>
      </w:r>
      <w:r>
        <w:t xml:space="preserve">Lotto NZ do not offer any options for players to set time limits.  Scoring </w:t>
      </w:r>
      <w:r w:rsidR="00B67068">
        <w:t>was consistent</w:t>
      </w:r>
      <w:r>
        <w:t xml:space="preserve"> (</w:t>
      </w:r>
      <w:r>
        <w:rPr>
          <w:rFonts w:ascii="Times New Roman" w:hAnsi="Times New Roman" w:cs="Times New Roman"/>
        </w:rPr>
        <w:t>α</w:t>
      </w:r>
      <w:r w:rsidR="00B67068">
        <w:rPr>
          <w:rFonts w:ascii="Times New Roman" w:hAnsi="Times New Roman" w:cs="Times New Roman"/>
        </w:rPr>
        <w:t>=1</w:t>
      </w:r>
      <w:r>
        <w:t>) and there was high confidence in the scores given (5/5).</w:t>
      </w:r>
    </w:p>
    <w:p w14:paraId="738C5CCC" w14:textId="42DFDA5D" w:rsidR="006A137A" w:rsidRDefault="006A137A" w:rsidP="006A137A">
      <w:pPr>
        <w:pStyle w:val="Heading3"/>
      </w:pPr>
      <w:bookmarkStart w:id="400" w:name="_Ref72920462"/>
      <w:r w:rsidRPr="001164B2">
        <w:t>Responsible gaming feature 14 – Behavioural feedback tools</w:t>
      </w:r>
      <w:bookmarkEnd w:id="400"/>
    </w:p>
    <w:p w14:paraId="14CBC66E" w14:textId="028EB32B" w:rsidR="006A137A" w:rsidRDefault="006A137A" w:rsidP="003525D7">
      <w:pPr>
        <w:spacing w:after="180" w:line="264" w:lineRule="auto"/>
      </w:pPr>
      <w:r>
        <w:t>The descriptions for this feature are complex and multifaceted.  There is no option</w:t>
      </w:r>
      <w:r w:rsidR="000D6E33">
        <w:t xml:space="preserve"> in </w:t>
      </w:r>
      <w:r w:rsidR="00E41329">
        <w:t>the tool</w:t>
      </w:r>
      <w:r>
        <w:t xml:space="preserve"> for providing feedback only when the players are at risk for problem gambling</w:t>
      </w:r>
      <w:r w:rsidR="00E41329">
        <w:t>,</w:t>
      </w:r>
      <w:r>
        <w:t xml:space="preserve"> this is combined with all players receiving automatic feedback</w:t>
      </w:r>
      <w:r w:rsidR="00E41329">
        <w:t>.</w:t>
      </w:r>
      <w:r>
        <w:t xml:space="preserve"> </w:t>
      </w:r>
      <w:r w:rsidR="00E41329">
        <w:t>T</w:t>
      </w:r>
      <w:r>
        <w:t>his is a nuance in the wording</w:t>
      </w:r>
      <w:r w:rsidR="00E41329">
        <w:t xml:space="preserve"> in the Gamgard tool</w:t>
      </w:r>
      <w:r>
        <w:t xml:space="preserve">.  In terms of responsible gambling, </w:t>
      </w:r>
      <w:r>
        <w:lastRenderedPageBreak/>
        <w:t>unless the player defines their spend limits (</w:t>
      </w:r>
      <w:r>
        <w:fldChar w:fldCharType="begin"/>
      </w:r>
      <w:r>
        <w:instrText xml:space="preserve"> REF _Ref72920488 \r \h </w:instrText>
      </w:r>
      <w:r>
        <w:fldChar w:fldCharType="separate"/>
      </w:r>
      <w:r w:rsidR="00B24127">
        <w:t>3.4.12</w:t>
      </w:r>
      <w:r>
        <w:fldChar w:fldCharType="end"/>
      </w:r>
      <w:r>
        <w:t xml:space="preserve">), it is not possible to identify if their behaviour is at risk for </w:t>
      </w:r>
      <w:r w:rsidR="00AC0E3C">
        <w:t xml:space="preserve">harmful </w:t>
      </w:r>
      <w:r>
        <w:t>online gamblin</w:t>
      </w:r>
      <w:r w:rsidR="00CF4BAD">
        <w:t>g</w:t>
      </w:r>
      <w:r>
        <w:t>.</w:t>
      </w:r>
    </w:p>
    <w:p w14:paraId="1A6DBC7E" w14:textId="39368B03" w:rsidR="006A137A" w:rsidRDefault="006A137A" w:rsidP="003525D7">
      <w:pPr>
        <w:spacing w:after="180" w:line="264" w:lineRule="auto"/>
      </w:pPr>
      <w:r>
        <w:t>There was poor scoring consistency for this feature (</w:t>
      </w:r>
      <w:r>
        <w:rPr>
          <w:rFonts w:ascii="Times New Roman" w:hAnsi="Times New Roman" w:cs="Times New Roman"/>
        </w:rPr>
        <w:t>α</w:t>
      </w:r>
      <w:r>
        <w:t xml:space="preserve"> = 0.</w:t>
      </w:r>
      <w:r w:rsidR="00F501E3">
        <w:t>38</w:t>
      </w:r>
      <w:r>
        <w:t>). Lotto NZ players receive feedback for continually hitting their spend limits – an automated monthly email, and a bespoke email after four months in a row of reaching their spend limit, and</w:t>
      </w:r>
      <w:r w:rsidR="00E36915">
        <w:t xml:space="preserve"> they</w:t>
      </w:r>
      <w:r>
        <w:t xml:space="preserve"> can view their playing habits</w:t>
      </w:r>
      <w:r w:rsidR="00C76412">
        <w:t>; however, they</w:t>
      </w:r>
      <w:r>
        <w:t xml:space="preserve"> </w:t>
      </w:r>
      <w:r w:rsidR="00E36915">
        <w:t>are not</w:t>
      </w:r>
      <w:r>
        <w:t xml:space="preserve"> notified of these if they are within the pre-defined limits. All in-store players (regardless of games) are given an option to opt in to receive feedback via the Lotto retail responsible gaming programme.  These were scored more favourably by one product manager demonstrating a need for clarification around this question (confidence in scoring 3.9/5).  </w:t>
      </w:r>
    </w:p>
    <w:p w14:paraId="4F09EE3C" w14:textId="2A32FA1A" w:rsidR="00156472" w:rsidRDefault="00156472" w:rsidP="006A137A">
      <w:pPr>
        <w:pStyle w:val="Heading2"/>
      </w:pPr>
      <w:bookmarkStart w:id="401" w:name="_Toc87263197"/>
      <w:r w:rsidRPr="00C9304C">
        <w:t>Benchmarking scores</w:t>
      </w:r>
      <w:bookmarkEnd w:id="401"/>
    </w:p>
    <w:p w14:paraId="4B0549AA" w14:textId="03094A38" w:rsidR="00156472" w:rsidRDefault="008A6C4E" w:rsidP="00C14542">
      <w:pPr>
        <w:spacing w:after="180" w:line="264" w:lineRule="auto"/>
      </w:pPr>
      <w:r>
        <w:t>Gamgard</w:t>
      </w:r>
      <w:r w:rsidR="00156472">
        <w:t xml:space="preserve"> has introduced the ability to view benchmark scores for similar games if the user consents to their scores going into the benchmark pool.</w:t>
      </w:r>
      <w:r w:rsidR="008543D4">
        <w:t xml:space="preserve"> </w:t>
      </w:r>
      <w:r w:rsidR="00156472">
        <w:t xml:space="preserve">It is recommended that these benchmarks are used with caution, as there is no information on who has provided </w:t>
      </w:r>
      <w:r w:rsidR="00567E94">
        <w:t xml:space="preserve">input to </w:t>
      </w:r>
      <w:r w:rsidR="00156472">
        <w:t xml:space="preserve">the benchmarks and what additional guidance or assessment biases are placed on the method of scoring. </w:t>
      </w:r>
    </w:p>
    <w:p w14:paraId="774C842D" w14:textId="024534F5" w:rsidR="002206F0" w:rsidRDefault="002206F0" w:rsidP="00A3104F">
      <w:pPr>
        <w:pStyle w:val="Heading2"/>
      </w:pPr>
      <w:bookmarkStart w:id="402" w:name="_Toc87263198"/>
      <w:r>
        <w:t>Conclusion</w:t>
      </w:r>
      <w:bookmarkEnd w:id="402"/>
    </w:p>
    <w:p w14:paraId="6F8E3FF4" w14:textId="0D9AEB2B" w:rsidR="00BF3A13" w:rsidRDefault="002206F0" w:rsidP="00C14542">
      <w:pPr>
        <w:spacing w:after="180" w:line="264" w:lineRule="auto"/>
      </w:pPr>
      <w:r>
        <w:t>A focus group and individual scoring sessions were carried out to investigate</w:t>
      </w:r>
      <w:r w:rsidR="00567E94">
        <w:t xml:space="preserve"> </w:t>
      </w:r>
      <w:r w:rsidR="008A6C4E">
        <w:t>Gamgard</w:t>
      </w:r>
      <w:r w:rsidR="0073725B">
        <w:t xml:space="preserve"> </w:t>
      </w:r>
      <w:r>
        <w:t xml:space="preserve">use in New Zealand, using Lotto NZ as a case study. The focus group and individual scoring demonstrate that </w:t>
      </w:r>
      <w:r w:rsidR="008A6C4E">
        <w:t>Gamgard</w:t>
      </w:r>
      <w:r>
        <w:t xml:space="preserve"> can be successfully applied in New Zealand with the support of a wrap</w:t>
      </w:r>
      <w:r w:rsidR="00483929">
        <w:t>-</w:t>
      </w:r>
      <w:r>
        <w:t xml:space="preserve">around process, </w:t>
      </w:r>
      <w:r w:rsidR="00C54EAB">
        <w:t xml:space="preserve">but </w:t>
      </w:r>
      <w:r>
        <w:t xml:space="preserve">not in isolation. </w:t>
      </w:r>
      <w:r w:rsidR="00BC6DB9">
        <w:t xml:space="preserve">There is evidence that the Gamgard tool has supported the use of a range of controls being implemented by Lotto NZ in relation to game design and acceptance. It is used as a tool to provide an indication of risk of harm, but it does not act as a stand-alone green light to proceed. </w:t>
      </w:r>
      <w:r w:rsidR="00BF3A13">
        <w:t>Gamgard offers an objective measure of the risk factors associated with gambling harm</w:t>
      </w:r>
      <w:r w:rsidR="008E5895">
        <w:t xml:space="preserve"> and can be used with little training b</w:t>
      </w:r>
      <w:r w:rsidR="00BC7F4A">
        <w:t xml:space="preserve">y </w:t>
      </w:r>
      <w:r w:rsidR="008E5895">
        <w:t>raters with appropriate game knowledge</w:t>
      </w:r>
      <w:r w:rsidR="00BF3A13">
        <w:t>.</w:t>
      </w:r>
    </w:p>
    <w:p w14:paraId="38FDC9CB" w14:textId="086B96EB" w:rsidR="002206F0" w:rsidRDefault="002206F0" w:rsidP="00C14542">
      <w:pPr>
        <w:spacing w:after="180" w:line="264" w:lineRule="auto"/>
      </w:pPr>
      <w:r>
        <w:t xml:space="preserve">To be used successfully, a </w:t>
      </w:r>
      <w:r w:rsidR="00324A0A">
        <w:t xml:space="preserve">risk assessment </w:t>
      </w:r>
      <w:r>
        <w:t xml:space="preserve">tool requires good interrater reliability, and there is an opportunity to improve this through a standardised application process or </w:t>
      </w:r>
      <w:r w:rsidR="00B5760F">
        <w:t>an</w:t>
      </w:r>
      <w:r w:rsidR="00360660">
        <w:t xml:space="preserve"> </w:t>
      </w:r>
      <w:r>
        <w:t xml:space="preserve">independent trained assessor. There appear to be differences in approach which could lead to variability in how games are scored. The outcomes </w:t>
      </w:r>
      <w:r w:rsidR="00395BB3">
        <w:t>due to variability</w:t>
      </w:r>
      <w:r>
        <w:t xml:space="preserve"> are mostly subtle and are dependent on whether the question is followed explicitly, </w:t>
      </w:r>
      <w:r w:rsidR="0038080A">
        <w:t xml:space="preserve">and </w:t>
      </w:r>
      <w:r>
        <w:t xml:space="preserve">with or without expanded information and organisational interpretation. </w:t>
      </w:r>
      <w:r w:rsidR="00C25EC9">
        <w:t>This also</w:t>
      </w:r>
      <w:r w:rsidR="00360660">
        <w:t xml:space="preserve"> has an</w:t>
      </w:r>
      <w:r w:rsidR="00C25EC9">
        <w:t xml:space="preserve"> impact on any use of the new benchmarking feature</w:t>
      </w:r>
      <w:r w:rsidR="007C4DEE">
        <w:t xml:space="preserve"> (where </w:t>
      </w:r>
      <w:r w:rsidR="00D56BB9">
        <w:t xml:space="preserve">score details of similar game types scored via </w:t>
      </w:r>
      <w:r w:rsidR="008A6C4E">
        <w:t>Gamgard</w:t>
      </w:r>
      <w:r w:rsidR="00D56BB9">
        <w:t xml:space="preserve"> are provided)</w:t>
      </w:r>
      <w:r w:rsidR="00C25EC9">
        <w:t xml:space="preserve">, </w:t>
      </w:r>
      <w:r w:rsidR="00825CA2">
        <w:t xml:space="preserve">and </w:t>
      </w:r>
      <w:r w:rsidR="00C25EC9">
        <w:t xml:space="preserve">where the </w:t>
      </w:r>
      <w:r w:rsidR="00302C69">
        <w:t xml:space="preserve">approach of different </w:t>
      </w:r>
      <w:r w:rsidR="002821B6">
        <w:t xml:space="preserve">product </w:t>
      </w:r>
      <w:r w:rsidR="00302C69">
        <w:t xml:space="preserve">users </w:t>
      </w:r>
      <w:r w:rsidR="00966BC8">
        <w:t>may vary</w:t>
      </w:r>
      <w:r w:rsidR="00ED39B5">
        <w:t xml:space="preserve">. </w:t>
      </w:r>
    </w:p>
    <w:p w14:paraId="6684C812" w14:textId="0B3C8DB1" w:rsidR="002206F0" w:rsidRDefault="00384456" w:rsidP="00C14542">
      <w:pPr>
        <w:spacing w:after="180" w:line="264" w:lineRule="auto"/>
      </w:pPr>
      <w:r>
        <w:t>It</w:t>
      </w:r>
      <w:r w:rsidR="002206F0">
        <w:t xml:space="preserve"> </w:t>
      </w:r>
      <w:r w:rsidR="004D5518">
        <w:t>is important to</w:t>
      </w:r>
      <w:r w:rsidR="002206F0">
        <w:t xml:space="preserve"> recognise that most </w:t>
      </w:r>
      <w:r w:rsidR="003470D2">
        <w:t>Lotto N</w:t>
      </w:r>
      <w:r w:rsidR="00D36B48">
        <w:t xml:space="preserve">Z </w:t>
      </w:r>
      <w:r w:rsidR="002206F0">
        <w:t>games will be excluded from the “very high” risk category based on game time alone</w:t>
      </w:r>
      <w:r w:rsidRPr="00384456">
        <w:t xml:space="preserve"> </w:t>
      </w:r>
      <w:r>
        <w:t xml:space="preserve">when applying </w:t>
      </w:r>
      <w:r w:rsidR="008A6C4E">
        <w:t>Gamgard</w:t>
      </w:r>
      <w:r>
        <w:t xml:space="preserve"> to the NZ context</w:t>
      </w:r>
      <w:r w:rsidR="0045772D">
        <w:t>. This is</w:t>
      </w:r>
      <w:r w:rsidR="002206F0">
        <w:t xml:space="preserve"> due to the high weighting placed on event frequency</w:t>
      </w:r>
      <w:r>
        <w:t>,</w:t>
      </w:r>
      <w:r w:rsidR="002206F0">
        <w:t xml:space="preserve"> e.g.</w:t>
      </w:r>
      <w:r>
        <w:t>,</w:t>
      </w:r>
      <w:r w:rsidR="002206F0">
        <w:t xml:space="preserve"> all Lotto </w:t>
      </w:r>
      <w:r w:rsidR="00F178D1">
        <w:t xml:space="preserve">NZ </w:t>
      </w:r>
      <w:r w:rsidR="002206F0">
        <w:t>games have a maximum possible risk rating of “high” based on time taken to play. This should be considered when comparing results across games</w:t>
      </w:r>
      <w:r w:rsidR="00F30D59">
        <w:t>.</w:t>
      </w:r>
      <w:r w:rsidR="001907E0">
        <w:t xml:space="preserve"> </w:t>
      </w:r>
      <w:r w:rsidR="00F30D59">
        <w:t>W</w:t>
      </w:r>
      <w:r w:rsidR="002206F0">
        <w:t xml:space="preserve">hen responsible gaming features are </w:t>
      </w:r>
      <w:r>
        <w:t>introduced,</w:t>
      </w:r>
      <w:r w:rsidR="002206F0">
        <w:t xml:space="preserve"> it is very difficult for a game other than an EGM to achieve a high-risk score.</w:t>
      </w:r>
    </w:p>
    <w:p w14:paraId="5E8393CF" w14:textId="30C5ED98" w:rsidR="004161B6" w:rsidRDefault="004161B6" w:rsidP="00C14542">
      <w:pPr>
        <w:spacing w:after="180" w:line="264" w:lineRule="auto"/>
      </w:pPr>
      <w:r>
        <w:t xml:space="preserve">The </w:t>
      </w:r>
      <w:r w:rsidR="00FB1283">
        <w:t xml:space="preserve">colour-coded </w:t>
      </w:r>
      <w:r w:rsidR="00AF6860">
        <w:t>risk categories</w:t>
      </w:r>
      <w:r w:rsidR="0024206B">
        <w:t xml:space="preserve"> do appear to be used to inform th</w:t>
      </w:r>
      <w:r w:rsidR="00A56576">
        <w:t xml:space="preserve">e thresholds of game acceptance, </w:t>
      </w:r>
      <w:r w:rsidR="00851C40">
        <w:t xml:space="preserve">and </w:t>
      </w:r>
      <w:r w:rsidR="00A56576">
        <w:t>the procedure for adjusting controls</w:t>
      </w:r>
      <w:r w:rsidR="00504852">
        <w:t xml:space="preserve"> (</w:t>
      </w:r>
      <w:r w:rsidR="001E0DEF">
        <w:t>i.e.,</w:t>
      </w:r>
      <w:r w:rsidR="00504852">
        <w:t xml:space="preserve"> </w:t>
      </w:r>
      <w:r w:rsidR="00093449">
        <w:t xml:space="preserve">encourage </w:t>
      </w:r>
      <w:r w:rsidR="00504852">
        <w:t>avoid</w:t>
      </w:r>
      <w:r w:rsidR="00093449">
        <w:t>ance of</w:t>
      </w:r>
      <w:r w:rsidR="00504852">
        <w:t xml:space="preserve"> </w:t>
      </w:r>
      <w:r w:rsidR="00061157">
        <w:t>“high” and “very high” risk categories)</w:t>
      </w:r>
      <w:r w:rsidR="00851C40">
        <w:t xml:space="preserve">. </w:t>
      </w:r>
      <w:r w:rsidR="00403618">
        <w:t xml:space="preserve">While the individual game elements </w:t>
      </w:r>
      <w:r w:rsidR="00692107">
        <w:t>have been selected as they</w:t>
      </w:r>
      <w:r w:rsidR="00403618">
        <w:t xml:space="preserve"> have alignment with gambling harm, t</w:t>
      </w:r>
      <w:r w:rsidR="00851C40">
        <w:t>he</w:t>
      </w:r>
      <w:r w:rsidR="00636405">
        <w:t xml:space="preserve"> score </w:t>
      </w:r>
      <w:r w:rsidR="00851C40">
        <w:t xml:space="preserve">thresholds </w:t>
      </w:r>
      <w:r w:rsidR="00636405">
        <w:t xml:space="preserve">to enter another category </w:t>
      </w:r>
      <w:r w:rsidR="00851C40">
        <w:t xml:space="preserve">do not have proven </w:t>
      </w:r>
      <w:r w:rsidR="000243BD">
        <w:t>alignment with gambling harm</w:t>
      </w:r>
      <w:r w:rsidR="0093735D">
        <w:t xml:space="preserve"> </w:t>
      </w:r>
      <w:r w:rsidR="00AC3392">
        <w:t>to our knowledge</w:t>
      </w:r>
      <w:r w:rsidR="00A36E26">
        <w:t xml:space="preserve">. </w:t>
      </w:r>
      <w:r w:rsidR="00C52D8E">
        <w:t>This</w:t>
      </w:r>
      <w:r w:rsidR="00C93AD1">
        <w:t xml:space="preserve"> combined with the difficulty in scoring a “very high” risk</w:t>
      </w:r>
      <w:r w:rsidR="00901173">
        <w:t>,</w:t>
      </w:r>
      <w:r w:rsidR="00C93AD1">
        <w:t xml:space="preserve"> means that some evidence </w:t>
      </w:r>
      <w:r w:rsidR="007C31EF">
        <w:t xml:space="preserve">of category alignment </w:t>
      </w:r>
      <w:r w:rsidR="00C93AD1">
        <w:t xml:space="preserve">against actual </w:t>
      </w:r>
      <w:r w:rsidR="00AA25B3">
        <w:t xml:space="preserve">harm would be beneficial, as would </w:t>
      </w:r>
      <w:r w:rsidR="006440DF">
        <w:t xml:space="preserve">a </w:t>
      </w:r>
      <w:r w:rsidR="00276B83">
        <w:t xml:space="preserve">broader process </w:t>
      </w:r>
      <w:r w:rsidR="00981655">
        <w:t xml:space="preserve">to guide </w:t>
      </w:r>
      <w:r w:rsidR="006440DF">
        <w:t xml:space="preserve">thresholds of </w:t>
      </w:r>
      <w:r w:rsidR="004C1467">
        <w:t xml:space="preserve">acceptability </w:t>
      </w:r>
      <w:r w:rsidR="001E09BE">
        <w:t>in a New Zealand context</w:t>
      </w:r>
      <w:r w:rsidR="0080683E">
        <w:t>.</w:t>
      </w:r>
    </w:p>
    <w:p w14:paraId="275DF239" w14:textId="417E9096" w:rsidR="0080683E" w:rsidRDefault="0080683E" w:rsidP="00C14542">
      <w:pPr>
        <w:spacing w:after="180" w:line="264" w:lineRule="auto"/>
      </w:pPr>
      <w:r>
        <w:t xml:space="preserve">Recommendations </w:t>
      </w:r>
      <w:r w:rsidR="00114329">
        <w:t xml:space="preserve">based on </w:t>
      </w:r>
      <w:r w:rsidR="006D4CB4">
        <w:t>the three components of the</w:t>
      </w:r>
      <w:r w:rsidR="00114329">
        <w:t xml:space="preserve"> re</w:t>
      </w:r>
      <w:r w:rsidR="006D4CB4">
        <w:t xml:space="preserve">port </w:t>
      </w:r>
      <w:r>
        <w:t>are presented in the next section.</w:t>
      </w:r>
    </w:p>
    <w:p w14:paraId="18794B52" w14:textId="2D8A8070" w:rsidR="00711950" w:rsidRDefault="008C67E4" w:rsidP="008C67E4">
      <w:pPr>
        <w:pStyle w:val="Heading1"/>
      </w:pPr>
      <w:bookmarkStart w:id="403" w:name="_Toc83992403"/>
      <w:bookmarkStart w:id="404" w:name="_Toc83992404"/>
      <w:bookmarkStart w:id="405" w:name="_Toc83992405"/>
      <w:bookmarkStart w:id="406" w:name="_Toc83992406"/>
      <w:bookmarkStart w:id="407" w:name="_Toc83992407"/>
      <w:bookmarkStart w:id="408" w:name="_Toc83992408"/>
      <w:bookmarkStart w:id="409" w:name="_Toc83992409"/>
      <w:bookmarkStart w:id="410" w:name="_Toc83992410"/>
      <w:bookmarkStart w:id="411" w:name="_Toc83992411"/>
      <w:bookmarkStart w:id="412" w:name="_Toc83992412"/>
      <w:bookmarkStart w:id="413" w:name="_Toc73086502"/>
      <w:bookmarkStart w:id="414" w:name="_Toc73086651"/>
      <w:bookmarkStart w:id="415" w:name="_Toc73086800"/>
      <w:bookmarkStart w:id="416" w:name="_Toc73086503"/>
      <w:bookmarkStart w:id="417" w:name="_Toc73086652"/>
      <w:bookmarkStart w:id="418" w:name="_Toc73086801"/>
      <w:bookmarkStart w:id="419" w:name="_Toc73086504"/>
      <w:bookmarkStart w:id="420" w:name="_Toc73086653"/>
      <w:bookmarkStart w:id="421" w:name="_Toc73086802"/>
      <w:bookmarkStart w:id="422" w:name="_Toc87263199"/>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r>
        <w:lastRenderedPageBreak/>
        <w:t>Summary of recommendations</w:t>
      </w:r>
      <w:bookmarkEnd w:id="422"/>
    </w:p>
    <w:p w14:paraId="12DAAD0F" w14:textId="3C7A5350" w:rsidR="00E94D28" w:rsidRPr="00F33750" w:rsidRDefault="008C67E4" w:rsidP="0051050A">
      <w:pPr>
        <w:pStyle w:val="Heading2"/>
      </w:pPr>
      <w:bookmarkStart w:id="423" w:name="_Toc87263200"/>
      <w:r>
        <w:t xml:space="preserve">Recommendations </w:t>
      </w:r>
      <w:r w:rsidR="009F57E9">
        <w:t xml:space="preserve">for </w:t>
      </w:r>
      <w:r w:rsidR="00174C4D">
        <w:t xml:space="preserve">Ministry of Health </w:t>
      </w:r>
      <w:r w:rsidR="001907E0">
        <w:t xml:space="preserve">policy </w:t>
      </w:r>
      <w:r w:rsidR="009F57E9">
        <w:t>consideration</w:t>
      </w:r>
      <w:bookmarkEnd w:id="423"/>
    </w:p>
    <w:p w14:paraId="6A2DE03B" w14:textId="04BAAB83" w:rsidR="00E94D28" w:rsidRDefault="00E94D28" w:rsidP="00352919">
      <w:pPr>
        <w:pStyle w:val="ListNumber"/>
        <w:numPr>
          <w:ilvl w:val="0"/>
          <w:numId w:val="26"/>
        </w:numPr>
        <w:ind w:hanging="357"/>
        <w:contextualSpacing w:val="0"/>
      </w:pPr>
      <w:r>
        <w:t xml:space="preserve">Responsible gambling provision in New Zealand should use the </w:t>
      </w:r>
      <w:r w:rsidR="00D02ACB">
        <w:t xml:space="preserve">meaning of </w:t>
      </w:r>
      <w:r>
        <w:t xml:space="preserve">responsible gambling  in </w:t>
      </w:r>
      <w:r w:rsidR="00524115">
        <w:t xml:space="preserve"> Part 1 s 4  of </w:t>
      </w:r>
      <w:r>
        <w:t>the Gambling Act 2003, rather than the different concepts common in the international gambling industry.</w:t>
      </w:r>
    </w:p>
    <w:p w14:paraId="7D0028B9" w14:textId="77777777" w:rsidR="00E94D28" w:rsidRDefault="00E94D28" w:rsidP="00352919">
      <w:pPr>
        <w:pStyle w:val="ListNumber"/>
        <w:numPr>
          <w:ilvl w:val="0"/>
          <w:numId w:val="26"/>
        </w:numPr>
        <w:ind w:hanging="357"/>
        <w:contextualSpacing w:val="0"/>
      </w:pPr>
      <w:r>
        <w:t>Game improvement tools:</w:t>
      </w:r>
    </w:p>
    <w:p w14:paraId="0A2733A0" w14:textId="21A6ECD5" w:rsidR="00E94D28" w:rsidRDefault="00E4738A" w:rsidP="00352919">
      <w:pPr>
        <w:pStyle w:val="ListNumber2"/>
        <w:numPr>
          <w:ilvl w:val="1"/>
          <w:numId w:val="20"/>
        </w:numPr>
        <w:tabs>
          <w:tab w:val="clear" w:pos="1134"/>
        </w:tabs>
        <w:ind w:hanging="357"/>
        <w:contextualSpacing w:val="0"/>
      </w:pPr>
      <w:r>
        <w:t xml:space="preserve">These </w:t>
      </w:r>
      <w:r w:rsidR="00C215B4">
        <w:t>a</w:t>
      </w:r>
      <w:r>
        <w:t xml:space="preserve">re </w:t>
      </w:r>
      <w:r w:rsidR="00E94D28">
        <w:t xml:space="preserve">not </w:t>
      </w:r>
      <w:r w:rsidR="00C215B4">
        <w:t>‘</w:t>
      </w:r>
      <w:r w:rsidR="00E94D28">
        <w:t>silver bullets</w:t>
      </w:r>
      <w:r w:rsidR="00C215B4">
        <w:t>’</w:t>
      </w:r>
      <w:r w:rsidR="00E94D28">
        <w:t xml:space="preserve"> in the minimisation of gambling harm</w:t>
      </w:r>
      <w:r w:rsidR="00C215B4">
        <w:t>. They</w:t>
      </w:r>
      <w:r w:rsidR="00E94D28">
        <w:t xml:space="preserve"> need to be used in conjunction with other provider based and community-based harm minimisation initiatives and tools</w:t>
      </w:r>
      <w:r w:rsidR="00C215B4">
        <w:t>,</w:t>
      </w:r>
      <w:r w:rsidR="00E94D28">
        <w:t xml:space="preserve"> along with appropriate regulation.  </w:t>
      </w:r>
    </w:p>
    <w:p w14:paraId="1CF442B1" w14:textId="67B2C004" w:rsidR="00E94D28" w:rsidRDefault="00C215B4" w:rsidP="00352919">
      <w:pPr>
        <w:pStyle w:val="ListNumber2"/>
        <w:numPr>
          <w:ilvl w:val="1"/>
          <w:numId w:val="20"/>
        </w:numPr>
        <w:tabs>
          <w:tab w:val="clear" w:pos="1134"/>
        </w:tabs>
        <w:ind w:hanging="357"/>
        <w:contextualSpacing w:val="0"/>
      </w:pPr>
      <w:r>
        <w:t xml:space="preserve">The tools have </w:t>
      </w:r>
      <w:r w:rsidR="00E94D28">
        <w:t xml:space="preserve">potential to encourage game developers to be more proactive in providing more responsible </w:t>
      </w:r>
      <w:r w:rsidR="007C72A6">
        <w:t>games and</w:t>
      </w:r>
      <w:r w:rsidR="00E94D28">
        <w:t xml:space="preserve"> give operators and regulators the opportunity to reject or insist on improvement to suboptimal games.</w:t>
      </w:r>
    </w:p>
    <w:p w14:paraId="61AF314D" w14:textId="076D5276" w:rsidR="00E94D28" w:rsidRDefault="008A6C4E">
      <w:pPr>
        <w:pStyle w:val="ListNumber"/>
        <w:numPr>
          <w:ilvl w:val="0"/>
          <w:numId w:val="26"/>
        </w:numPr>
        <w:ind w:hanging="357"/>
        <w:contextualSpacing w:val="0"/>
      </w:pPr>
      <w:r>
        <w:t>Gamgard</w:t>
      </w:r>
      <w:r w:rsidR="00E94D28">
        <w:t xml:space="preserve"> appears to be an adequate preliminary screen</w:t>
      </w:r>
      <w:r w:rsidR="006423FC">
        <w:t xml:space="preserve"> </w:t>
      </w:r>
      <w:r w:rsidR="006423FC" w:rsidRPr="00D546CA">
        <w:t xml:space="preserve">to be used for its stated purpose of reviewing the functional characteristics of games, as part of a wider responsible gaming programme. </w:t>
      </w:r>
      <w:r w:rsidR="00E94D28">
        <w:t xml:space="preserve"> However, it must be remembered that it is just that, and that the entire gambling environment should be considered before a game is approved for use</w:t>
      </w:r>
      <w:r w:rsidR="007B3604">
        <w:t>.</w:t>
      </w:r>
      <w:r w:rsidR="00E94D28">
        <w:t xml:space="preserve"> </w:t>
      </w:r>
      <w:r w:rsidR="007B3604">
        <w:t>R</w:t>
      </w:r>
      <w:r w:rsidR="00E94D28">
        <w:t>egular monitoring should be carried out during its use, with the idea of proactively making changes where player behaviour suggests harm is occurring.</w:t>
      </w:r>
    </w:p>
    <w:p w14:paraId="6B0726DF" w14:textId="3B27C619" w:rsidR="008C67E4" w:rsidRDefault="00E94D28" w:rsidP="00352919">
      <w:pPr>
        <w:pStyle w:val="BodyText"/>
        <w:numPr>
          <w:ilvl w:val="0"/>
          <w:numId w:val="26"/>
        </w:numPr>
        <w:ind w:hanging="357"/>
      </w:pPr>
      <w:r>
        <w:t xml:space="preserve">Being a </w:t>
      </w:r>
      <w:r w:rsidR="008A6C4E">
        <w:t>Gamgard</w:t>
      </w:r>
      <w:r>
        <w:t xml:space="preserve"> user should not be taken, by itself, as an indicator that a gambling provider is responsible. The entire </w:t>
      </w:r>
      <w:r w:rsidR="0017284F">
        <w:t xml:space="preserve">gambling </w:t>
      </w:r>
      <w:r>
        <w:t>environment should be consider</w:t>
      </w:r>
      <w:r w:rsidR="0017284F">
        <w:t>ed</w:t>
      </w:r>
      <w:r w:rsidR="003D7AA7">
        <w:t>.</w:t>
      </w:r>
    </w:p>
    <w:p w14:paraId="4A494977" w14:textId="7B5D6364" w:rsidR="00954CD9" w:rsidRDefault="00954CD9" w:rsidP="0051050A">
      <w:pPr>
        <w:pStyle w:val="Heading2"/>
      </w:pPr>
      <w:bookmarkStart w:id="424" w:name="_Toc87263201"/>
      <w:r>
        <w:t xml:space="preserve">Recommendations around </w:t>
      </w:r>
      <w:r w:rsidR="001907E0">
        <w:t xml:space="preserve">the </w:t>
      </w:r>
      <w:r>
        <w:t xml:space="preserve">application of </w:t>
      </w:r>
      <w:r w:rsidR="008A6C4E">
        <w:t>Gamgard</w:t>
      </w:r>
      <w:r>
        <w:t xml:space="preserve"> in the New Zealand context:</w:t>
      </w:r>
      <w:bookmarkEnd w:id="424"/>
      <w:r>
        <w:t xml:space="preserve"> </w:t>
      </w:r>
    </w:p>
    <w:p w14:paraId="4A0013D9" w14:textId="583820B4" w:rsidR="00624279" w:rsidRDefault="00624279" w:rsidP="00352919">
      <w:pPr>
        <w:pStyle w:val="ListNumber"/>
        <w:numPr>
          <w:ilvl w:val="0"/>
          <w:numId w:val="33"/>
        </w:numPr>
        <w:spacing w:after="120" w:line="240" w:lineRule="auto"/>
        <w:contextualSpacing w:val="0"/>
      </w:pPr>
      <w:r>
        <w:t>Aspects offered in other tools could be more directly imbedded into a standardised wrap-</w:t>
      </w:r>
      <w:r w:rsidRPr="00D47F9E">
        <w:t>around</w:t>
      </w:r>
      <w:r>
        <w:t xml:space="preserve"> process involving </w:t>
      </w:r>
      <w:r w:rsidR="008A6C4E">
        <w:t>Gamgard</w:t>
      </w:r>
      <w:r>
        <w:t>. For example,</w:t>
      </w:r>
      <w:r w:rsidR="003A649A">
        <w:t xml:space="preserve"> there could be</w:t>
      </w:r>
      <w:r>
        <w:t xml:space="preserve"> a more in-depth assessment in the evaluation process, including active assessment of the </w:t>
      </w:r>
      <w:r w:rsidR="00E207AD">
        <w:t xml:space="preserve">sensory </w:t>
      </w:r>
      <w:r>
        <w:t xml:space="preserve">stimulation level </w:t>
      </w:r>
      <w:r w:rsidR="003F3371">
        <w:t>(e.g.,</w:t>
      </w:r>
      <w:r>
        <w:t xml:space="preserve"> noise and light) </w:t>
      </w:r>
      <w:r w:rsidR="008B0CD5">
        <w:t xml:space="preserve">of each product </w:t>
      </w:r>
      <w:r>
        <w:t xml:space="preserve">as this relates to gambling harm. </w:t>
      </w:r>
    </w:p>
    <w:p w14:paraId="00063903" w14:textId="77777777" w:rsidR="00624279" w:rsidRDefault="00624279" w:rsidP="00352919">
      <w:pPr>
        <w:pStyle w:val="ListNumber"/>
        <w:numPr>
          <w:ilvl w:val="0"/>
          <w:numId w:val="33"/>
        </w:numPr>
        <w:spacing w:after="120" w:line="240" w:lineRule="auto"/>
        <w:contextualSpacing w:val="0"/>
      </w:pPr>
      <w:r>
        <w:t xml:space="preserve">Recognise the large weighting factor placed on Risk factor 1, event frequency, and that very few games will fall into the very high-risk factor once this score is applied. </w:t>
      </w:r>
    </w:p>
    <w:p w14:paraId="09C5DF04" w14:textId="39E73A2E" w:rsidR="00624279" w:rsidRDefault="00624279" w:rsidP="00352919">
      <w:pPr>
        <w:pStyle w:val="ListNumber"/>
        <w:numPr>
          <w:ilvl w:val="0"/>
          <w:numId w:val="33"/>
        </w:numPr>
        <w:spacing w:after="120" w:line="240" w:lineRule="auto"/>
        <w:contextualSpacing w:val="0"/>
      </w:pPr>
      <w:r>
        <w:t>Evaluate suitability of risk factor 5</w:t>
      </w:r>
      <w:r w:rsidR="00606C66">
        <w:t>,</w:t>
      </w:r>
      <w:r>
        <w:t xml:space="preserve"> jackpot size bands</w:t>
      </w:r>
      <w:r w:rsidR="00606C66">
        <w:t>,</w:t>
      </w:r>
      <w:r>
        <w:t xml:space="preserve"> and update to reflect NZ currency prize ranges.</w:t>
      </w:r>
    </w:p>
    <w:p w14:paraId="07095567" w14:textId="4C09B984" w:rsidR="00A474F1" w:rsidRPr="00A474F1" w:rsidRDefault="00624279" w:rsidP="00352919">
      <w:pPr>
        <w:pStyle w:val="ListNumber"/>
        <w:numPr>
          <w:ilvl w:val="0"/>
          <w:numId w:val="33"/>
        </w:numPr>
        <w:spacing w:after="120" w:line="240" w:lineRule="auto"/>
        <w:contextualSpacing w:val="0"/>
      </w:pPr>
      <w:r>
        <w:t xml:space="preserve">Control potential for variability in scoring for some risk factors in </w:t>
      </w:r>
      <w:r w:rsidR="008A6C4E">
        <w:t>Gamgard</w:t>
      </w:r>
      <w:r>
        <w:t xml:space="preserve"> through the development of guidelines for application in New Zealand.  These could be developed jointly by the Ministry of Health and Lotto NZ to promote consistency in ratings and thus improve detection of harm.</w:t>
      </w:r>
    </w:p>
    <w:p w14:paraId="7FAEA6D0" w14:textId="0801309E" w:rsidR="00875688" w:rsidRDefault="00FD1566" w:rsidP="00352919">
      <w:pPr>
        <w:pStyle w:val="ListNumber"/>
        <w:numPr>
          <w:ilvl w:val="0"/>
          <w:numId w:val="33"/>
        </w:numPr>
        <w:spacing w:after="120" w:line="240" w:lineRule="auto"/>
        <w:contextualSpacing w:val="0"/>
      </w:pPr>
      <w:r>
        <w:t xml:space="preserve">Use of </w:t>
      </w:r>
      <w:r w:rsidR="008A6C4E">
        <w:t>Gamgard</w:t>
      </w:r>
      <w:r>
        <w:t xml:space="preserve"> to independently score games under review by agencies like Ministry of Health/DIA could be beneficial</w:t>
      </w:r>
      <w:r w:rsidR="001E42C0">
        <w:t>.</w:t>
      </w:r>
      <w:r>
        <w:t xml:space="preserve"> </w:t>
      </w:r>
      <w:r w:rsidR="002B2E74">
        <w:t xml:space="preserve"> </w:t>
      </w:r>
    </w:p>
    <w:p w14:paraId="120BE41A" w14:textId="0ADA742E" w:rsidR="00FD1566" w:rsidRDefault="00BC27F7" w:rsidP="00352919">
      <w:pPr>
        <w:pStyle w:val="ListNumber"/>
        <w:numPr>
          <w:ilvl w:val="0"/>
          <w:numId w:val="33"/>
        </w:numPr>
        <w:spacing w:after="120" w:line="240" w:lineRule="auto"/>
        <w:contextualSpacing w:val="0"/>
      </w:pPr>
      <w:r>
        <w:t>G</w:t>
      </w:r>
      <w:r w:rsidR="00FD1566">
        <w:t xml:space="preserve">uidance around the acceptance thresholds for games in New Zealand and the appropriateness of controls could be developed and regularly reviewed. </w:t>
      </w:r>
    </w:p>
    <w:p w14:paraId="4BC7C5E7" w14:textId="2D1A233B" w:rsidR="00624279" w:rsidRPr="00624279" w:rsidRDefault="00FD1566" w:rsidP="00352919">
      <w:pPr>
        <w:pStyle w:val="ListNumber"/>
        <w:numPr>
          <w:ilvl w:val="0"/>
          <w:numId w:val="33"/>
        </w:numPr>
        <w:spacing w:after="120" w:line="240" w:lineRule="auto"/>
        <w:contextualSpacing w:val="0"/>
      </w:pPr>
      <w:r>
        <w:t>Data collection and access around gambling harm indicators based on game types would benefit from being collected at a more detailed level</w:t>
      </w:r>
      <w:r w:rsidR="002B597A">
        <w:t>.</w:t>
      </w:r>
      <w:r w:rsidR="00F1526D">
        <w:t xml:space="preserve"> </w:t>
      </w:r>
      <w:r w:rsidR="00EE690A">
        <w:t>This would help clarify</w:t>
      </w:r>
      <w:r>
        <w:t xml:space="preserve"> understanding of where control and regulation around game types </w:t>
      </w:r>
      <w:r w:rsidR="00EE690A">
        <w:t>are</w:t>
      </w:r>
      <w:r>
        <w:t xml:space="preserve"> best targeted and inform acceptance thresholds for games. </w:t>
      </w:r>
    </w:p>
    <w:p w14:paraId="06EBA289" w14:textId="77777777" w:rsidR="00AE4B36" w:rsidRDefault="00AE4B36">
      <w:pPr>
        <w:rPr>
          <w:rFonts w:ascii="Montserrat" w:eastAsiaTheme="majorEastAsia" w:hAnsi="Montserrat" w:cstheme="majorBidi"/>
          <w:color w:val="F9423A"/>
          <w:sz w:val="36"/>
          <w:szCs w:val="32"/>
        </w:rPr>
      </w:pPr>
      <w:r>
        <w:br w:type="page"/>
      </w:r>
    </w:p>
    <w:p w14:paraId="42E85E6C" w14:textId="181C0B56" w:rsidR="000C134A" w:rsidRDefault="000C134A" w:rsidP="001070D7">
      <w:pPr>
        <w:pStyle w:val="Heading1"/>
        <w:numPr>
          <w:ilvl w:val="0"/>
          <w:numId w:val="0"/>
        </w:numPr>
        <w:ind w:left="567" w:hanging="567"/>
      </w:pPr>
      <w:bookmarkStart w:id="425" w:name="_Toc87263202"/>
      <w:r>
        <w:lastRenderedPageBreak/>
        <w:t>References</w:t>
      </w:r>
      <w:bookmarkEnd w:id="425"/>
    </w:p>
    <w:p w14:paraId="7B8AC040" w14:textId="7D729B6B" w:rsidR="647BEA4B" w:rsidRDefault="647BEA4B" w:rsidP="6A491ED9">
      <w:pPr>
        <w:spacing w:line="264" w:lineRule="auto"/>
        <w:rPr>
          <w:rFonts w:eastAsia="Montserrat Light" w:cs="Montserrat Light"/>
        </w:rPr>
      </w:pPr>
      <w:r w:rsidRPr="6A491ED9">
        <w:rPr>
          <w:rFonts w:eastAsia="Montserrat Light" w:cs="Montserrat Light"/>
        </w:rPr>
        <w:t xml:space="preserve">Abbott, M &amp; Volberg R A. (2000). Taking the pulse on gambling and problem gambling in New Zealand: A report on phase one of the 1999 National Prevalence Survey (New Zealand Gaming Survey Report 3). New Zealand Department of Internal Affairs. </w:t>
      </w:r>
      <w:bookmarkStart w:id="426" w:name="_Hlk84258538"/>
      <w:r w:rsidR="00336D76">
        <w:rPr>
          <w:rFonts w:eastAsia="Montserrat Light" w:cs="Montserrat Light"/>
        </w:rPr>
        <w:fldChar w:fldCharType="begin"/>
      </w:r>
      <w:r w:rsidR="00336D76">
        <w:rPr>
          <w:rFonts w:eastAsia="Montserrat Light" w:cs="Montserrat Light"/>
        </w:rPr>
        <w:instrText xml:space="preserve"> HYPERLINK "</w:instrText>
      </w:r>
      <w:r w:rsidR="00336D76" w:rsidRPr="00336D76">
        <w:rPr>
          <w:rFonts w:eastAsia="Montserrat Light" w:cs="Montserrat Light"/>
        </w:rPr>
        <w:instrText>https://www.dia.govt.nz/diawebsite.nsf/wpg_URL/Resource-material-Our-Research-and-Reports-New-Zealand-Gaming-Survey?OpenDocument</w:instrText>
      </w:r>
      <w:r w:rsidR="00336D76">
        <w:rPr>
          <w:rFonts w:eastAsia="Montserrat Light" w:cs="Montserrat Light"/>
        </w:rPr>
        <w:instrText xml:space="preserve">" </w:instrText>
      </w:r>
      <w:r w:rsidR="00336D76">
        <w:rPr>
          <w:rFonts w:eastAsia="Montserrat Light" w:cs="Montserrat Light"/>
        </w:rPr>
        <w:fldChar w:fldCharType="separate"/>
      </w:r>
      <w:r w:rsidR="00336D76" w:rsidRPr="00B91E55">
        <w:rPr>
          <w:rStyle w:val="Hyperlink"/>
          <w:rFonts w:eastAsia="Montserrat Light" w:cs="Montserrat Light"/>
        </w:rPr>
        <w:t>https://www.dia.govt.nz/diawebsite.nsf/wpg_URL/Resource-material-Our-Research-and-Reports-New-Zealand-Gaming-Survey?OpenDocument</w:t>
      </w:r>
      <w:r w:rsidR="00336D76">
        <w:rPr>
          <w:rFonts w:eastAsia="Montserrat Light" w:cs="Montserrat Light"/>
        </w:rPr>
        <w:fldChar w:fldCharType="end"/>
      </w:r>
      <w:r w:rsidR="00336D76">
        <w:rPr>
          <w:rFonts w:eastAsia="Montserrat Light" w:cs="Montserrat Light"/>
        </w:rPr>
        <w:t xml:space="preserve">    </w:t>
      </w:r>
      <w:r w:rsidR="00496029">
        <w:rPr>
          <w:rFonts w:eastAsia="Montserrat Light" w:cs="Montserrat Light"/>
        </w:rPr>
        <w:t>Accessed 4/10/2021</w:t>
      </w:r>
      <w:r w:rsidR="00496029">
        <w:br/>
      </w:r>
      <w:bookmarkEnd w:id="426"/>
    </w:p>
    <w:p w14:paraId="7207C2C8" w14:textId="745C47AD" w:rsidR="647BEA4B" w:rsidRDefault="647BEA4B" w:rsidP="6A491ED9">
      <w:pPr>
        <w:spacing w:line="264" w:lineRule="auto"/>
      </w:pPr>
      <w:r w:rsidRPr="6A491ED9">
        <w:rPr>
          <w:rFonts w:eastAsia="Montserrat Light" w:cs="Montserrat Light"/>
        </w:rPr>
        <w:t xml:space="preserve">Arias, A. (2011). </w:t>
      </w:r>
      <w:r w:rsidRPr="6A491ED9">
        <w:rPr>
          <w:rFonts w:eastAsia="Montserrat Light" w:cs="Montserrat Light"/>
          <w:i/>
          <w:iCs/>
        </w:rPr>
        <w:t>Tools for responsible games</w:t>
      </w:r>
      <w:r w:rsidRPr="6A491ED9">
        <w:rPr>
          <w:rFonts w:eastAsia="Montserrat Light" w:cs="Montserrat Light"/>
        </w:rPr>
        <w:t>. Presentation at 2011 London Workshop on Problem Gambling: Theory and (Best) Practice, Brunel University.</w:t>
      </w:r>
    </w:p>
    <w:p w14:paraId="4152E549" w14:textId="3A074209" w:rsidR="73C98F62" w:rsidRDefault="00005CFC" w:rsidP="73C98F62">
      <w:pPr>
        <w:spacing w:line="264" w:lineRule="auto"/>
        <w:rPr>
          <w:rFonts w:eastAsia="Montserrat Light" w:cs="Montserrat Light"/>
        </w:rPr>
      </w:pPr>
      <w:hyperlink r:id="rId28" w:history="1">
        <w:r w:rsidR="00496029" w:rsidRPr="002960B6">
          <w:rPr>
            <w:rStyle w:val="Hyperlink"/>
            <w:rFonts w:eastAsia="Montserrat Light" w:cs="Montserrat Light"/>
          </w:rPr>
          <w:t>https://bura.brunel.ac.uk/bitstream/2438/5937/1/Presentation.pdf</w:t>
        </w:r>
      </w:hyperlink>
      <w:r w:rsidR="00496029">
        <w:rPr>
          <w:rFonts w:eastAsia="Montserrat Light" w:cs="Montserrat Light"/>
          <w:color w:val="4F81BD"/>
          <w:u w:val="single"/>
        </w:rPr>
        <w:t xml:space="preserve">  </w:t>
      </w:r>
      <w:r w:rsidR="00496029">
        <w:rPr>
          <w:rFonts w:eastAsia="Montserrat Light" w:cs="Montserrat Light"/>
        </w:rPr>
        <w:t>Accessed 4/10/2021</w:t>
      </w:r>
      <w:r w:rsidR="00496029">
        <w:br/>
      </w:r>
    </w:p>
    <w:p w14:paraId="291C77E2" w14:textId="553E3657" w:rsidR="327877C5" w:rsidRPr="00376299" w:rsidRDefault="327877C5" w:rsidP="0C4C7ACB">
      <w:pPr>
        <w:spacing w:line="264" w:lineRule="auto"/>
      </w:pPr>
      <w:r w:rsidRPr="0C4C7ACB">
        <w:rPr>
          <w:rFonts w:eastAsia="Montserrat Light" w:cs="Montserrat Light"/>
        </w:rPr>
        <w:t xml:space="preserve">Abbott, M., Bellringer, M., Garrett, N., &amp; Mundy-McPherson, S. (2016). </w:t>
      </w:r>
      <w:r w:rsidRPr="0C4C7ACB">
        <w:rPr>
          <w:rFonts w:eastAsia="Montserrat Light" w:cs="Montserrat Light"/>
          <w:i/>
          <w:iCs/>
        </w:rPr>
        <w:t xml:space="preserve">New Zealand Gambling Study: </w:t>
      </w:r>
      <w:r w:rsidRPr="00376299">
        <w:rPr>
          <w:rFonts w:eastAsia="Montserrat Light" w:cs="Montserrat Light"/>
        </w:rPr>
        <w:t>Wave 3 (2014)</w:t>
      </w:r>
      <w:r w:rsidRPr="0C4C7ACB">
        <w:rPr>
          <w:rFonts w:eastAsia="Montserrat Light" w:cs="Montserrat Light"/>
        </w:rPr>
        <w:t xml:space="preserve"> (Report number 5). Auckland University of Technology, Gambling and Addictions Research Centre.</w:t>
      </w:r>
      <w:r w:rsidR="00C139B7">
        <w:rPr>
          <w:rFonts w:eastAsia="Montserrat Light" w:cs="Montserrat Light"/>
        </w:rPr>
        <w:t xml:space="preserve">  </w:t>
      </w:r>
      <w:hyperlink r:id="rId29" w:history="1">
        <w:r w:rsidR="00376299" w:rsidRPr="00376299">
          <w:rPr>
            <w:rFonts w:eastAsia="Montserrat Light" w:cs="Montserrat Light"/>
          </w:rPr>
          <w:t>ht</w:t>
        </w:r>
        <w:r w:rsidR="00376299" w:rsidRPr="00376299">
          <w:rPr>
            <w:rStyle w:val="Hyperlink"/>
          </w:rPr>
          <w:t>tps://www.health.govt.nz/publication/new-zealand-national-gambling-study-wave-3-2014</w:t>
        </w:r>
      </w:hyperlink>
      <w:r w:rsidR="00376299">
        <w:rPr>
          <w:rStyle w:val="Hyperlink"/>
        </w:rPr>
        <w:t xml:space="preserve">   </w:t>
      </w:r>
      <w:r w:rsidR="00376299" w:rsidRPr="00376299">
        <w:rPr>
          <w:rFonts w:eastAsia="Montserrat Light" w:cs="Montserrat Light"/>
        </w:rPr>
        <w:t>Accessed 4/10/2021</w:t>
      </w:r>
    </w:p>
    <w:p w14:paraId="4258AF81" w14:textId="70B9B467" w:rsidR="0C4C7ACB" w:rsidRPr="00376299" w:rsidRDefault="0C4C7ACB" w:rsidP="0C4C7ACB">
      <w:pPr>
        <w:spacing w:line="264" w:lineRule="auto"/>
        <w:rPr>
          <w:rFonts w:eastAsia="Montserrat Light" w:cs="Montserrat Light"/>
        </w:rPr>
      </w:pPr>
    </w:p>
    <w:p w14:paraId="1E767938" w14:textId="7090C9C0" w:rsidR="327877C5" w:rsidRDefault="327877C5" w:rsidP="0C4C7ACB">
      <w:pPr>
        <w:spacing w:line="264" w:lineRule="auto"/>
      </w:pPr>
      <w:r w:rsidRPr="0C4C7ACB">
        <w:rPr>
          <w:rFonts w:eastAsia="Montserrat Light" w:cs="Montserrat Light"/>
        </w:rPr>
        <w:t xml:space="preserve">Australian Productivity Commission. (2010). </w:t>
      </w:r>
      <w:r w:rsidRPr="0C4C7ACB">
        <w:rPr>
          <w:rFonts w:eastAsia="Montserrat Light" w:cs="Montserrat Light"/>
          <w:i/>
          <w:iCs/>
        </w:rPr>
        <w:t>Gambling.</w:t>
      </w:r>
      <w:r w:rsidRPr="0C4C7ACB">
        <w:rPr>
          <w:rFonts w:eastAsia="Montserrat Light" w:cs="Montserrat Light"/>
        </w:rPr>
        <w:t xml:space="preserve"> (Report No.: 50). Productivity Commission.</w:t>
      </w:r>
    </w:p>
    <w:p w14:paraId="32DE2A09" w14:textId="77777777" w:rsidR="005D41DC" w:rsidRDefault="00005CFC" w:rsidP="005D41DC">
      <w:pPr>
        <w:spacing w:line="264" w:lineRule="auto"/>
        <w:rPr>
          <w:rFonts w:eastAsia="Montserrat Light" w:cs="Montserrat Light"/>
        </w:rPr>
      </w:pPr>
      <w:hyperlink r:id="rId30" w:history="1">
        <w:r w:rsidR="00DA37FC" w:rsidRPr="002960B6">
          <w:rPr>
            <w:rStyle w:val="Hyperlink"/>
            <w:rFonts w:eastAsia="Montserrat Light" w:cs="Montserrat Light"/>
          </w:rPr>
          <w:t>https://www.pc.gov.au/inquiries/completed/gambling-2010/report</w:t>
        </w:r>
      </w:hyperlink>
      <w:r w:rsidR="00DA37FC">
        <w:rPr>
          <w:rFonts w:eastAsia="Montserrat Light" w:cs="Montserrat Light"/>
          <w:u w:val="single"/>
        </w:rPr>
        <w:t xml:space="preserve"> </w:t>
      </w:r>
      <w:r w:rsidR="001D50F3">
        <w:rPr>
          <w:rFonts w:eastAsia="Montserrat Light" w:cs="Montserrat Light"/>
          <w:u w:val="single"/>
        </w:rPr>
        <w:t xml:space="preserve">  </w:t>
      </w:r>
      <w:bookmarkStart w:id="427" w:name="_Hlk84258855"/>
      <w:r w:rsidR="005D41DC">
        <w:rPr>
          <w:rFonts w:eastAsia="Montserrat Light" w:cs="Montserrat Light"/>
        </w:rPr>
        <w:t>Accessed 4/10/2021</w:t>
      </w:r>
      <w:bookmarkEnd w:id="427"/>
      <w:r w:rsidR="005D41DC">
        <w:br/>
      </w:r>
    </w:p>
    <w:p w14:paraId="17C75FA0" w14:textId="77777777" w:rsidR="00A07D77" w:rsidRDefault="000C134A" w:rsidP="00A07D77">
      <w:pPr>
        <w:spacing w:line="264" w:lineRule="auto"/>
        <w:rPr>
          <w:rFonts w:eastAsia="Montserrat Light" w:cs="Montserrat Light"/>
        </w:rPr>
      </w:pPr>
      <w:r w:rsidRPr="004E4574">
        <w:rPr>
          <w:shd w:val="clear" w:color="auto" w:fill="FFFFFF"/>
        </w:rPr>
        <w:t>Blanco, C, B</w:t>
      </w:r>
      <w:r w:rsidR="0048770A">
        <w:rPr>
          <w:shd w:val="clear" w:color="auto" w:fill="FFFFFF"/>
        </w:rPr>
        <w:t>.</w:t>
      </w:r>
      <w:r w:rsidRPr="004E4574">
        <w:rPr>
          <w:shd w:val="clear" w:color="auto" w:fill="FFFFFF"/>
        </w:rPr>
        <w:t xml:space="preserve">, Blaszczynski, </w:t>
      </w:r>
      <w:proofErr w:type="gramStart"/>
      <w:r w:rsidRPr="004E4574">
        <w:rPr>
          <w:shd w:val="clear" w:color="auto" w:fill="FFFFFF"/>
        </w:rPr>
        <w:t>A,</w:t>
      </w:r>
      <w:r w:rsidR="0048770A">
        <w:rPr>
          <w:shd w:val="clear" w:color="auto" w:fill="FFFFFF"/>
        </w:rPr>
        <w:t>.</w:t>
      </w:r>
      <w:proofErr w:type="gramEnd"/>
      <w:r w:rsidRPr="004E4574">
        <w:rPr>
          <w:shd w:val="clear" w:color="auto" w:fill="FFFFFF"/>
        </w:rPr>
        <w:t xml:space="preserve"> Clement, R</w:t>
      </w:r>
      <w:r w:rsidR="0048770A">
        <w:rPr>
          <w:shd w:val="clear" w:color="auto" w:fill="FFFFFF"/>
        </w:rPr>
        <w:t>.,</w:t>
      </w:r>
      <w:r w:rsidRPr="004E4574">
        <w:rPr>
          <w:shd w:val="clear" w:color="auto" w:fill="FFFFFF"/>
        </w:rPr>
        <w:t xml:space="preserve"> and Wardle, H et al (2013) Assessment Tool to Measure and Evaluate the Risk Potential of Gambling Products, ASTERIG: A Global Validation Gaming Law Review and Economics 17(9):635-</w:t>
      </w:r>
      <w:r w:rsidR="005D41DC">
        <w:rPr>
          <w:shd w:val="clear" w:color="auto" w:fill="FFFFFF"/>
        </w:rPr>
        <w:t xml:space="preserve"> 6</w:t>
      </w:r>
      <w:r w:rsidRPr="004E4574">
        <w:rPr>
          <w:shd w:val="clear" w:color="auto" w:fill="FFFFFF"/>
        </w:rPr>
        <w:t>42</w:t>
      </w:r>
      <w:r w:rsidR="00F57CA2">
        <w:t>.</w:t>
      </w:r>
      <w:hyperlink r:id="rId31" w:history="1">
        <w:r w:rsidR="005C3B9D" w:rsidRPr="002960B6">
          <w:rPr>
            <w:rStyle w:val="Hyperlink"/>
          </w:rPr>
          <w:t xml:space="preserve"> https://www.researchgate.net/publication/275283164_Assessment_Tool_to_Measure_and_Evaluate_the_Risk_Potential_of_Gambling_Products_ASTERIG_A_Global_Validation</w:t>
        </w:r>
      </w:hyperlink>
      <w:r w:rsidR="00A07D77">
        <w:t xml:space="preserve">  </w:t>
      </w:r>
      <w:r w:rsidR="00A07D77">
        <w:rPr>
          <w:rFonts w:eastAsia="Montserrat Light" w:cs="Montserrat Light"/>
        </w:rPr>
        <w:t>Accessed 4/10/2021</w:t>
      </w:r>
      <w:r w:rsidR="00A07D77">
        <w:br/>
      </w:r>
    </w:p>
    <w:p w14:paraId="04B8B44B" w14:textId="07295A5C" w:rsidR="002909E0" w:rsidRPr="004E4574" w:rsidRDefault="002909E0" w:rsidP="000C134A">
      <w:pPr>
        <w:pStyle w:val="BodyText"/>
        <w:rPr>
          <w:shd w:val="clear" w:color="auto" w:fill="FFFFFF"/>
        </w:rPr>
      </w:pPr>
      <w:proofErr w:type="spellStart"/>
      <w:r>
        <w:t>Blasczczynski</w:t>
      </w:r>
      <w:proofErr w:type="spellEnd"/>
      <w:r>
        <w:t>, A., Ladouceur, R., &amp; Shaffer, H.J. (2004). A science-based framework for responsible gambling: The Reno model. Journal of Gambling Studies 20, 3, 301-317.</w:t>
      </w:r>
      <w:r w:rsidR="00D47ABA">
        <w:t xml:space="preserve"> </w:t>
      </w:r>
    </w:p>
    <w:p w14:paraId="77FA7F88" w14:textId="461DD8BD" w:rsidR="20F6759E" w:rsidRDefault="3C6B5C71" w:rsidP="20F6759E">
      <w:pPr>
        <w:spacing w:line="264" w:lineRule="auto"/>
        <w:rPr>
          <w:rFonts w:eastAsia="Montserrat Light" w:cs="Montserrat Light"/>
        </w:rPr>
      </w:pPr>
      <w:r w:rsidRPr="0C4C7ACB">
        <w:rPr>
          <w:rFonts w:eastAsia="Montserrat Light" w:cs="Montserrat Light"/>
        </w:rPr>
        <w:t xml:space="preserve">Blaszczynski, A., </w:t>
      </w:r>
      <w:proofErr w:type="spellStart"/>
      <w:r w:rsidRPr="0C4C7ACB">
        <w:rPr>
          <w:rFonts w:eastAsia="Montserrat Light" w:cs="Montserrat Light"/>
        </w:rPr>
        <w:t>Anjoul</w:t>
      </w:r>
      <w:proofErr w:type="spellEnd"/>
      <w:r w:rsidRPr="0C4C7ACB">
        <w:rPr>
          <w:rFonts w:eastAsia="Montserrat Light" w:cs="Montserrat Light"/>
        </w:rPr>
        <w:t xml:space="preserve">, F. et al. (2015). </w:t>
      </w:r>
      <w:r w:rsidRPr="0C4C7ACB">
        <w:rPr>
          <w:rFonts w:eastAsia="Montserrat Light" w:cs="Montserrat Light"/>
          <w:i/>
          <w:iCs/>
        </w:rPr>
        <w:t>Gambling harm minimisation report</w:t>
      </w:r>
      <w:r w:rsidRPr="0C4C7ACB">
        <w:rPr>
          <w:rFonts w:eastAsia="Montserrat Light" w:cs="Montserrat Light"/>
        </w:rPr>
        <w:t xml:space="preserve">. Commissioned by NSW Government Department of Trade &amp; Investment Office of Liquor, Gambling and Racing. The University of Sydney Gambling Treatment Clinic. </w:t>
      </w:r>
      <w:hyperlink r:id="rId32" w:history="1">
        <w:r w:rsidR="006B5777" w:rsidRPr="00B91E55">
          <w:rPr>
            <w:rStyle w:val="Hyperlink"/>
            <w:rFonts w:eastAsia="Montserrat Light" w:cs="Montserrat Light"/>
          </w:rPr>
          <w:t>https://www.responsiblegambling.nsw.gov.au/__data/assets/pdf_file/0011/878303/gambling-harm-minimisation-report.pdf</w:t>
        </w:r>
      </w:hyperlink>
      <w:r w:rsidR="006B5777">
        <w:rPr>
          <w:rFonts w:eastAsia="Montserrat Light" w:cs="Montserrat Light"/>
        </w:rPr>
        <w:t xml:space="preserve"> </w:t>
      </w:r>
      <w:r w:rsidR="003B599D">
        <w:rPr>
          <w:rFonts w:eastAsia="Montserrat Light" w:cs="Montserrat Light"/>
        </w:rPr>
        <w:t xml:space="preserve"> Accessed 4/10/2021</w:t>
      </w:r>
    </w:p>
    <w:p w14:paraId="59B5AF05" w14:textId="77777777" w:rsidR="00B85A2B" w:rsidRDefault="00B85A2B" w:rsidP="20F6759E">
      <w:pPr>
        <w:spacing w:line="264" w:lineRule="auto"/>
        <w:rPr>
          <w:rFonts w:eastAsia="Montserrat Light" w:cs="Montserrat Light"/>
        </w:rPr>
      </w:pPr>
    </w:p>
    <w:p w14:paraId="334BA04D" w14:textId="0F6D6651" w:rsidR="3C6B5C71" w:rsidRDefault="3C6B5C71" w:rsidP="0C4C7ACB">
      <w:pPr>
        <w:spacing w:line="264" w:lineRule="auto"/>
      </w:pPr>
      <w:r w:rsidRPr="0C4C7ACB">
        <w:rPr>
          <w:rFonts w:eastAsia="Montserrat Light" w:cs="Montserrat Light"/>
        </w:rPr>
        <w:t xml:space="preserve">Blaszczynski, A., Parke, A.J., et al. (2014). </w:t>
      </w:r>
      <w:r w:rsidRPr="0C4C7ACB">
        <w:rPr>
          <w:rFonts w:eastAsia="Montserrat Light" w:cs="Montserrat Light"/>
          <w:i/>
          <w:iCs/>
        </w:rPr>
        <w:t>Operator-based approaches to harm minimisation: summary, review and future directions</w:t>
      </w:r>
      <w:r w:rsidRPr="0C4C7ACB">
        <w:rPr>
          <w:rFonts w:eastAsia="Montserrat Light" w:cs="Montserrat Light"/>
        </w:rPr>
        <w:t>. The Responsible Gambling Trust UK.</w:t>
      </w:r>
    </w:p>
    <w:p w14:paraId="77B24D1E" w14:textId="5BC38819" w:rsidR="00526C00" w:rsidRPr="00526C00" w:rsidRDefault="00005CFC" w:rsidP="00526C00">
      <w:pPr>
        <w:spacing w:line="264" w:lineRule="auto"/>
        <w:rPr>
          <w:rFonts w:eastAsia="Montserrat Light" w:cs="Montserrat Light"/>
          <w:color w:val="4F81BD"/>
          <w:u w:val="single"/>
        </w:rPr>
      </w:pPr>
      <w:hyperlink r:id="rId33" w:history="1">
        <w:r w:rsidR="00B54D52" w:rsidRPr="00B91E55">
          <w:rPr>
            <w:rStyle w:val="Hyperlink"/>
            <w:rFonts w:eastAsia="Montserrat Light" w:cs="Montserrat Light"/>
          </w:rPr>
          <w:t>http://eprints.lincoln.ac.uk/16411/1/obhm%20report%20final%20version.pdf</w:t>
        </w:r>
      </w:hyperlink>
      <w:r w:rsidR="00B54D52">
        <w:rPr>
          <w:rFonts w:eastAsia="Montserrat Light" w:cs="Montserrat Light"/>
          <w:color w:val="4F81BD"/>
          <w:u w:val="single"/>
        </w:rPr>
        <w:t xml:space="preserve">  </w:t>
      </w:r>
      <w:r w:rsidR="00F73AFC">
        <w:rPr>
          <w:rFonts w:eastAsia="Montserrat Light" w:cs="Montserrat Light"/>
          <w:color w:val="4F81BD"/>
          <w:u w:val="single"/>
        </w:rPr>
        <w:t xml:space="preserve"> </w:t>
      </w:r>
      <w:bookmarkStart w:id="428" w:name="_Hlk84259266"/>
      <w:r w:rsidR="00F73AFC">
        <w:rPr>
          <w:rFonts w:eastAsia="Montserrat Light" w:cs="Montserrat Light"/>
        </w:rPr>
        <w:t>Accessed 4/10/2021</w:t>
      </w:r>
      <w:bookmarkEnd w:id="428"/>
    </w:p>
    <w:p w14:paraId="7BD6CDBC" w14:textId="4546349D" w:rsidR="20F6759E" w:rsidRDefault="20F6759E" w:rsidP="20F6759E">
      <w:pPr>
        <w:spacing w:line="264" w:lineRule="auto"/>
        <w:rPr>
          <w:rFonts w:eastAsia="Calibri" w:cs="Arial"/>
        </w:rPr>
      </w:pPr>
    </w:p>
    <w:p w14:paraId="6EB0C609" w14:textId="3602EA97" w:rsidR="007F50D6" w:rsidRPr="00526C00" w:rsidRDefault="000C134A" w:rsidP="007F50D6">
      <w:pPr>
        <w:spacing w:line="264" w:lineRule="auto"/>
        <w:rPr>
          <w:rFonts w:eastAsia="Montserrat Light" w:cs="Montserrat Light"/>
          <w:color w:val="4F81BD"/>
          <w:u w:val="single"/>
        </w:rPr>
      </w:pPr>
      <w:r w:rsidRPr="10E83E5F">
        <w:rPr>
          <w:rFonts w:eastAsia="Montserrat Light" w:cs="Montserrat Light"/>
        </w:rPr>
        <w:t xml:space="preserve">Browne, </w:t>
      </w:r>
      <w:r w:rsidR="5968A22C" w:rsidRPr="10E83E5F">
        <w:rPr>
          <w:rFonts w:eastAsia="Montserrat Light" w:cs="Montserrat Light"/>
        </w:rPr>
        <w:t>M</w:t>
      </w:r>
      <w:r w:rsidRPr="10E83E5F">
        <w:rPr>
          <w:rFonts w:eastAsia="Montserrat Light" w:cs="Montserrat Light"/>
        </w:rPr>
        <w:t xml:space="preserve">, Bellringer, </w:t>
      </w:r>
      <w:r w:rsidR="5968A22C" w:rsidRPr="10E83E5F">
        <w:rPr>
          <w:rFonts w:eastAsia="Montserrat Light" w:cs="Montserrat Light"/>
        </w:rPr>
        <w:t>et al.</w:t>
      </w:r>
      <w:r w:rsidRPr="10E83E5F">
        <w:rPr>
          <w:rFonts w:eastAsia="Montserrat Light" w:cs="Montserrat Light"/>
        </w:rPr>
        <w:t xml:space="preserve"> (2017</w:t>
      </w:r>
      <w:r w:rsidR="5968A22C" w:rsidRPr="10E83E5F">
        <w:rPr>
          <w:rFonts w:eastAsia="Montserrat Light" w:cs="Montserrat Light"/>
        </w:rPr>
        <w:t>).</w:t>
      </w:r>
      <w:r w:rsidRPr="10E83E5F">
        <w:rPr>
          <w:rFonts w:eastAsia="Montserrat Light" w:cs="Montserrat Light"/>
        </w:rPr>
        <w:t xml:space="preserve"> </w:t>
      </w:r>
      <w:r w:rsidRPr="10E83E5F">
        <w:rPr>
          <w:rFonts w:eastAsia="Montserrat Light" w:cs="Montserrat Light"/>
          <w:i/>
        </w:rPr>
        <w:t>Measuring the Burden of Gambling Harm in New Zealand</w:t>
      </w:r>
      <w:r w:rsidR="5968A22C" w:rsidRPr="10E83E5F">
        <w:rPr>
          <w:rFonts w:eastAsia="Montserrat Light" w:cs="Montserrat Light"/>
          <w:i/>
          <w:iCs/>
        </w:rPr>
        <w:t>.</w:t>
      </w:r>
      <w:r w:rsidRPr="10E83E5F">
        <w:rPr>
          <w:rFonts w:eastAsia="Montserrat Light" w:cs="Montserrat Light"/>
        </w:rPr>
        <w:t xml:space="preserve"> Contract </w:t>
      </w:r>
      <w:r w:rsidR="5968A22C" w:rsidRPr="10E83E5F">
        <w:rPr>
          <w:rFonts w:eastAsia="Montserrat Light" w:cs="Montserrat Light"/>
        </w:rPr>
        <w:t>report</w:t>
      </w:r>
      <w:r w:rsidRPr="10E83E5F">
        <w:rPr>
          <w:rFonts w:eastAsia="Montserrat Light" w:cs="Montserrat Light"/>
        </w:rPr>
        <w:t xml:space="preserve"> prepared for the New Zealand Ministry of Health</w:t>
      </w:r>
      <w:r w:rsidR="5968A22C" w:rsidRPr="10E83E5F">
        <w:rPr>
          <w:rFonts w:eastAsia="Montserrat Light" w:cs="Montserrat Light"/>
        </w:rPr>
        <w:t>.</w:t>
      </w:r>
      <w:r w:rsidRPr="10E83E5F">
        <w:rPr>
          <w:rFonts w:eastAsia="Montserrat Light" w:cs="Montserrat Light"/>
        </w:rPr>
        <w:t xml:space="preserve"> Central Queensland University </w:t>
      </w:r>
      <w:r w:rsidR="5968A22C" w:rsidRPr="10E83E5F">
        <w:rPr>
          <w:rFonts w:eastAsia="Montserrat Light" w:cs="Montserrat Light"/>
        </w:rPr>
        <w:t>&amp;</w:t>
      </w:r>
      <w:r w:rsidRPr="10E83E5F">
        <w:rPr>
          <w:rFonts w:eastAsia="Montserrat Light" w:cs="Montserrat Light"/>
        </w:rPr>
        <w:t xml:space="preserve"> Auckland University of Technology</w:t>
      </w:r>
      <w:r w:rsidR="5968A22C" w:rsidRPr="10E83E5F">
        <w:rPr>
          <w:rFonts w:eastAsia="Montserrat Light" w:cs="Montserrat Light"/>
        </w:rPr>
        <w:t>.</w:t>
      </w:r>
      <w:r w:rsidRPr="10E83E5F">
        <w:rPr>
          <w:rFonts w:eastAsia="Montserrat Light" w:cs="Montserrat Light"/>
        </w:rPr>
        <w:t xml:space="preserve"> </w:t>
      </w:r>
      <w:r w:rsidRPr="10E83E5F">
        <w:rPr>
          <w:rFonts w:eastAsia="Montserrat Light" w:cs="Montserrat Light"/>
          <w:color w:val="4F81BD"/>
          <w:u w:val="single"/>
        </w:rPr>
        <w:t>https://www.health.govt.nz/publication/measuring-burden-gambling-harm-new-zealand</w:t>
      </w:r>
      <w:r w:rsidR="5968A22C" w:rsidRPr="10E83E5F">
        <w:rPr>
          <w:rFonts w:eastAsia="Montserrat Light" w:cs="Montserrat Light"/>
        </w:rPr>
        <w:t xml:space="preserve"> </w:t>
      </w:r>
      <w:r w:rsidR="007F50D6">
        <w:rPr>
          <w:rFonts w:eastAsia="Montserrat Light" w:cs="Montserrat Light"/>
        </w:rPr>
        <w:t xml:space="preserve"> Accessed 4/10/2021</w:t>
      </w:r>
    </w:p>
    <w:p w14:paraId="50475B02" w14:textId="0EAA37E4" w:rsidR="10E83E5F" w:rsidRDefault="10E83E5F" w:rsidP="10E83E5F">
      <w:pPr>
        <w:spacing w:line="264" w:lineRule="auto"/>
      </w:pPr>
    </w:p>
    <w:p w14:paraId="27A1415A" w14:textId="2EE779EA" w:rsidR="000C134A" w:rsidRDefault="000C134A" w:rsidP="10E83E5F">
      <w:pPr>
        <w:spacing w:line="264" w:lineRule="auto"/>
      </w:pPr>
      <w:r w:rsidRPr="10E83E5F">
        <w:rPr>
          <w:rFonts w:eastAsia="Montserrat Light" w:cs="Montserrat Light"/>
        </w:rPr>
        <w:t xml:space="preserve">Cherkasova, M. V., Clark, L., </w:t>
      </w:r>
      <w:r w:rsidR="5968A22C" w:rsidRPr="10E83E5F">
        <w:rPr>
          <w:rFonts w:eastAsia="Montserrat Light" w:cs="Montserrat Light"/>
        </w:rPr>
        <w:t xml:space="preserve">et al. (2018). Win-concurrent sensory cues can promote riskier choice. </w:t>
      </w:r>
      <w:r w:rsidR="5968A22C" w:rsidRPr="10E83E5F">
        <w:rPr>
          <w:rFonts w:eastAsia="Montserrat Light" w:cs="Montserrat Light"/>
          <w:i/>
          <w:iCs/>
        </w:rPr>
        <w:t>Journal of Neuroscience, 38</w:t>
      </w:r>
      <w:r w:rsidR="5968A22C" w:rsidRPr="10E83E5F">
        <w:rPr>
          <w:rFonts w:eastAsia="Montserrat Light" w:cs="Montserrat Light"/>
        </w:rPr>
        <w:t xml:space="preserve">(48), 10362-10370. </w:t>
      </w:r>
      <w:r w:rsidR="5968A22C" w:rsidRPr="10E83E5F">
        <w:rPr>
          <w:rFonts w:eastAsia="Montserrat Light" w:cs="Montserrat Light"/>
          <w:color w:val="4F81BD"/>
          <w:u w:val="single"/>
        </w:rPr>
        <w:t>https://doi.org/10.1523/JNEUROSCI.1171-18.2018</w:t>
      </w:r>
      <w:r w:rsidR="5968A22C" w:rsidRPr="10E83E5F">
        <w:rPr>
          <w:rFonts w:eastAsia="Montserrat Light" w:cs="Montserrat Light"/>
        </w:rPr>
        <w:t xml:space="preserve"> </w:t>
      </w:r>
      <w:r w:rsidR="00584F09">
        <w:rPr>
          <w:rFonts w:eastAsia="Montserrat Light" w:cs="Montserrat Light"/>
        </w:rPr>
        <w:t xml:space="preserve"> Accessed 4/10/2021</w:t>
      </w:r>
    </w:p>
    <w:p w14:paraId="4623E3BA" w14:textId="49255C55" w:rsidR="10E83E5F" w:rsidRDefault="10E83E5F" w:rsidP="10E83E5F">
      <w:pPr>
        <w:spacing w:line="264" w:lineRule="auto"/>
        <w:rPr>
          <w:rFonts w:eastAsia="Calibri" w:cs="Arial"/>
        </w:rPr>
      </w:pPr>
    </w:p>
    <w:p w14:paraId="07C0A53C" w14:textId="124795B7" w:rsidR="5968A22C" w:rsidRDefault="5968A22C" w:rsidP="10E83E5F">
      <w:pPr>
        <w:spacing w:line="264" w:lineRule="auto"/>
      </w:pPr>
      <w:r w:rsidRPr="10E83E5F">
        <w:rPr>
          <w:rFonts w:eastAsia="Montserrat Light" w:cs="Montserrat Light"/>
          <w:u w:val="single"/>
        </w:rPr>
        <w:t>Chóliz</w:t>
      </w:r>
      <w:r w:rsidRPr="10E83E5F">
        <w:rPr>
          <w:rFonts w:eastAsia="Montserrat Light" w:cs="Montserrat Light"/>
        </w:rPr>
        <w:t xml:space="preserve">, Mariano. (2018). Ethical Gambling: A Necessary New Point of View of Gambling in Public Health Policies. </w:t>
      </w:r>
      <w:r w:rsidRPr="10E83E5F">
        <w:rPr>
          <w:rFonts w:eastAsia="Montserrat Light" w:cs="Montserrat Light"/>
          <w:i/>
          <w:iCs/>
        </w:rPr>
        <w:t>Frontiers in Public Health, 6</w:t>
      </w:r>
      <w:r w:rsidRPr="10E83E5F">
        <w:rPr>
          <w:rFonts w:eastAsia="Montserrat Light" w:cs="Montserrat Light"/>
        </w:rPr>
        <w:t xml:space="preserve">, 12. </w:t>
      </w:r>
      <w:r w:rsidRPr="10E83E5F">
        <w:rPr>
          <w:rFonts w:eastAsia="Montserrat Light" w:cs="Montserrat Light"/>
          <w:color w:val="4F81BD"/>
          <w:u w:val="single"/>
        </w:rPr>
        <w:t>https://doi.org/10.3389/fpubh.2018.00012</w:t>
      </w:r>
      <w:r w:rsidRPr="10E83E5F">
        <w:rPr>
          <w:rFonts w:eastAsia="Montserrat Light" w:cs="Montserrat Light"/>
        </w:rPr>
        <w:t xml:space="preserve">   </w:t>
      </w:r>
      <w:r w:rsidR="007E242E">
        <w:rPr>
          <w:rFonts w:eastAsia="Montserrat Light" w:cs="Montserrat Light"/>
        </w:rPr>
        <w:t>Accessed 4/10/2021</w:t>
      </w:r>
    </w:p>
    <w:p w14:paraId="329EF735" w14:textId="7077E18D" w:rsidR="10E83E5F" w:rsidRDefault="10E83E5F" w:rsidP="10E83E5F">
      <w:pPr>
        <w:rPr>
          <w:rFonts w:eastAsia="Calibri" w:cs="Arial"/>
        </w:rPr>
      </w:pPr>
    </w:p>
    <w:p w14:paraId="4EC063F2" w14:textId="35E68724" w:rsidR="006D5B6B" w:rsidRDefault="006D5B6B" w:rsidP="006D5B6B">
      <w:pPr>
        <w:pStyle w:val="BodyText"/>
        <w:spacing w:after="0"/>
        <w:rPr>
          <w:shd w:val="clear" w:color="auto" w:fill="FFFFFF"/>
        </w:rPr>
      </w:pPr>
      <w:r w:rsidRPr="006D5B6B">
        <w:rPr>
          <w:shd w:val="clear" w:color="auto" w:fill="FFFFFF"/>
        </w:rPr>
        <w:t>Clarke</w:t>
      </w:r>
      <w:r w:rsidR="31A72798" w:rsidRPr="006D5B6B">
        <w:rPr>
          <w:shd w:val="clear" w:color="auto" w:fill="FFFFFF"/>
        </w:rPr>
        <w:t>,</w:t>
      </w:r>
      <w:r w:rsidRPr="006D5B6B">
        <w:rPr>
          <w:shd w:val="clear" w:color="auto" w:fill="FFFFFF"/>
        </w:rPr>
        <w:t xml:space="preserve"> V.</w:t>
      </w:r>
      <w:r w:rsidR="5CCF06C2" w:rsidRPr="006D5B6B">
        <w:rPr>
          <w:shd w:val="clear" w:color="auto" w:fill="FFFFFF"/>
        </w:rPr>
        <w:t xml:space="preserve"> &amp;</w:t>
      </w:r>
      <w:r w:rsidRPr="006D5B6B">
        <w:rPr>
          <w:shd w:val="clear" w:color="auto" w:fill="FFFFFF"/>
        </w:rPr>
        <w:t xml:space="preserve"> Braun</w:t>
      </w:r>
      <w:r w:rsidR="46D92F56" w:rsidRPr="006D5B6B">
        <w:rPr>
          <w:shd w:val="clear" w:color="auto" w:fill="FFFFFF"/>
        </w:rPr>
        <w:t>,</w:t>
      </w:r>
      <w:r w:rsidRPr="006D5B6B">
        <w:rPr>
          <w:shd w:val="clear" w:color="auto" w:fill="FFFFFF"/>
        </w:rPr>
        <w:t xml:space="preserve"> V. (2014)</w:t>
      </w:r>
      <w:r w:rsidR="2917DA41" w:rsidRPr="006D5B6B">
        <w:rPr>
          <w:shd w:val="clear" w:color="auto" w:fill="FFFFFF"/>
        </w:rPr>
        <w:t>.</w:t>
      </w:r>
      <w:r w:rsidRPr="006D5B6B">
        <w:rPr>
          <w:shd w:val="clear" w:color="auto" w:fill="FFFFFF"/>
        </w:rPr>
        <w:t xml:space="preserve"> Thematic Analysis. In: Teo</w:t>
      </w:r>
      <w:r w:rsidR="3F06DA16" w:rsidRPr="006D5B6B">
        <w:rPr>
          <w:shd w:val="clear" w:color="auto" w:fill="FFFFFF"/>
        </w:rPr>
        <w:t>,</w:t>
      </w:r>
      <w:r w:rsidRPr="006D5B6B">
        <w:rPr>
          <w:shd w:val="clear" w:color="auto" w:fill="FFFFFF"/>
        </w:rPr>
        <w:t xml:space="preserve"> T. (</w:t>
      </w:r>
      <w:r w:rsidR="6EB122CF" w:rsidRPr="006D5B6B">
        <w:rPr>
          <w:shd w:val="clear" w:color="auto" w:fill="FFFFFF"/>
        </w:rPr>
        <w:t>E</w:t>
      </w:r>
      <w:r w:rsidRPr="006D5B6B">
        <w:rPr>
          <w:shd w:val="clear" w:color="auto" w:fill="FFFFFF"/>
        </w:rPr>
        <w:t>d</w:t>
      </w:r>
      <w:r w:rsidR="2621FCA0" w:rsidRPr="006D5B6B">
        <w:rPr>
          <w:shd w:val="clear" w:color="auto" w:fill="FFFFFF"/>
        </w:rPr>
        <w:t>s.</w:t>
      </w:r>
      <w:r w:rsidRPr="006D5B6B">
        <w:rPr>
          <w:shd w:val="clear" w:color="auto" w:fill="FFFFFF"/>
        </w:rPr>
        <w:t xml:space="preserve">) </w:t>
      </w:r>
      <w:proofErr w:type="spellStart"/>
      <w:r w:rsidRPr="31FAE1FE">
        <w:rPr>
          <w:i/>
          <w:shd w:val="clear" w:color="auto" w:fill="FFFFFF"/>
        </w:rPr>
        <w:t>Encyclopedia</w:t>
      </w:r>
      <w:proofErr w:type="spellEnd"/>
      <w:r w:rsidRPr="31FAE1FE">
        <w:rPr>
          <w:i/>
          <w:shd w:val="clear" w:color="auto" w:fill="FFFFFF"/>
        </w:rPr>
        <w:t xml:space="preserve"> of Critical Psychology</w:t>
      </w:r>
      <w:r w:rsidRPr="006D5B6B">
        <w:rPr>
          <w:shd w:val="clear" w:color="auto" w:fill="FFFFFF"/>
        </w:rPr>
        <w:t xml:space="preserve">. Springer, New York, NY. </w:t>
      </w:r>
    </w:p>
    <w:p w14:paraId="218FCA52" w14:textId="6BB03E39" w:rsidR="006D5B6B" w:rsidRDefault="00005CFC" w:rsidP="000C134A">
      <w:pPr>
        <w:pStyle w:val="BodyText"/>
        <w:rPr>
          <w:shd w:val="clear" w:color="auto" w:fill="FFFFFF"/>
        </w:rPr>
      </w:pPr>
      <w:hyperlink r:id="rId34" w:history="1">
        <w:r w:rsidR="00B16481" w:rsidRPr="00317A9A">
          <w:rPr>
            <w:rStyle w:val="Hyperlink"/>
            <w:shd w:val="clear" w:color="auto" w:fill="FFFFFF"/>
          </w:rPr>
          <w:t>https://doi.org/10.1007/978-1-4614-5583-7_311</w:t>
        </w:r>
      </w:hyperlink>
      <w:r w:rsidR="00B16481">
        <w:rPr>
          <w:shd w:val="clear" w:color="auto" w:fill="FFFFFF"/>
        </w:rPr>
        <w:t xml:space="preserve"> </w:t>
      </w:r>
      <w:r w:rsidR="10EFF4E2" w:rsidRPr="006D5B6B">
        <w:rPr>
          <w:shd w:val="clear" w:color="auto" w:fill="FFFFFF"/>
        </w:rPr>
        <w:t xml:space="preserve"> </w:t>
      </w:r>
      <w:r w:rsidR="003C04A0">
        <w:rPr>
          <w:shd w:val="clear" w:color="auto" w:fill="FFFFFF"/>
        </w:rPr>
        <w:t xml:space="preserve"> </w:t>
      </w:r>
      <w:r w:rsidR="003C04A0">
        <w:rPr>
          <w:rFonts w:eastAsia="Montserrat Light" w:cs="Montserrat Light"/>
        </w:rPr>
        <w:t>Accessed 4/10/2021</w:t>
      </w:r>
    </w:p>
    <w:p w14:paraId="7B909F37" w14:textId="6DB461C0" w:rsidR="00AD1FC3" w:rsidRDefault="0076686D" w:rsidP="000C134A">
      <w:pPr>
        <w:pStyle w:val="BodyText"/>
        <w:rPr>
          <w:shd w:val="clear" w:color="auto" w:fill="FFFFFF"/>
        </w:rPr>
      </w:pPr>
      <w:r>
        <w:rPr>
          <w:shd w:val="clear" w:color="auto" w:fill="FFFFFF"/>
        </w:rPr>
        <w:t>Cousins, J. Bradley</w:t>
      </w:r>
      <w:r w:rsidR="005D563C">
        <w:rPr>
          <w:shd w:val="clear" w:color="auto" w:fill="FFFFFF"/>
        </w:rPr>
        <w:t xml:space="preserve"> (2018) Evaluation of Gamgard</w:t>
      </w:r>
      <w:r w:rsidR="009F683B">
        <w:rPr>
          <w:shd w:val="clear" w:color="auto" w:fill="FFFFFF"/>
        </w:rPr>
        <w:t xml:space="preserve"> Centre for Research on Educational and Community Services</w:t>
      </w:r>
      <w:r w:rsidR="007B763A">
        <w:rPr>
          <w:shd w:val="clear" w:color="auto" w:fill="FFFFFF"/>
        </w:rPr>
        <w:t>, University of Ottawa</w:t>
      </w:r>
      <w:r w:rsidR="00C63AF3">
        <w:rPr>
          <w:shd w:val="clear" w:color="auto" w:fill="FFFFFF"/>
        </w:rPr>
        <w:t xml:space="preserve"> </w:t>
      </w:r>
      <w:r w:rsidR="00B16481">
        <w:rPr>
          <w:shd w:val="clear" w:color="auto" w:fill="FFFFFF"/>
        </w:rPr>
        <w:t xml:space="preserve"> </w:t>
      </w:r>
      <w:hyperlink r:id="rId35" w:history="1">
        <w:r w:rsidR="00B16481" w:rsidRPr="00317A9A">
          <w:rPr>
            <w:rStyle w:val="Hyperlink"/>
            <w:shd w:val="clear" w:color="auto" w:fill="FFFFFF"/>
          </w:rPr>
          <w:t>https://crecs.uottawa.ca/sites/crecs.uottawa.ca/files/gamgard_evaluation_report_-_final.pdf</w:t>
        </w:r>
      </w:hyperlink>
      <w:r w:rsidR="00B16481">
        <w:rPr>
          <w:shd w:val="clear" w:color="auto" w:fill="FFFFFF"/>
        </w:rPr>
        <w:t xml:space="preserve"> </w:t>
      </w:r>
      <w:r w:rsidR="007B763A">
        <w:rPr>
          <w:shd w:val="clear" w:color="auto" w:fill="FFFFFF"/>
        </w:rPr>
        <w:t xml:space="preserve"> </w:t>
      </w:r>
      <w:r w:rsidR="00E83BD7">
        <w:rPr>
          <w:rFonts w:eastAsia="Montserrat Light" w:cs="Montserrat Light"/>
        </w:rPr>
        <w:t>Accessed 4/10/2021</w:t>
      </w:r>
    </w:p>
    <w:p w14:paraId="0A1F0FA1" w14:textId="48D798AE" w:rsidR="10EFF4E2" w:rsidRDefault="10EFF4E2" w:rsidP="10E83E5F">
      <w:pPr>
        <w:spacing w:line="264" w:lineRule="auto"/>
      </w:pPr>
      <w:proofErr w:type="spellStart"/>
      <w:r w:rsidRPr="10E83E5F">
        <w:rPr>
          <w:rFonts w:eastAsia="Montserrat Light" w:cs="Montserrat Light"/>
        </w:rPr>
        <w:t>Delfabbro</w:t>
      </w:r>
      <w:proofErr w:type="spellEnd"/>
      <w:r w:rsidRPr="10E83E5F">
        <w:rPr>
          <w:rFonts w:eastAsia="Montserrat Light" w:cs="Montserrat Light"/>
        </w:rPr>
        <w:t xml:space="preserve">, P. &amp; King, D.L. (2019). Play dynamics on electronic gaming machines: A conceptual review. </w:t>
      </w:r>
      <w:r w:rsidRPr="10E83E5F">
        <w:rPr>
          <w:rFonts w:eastAsia="Montserrat Light" w:cs="Montserrat Light"/>
          <w:i/>
          <w:iCs/>
        </w:rPr>
        <w:t>Journal of Behavioral Addictions, 8</w:t>
      </w:r>
      <w:r w:rsidRPr="10E83E5F">
        <w:rPr>
          <w:rFonts w:eastAsia="Montserrat Light" w:cs="Montserrat Light"/>
        </w:rPr>
        <w:t xml:space="preserve">(2), 191–200. </w:t>
      </w:r>
      <w:r w:rsidRPr="10E83E5F">
        <w:rPr>
          <w:rFonts w:eastAsia="Montserrat Light" w:cs="Montserrat Light"/>
          <w:color w:val="4F81BD"/>
          <w:u w:val="single"/>
        </w:rPr>
        <w:t>https://doi.org/10.1556/2006.8.2019.20</w:t>
      </w:r>
    </w:p>
    <w:p w14:paraId="38ADE984" w14:textId="0B86AAAE" w:rsidR="00EB26D7" w:rsidRDefault="001A168D" w:rsidP="10E83E5F">
      <w:pPr>
        <w:spacing w:line="264" w:lineRule="auto"/>
        <w:rPr>
          <w:rFonts w:eastAsia="Montserrat Light" w:cs="Montserrat Light"/>
        </w:rPr>
      </w:pPr>
      <w:r>
        <w:rPr>
          <w:rFonts w:eastAsia="Montserrat Light" w:cs="Montserrat Light"/>
        </w:rPr>
        <w:t>Accessed 4/10/2021</w:t>
      </w:r>
    </w:p>
    <w:p w14:paraId="484E9679" w14:textId="77777777" w:rsidR="00EC4FA7" w:rsidRDefault="00EC4FA7" w:rsidP="10E83E5F">
      <w:pPr>
        <w:spacing w:line="264" w:lineRule="auto"/>
        <w:rPr>
          <w:rFonts w:eastAsia="Montserrat Light" w:cs="Montserrat Light"/>
        </w:rPr>
      </w:pPr>
    </w:p>
    <w:p w14:paraId="5CAFE7F7" w14:textId="29ED3202" w:rsidR="10EFF4E2" w:rsidRDefault="10EFF4E2" w:rsidP="10E83E5F">
      <w:pPr>
        <w:spacing w:line="264" w:lineRule="auto"/>
        <w:rPr>
          <w:rFonts w:eastAsia="Montserrat Light" w:cs="Montserrat Light"/>
        </w:rPr>
      </w:pPr>
      <w:r w:rsidRPr="10E83E5F">
        <w:rPr>
          <w:rFonts w:eastAsia="Montserrat Light" w:cs="Montserrat Light"/>
        </w:rPr>
        <w:t xml:space="preserve"> Department of Internal Affairs. (2006). </w:t>
      </w:r>
      <w:r w:rsidRPr="10E83E5F">
        <w:rPr>
          <w:rFonts w:eastAsia="Montserrat Light" w:cs="Montserrat Light"/>
          <w:i/>
          <w:iCs/>
        </w:rPr>
        <w:t>Operational policy – Internal guidelines harm prevention, harm minimisation and responsible gambling</w:t>
      </w:r>
      <w:r w:rsidRPr="10E83E5F">
        <w:rPr>
          <w:rFonts w:eastAsia="Montserrat Light" w:cs="Montserrat Light"/>
        </w:rPr>
        <w:t xml:space="preserve">. Gambling Compliance Group </w:t>
      </w:r>
      <w:hyperlink r:id="rId36" w:history="1">
        <w:r w:rsidR="002F7058" w:rsidRPr="00B91E55">
          <w:rPr>
            <w:rStyle w:val="Hyperlink"/>
            <w:rFonts w:eastAsia="Montserrat Light" w:cs="Montserrat Light"/>
          </w:rPr>
          <w:t>https://www.dia.govt.nz/pubforms.nsf/URL/GamingOperationalPolicy.pdf/$file/GamingOperationalPolicy.pdf</w:t>
        </w:r>
      </w:hyperlink>
      <w:r w:rsidR="002F7058">
        <w:rPr>
          <w:rFonts w:eastAsia="Montserrat Light" w:cs="Montserrat Light"/>
          <w:color w:val="4F81BD"/>
          <w:u w:val="single"/>
        </w:rPr>
        <w:t xml:space="preserve">  </w:t>
      </w:r>
      <w:r w:rsidR="002F7058">
        <w:rPr>
          <w:rFonts w:eastAsia="Montserrat Light" w:cs="Montserrat Light"/>
        </w:rPr>
        <w:t>Accessed 4/10/2021</w:t>
      </w:r>
    </w:p>
    <w:p w14:paraId="3C7374F0" w14:textId="7239EF3E" w:rsidR="10E83E5F" w:rsidRDefault="10E83E5F" w:rsidP="10E83E5F">
      <w:pPr>
        <w:pStyle w:val="BodyText"/>
        <w:rPr>
          <w:rFonts w:eastAsia="Calibri" w:cs="Arial"/>
        </w:rPr>
      </w:pPr>
    </w:p>
    <w:p w14:paraId="193F6B84" w14:textId="0BA44927" w:rsidR="10EFF4E2" w:rsidRDefault="10EFF4E2" w:rsidP="232AAC2D">
      <w:pPr>
        <w:spacing w:line="264" w:lineRule="auto"/>
        <w:rPr>
          <w:rFonts w:eastAsia="Montserrat Light" w:cs="Montserrat Light"/>
        </w:rPr>
      </w:pPr>
      <w:r w:rsidRPr="232AAC2D">
        <w:rPr>
          <w:rFonts w:eastAsia="Montserrat Light" w:cs="Montserrat Light"/>
        </w:rPr>
        <w:t xml:space="preserve">Dixon, M. R. (2000). Manipulating the illusion of control: Variations in gambling as a function of perceived control over chance outcomes. </w:t>
      </w:r>
      <w:r w:rsidRPr="232AAC2D">
        <w:rPr>
          <w:rFonts w:eastAsia="Montserrat Light" w:cs="Montserrat Light"/>
          <w:i/>
          <w:iCs/>
        </w:rPr>
        <w:t>The Psychological Record 50</w:t>
      </w:r>
      <w:r w:rsidRPr="232AAC2D">
        <w:rPr>
          <w:rFonts w:eastAsia="Montserrat Light" w:cs="Montserrat Light"/>
        </w:rPr>
        <w:t>(4), 705-719.</w:t>
      </w:r>
    </w:p>
    <w:p w14:paraId="38970927" w14:textId="77777777" w:rsidR="002F7058" w:rsidRDefault="002F7058" w:rsidP="232AAC2D">
      <w:pPr>
        <w:spacing w:line="264" w:lineRule="auto"/>
      </w:pPr>
    </w:p>
    <w:p w14:paraId="7BD56497" w14:textId="77777777" w:rsidR="00B61853" w:rsidRDefault="10EFF4E2" w:rsidP="00B61853">
      <w:pPr>
        <w:spacing w:line="264" w:lineRule="auto"/>
        <w:rPr>
          <w:rFonts w:eastAsia="Montserrat Light" w:cs="Montserrat Light"/>
        </w:rPr>
      </w:pPr>
      <w:r w:rsidRPr="232AAC2D">
        <w:rPr>
          <w:rFonts w:eastAsia="Montserrat Light" w:cs="Montserrat Light"/>
        </w:rPr>
        <w:t xml:space="preserve">Ferris, J. &amp; Wynne, H. (2001). </w:t>
      </w:r>
      <w:r w:rsidRPr="232AAC2D">
        <w:rPr>
          <w:rFonts w:eastAsia="Montserrat Light" w:cs="Montserrat Light"/>
          <w:i/>
          <w:iCs/>
        </w:rPr>
        <w:t>The Canadian problem gambling index: Final report</w:t>
      </w:r>
      <w:r w:rsidRPr="232AAC2D">
        <w:rPr>
          <w:rFonts w:eastAsia="Montserrat Light" w:cs="Montserrat Light"/>
        </w:rPr>
        <w:t xml:space="preserve">. Report to the Canadian Inter-Provincial Advisory Committee. Canadian Centre on Substance Abuse. </w:t>
      </w:r>
      <w:hyperlink r:id="rId37" w:history="1">
        <w:r w:rsidR="00B61853" w:rsidRPr="00B91E55">
          <w:rPr>
            <w:rStyle w:val="Hyperlink"/>
            <w:rFonts w:eastAsia="Montserrat Light" w:cs="Montserrat Light"/>
          </w:rPr>
          <w:t>https://www.greo.ca/Modules/EvidenceCentre/files/Ferris%20et%20al(2001)The_Canadian_Problem_Gambling_Index.pdf</w:t>
        </w:r>
      </w:hyperlink>
      <w:r w:rsidR="00B61853">
        <w:rPr>
          <w:rFonts w:eastAsia="Montserrat Light" w:cs="Montserrat Light"/>
          <w:color w:val="4F81BD"/>
          <w:u w:val="single"/>
        </w:rPr>
        <w:t xml:space="preserve">  </w:t>
      </w:r>
      <w:bookmarkStart w:id="429" w:name="_Hlk84263675"/>
      <w:bookmarkStart w:id="430" w:name="_Hlk84264374"/>
      <w:r w:rsidR="00B61853">
        <w:rPr>
          <w:rFonts w:eastAsia="Montserrat Light" w:cs="Montserrat Light"/>
        </w:rPr>
        <w:t>Accessed 4/10/2021</w:t>
      </w:r>
      <w:bookmarkEnd w:id="429"/>
    </w:p>
    <w:p w14:paraId="4480DDAE" w14:textId="77777777" w:rsidR="00B61853" w:rsidRDefault="00B61853" w:rsidP="00B61853">
      <w:pPr>
        <w:pStyle w:val="BodyText"/>
        <w:rPr>
          <w:rFonts w:eastAsia="Calibri" w:cs="Arial"/>
        </w:rPr>
      </w:pPr>
    </w:p>
    <w:bookmarkEnd w:id="430"/>
    <w:p w14:paraId="37AAC4F4" w14:textId="7D61D61D" w:rsidR="10EFF4E2" w:rsidRDefault="10EFF4E2" w:rsidP="232AAC2D">
      <w:pPr>
        <w:spacing w:line="264" w:lineRule="auto"/>
      </w:pPr>
      <w:r w:rsidRPr="232AAC2D">
        <w:rPr>
          <w:rFonts w:eastAsia="Montserrat Light" w:cs="Montserrat Light"/>
        </w:rPr>
        <w:t xml:space="preserve">Gainsbury, S. &amp; Blaszczynski, A. (2012). Harm minimisation in gambling. In R. Pates &amp; D. Riley (Eds). </w:t>
      </w:r>
      <w:r w:rsidRPr="232AAC2D">
        <w:rPr>
          <w:rFonts w:eastAsia="Montserrat Light" w:cs="Montserrat Light"/>
          <w:i/>
          <w:iCs/>
        </w:rPr>
        <w:t xml:space="preserve">Harm reduction in substance use and high-risk behaviour: International policy and practice </w:t>
      </w:r>
      <w:r w:rsidRPr="232AAC2D">
        <w:rPr>
          <w:rFonts w:eastAsia="Montserrat Light" w:cs="Montserrat Light"/>
        </w:rPr>
        <w:t>(pp. 263-278). Oxford: Wiley-Blackwell.</w:t>
      </w:r>
      <w:r w:rsidR="00C16452">
        <w:rPr>
          <w:rFonts w:eastAsia="Montserrat Light" w:cs="Montserrat Light"/>
        </w:rPr>
        <w:t xml:space="preserve">  </w:t>
      </w:r>
      <w:hyperlink r:id="rId38" w:history="1">
        <w:r w:rsidR="00B74358" w:rsidRPr="00B91E55">
          <w:rPr>
            <w:rStyle w:val="Hyperlink"/>
            <w:rFonts w:eastAsia="Montserrat Light" w:cs="Montserrat Light"/>
          </w:rPr>
          <w:t>https://www.academia.edu/30839068/Harm_Minimisation_in_Gambling</w:t>
        </w:r>
      </w:hyperlink>
      <w:r w:rsidR="00B74358">
        <w:rPr>
          <w:rFonts w:eastAsia="Montserrat Light" w:cs="Montserrat Light"/>
        </w:rPr>
        <w:t xml:space="preserve"> Accessed 4/10/2021</w:t>
      </w:r>
    </w:p>
    <w:p w14:paraId="1B600644" w14:textId="3B7C1164" w:rsidR="232AAC2D" w:rsidRDefault="232AAC2D" w:rsidP="232AAC2D">
      <w:pPr>
        <w:pStyle w:val="BodyText"/>
      </w:pPr>
    </w:p>
    <w:p w14:paraId="5ADED07B" w14:textId="77777777" w:rsidR="00513018" w:rsidRDefault="4F0FC2BD" w:rsidP="00513018">
      <w:pPr>
        <w:spacing w:line="264" w:lineRule="auto"/>
        <w:rPr>
          <w:rFonts w:eastAsia="Montserrat Light" w:cs="Montserrat Light"/>
        </w:rPr>
      </w:pPr>
      <w:r w:rsidRPr="1C399C27">
        <w:rPr>
          <w:rFonts w:eastAsia="Montserrat Light" w:cs="Montserrat Light"/>
        </w:rPr>
        <w:t xml:space="preserve">Gerstein, D., Hoffmann, J., et al. (1999). </w:t>
      </w:r>
      <w:r w:rsidRPr="1C399C27">
        <w:rPr>
          <w:rFonts w:eastAsia="Montserrat Light" w:cs="Montserrat Light"/>
          <w:i/>
          <w:iCs/>
        </w:rPr>
        <w:t xml:space="preserve">Gambling impact and </w:t>
      </w:r>
      <w:proofErr w:type="spellStart"/>
      <w:r w:rsidRPr="1C399C27">
        <w:rPr>
          <w:rFonts w:eastAsia="Montserrat Light" w:cs="Montserrat Light"/>
          <w:i/>
          <w:iCs/>
        </w:rPr>
        <w:t>behavior</w:t>
      </w:r>
      <w:proofErr w:type="spellEnd"/>
      <w:r w:rsidRPr="1C399C27">
        <w:rPr>
          <w:rFonts w:eastAsia="Montserrat Light" w:cs="Montserrat Light"/>
          <w:i/>
          <w:iCs/>
        </w:rPr>
        <w:t xml:space="preserve"> study</w:t>
      </w:r>
      <w:r w:rsidRPr="1C399C27">
        <w:rPr>
          <w:rFonts w:eastAsia="Montserrat Light" w:cs="Montserrat Light"/>
        </w:rPr>
        <w:t>. National Opinion Research Center, University of Chicago.</w:t>
      </w:r>
      <w:r w:rsidR="00513018">
        <w:rPr>
          <w:rFonts w:eastAsia="Montserrat Light" w:cs="Montserrat Light"/>
        </w:rPr>
        <w:t xml:space="preserve"> </w:t>
      </w:r>
      <w:hyperlink r:id="rId39" w:history="1">
        <w:r w:rsidR="00513018" w:rsidRPr="00B91E55">
          <w:rPr>
            <w:rStyle w:val="Hyperlink"/>
            <w:rFonts w:eastAsia="Montserrat Light" w:cs="Montserrat Light"/>
          </w:rPr>
          <w:t>https://www.norc.org/PDFs/publications/GIBSFinalReportApril1999.pdf</w:t>
        </w:r>
      </w:hyperlink>
      <w:r w:rsidR="00513018">
        <w:rPr>
          <w:rFonts w:eastAsia="Montserrat Light" w:cs="Montserrat Light"/>
        </w:rPr>
        <w:t xml:space="preserve">  </w:t>
      </w:r>
      <w:bookmarkStart w:id="431" w:name="_Hlk84264449"/>
      <w:r w:rsidR="00513018">
        <w:rPr>
          <w:rFonts w:eastAsia="Montserrat Light" w:cs="Montserrat Light"/>
        </w:rPr>
        <w:t>Accessed 4/10/2021</w:t>
      </w:r>
      <w:bookmarkEnd w:id="431"/>
    </w:p>
    <w:p w14:paraId="30F0E7F6" w14:textId="77777777" w:rsidR="00513018" w:rsidRDefault="00513018" w:rsidP="00513018">
      <w:pPr>
        <w:pStyle w:val="BodyText"/>
        <w:rPr>
          <w:rFonts w:eastAsia="Calibri" w:cs="Arial"/>
        </w:rPr>
      </w:pPr>
    </w:p>
    <w:p w14:paraId="0F3AC280" w14:textId="013FB7EE" w:rsidR="4F0FC2BD" w:rsidRDefault="4F0FC2BD" w:rsidP="1C399C27">
      <w:pPr>
        <w:spacing w:line="264" w:lineRule="auto"/>
      </w:pPr>
      <w:r w:rsidRPr="1C399C27">
        <w:rPr>
          <w:rFonts w:eastAsia="Montserrat Light" w:cs="Montserrat Light"/>
        </w:rPr>
        <w:t>Griffiths, M.D., Wood, R.T.A., &amp; Parke, J. (2008).</w:t>
      </w:r>
      <w:r w:rsidRPr="1C399C27">
        <w:rPr>
          <w:rFonts w:eastAsia="Montserrat Light" w:cs="Montserrat Light"/>
          <w:color w:val="008080"/>
          <w:u w:val="single"/>
        </w:rPr>
        <w:t xml:space="preserve"> </w:t>
      </w:r>
      <w:r w:rsidRPr="1C399C27">
        <w:rPr>
          <w:rFonts w:eastAsia="Montserrat Light" w:cs="Montserrat Light"/>
        </w:rPr>
        <w:t xml:space="preserve">Consumer protection: reducing addiction risk in developing online games. </w:t>
      </w:r>
      <w:r w:rsidRPr="1C399C27">
        <w:rPr>
          <w:rFonts w:eastAsia="Montserrat Light" w:cs="Montserrat Light"/>
          <w:i/>
          <w:iCs/>
        </w:rPr>
        <w:t>E-Commerce, Law and Policy, 10</w:t>
      </w:r>
      <w:r w:rsidRPr="1C399C27">
        <w:rPr>
          <w:rFonts w:eastAsia="Montserrat Light" w:cs="Montserrat Light"/>
        </w:rPr>
        <w:t xml:space="preserve">(5), pp. 15-16. </w:t>
      </w:r>
      <w:hyperlink r:id="rId40" w:history="1">
        <w:r w:rsidR="00CD32F9" w:rsidRPr="00B91E55">
          <w:rPr>
            <w:rStyle w:val="Hyperlink"/>
            <w:rFonts w:eastAsia="Montserrat Light" w:cs="Montserrat Light"/>
          </w:rPr>
          <w:t>http://irep.ntu.ac.uk/id/eprint/13307/</w:t>
        </w:r>
      </w:hyperlink>
      <w:r w:rsidR="00CD32F9">
        <w:rPr>
          <w:rFonts w:eastAsia="Montserrat Light" w:cs="Montserrat Light"/>
          <w:color w:val="4F81BD"/>
          <w:u w:val="single"/>
        </w:rPr>
        <w:t xml:space="preserve">  </w:t>
      </w:r>
      <w:r w:rsidR="00CD32F9">
        <w:rPr>
          <w:rFonts w:eastAsia="Montserrat Light" w:cs="Montserrat Light"/>
        </w:rPr>
        <w:t>Accessed 4/10/2021</w:t>
      </w:r>
    </w:p>
    <w:p w14:paraId="43B3726E" w14:textId="4ACD3142" w:rsidR="1C399C27" w:rsidRDefault="1C399C27" w:rsidP="1C399C27">
      <w:pPr>
        <w:pStyle w:val="BodyText"/>
        <w:rPr>
          <w:rFonts w:eastAsia="Calibri" w:cs="Arial"/>
        </w:rPr>
      </w:pPr>
    </w:p>
    <w:p w14:paraId="7040069F" w14:textId="77777777" w:rsidR="008455BD" w:rsidRPr="008455BD" w:rsidRDefault="000C134A" w:rsidP="008455BD">
      <w:pPr>
        <w:spacing w:line="264" w:lineRule="auto"/>
        <w:rPr>
          <w:rFonts w:eastAsia="Montserrat Light" w:cs="Montserrat Light"/>
        </w:rPr>
      </w:pPr>
      <w:proofErr w:type="spellStart"/>
      <w:r w:rsidRPr="003C0F95">
        <w:rPr>
          <w:rFonts w:eastAsia="Montserrat Light" w:cs="Montserrat Light"/>
          <w:shd w:val="clear" w:color="auto" w:fill="FFFFFF"/>
        </w:rPr>
        <w:t>H</w:t>
      </w:r>
      <w:r w:rsidR="4F0FC2BD" w:rsidRPr="20F5AB55">
        <w:rPr>
          <w:rFonts w:eastAsia="Montserrat Light" w:cs="Montserrat Light"/>
        </w:rPr>
        <w:t>äder</w:t>
      </w:r>
      <w:proofErr w:type="spellEnd"/>
      <w:r w:rsidR="4F0FC2BD" w:rsidRPr="20F5AB55">
        <w:rPr>
          <w:rFonts w:eastAsia="Montserrat Light" w:cs="Montserrat Light"/>
        </w:rPr>
        <w:t xml:space="preserve">, M. &amp; </w:t>
      </w:r>
      <w:proofErr w:type="spellStart"/>
      <w:r w:rsidR="4F0FC2BD" w:rsidRPr="20F5AB55">
        <w:rPr>
          <w:rFonts w:eastAsia="Montserrat Light" w:cs="Montserrat Light"/>
        </w:rPr>
        <w:t>Häder</w:t>
      </w:r>
      <w:proofErr w:type="spellEnd"/>
      <w:r w:rsidR="4F0FC2BD" w:rsidRPr="20F5AB55">
        <w:rPr>
          <w:rFonts w:eastAsia="Montserrat Light" w:cs="Montserrat Light"/>
        </w:rPr>
        <w:t>, S. (2000). Die Delphi-</w:t>
      </w:r>
      <w:proofErr w:type="spellStart"/>
      <w:r w:rsidR="4F0FC2BD" w:rsidRPr="20F5AB55">
        <w:rPr>
          <w:rFonts w:eastAsia="Montserrat Light" w:cs="Montserrat Light"/>
        </w:rPr>
        <w:t>Methode</w:t>
      </w:r>
      <w:proofErr w:type="spellEnd"/>
      <w:r w:rsidR="4F0FC2BD" w:rsidRPr="20F5AB55">
        <w:rPr>
          <w:rFonts w:eastAsia="Montserrat Light" w:cs="Montserrat Light"/>
        </w:rPr>
        <w:t xml:space="preserve"> </w:t>
      </w:r>
      <w:proofErr w:type="spellStart"/>
      <w:r w:rsidR="4F0FC2BD" w:rsidRPr="20F5AB55">
        <w:rPr>
          <w:rFonts w:eastAsia="Montserrat Light" w:cs="Montserrat Light"/>
        </w:rPr>
        <w:t>als</w:t>
      </w:r>
      <w:proofErr w:type="spellEnd"/>
      <w:r w:rsidR="4F0FC2BD" w:rsidRPr="20F5AB55">
        <w:rPr>
          <w:rFonts w:eastAsia="Montserrat Light" w:cs="Montserrat Light"/>
        </w:rPr>
        <w:t xml:space="preserve"> </w:t>
      </w:r>
      <w:proofErr w:type="spellStart"/>
      <w:r w:rsidR="4F0FC2BD" w:rsidRPr="20F5AB55">
        <w:rPr>
          <w:rFonts w:eastAsia="Montserrat Light" w:cs="Montserrat Light"/>
        </w:rPr>
        <w:t>Gegenstand</w:t>
      </w:r>
      <w:proofErr w:type="spellEnd"/>
      <w:r w:rsidR="4F0FC2BD" w:rsidRPr="20F5AB55">
        <w:rPr>
          <w:rFonts w:eastAsia="Montserrat Light" w:cs="Montserrat Light"/>
        </w:rPr>
        <w:t xml:space="preserve"> </w:t>
      </w:r>
      <w:proofErr w:type="spellStart"/>
      <w:r w:rsidR="4F0FC2BD" w:rsidRPr="20F5AB55">
        <w:rPr>
          <w:rFonts w:eastAsia="Montserrat Light" w:cs="Montserrat Light"/>
        </w:rPr>
        <w:t>methodischer</w:t>
      </w:r>
      <w:proofErr w:type="spellEnd"/>
      <w:r w:rsidR="4F0FC2BD" w:rsidRPr="20F5AB55">
        <w:rPr>
          <w:rFonts w:eastAsia="Montserrat Light" w:cs="Montserrat Light"/>
        </w:rPr>
        <w:t xml:space="preserve"> </w:t>
      </w:r>
      <w:proofErr w:type="spellStart"/>
      <w:r w:rsidR="4F0FC2BD" w:rsidRPr="20F5AB55">
        <w:rPr>
          <w:rFonts w:eastAsia="Montserrat Light" w:cs="Montserrat Light"/>
        </w:rPr>
        <w:t>Forschungen</w:t>
      </w:r>
      <w:proofErr w:type="spellEnd"/>
      <w:r w:rsidR="4F0FC2BD" w:rsidRPr="20F5AB55">
        <w:rPr>
          <w:rFonts w:eastAsia="Montserrat Light" w:cs="Montserrat Light"/>
        </w:rPr>
        <w:t xml:space="preserve"> [The Delphi Method as the subject of methodical research], in </w:t>
      </w:r>
      <w:r w:rsidR="4F0FC2BD" w:rsidRPr="3D9DA17E">
        <w:rPr>
          <w:rFonts w:eastAsia="Montserrat Light" w:cs="Montserrat Light"/>
          <w:i/>
          <w:iCs/>
        </w:rPr>
        <w:t xml:space="preserve">Die Delphi-Technik in den </w:t>
      </w:r>
      <w:proofErr w:type="spellStart"/>
      <w:r w:rsidR="4F0FC2BD" w:rsidRPr="3D9DA17E">
        <w:rPr>
          <w:rFonts w:eastAsia="Montserrat Light" w:cs="Montserrat Light"/>
          <w:i/>
          <w:iCs/>
        </w:rPr>
        <w:t>Sozialwissenschaften</w:t>
      </w:r>
      <w:proofErr w:type="spellEnd"/>
      <w:r w:rsidR="4F0FC2BD" w:rsidRPr="3D9DA17E">
        <w:rPr>
          <w:rFonts w:eastAsia="Montserrat Light" w:cs="Montserrat Light"/>
          <w:i/>
          <w:iCs/>
        </w:rPr>
        <w:t xml:space="preserve">. </w:t>
      </w:r>
      <w:proofErr w:type="spellStart"/>
      <w:r w:rsidR="4F0FC2BD" w:rsidRPr="3D9DA17E">
        <w:rPr>
          <w:rFonts w:eastAsia="Montserrat Light" w:cs="Montserrat Light"/>
          <w:i/>
          <w:iCs/>
        </w:rPr>
        <w:t>Methodische</w:t>
      </w:r>
      <w:proofErr w:type="spellEnd"/>
      <w:r w:rsidR="4F0FC2BD" w:rsidRPr="3D9DA17E">
        <w:rPr>
          <w:rFonts w:eastAsia="Montserrat Light" w:cs="Montserrat Light"/>
          <w:i/>
          <w:iCs/>
        </w:rPr>
        <w:t xml:space="preserve"> </w:t>
      </w:r>
      <w:proofErr w:type="spellStart"/>
      <w:r w:rsidR="4F0FC2BD" w:rsidRPr="3D9DA17E">
        <w:rPr>
          <w:rFonts w:eastAsia="Montserrat Light" w:cs="Montserrat Light"/>
          <w:i/>
          <w:iCs/>
        </w:rPr>
        <w:t>Forschungen</w:t>
      </w:r>
      <w:proofErr w:type="spellEnd"/>
      <w:r w:rsidR="4F0FC2BD" w:rsidRPr="3D9DA17E">
        <w:rPr>
          <w:rFonts w:eastAsia="Montserrat Light" w:cs="Montserrat Light"/>
          <w:i/>
          <w:iCs/>
        </w:rPr>
        <w:t xml:space="preserve"> und innovative </w:t>
      </w:r>
      <w:proofErr w:type="spellStart"/>
      <w:r w:rsidR="4F0FC2BD" w:rsidRPr="3D9DA17E">
        <w:rPr>
          <w:rFonts w:eastAsia="Montserrat Light" w:cs="Montserrat Light"/>
          <w:i/>
          <w:iCs/>
        </w:rPr>
        <w:t>Anwendungen</w:t>
      </w:r>
      <w:proofErr w:type="spellEnd"/>
      <w:r w:rsidR="4F0FC2BD" w:rsidRPr="3D9DA17E">
        <w:rPr>
          <w:rFonts w:eastAsia="Montserrat Light" w:cs="Montserrat Light"/>
        </w:rPr>
        <w:t xml:space="preserve"> (pp. 11–31). VS Verlag </w:t>
      </w:r>
      <w:proofErr w:type="spellStart"/>
      <w:r w:rsidR="4F0FC2BD" w:rsidRPr="3D9DA17E">
        <w:rPr>
          <w:rFonts w:eastAsia="Montserrat Light" w:cs="Montserrat Light"/>
        </w:rPr>
        <w:t>für</w:t>
      </w:r>
      <w:proofErr w:type="spellEnd"/>
      <w:r w:rsidR="4F0FC2BD" w:rsidRPr="3D9DA17E">
        <w:rPr>
          <w:rFonts w:eastAsia="Montserrat Light" w:cs="Montserrat Light"/>
        </w:rPr>
        <w:t xml:space="preserve"> </w:t>
      </w:r>
      <w:proofErr w:type="spellStart"/>
      <w:r w:rsidR="4F0FC2BD" w:rsidRPr="3D9DA17E">
        <w:rPr>
          <w:rFonts w:eastAsia="Montserrat Light" w:cs="Montserrat Light"/>
        </w:rPr>
        <w:t>Sozialwissenschaften</w:t>
      </w:r>
      <w:proofErr w:type="spellEnd"/>
      <w:r w:rsidR="4F0FC2BD" w:rsidRPr="3D9DA17E">
        <w:rPr>
          <w:rFonts w:eastAsia="Montserrat Light" w:cs="Montserrat Light"/>
        </w:rPr>
        <w:t xml:space="preserve">, Wiesbaden.  </w:t>
      </w:r>
      <w:r w:rsidR="008455BD" w:rsidRPr="008455BD">
        <w:rPr>
          <w:rFonts w:eastAsia="Montserrat Light" w:cs="Montserrat Light"/>
        </w:rPr>
        <w:t>https://doi.org/10.1007/978-3-663-09682-5_1</w:t>
      </w:r>
    </w:p>
    <w:p w14:paraId="4087A0EA" w14:textId="7552D5F2" w:rsidR="000C134A" w:rsidRPr="004E4574" w:rsidRDefault="008455BD" w:rsidP="3D9DA17E">
      <w:pPr>
        <w:spacing w:line="264" w:lineRule="auto"/>
        <w:rPr>
          <w:rFonts w:eastAsia="Montserrat Light" w:cs="Montserrat Light"/>
        </w:rPr>
      </w:pPr>
      <w:r>
        <w:rPr>
          <w:rFonts w:eastAsia="Montserrat Light" w:cs="Montserrat Light"/>
        </w:rPr>
        <w:t xml:space="preserve"> </w:t>
      </w:r>
      <w:bookmarkStart w:id="432" w:name="_Hlk84265242"/>
      <w:r>
        <w:rPr>
          <w:rFonts w:eastAsia="Montserrat Light" w:cs="Montserrat Light"/>
        </w:rPr>
        <w:t>Accessed 4/10/2021</w:t>
      </w:r>
      <w:bookmarkEnd w:id="432"/>
    </w:p>
    <w:p w14:paraId="54B549DC" w14:textId="4ACD3142" w:rsidR="000C134A" w:rsidRPr="004E4574" w:rsidRDefault="000C134A" w:rsidP="3D9DA17E">
      <w:pPr>
        <w:spacing w:line="264" w:lineRule="auto"/>
        <w:rPr>
          <w:rFonts w:eastAsia="Calibri" w:cs="Arial"/>
        </w:rPr>
      </w:pPr>
    </w:p>
    <w:p w14:paraId="37780353" w14:textId="1C6B0F99" w:rsidR="000C134A" w:rsidRDefault="4F0FC2BD" w:rsidP="3D9DA17E">
      <w:pPr>
        <w:spacing w:line="264" w:lineRule="auto"/>
        <w:rPr>
          <w:rFonts w:eastAsia="Montserrat Light" w:cs="Montserrat Light"/>
        </w:rPr>
      </w:pPr>
      <w:r w:rsidRPr="3D9DA17E">
        <w:rPr>
          <w:rFonts w:eastAsia="Montserrat Light" w:cs="Montserrat Light"/>
        </w:rPr>
        <w:t xml:space="preserve">Harris, A. &amp; Griffiths, M.D. (2017). A Critical Review of the Harm-Minimisation Tools Available for Electronic Gambling. </w:t>
      </w:r>
      <w:r w:rsidRPr="3D9DA17E">
        <w:rPr>
          <w:rFonts w:eastAsia="Montserrat Light" w:cs="Montserrat Light"/>
          <w:i/>
          <w:iCs/>
        </w:rPr>
        <w:t>Journal of Gambling Studies 33</w:t>
      </w:r>
      <w:r w:rsidRPr="3D9DA17E">
        <w:rPr>
          <w:rFonts w:eastAsia="Montserrat Light" w:cs="Montserrat Light"/>
        </w:rPr>
        <w:t xml:space="preserve">(1), 187-221. </w:t>
      </w:r>
      <w:hyperlink r:id="rId41" w:history="1">
        <w:r w:rsidR="007F7BF6" w:rsidRPr="00B91E55">
          <w:rPr>
            <w:rStyle w:val="Hyperlink"/>
            <w:rFonts w:eastAsia="Montserrat Light" w:cs="Montserrat Light"/>
          </w:rPr>
          <w:t>https://link.springer.com/article/10.1007%2Fs10899-016-9624-8</w:t>
        </w:r>
      </w:hyperlink>
    </w:p>
    <w:p w14:paraId="52422A9C" w14:textId="2E3AA4ED" w:rsidR="007F7BF6" w:rsidRDefault="007F7BF6" w:rsidP="3D9DA17E">
      <w:pPr>
        <w:spacing w:line="264" w:lineRule="auto"/>
        <w:rPr>
          <w:rFonts w:eastAsia="Montserrat Light" w:cs="Montserrat Light"/>
        </w:rPr>
      </w:pPr>
      <w:r>
        <w:rPr>
          <w:rFonts w:eastAsia="Montserrat Light" w:cs="Montserrat Light"/>
        </w:rPr>
        <w:t>Accessed 4/10/2021</w:t>
      </w:r>
    </w:p>
    <w:p w14:paraId="269EC9D8" w14:textId="77777777" w:rsidR="007F7BF6" w:rsidRPr="004E4574" w:rsidRDefault="007F7BF6" w:rsidP="3D9DA17E">
      <w:pPr>
        <w:spacing w:line="264" w:lineRule="auto"/>
      </w:pPr>
    </w:p>
    <w:p w14:paraId="2C3E27A4" w14:textId="00EF0C23" w:rsidR="000C134A" w:rsidRDefault="000C134A" w:rsidP="3D9DA17E">
      <w:pPr>
        <w:rPr>
          <w:rFonts w:eastAsia="Calibri" w:cs="Arial"/>
        </w:rPr>
      </w:pPr>
      <w:r>
        <w:br/>
      </w:r>
    </w:p>
    <w:p w14:paraId="44A85442" w14:textId="671A2837" w:rsidR="0E4BFA76" w:rsidRDefault="0E4BFA76" w:rsidP="6CD8E403">
      <w:pPr>
        <w:spacing w:line="264" w:lineRule="auto"/>
      </w:pPr>
      <w:proofErr w:type="spellStart"/>
      <w:r w:rsidRPr="6CD8E403">
        <w:rPr>
          <w:rFonts w:eastAsia="Montserrat Light" w:cs="Montserrat Light"/>
        </w:rPr>
        <w:t>Holtgraves</w:t>
      </w:r>
      <w:proofErr w:type="spellEnd"/>
      <w:r w:rsidRPr="6CD8E403">
        <w:rPr>
          <w:rFonts w:eastAsia="Montserrat Light" w:cs="Montserrat Light"/>
        </w:rPr>
        <w:t xml:space="preserve">, T. (2009). Evaluating the problem gambling severity index. </w:t>
      </w:r>
      <w:r w:rsidRPr="6CD8E403">
        <w:rPr>
          <w:rFonts w:eastAsia="Montserrat Light" w:cs="Montserrat Light"/>
          <w:i/>
          <w:iCs/>
        </w:rPr>
        <w:t xml:space="preserve">Journal of Gambling Studies 25, </w:t>
      </w:r>
      <w:r w:rsidRPr="6CD8E403">
        <w:rPr>
          <w:rFonts w:eastAsia="Montserrat Light" w:cs="Montserrat Light"/>
        </w:rPr>
        <w:t xml:space="preserve">105–120. </w:t>
      </w:r>
      <w:hyperlink r:id="rId42" w:history="1">
        <w:r w:rsidR="00942324" w:rsidRPr="00B91E55">
          <w:rPr>
            <w:rStyle w:val="Hyperlink"/>
            <w:rFonts w:eastAsia="Montserrat Light" w:cs="Montserrat Light"/>
          </w:rPr>
          <w:t>https://link.springer.com/article/10.1007%2Fs10899-008-9107-7</w:t>
        </w:r>
      </w:hyperlink>
      <w:r w:rsidR="00942324">
        <w:rPr>
          <w:rFonts w:eastAsia="Montserrat Light" w:cs="Montserrat Light"/>
        </w:rPr>
        <w:t xml:space="preserve">  </w:t>
      </w:r>
      <w:bookmarkStart w:id="433" w:name="_Hlk84265472"/>
      <w:r w:rsidR="00942324">
        <w:rPr>
          <w:rFonts w:eastAsia="Montserrat Light" w:cs="Montserrat Light"/>
        </w:rPr>
        <w:t>Accessed 4/10/2021</w:t>
      </w:r>
    </w:p>
    <w:bookmarkEnd w:id="433"/>
    <w:p w14:paraId="4A36D8CF" w14:textId="3B77ACCB" w:rsidR="6CD8E403" w:rsidRDefault="6CD8E403" w:rsidP="6CD8E403">
      <w:pPr>
        <w:spacing w:line="264" w:lineRule="auto"/>
        <w:rPr>
          <w:rFonts w:eastAsia="Calibri" w:cs="Arial"/>
        </w:rPr>
      </w:pPr>
    </w:p>
    <w:p w14:paraId="04BF2BF4" w14:textId="77777777" w:rsidR="00855B2C" w:rsidRDefault="000C134A" w:rsidP="00855B2C">
      <w:pPr>
        <w:spacing w:line="264" w:lineRule="auto"/>
      </w:pPr>
      <w:r w:rsidRPr="6CD8E403">
        <w:rPr>
          <w:rFonts w:eastAsia="Montserrat Light" w:cs="Montserrat Light"/>
        </w:rPr>
        <w:t xml:space="preserve">Korn, D.A., &amp; Shaffer, H.J. (1999). Gambling and the health of the public: Adopting a public health perspective. </w:t>
      </w:r>
      <w:r w:rsidRPr="6CD8E403">
        <w:rPr>
          <w:rFonts w:eastAsia="Montserrat Light" w:cs="Montserrat Light"/>
          <w:i/>
        </w:rPr>
        <w:t>Journal of Gambling Studies, 15</w:t>
      </w:r>
      <w:r w:rsidR="0E4BFA76" w:rsidRPr="6CD8E403">
        <w:rPr>
          <w:rFonts w:eastAsia="Montserrat Light" w:cs="Montserrat Light"/>
        </w:rPr>
        <w:t>(</w:t>
      </w:r>
      <w:r w:rsidRPr="6CD8E403">
        <w:rPr>
          <w:rFonts w:eastAsia="Montserrat Light" w:cs="Montserrat Light"/>
        </w:rPr>
        <w:t>4</w:t>
      </w:r>
      <w:r w:rsidR="0E4BFA76" w:rsidRPr="6CD8E403">
        <w:rPr>
          <w:rFonts w:eastAsia="Montserrat Light" w:cs="Montserrat Light"/>
        </w:rPr>
        <w:t>), 289-365.</w:t>
      </w:r>
      <w:r w:rsidR="00855B2C">
        <w:rPr>
          <w:rFonts w:eastAsia="Montserrat Light" w:cs="Montserrat Light"/>
        </w:rPr>
        <w:t xml:space="preserve"> </w:t>
      </w:r>
      <w:hyperlink r:id="rId43" w:history="1">
        <w:r w:rsidR="00855B2C" w:rsidRPr="00B91E55">
          <w:rPr>
            <w:rStyle w:val="Hyperlink"/>
            <w:rFonts w:eastAsia="Montserrat Light" w:cs="Montserrat Light"/>
          </w:rPr>
          <w:t>https://www.researchgate.net/publication/10744421_Gambling_and_the_Health_of_the_Public_Adopting_a_Public_Health_Perspective</w:t>
        </w:r>
      </w:hyperlink>
      <w:r w:rsidR="00855B2C">
        <w:rPr>
          <w:rFonts w:eastAsia="Montserrat Light" w:cs="Montserrat Light"/>
        </w:rPr>
        <w:t xml:space="preserve"> </w:t>
      </w:r>
      <w:bookmarkStart w:id="434" w:name="_Hlk84265753"/>
      <w:r w:rsidR="00855B2C">
        <w:rPr>
          <w:rFonts w:eastAsia="Montserrat Light" w:cs="Montserrat Light"/>
        </w:rPr>
        <w:t>Accessed 4/10/2021</w:t>
      </w:r>
      <w:bookmarkEnd w:id="434"/>
    </w:p>
    <w:p w14:paraId="6EDD5AAF" w14:textId="3505E5BD" w:rsidR="0E4BFA76" w:rsidRDefault="0E4BFA76" w:rsidP="6CD8E403">
      <w:pPr>
        <w:spacing w:line="264" w:lineRule="auto"/>
        <w:rPr>
          <w:rFonts w:eastAsia="Montserrat Light" w:cs="Montserrat Light"/>
        </w:rPr>
      </w:pPr>
    </w:p>
    <w:p w14:paraId="273E8AEC" w14:textId="78BC9013" w:rsidR="00DF44E1" w:rsidRDefault="00DF44E1" w:rsidP="6CD8E403">
      <w:pPr>
        <w:spacing w:line="264" w:lineRule="auto"/>
      </w:pPr>
      <w:r w:rsidRPr="6CD8E403">
        <w:rPr>
          <w:rFonts w:eastAsia="Montserrat Light" w:cs="Montserrat Light"/>
        </w:rPr>
        <w:lastRenderedPageBreak/>
        <w:t xml:space="preserve">Krippendorff, K. (2004). </w:t>
      </w:r>
      <w:r w:rsidRPr="6CD8E403">
        <w:rPr>
          <w:rFonts w:eastAsia="Montserrat Light" w:cs="Montserrat Light"/>
          <w:i/>
        </w:rPr>
        <w:t>Content analysis: An introduction to its methodology</w:t>
      </w:r>
      <w:r w:rsidRPr="6CD8E403">
        <w:rPr>
          <w:rFonts w:eastAsia="Montserrat Light" w:cs="Montserrat Light"/>
        </w:rPr>
        <w:t>. Thousand Oaks, California: Sage</w:t>
      </w:r>
      <w:r w:rsidR="0E4BFA76" w:rsidRPr="6CD8E403">
        <w:rPr>
          <w:rFonts w:eastAsia="Montserrat Light" w:cs="Montserrat Light"/>
        </w:rPr>
        <w:t xml:space="preserve"> Publications</w:t>
      </w:r>
      <w:r w:rsidRPr="6CD8E403">
        <w:rPr>
          <w:rFonts w:eastAsia="Montserrat Light" w:cs="Montserrat Light"/>
        </w:rPr>
        <w:t>.</w:t>
      </w:r>
      <w:r w:rsidR="0079165E">
        <w:rPr>
          <w:rFonts w:eastAsia="Montserrat Light" w:cs="Montserrat Light"/>
        </w:rPr>
        <w:t xml:space="preserve"> </w:t>
      </w:r>
      <w:hyperlink r:id="rId44" w:history="1">
        <w:r w:rsidR="00EA63DB" w:rsidRPr="00B91E55">
          <w:rPr>
            <w:rStyle w:val="Hyperlink"/>
            <w:rFonts w:eastAsia="Montserrat Light" w:cs="Montserrat Light"/>
          </w:rPr>
          <w:t>https://us.sagepub.com/en-us/nam/content-analysis/book258450</w:t>
        </w:r>
      </w:hyperlink>
      <w:r w:rsidR="00EA63DB">
        <w:rPr>
          <w:rFonts w:eastAsia="Montserrat Light" w:cs="Montserrat Light"/>
        </w:rPr>
        <w:t xml:space="preserve"> </w:t>
      </w:r>
    </w:p>
    <w:p w14:paraId="12745D72" w14:textId="1BB2C5C3" w:rsidR="6CD8E403" w:rsidRDefault="00EA63DB" w:rsidP="6CD8E403">
      <w:pPr>
        <w:pStyle w:val="BodyText"/>
        <w:rPr>
          <w:rFonts w:eastAsia="Montserrat Light" w:cs="Montserrat Light"/>
        </w:rPr>
      </w:pPr>
      <w:r>
        <w:rPr>
          <w:rFonts w:eastAsia="Montserrat Light" w:cs="Montserrat Light"/>
        </w:rPr>
        <w:t>Accessed 4/10/2021</w:t>
      </w:r>
    </w:p>
    <w:p w14:paraId="4FC3149A" w14:textId="77777777" w:rsidR="008A6DFA" w:rsidRDefault="0E4BFA76" w:rsidP="008A6DFA">
      <w:pPr>
        <w:pStyle w:val="BodyText"/>
        <w:rPr>
          <w:rFonts w:eastAsia="Montserrat Light" w:cs="Montserrat Light"/>
        </w:rPr>
      </w:pPr>
      <w:r w:rsidRPr="37D5D5F0">
        <w:rPr>
          <w:rFonts w:eastAsia="Montserrat Light" w:cs="Montserrat Light"/>
        </w:rPr>
        <w:t xml:space="preserve">Krippendorff, K. (2011). </w:t>
      </w:r>
      <w:r w:rsidRPr="37D5D5F0">
        <w:rPr>
          <w:rFonts w:eastAsia="Montserrat Light" w:cs="Montserrat Light"/>
          <w:i/>
          <w:iCs/>
        </w:rPr>
        <w:t>Computing Krippendorff’s alpha-reliability</w:t>
      </w:r>
      <w:r w:rsidRPr="37D5D5F0">
        <w:rPr>
          <w:rFonts w:eastAsia="Montserrat Light" w:cs="Montserrat Light"/>
        </w:rPr>
        <w:t xml:space="preserve">. University of Pennsylvania Scholarly Commons. </w:t>
      </w:r>
      <w:r w:rsidR="009D7E42" w:rsidRPr="009D7E42">
        <w:rPr>
          <w:rFonts w:eastAsia="Montserrat Light" w:cs="Montserrat Light"/>
        </w:rPr>
        <w:t xml:space="preserve">https://repository.upenn.edu/asc_papers/43/ </w:t>
      </w:r>
      <w:r w:rsidR="008A6DFA">
        <w:rPr>
          <w:rFonts w:eastAsia="Montserrat Light" w:cs="Montserrat Light"/>
        </w:rPr>
        <w:t xml:space="preserve"> </w:t>
      </w:r>
      <w:bookmarkStart w:id="435" w:name="_Hlk84266782"/>
      <w:r w:rsidR="008A6DFA">
        <w:rPr>
          <w:rFonts w:eastAsia="Montserrat Light" w:cs="Montserrat Light"/>
        </w:rPr>
        <w:t>Accessed 4/10/2021</w:t>
      </w:r>
    </w:p>
    <w:bookmarkEnd w:id="435"/>
    <w:p w14:paraId="01956714" w14:textId="1485DD72" w:rsidR="0E4BFA76" w:rsidRDefault="0E4BFA76" w:rsidP="37D5D5F0">
      <w:pPr>
        <w:spacing w:line="264" w:lineRule="auto"/>
        <w:rPr>
          <w:rFonts w:eastAsia="Montserrat Light" w:cs="Montserrat Light"/>
        </w:rPr>
      </w:pPr>
      <w:r w:rsidRPr="37D5D5F0">
        <w:rPr>
          <w:rFonts w:eastAsia="Montserrat Light" w:cs="Montserrat Light"/>
        </w:rPr>
        <w:t xml:space="preserve">Lesieur, H.R. &amp; Blume, S.B. (1987). The South Oaks gambling screen (SOGS): A new instrument for the identification of pathological gamblers. </w:t>
      </w:r>
      <w:r w:rsidRPr="37D5D5F0">
        <w:rPr>
          <w:rFonts w:eastAsia="Montserrat Light" w:cs="Montserrat Light"/>
          <w:i/>
          <w:iCs/>
        </w:rPr>
        <w:t>American Journal of Psychiatry, 144</w:t>
      </w:r>
      <w:r w:rsidRPr="37D5D5F0">
        <w:rPr>
          <w:rFonts w:eastAsia="Montserrat Light" w:cs="Montserrat Light"/>
        </w:rPr>
        <w:t>, 1184-1188.</w:t>
      </w:r>
    </w:p>
    <w:p w14:paraId="10AB18D6" w14:textId="28EE72F5" w:rsidR="00B034CE" w:rsidRDefault="00005CFC" w:rsidP="00B034CE">
      <w:pPr>
        <w:pStyle w:val="BodyText"/>
        <w:rPr>
          <w:rFonts w:eastAsia="Montserrat Light" w:cs="Montserrat Light"/>
        </w:rPr>
      </w:pPr>
      <w:hyperlink r:id="rId45" w:history="1">
        <w:r w:rsidR="00B034CE" w:rsidRPr="00B91E55">
          <w:rPr>
            <w:rStyle w:val="Hyperlink"/>
          </w:rPr>
          <w:t>https://www.researchgate.net/publication/19531246_The_South_Oaks_Gambling_Screen_SOGS_A_New_Instrument_for_the_Identification_of_Pathological_Gamblers</w:t>
        </w:r>
      </w:hyperlink>
      <w:r w:rsidR="00B034CE">
        <w:t xml:space="preserve">  </w:t>
      </w:r>
      <w:bookmarkStart w:id="436" w:name="_Hlk84266923"/>
      <w:r w:rsidR="00B034CE">
        <w:rPr>
          <w:rFonts w:eastAsia="Montserrat Light" w:cs="Montserrat Light"/>
        </w:rPr>
        <w:t>Accessed 4/10/2021</w:t>
      </w:r>
      <w:bookmarkEnd w:id="436"/>
    </w:p>
    <w:p w14:paraId="0E3018D9" w14:textId="77777777" w:rsidR="00F27255" w:rsidRDefault="00F27255" w:rsidP="00F27255">
      <w:pPr>
        <w:spacing w:line="264" w:lineRule="auto"/>
      </w:pPr>
      <w:r w:rsidRPr="00F65B24">
        <w:t>Lotto NZ</w:t>
      </w:r>
      <w:r w:rsidRPr="00BA6D18">
        <w:rPr>
          <w:rFonts w:cstheme="minorHAnsi"/>
          <w:sz w:val="22"/>
          <w:szCs w:val="22"/>
        </w:rPr>
        <w:t xml:space="preserve"> </w:t>
      </w:r>
      <w:r w:rsidRPr="0C4C7ACB">
        <w:rPr>
          <w:rFonts w:eastAsia="Montserrat Light" w:cs="Montserrat Light"/>
        </w:rPr>
        <w:t xml:space="preserve">. (2021). </w:t>
      </w:r>
      <w:r w:rsidRPr="0C4C7ACB">
        <w:rPr>
          <w:rFonts w:eastAsia="Montserrat Light" w:cs="Montserrat Light"/>
          <w:i/>
          <w:iCs/>
        </w:rPr>
        <w:t>Lotto NZ harm minimisation guidelines for Lotto NZ products and communications</w:t>
      </w:r>
      <w:r w:rsidRPr="0C4C7ACB">
        <w:rPr>
          <w:rFonts w:eastAsia="Montserrat Light" w:cs="Montserrat Light"/>
        </w:rPr>
        <w:t>. Internal Lotto NZ report: unpublished.</w:t>
      </w:r>
    </w:p>
    <w:p w14:paraId="40C65C0D" w14:textId="77777777" w:rsidR="00F27255" w:rsidRDefault="00F27255" w:rsidP="37D5D5F0">
      <w:pPr>
        <w:spacing w:line="264" w:lineRule="auto"/>
        <w:rPr>
          <w:rFonts w:eastAsia="Montserrat Light" w:cs="Montserrat Light"/>
        </w:rPr>
      </w:pPr>
    </w:p>
    <w:p w14:paraId="089ECC3B" w14:textId="663600B7" w:rsidR="0E4BFA76" w:rsidRDefault="0E4BFA76" w:rsidP="37D5D5F0">
      <w:pPr>
        <w:spacing w:line="264" w:lineRule="auto"/>
        <w:rPr>
          <w:rFonts w:eastAsia="Montserrat Light" w:cs="Montserrat Light"/>
          <w:color w:val="4F81BD"/>
          <w:u w:val="single"/>
        </w:rPr>
      </w:pPr>
      <w:proofErr w:type="spellStart"/>
      <w:r w:rsidRPr="37D5D5F0">
        <w:rPr>
          <w:rFonts w:eastAsia="Montserrat Light" w:cs="Montserrat Light"/>
        </w:rPr>
        <w:t>Lyk</w:t>
      </w:r>
      <w:proofErr w:type="spellEnd"/>
      <w:r w:rsidRPr="37D5D5F0">
        <w:rPr>
          <w:rFonts w:eastAsia="Montserrat Light" w:cs="Montserrat Light"/>
        </w:rPr>
        <w:t xml:space="preserve">-Jensen, S.V. (2010). New evidence from the grey area: Danish results for at-risk gambling. </w:t>
      </w:r>
      <w:r w:rsidRPr="37D5D5F0">
        <w:rPr>
          <w:rFonts w:eastAsia="Montserrat Light" w:cs="Montserrat Light"/>
          <w:i/>
          <w:iCs/>
        </w:rPr>
        <w:t>Journal of Gambling Studies, 26</w:t>
      </w:r>
      <w:r w:rsidRPr="37D5D5F0">
        <w:rPr>
          <w:rFonts w:eastAsia="Montserrat Light" w:cs="Montserrat Light"/>
        </w:rPr>
        <w:t xml:space="preserve">, 455-467. </w:t>
      </w:r>
      <w:hyperlink r:id="rId46" w:history="1">
        <w:r w:rsidR="00CB4350" w:rsidRPr="00317A9A">
          <w:rPr>
            <w:rStyle w:val="Hyperlink"/>
            <w:rFonts w:eastAsia="Montserrat Light" w:cs="Montserrat Light"/>
          </w:rPr>
          <w:t>https://doi.org/10.1007/s10899-009-9173-5</w:t>
        </w:r>
      </w:hyperlink>
      <w:r w:rsidR="004E418A">
        <w:rPr>
          <w:rStyle w:val="Hyperlink"/>
          <w:rFonts w:eastAsia="Montserrat Light" w:cs="Montserrat Light"/>
        </w:rPr>
        <w:t xml:space="preserve"> </w:t>
      </w:r>
      <w:r w:rsidR="004E418A">
        <w:rPr>
          <w:rFonts w:eastAsia="Montserrat Light" w:cs="Montserrat Light"/>
        </w:rPr>
        <w:t>Accessed 4/10/2021</w:t>
      </w:r>
    </w:p>
    <w:p w14:paraId="43FDBD24" w14:textId="17FDCC4B" w:rsidR="00CB4350" w:rsidRDefault="00CB4350" w:rsidP="37D5D5F0">
      <w:pPr>
        <w:spacing w:line="264" w:lineRule="auto"/>
        <w:rPr>
          <w:rFonts w:eastAsia="Montserrat Light" w:cs="Montserrat Light"/>
          <w:color w:val="4F81BD"/>
          <w:u w:val="single"/>
        </w:rPr>
      </w:pPr>
    </w:p>
    <w:p w14:paraId="696A71BD" w14:textId="537AA574" w:rsidR="00CB4350" w:rsidRDefault="00CB4350" w:rsidP="00CB4350">
      <w:pPr>
        <w:spacing w:line="264" w:lineRule="auto"/>
      </w:pPr>
      <w:r w:rsidRPr="77D76A04">
        <w:rPr>
          <w:rFonts w:eastAsia="Montserrat Light" w:cs="Montserrat Light"/>
        </w:rPr>
        <w:t xml:space="preserve">Ministry of Health (2019) </w:t>
      </w:r>
      <w:r w:rsidRPr="77D76A04">
        <w:rPr>
          <w:rFonts w:eastAsia="Montserrat Light" w:cs="Montserrat Light"/>
          <w:i/>
          <w:iCs/>
        </w:rPr>
        <w:t>Strategy to prevent and minimise gambling harm 2019/20 to 2021/22</w:t>
      </w:r>
      <w:r w:rsidRPr="77D76A04">
        <w:rPr>
          <w:rFonts w:eastAsia="Montserrat Light" w:cs="Montserrat Light"/>
        </w:rPr>
        <w:t xml:space="preserve">. </w:t>
      </w:r>
      <w:hyperlink r:id="rId47" w:history="1">
        <w:r w:rsidR="004E418A" w:rsidRPr="00B91E55">
          <w:rPr>
            <w:rStyle w:val="Hyperlink"/>
            <w:rFonts w:eastAsia="Montserrat Light" w:cs="Montserrat Light"/>
          </w:rPr>
          <w:t>https://www.health.govt.nz/publication/strategy-prevent-and-minimise-gambling-harm-2019-20-2021-22</w:t>
        </w:r>
      </w:hyperlink>
      <w:r w:rsidR="004E418A">
        <w:rPr>
          <w:rFonts w:eastAsia="Montserrat Light" w:cs="Montserrat Light"/>
          <w:color w:val="4F81BD"/>
          <w:u w:val="single"/>
        </w:rPr>
        <w:t xml:space="preserve">  </w:t>
      </w:r>
      <w:r w:rsidR="004E418A">
        <w:rPr>
          <w:rFonts w:eastAsia="Montserrat Light" w:cs="Montserrat Light"/>
        </w:rPr>
        <w:t>Accessed 4/10/2021</w:t>
      </w:r>
    </w:p>
    <w:p w14:paraId="0A1517EF" w14:textId="77777777" w:rsidR="00CB4350" w:rsidRDefault="00CB4350" w:rsidP="77D76A04">
      <w:pPr>
        <w:spacing w:line="264" w:lineRule="auto"/>
        <w:rPr>
          <w:rFonts w:eastAsia="Montserrat Light" w:cs="Montserrat Light"/>
        </w:rPr>
      </w:pPr>
    </w:p>
    <w:p w14:paraId="1D78F633" w14:textId="50DE4D04" w:rsidR="1ADCCE6E" w:rsidRDefault="1ADCCE6E" w:rsidP="77D76A04">
      <w:pPr>
        <w:spacing w:line="264" w:lineRule="auto"/>
      </w:pPr>
      <w:r w:rsidRPr="77D76A04">
        <w:rPr>
          <w:rFonts w:eastAsia="Montserrat Light" w:cs="Montserrat Light"/>
        </w:rPr>
        <w:t xml:space="preserve">Mörsen, C. (2014). </w:t>
      </w:r>
      <w:r w:rsidRPr="77D76A04">
        <w:rPr>
          <w:rFonts w:eastAsia="Montserrat Light" w:cs="Montserrat Light"/>
          <w:i/>
          <w:iCs/>
        </w:rPr>
        <w:t>Gambling risks-assessing and comparing the risk potentials of different gambling types</w:t>
      </w:r>
      <w:r w:rsidRPr="77D76A04">
        <w:rPr>
          <w:rFonts w:eastAsia="Montserrat Light" w:cs="Montserrat Light"/>
        </w:rPr>
        <w:t>. [Conference presentation]. International Conference Gambling in the Czech Republic and its New Regulatory Framework, Medical University of Berlin.</w:t>
      </w:r>
      <w:r w:rsidR="00177573">
        <w:rPr>
          <w:rFonts w:eastAsia="Montserrat Light" w:cs="Montserrat Light"/>
        </w:rPr>
        <w:t xml:space="preserve"> </w:t>
      </w:r>
      <w:hyperlink r:id="rId48" w:history="1">
        <w:r w:rsidR="00CE51C7" w:rsidRPr="00B91E55">
          <w:rPr>
            <w:rStyle w:val="Hyperlink"/>
            <w:rFonts w:eastAsia="Montserrat Light" w:cs="Montserrat Light"/>
          </w:rPr>
          <w:t>https://www.mfcr.cz/assets/cs/media/Prezentace_2014-10-09_Chantal-Morsen.pdf</w:t>
        </w:r>
      </w:hyperlink>
      <w:r w:rsidR="00CE51C7">
        <w:rPr>
          <w:rFonts w:eastAsia="Montserrat Light" w:cs="Montserrat Light"/>
        </w:rPr>
        <w:t xml:space="preserve"> Accessed 4/10/2021</w:t>
      </w:r>
    </w:p>
    <w:p w14:paraId="211B3F0A" w14:textId="599896C2" w:rsidR="77D76A04" w:rsidRDefault="77D76A04" w:rsidP="77D76A04">
      <w:pPr>
        <w:spacing w:line="264" w:lineRule="auto"/>
        <w:rPr>
          <w:rFonts w:eastAsia="Calibri" w:cs="Arial"/>
        </w:rPr>
      </w:pPr>
    </w:p>
    <w:p w14:paraId="21CCB2AB" w14:textId="77777777" w:rsidR="008C3574" w:rsidRDefault="1ADCCE6E" w:rsidP="008C3574">
      <w:pPr>
        <w:spacing w:line="264" w:lineRule="auto"/>
      </w:pPr>
      <w:r w:rsidRPr="1CBBCF50">
        <w:rPr>
          <w:rFonts w:eastAsia="Montserrat Light" w:cs="Montserrat Light"/>
        </w:rPr>
        <w:t xml:space="preserve">Okoli, C. &amp; Pawlowski, S.D. (2004). The Delphi method as a research tool: An example, design considerations and applications. </w:t>
      </w:r>
      <w:r w:rsidRPr="1CBBCF50">
        <w:rPr>
          <w:rFonts w:eastAsia="Montserrat Light" w:cs="Montserrat Light"/>
          <w:i/>
          <w:iCs/>
        </w:rPr>
        <w:t>Information &amp; Management, 42</w:t>
      </w:r>
      <w:r w:rsidRPr="1CBBCF50">
        <w:rPr>
          <w:rFonts w:eastAsia="Montserrat Light" w:cs="Montserrat Light"/>
        </w:rPr>
        <w:t xml:space="preserve">(1), 15-29. </w:t>
      </w:r>
      <w:hyperlink r:id="rId49" w:history="1">
        <w:r w:rsidR="008C3574" w:rsidRPr="00B91E55">
          <w:rPr>
            <w:rStyle w:val="Hyperlink"/>
            <w:rFonts w:eastAsia="Montserrat Light" w:cs="Montserrat Light"/>
          </w:rPr>
          <w:t>https://www.sciencedirect.com/science/article/abs/pii/S0378720603001794?via%3Dihub</w:t>
        </w:r>
      </w:hyperlink>
      <w:r w:rsidR="008C3574">
        <w:rPr>
          <w:rFonts w:eastAsia="Montserrat Light" w:cs="Montserrat Light"/>
        </w:rPr>
        <w:t xml:space="preserve"> </w:t>
      </w:r>
      <w:bookmarkStart w:id="437" w:name="_Hlk84267547"/>
      <w:r w:rsidR="008C3574">
        <w:rPr>
          <w:rFonts w:eastAsia="Montserrat Light" w:cs="Montserrat Light"/>
        </w:rPr>
        <w:t>Accessed 4/10/2021</w:t>
      </w:r>
    </w:p>
    <w:bookmarkEnd w:id="437"/>
    <w:p w14:paraId="3DAD4229" w14:textId="5EC01237" w:rsidR="1CBBCF50" w:rsidRDefault="1CBBCF50" w:rsidP="1CBBCF50">
      <w:pPr>
        <w:spacing w:line="264" w:lineRule="auto"/>
        <w:rPr>
          <w:rFonts w:eastAsia="Calibri" w:cs="Arial"/>
        </w:rPr>
      </w:pPr>
    </w:p>
    <w:p w14:paraId="3F3D9B77" w14:textId="77777777" w:rsidR="00F46F7F" w:rsidRDefault="1ADCCE6E" w:rsidP="00F46F7F">
      <w:pPr>
        <w:spacing w:line="264" w:lineRule="auto"/>
      </w:pPr>
      <w:r w:rsidRPr="1CBBCF50">
        <w:rPr>
          <w:rFonts w:eastAsia="Montserrat Light" w:cs="Montserrat Light"/>
        </w:rPr>
        <w:t>Paks</w:t>
      </w:r>
      <w:r w:rsidR="00A95BD3">
        <w:rPr>
          <w:rFonts w:eastAsia="Montserrat Light" w:cs="Montserrat Light"/>
        </w:rPr>
        <w:t>i</w:t>
      </w:r>
      <w:r w:rsidRPr="1CBBCF50">
        <w:rPr>
          <w:rFonts w:eastAsia="Montserrat Light" w:cs="Montserrat Light"/>
        </w:rPr>
        <w:t xml:space="preserve">, B., Magi, A., &amp; </w:t>
      </w:r>
      <w:proofErr w:type="spellStart"/>
      <w:r w:rsidRPr="1CBBCF50">
        <w:rPr>
          <w:rFonts w:eastAsia="Montserrat Light" w:cs="Montserrat Light"/>
        </w:rPr>
        <w:t>Demetrovics</w:t>
      </w:r>
      <w:proofErr w:type="spellEnd"/>
      <w:r w:rsidRPr="1CBBCF50">
        <w:rPr>
          <w:rFonts w:eastAsia="Montserrat Light" w:cs="Montserrat Light"/>
        </w:rPr>
        <w:t xml:space="preserve">, Z. (2015). PO-32: Estimating the risk potential of Hungarian gambling products. Journal of Behavioral Addictions, 4(S1), 57-59. </w:t>
      </w:r>
      <w:r w:rsidRPr="1CBBCF50">
        <w:rPr>
          <w:rFonts w:eastAsia="Montserrat Light" w:cs="Montserrat Light"/>
          <w:color w:val="4F81BD"/>
          <w:u w:val="single"/>
        </w:rPr>
        <w:t>https://link.gale.com/apps/doc/A457602823/HRCA?u=anon~c6a2e7a6&amp;sid=googleScholar&amp;xid=c90b756c</w:t>
      </w:r>
      <w:r w:rsidRPr="1CBBCF50">
        <w:rPr>
          <w:rFonts w:eastAsia="Montserrat Light" w:cs="Montserrat Light"/>
        </w:rPr>
        <w:t xml:space="preserve"> </w:t>
      </w:r>
      <w:r w:rsidR="00F46F7F">
        <w:rPr>
          <w:rFonts w:eastAsia="Montserrat Light" w:cs="Montserrat Light"/>
        </w:rPr>
        <w:t>Accessed 4/10/2021</w:t>
      </w:r>
    </w:p>
    <w:p w14:paraId="3CD31AA0" w14:textId="5878F71D" w:rsidR="1CBBCF50" w:rsidRDefault="1CBBCF50" w:rsidP="1CBBCF50">
      <w:pPr>
        <w:spacing w:line="264" w:lineRule="auto"/>
        <w:rPr>
          <w:rFonts w:eastAsia="Calibri" w:cs="Arial"/>
        </w:rPr>
      </w:pPr>
    </w:p>
    <w:p w14:paraId="6D2F784E" w14:textId="21EA5AD4" w:rsidR="00F46F7F" w:rsidRDefault="1ADCCE6E" w:rsidP="00F46F7F">
      <w:pPr>
        <w:spacing w:line="264" w:lineRule="auto"/>
      </w:pPr>
      <w:r w:rsidRPr="1CBBCF50">
        <w:rPr>
          <w:rFonts w:eastAsia="Montserrat Light" w:cs="Montserrat Light"/>
        </w:rPr>
        <w:t xml:space="preserve">Parke, J. (2018). </w:t>
      </w:r>
      <w:r w:rsidRPr="1CBBCF50">
        <w:rPr>
          <w:rFonts w:eastAsia="Montserrat Light" w:cs="Montserrat Light"/>
          <w:i/>
          <w:iCs/>
        </w:rPr>
        <w:t>Got Game? Taking stock of 50 years of research on product-related Risk and Looking Ahead Beyond 2020</w:t>
      </w:r>
      <w:r w:rsidRPr="1CBBCF50">
        <w:rPr>
          <w:rFonts w:eastAsia="Montserrat Light" w:cs="Montserrat Light"/>
        </w:rPr>
        <w:t xml:space="preserve">. [PowerPoint slides]. Sophro   </w:t>
      </w:r>
      <w:r>
        <w:br/>
      </w:r>
      <w:hyperlink r:id="rId50" w:history="1">
        <w:r w:rsidR="001553B6" w:rsidRPr="00317A9A">
          <w:rPr>
            <w:rStyle w:val="Hyperlink"/>
            <w:rFonts w:eastAsia="Montserrat Light" w:cs="Montserrat Light"/>
          </w:rPr>
          <w:t>https://www.easg.org/easg/assets/File/EASG_2018/Jonathan_Parke.pdf</w:t>
        </w:r>
      </w:hyperlink>
      <w:r w:rsidR="00F46F7F">
        <w:rPr>
          <w:rStyle w:val="Hyperlink"/>
          <w:rFonts w:eastAsia="Montserrat Light" w:cs="Montserrat Light"/>
        </w:rPr>
        <w:t xml:space="preserve"> </w:t>
      </w:r>
      <w:r w:rsidR="001E4D9F">
        <w:rPr>
          <w:rStyle w:val="Hyperlink"/>
          <w:rFonts w:eastAsia="Montserrat Light" w:cs="Montserrat Light"/>
        </w:rPr>
        <w:t xml:space="preserve"> </w:t>
      </w:r>
      <w:r w:rsidR="00F46F7F">
        <w:rPr>
          <w:rFonts w:eastAsia="Montserrat Light" w:cs="Montserrat Light"/>
        </w:rPr>
        <w:t>Accessed 4/10/2021</w:t>
      </w:r>
    </w:p>
    <w:p w14:paraId="5A05D7FC" w14:textId="51274B9C" w:rsidR="1ADCCE6E" w:rsidRDefault="1ADCCE6E" w:rsidP="1CBBCF50">
      <w:pPr>
        <w:pStyle w:val="BodyText"/>
        <w:rPr>
          <w:rFonts w:eastAsia="Montserrat Light" w:cs="Montserrat Light"/>
        </w:rPr>
      </w:pPr>
    </w:p>
    <w:p w14:paraId="13223572" w14:textId="1B9AF460" w:rsidR="000C134A" w:rsidRPr="0019462F" w:rsidRDefault="000C134A" w:rsidP="000C134A">
      <w:pPr>
        <w:pStyle w:val="BodyText"/>
        <w:rPr>
          <w:rFonts w:eastAsia="Montserrat Light" w:cs="Montserrat Light"/>
          <w:u w:val="single"/>
        </w:rPr>
      </w:pPr>
      <w:r w:rsidRPr="2739E890">
        <w:rPr>
          <w:rFonts w:eastAsia="Montserrat Light" w:cs="Montserrat Light"/>
        </w:rPr>
        <w:t xml:space="preserve">Parke, </w:t>
      </w:r>
      <w:r w:rsidR="69242BDA" w:rsidRPr="2739E890">
        <w:rPr>
          <w:rFonts w:eastAsia="Montserrat Light" w:cs="Montserrat Light"/>
        </w:rPr>
        <w:t>J.,</w:t>
      </w:r>
      <w:r w:rsidRPr="2739E890">
        <w:rPr>
          <w:rFonts w:eastAsia="Montserrat Light" w:cs="Montserrat Light"/>
        </w:rPr>
        <w:t xml:space="preserve"> Parke, </w:t>
      </w:r>
      <w:r w:rsidR="69242BDA" w:rsidRPr="2739E890">
        <w:rPr>
          <w:rFonts w:eastAsia="Montserrat Light" w:cs="Montserrat Light"/>
        </w:rPr>
        <w:t>A., &amp;</w:t>
      </w:r>
      <w:r w:rsidRPr="2739E890">
        <w:rPr>
          <w:rFonts w:eastAsia="Montserrat Light" w:cs="Montserrat Light"/>
        </w:rPr>
        <w:t xml:space="preserve"> Blaszczynski, </w:t>
      </w:r>
      <w:r w:rsidR="69242BDA" w:rsidRPr="2739E890">
        <w:rPr>
          <w:rFonts w:eastAsia="Montserrat Light" w:cs="Montserrat Light"/>
        </w:rPr>
        <w:t>A.</w:t>
      </w:r>
      <w:r w:rsidRPr="2739E890">
        <w:rPr>
          <w:rFonts w:eastAsia="Montserrat Light" w:cs="Montserrat Light"/>
        </w:rPr>
        <w:t xml:space="preserve"> (2016</w:t>
      </w:r>
      <w:r w:rsidR="69242BDA" w:rsidRPr="2739E890">
        <w:rPr>
          <w:rFonts w:eastAsia="Montserrat Light" w:cs="Montserrat Light"/>
        </w:rPr>
        <w:t>).</w:t>
      </w:r>
      <w:r w:rsidRPr="2739E890">
        <w:rPr>
          <w:rFonts w:eastAsia="Montserrat Light" w:cs="Montserrat Light"/>
        </w:rPr>
        <w:t xml:space="preserve"> </w:t>
      </w:r>
      <w:r w:rsidRPr="2739E890">
        <w:rPr>
          <w:rFonts w:eastAsia="Montserrat Light" w:cs="Montserrat Light"/>
          <w:i/>
        </w:rPr>
        <w:t>Key Issues in Product Based Harm Minimisation: Examining theory, evidence and policy issues relevant in Great Britain</w:t>
      </w:r>
      <w:r w:rsidRPr="2739E890">
        <w:rPr>
          <w:rFonts w:eastAsia="Montserrat Light" w:cs="Montserrat Light"/>
        </w:rPr>
        <w:t xml:space="preserve">. </w:t>
      </w:r>
      <w:r w:rsidR="69242BDA" w:rsidRPr="1165DE1A">
        <w:rPr>
          <w:rFonts w:eastAsia="Montserrat Light" w:cs="Montserrat Light"/>
        </w:rPr>
        <w:t xml:space="preserve">A report for the UK Responsible Gambling Trust </w:t>
      </w:r>
      <w:bookmarkStart w:id="438" w:name="_Hlk84267634"/>
      <w:r w:rsidR="003C04A0">
        <w:fldChar w:fldCharType="begin"/>
      </w:r>
      <w:r w:rsidR="003C04A0">
        <w:instrText xml:space="preserve"> HYPERLINK "https://www.researchgate.net/publication/311497416_Key_Issues_in_Product_Based_Harm_Minimisation_Examining_theory_evidence_and_policy_issues_relevant_in_Great_Britain" \h </w:instrText>
      </w:r>
      <w:r w:rsidR="003C04A0">
        <w:fldChar w:fldCharType="separate"/>
      </w:r>
      <w:r w:rsidR="69242BDA" w:rsidRPr="1165DE1A">
        <w:rPr>
          <w:rStyle w:val="Hyperlink"/>
        </w:rPr>
        <w:t>https://www.researchgate.net/publication/311497416_Key_Issues_in_Product_Based_Harm_Minimisation_Examining_theory_evidence_and_policy_issues_relevant_in_Great_Britain</w:t>
      </w:r>
      <w:r w:rsidR="003C04A0">
        <w:rPr>
          <w:rStyle w:val="Hyperlink"/>
        </w:rPr>
        <w:fldChar w:fldCharType="end"/>
      </w:r>
      <w:bookmarkEnd w:id="438"/>
      <w:r w:rsidR="00CE0BC3">
        <w:rPr>
          <w:rStyle w:val="Hyperlink"/>
        </w:rPr>
        <w:t xml:space="preserve"> </w:t>
      </w:r>
      <w:r w:rsidR="00012EA3">
        <w:rPr>
          <w:rStyle w:val="Hyperlink"/>
        </w:rPr>
        <w:t xml:space="preserve"> </w:t>
      </w:r>
      <w:r w:rsidR="00012EA3" w:rsidRPr="0019462F">
        <w:rPr>
          <w:rFonts w:eastAsia="Montserrat Light" w:cs="Montserrat Light"/>
        </w:rPr>
        <w:t>Accessed 4/10/2021</w:t>
      </w:r>
    </w:p>
    <w:p w14:paraId="422D6D35" w14:textId="77777777" w:rsidR="0019462F" w:rsidRPr="0019462F" w:rsidRDefault="000C134A" w:rsidP="0019462F">
      <w:pPr>
        <w:pStyle w:val="BodyText"/>
        <w:rPr>
          <w:rFonts w:eastAsia="Montserrat Light" w:cs="Montserrat Light"/>
        </w:rPr>
      </w:pPr>
      <w:r w:rsidRPr="249B11C1">
        <w:rPr>
          <w:rFonts w:eastAsia="Montserrat Light" w:cs="Montserrat Light"/>
        </w:rPr>
        <w:t xml:space="preserve">Peren, </w:t>
      </w:r>
      <w:r w:rsidR="7B4867D3" w:rsidRPr="249B11C1">
        <w:rPr>
          <w:rFonts w:eastAsia="Montserrat Light" w:cs="Montserrat Light"/>
        </w:rPr>
        <w:t>F.</w:t>
      </w:r>
      <w:r w:rsidRPr="249B11C1">
        <w:rPr>
          <w:rFonts w:eastAsia="Montserrat Light" w:cs="Montserrat Light"/>
        </w:rPr>
        <w:t>W</w:t>
      </w:r>
      <w:r w:rsidR="7B4867D3" w:rsidRPr="249B11C1">
        <w:rPr>
          <w:rFonts w:eastAsia="Montserrat Light" w:cs="Montserrat Light"/>
        </w:rPr>
        <w:t>.</w:t>
      </w:r>
      <w:r w:rsidRPr="249B11C1">
        <w:rPr>
          <w:rFonts w:eastAsia="Montserrat Light" w:cs="Montserrat Light"/>
        </w:rPr>
        <w:t xml:space="preserve"> (2010</w:t>
      </w:r>
      <w:r w:rsidR="7B4867D3" w:rsidRPr="249B11C1">
        <w:rPr>
          <w:rFonts w:eastAsia="Montserrat Light" w:cs="Montserrat Light"/>
        </w:rPr>
        <w:t>.)</w:t>
      </w:r>
      <w:r w:rsidRPr="249B11C1">
        <w:rPr>
          <w:rFonts w:eastAsia="Montserrat Light" w:cs="Montserrat Light"/>
        </w:rPr>
        <w:t xml:space="preserve"> </w:t>
      </w:r>
      <w:r w:rsidRPr="249B11C1">
        <w:rPr>
          <w:rFonts w:eastAsia="Montserrat Light" w:cs="Montserrat Light"/>
          <w:i/>
        </w:rPr>
        <w:t>Assessment Tool to Measure and Evaluate the Risk Potential of Gambling Products</w:t>
      </w:r>
      <w:r w:rsidR="7B4867D3" w:rsidRPr="249B11C1">
        <w:rPr>
          <w:rFonts w:eastAsia="Montserrat Light" w:cs="Montserrat Light"/>
        </w:rPr>
        <w:t>.</w:t>
      </w:r>
      <w:r w:rsidRPr="249B11C1">
        <w:rPr>
          <w:rFonts w:eastAsia="Montserrat Light" w:cs="Montserrat Light"/>
        </w:rPr>
        <w:t xml:space="preserve"> Asterig Research Institute for Gambling and Gaming</w:t>
      </w:r>
      <w:r w:rsidR="007B2FE8" w:rsidRPr="249B11C1">
        <w:rPr>
          <w:rFonts w:eastAsia="Montserrat Light" w:cs="Montserrat Light"/>
        </w:rPr>
        <w:t xml:space="preserve"> </w:t>
      </w:r>
      <w:hyperlink r:id="rId51" w:history="1">
        <w:r w:rsidR="00012EA3" w:rsidRPr="00B91E55">
          <w:rPr>
            <w:rStyle w:val="Hyperlink"/>
            <w:rFonts w:eastAsia="Montserrat Light" w:cs="Montserrat Light"/>
          </w:rPr>
          <w:t>http://www.forschung-gluecksspiel.de/pdf/AsTERiG.pdf</w:t>
        </w:r>
      </w:hyperlink>
      <w:r w:rsidR="00012EA3">
        <w:rPr>
          <w:rFonts w:eastAsia="Montserrat Light" w:cs="Montserrat Light"/>
        </w:rPr>
        <w:t xml:space="preserve">  </w:t>
      </w:r>
      <w:bookmarkStart w:id="439" w:name="_Hlk84272124"/>
      <w:r w:rsidR="0019462F" w:rsidRPr="0019462F">
        <w:rPr>
          <w:rFonts w:eastAsia="Montserrat Light" w:cs="Montserrat Light"/>
          <w:u w:val="single"/>
        </w:rPr>
        <w:t>Accessed 4/10/2021</w:t>
      </w:r>
      <w:bookmarkEnd w:id="439"/>
    </w:p>
    <w:p w14:paraId="088C31E7" w14:textId="674FD89A" w:rsidR="003938ED" w:rsidRDefault="006A76C0" w:rsidP="00D2361A">
      <w:pPr>
        <w:pStyle w:val="BodyText"/>
        <w:rPr>
          <w:rFonts w:eastAsia="Montserrat Light" w:cs="Montserrat Light"/>
        </w:rPr>
      </w:pPr>
      <w:r>
        <w:rPr>
          <w:rFonts w:eastAsia="Montserrat Light" w:cs="Montserrat Light"/>
        </w:rPr>
        <w:t>Cle</w:t>
      </w:r>
      <w:r w:rsidR="008D0B8A">
        <w:rPr>
          <w:rFonts w:eastAsia="Montserrat Light" w:cs="Montserrat Light"/>
        </w:rPr>
        <w:t>ment R</w:t>
      </w:r>
      <w:r w:rsidR="7C0E565B" w:rsidRPr="249B11C1">
        <w:rPr>
          <w:rFonts w:eastAsia="Montserrat Light" w:cs="Montserrat Light"/>
        </w:rPr>
        <w:t>.</w:t>
      </w:r>
      <w:r w:rsidR="000C134A" w:rsidRPr="249B11C1">
        <w:rPr>
          <w:rFonts w:eastAsia="Montserrat Light" w:cs="Montserrat Light"/>
        </w:rPr>
        <w:t xml:space="preserve"> </w:t>
      </w:r>
      <w:r w:rsidR="003938ED">
        <w:rPr>
          <w:rFonts w:eastAsia="Montserrat Light" w:cs="Montserrat Light"/>
        </w:rPr>
        <w:t xml:space="preserve"> et</w:t>
      </w:r>
      <w:r w:rsidR="00ED2BF7">
        <w:rPr>
          <w:rFonts w:eastAsia="Montserrat Light" w:cs="Montserrat Light"/>
        </w:rPr>
        <w:t xml:space="preserve"> al </w:t>
      </w:r>
      <w:r w:rsidR="000C134A" w:rsidRPr="249B11C1">
        <w:rPr>
          <w:rFonts w:eastAsia="Montserrat Light" w:cs="Montserrat Light"/>
        </w:rPr>
        <w:t>(2012</w:t>
      </w:r>
      <w:r w:rsidR="7C0E565B" w:rsidRPr="249B11C1">
        <w:rPr>
          <w:rFonts w:eastAsia="Montserrat Light" w:cs="Montserrat Light"/>
        </w:rPr>
        <w:t>).</w:t>
      </w:r>
      <w:r w:rsidR="000C134A" w:rsidRPr="249B11C1">
        <w:rPr>
          <w:rFonts w:eastAsia="Montserrat Light" w:cs="Montserrat Light"/>
        </w:rPr>
        <w:t xml:space="preserve"> </w:t>
      </w:r>
      <w:bookmarkStart w:id="440" w:name="_Hlk83978700"/>
      <w:r w:rsidR="00A21582">
        <w:t xml:space="preserve">Measuring and Evaluating the Potential Addiction Risk of the Online Poker Game Texas Hold’em </w:t>
      </w:r>
      <w:r w:rsidR="00ED2BF7">
        <w:t xml:space="preserve"> No limit </w:t>
      </w:r>
      <w:r w:rsidR="00A21582">
        <w:t>Gaming Law Review and Economics · November 2012</w:t>
      </w:r>
      <w:r w:rsidR="00A21582" w:rsidRPr="249B11C1">
        <w:rPr>
          <w:rFonts w:eastAsia="Montserrat Light" w:cs="Montserrat Light"/>
        </w:rPr>
        <w:t xml:space="preserve"> </w:t>
      </w:r>
      <w:r w:rsidR="007E4869">
        <w:rPr>
          <w:rFonts w:eastAsia="Montserrat Light" w:cs="Montserrat Light"/>
        </w:rPr>
        <w:t xml:space="preserve"> </w:t>
      </w:r>
      <w:hyperlink r:id="rId52" w:history="1">
        <w:r w:rsidR="004F6CDF" w:rsidRPr="00B91E55">
          <w:rPr>
            <w:rStyle w:val="Hyperlink"/>
            <w:rFonts w:eastAsia="Montserrat Light" w:cs="Montserrat Light"/>
          </w:rPr>
          <w:t>https://www.researchgate.net/publication/234045407_Measuring_and_Evaluating_the_Potential_Addiction_Riskof_the_Online_Poker_Game_Texas_Hold'em_No_Limit</w:t>
        </w:r>
      </w:hyperlink>
      <w:r w:rsidR="004F6CDF">
        <w:rPr>
          <w:rFonts w:eastAsia="Montserrat Light" w:cs="Montserrat Light"/>
        </w:rPr>
        <w:t xml:space="preserve">  </w:t>
      </w:r>
      <w:r w:rsidR="004F6CDF" w:rsidRPr="004F6CDF">
        <w:rPr>
          <w:rFonts w:eastAsia="Montserrat Light" w:cs="Montserrat Light"/>
          <w:u w:val="single"/>
        </w:rPr>
        <w:t>Accessed 4/10/2021</w:t>
      </w:r>
    </w:p>
    <w:p w14:paraId="78C24965" w14:textId="62F13023" w:rsidR="000C134A" w:rsidRPr="004E4574" w:rsidRDefault="000C134A" w:rsidP="000C134A">
      <w:pPr>
        <w:pStyle w:val="BodyText"/>
        <w:rPr>
          <w:shd w:val="clear" w:color="auto" w:fill="FFFFFF"/>
        </w:rPr>
      </w:pPr>
      <w:r w:rsidRPr="249B11C1">
        <w:rPr>
          <w:rFonts w:eastAsia="Montserrat Light" w:cs="Montserrat Light"/>
        </w:rPr>
        <w:t>Thimasarn</w:t>
      </w:r>
      <w:bookmarkEnd w:id="440"/>
      <w:r w:rsidRPr="249B11C1">
        <w:rPr>
          <w:rFonts w:eastAsia="Montserrat Light" w:cs="Montserrat Light"/>
        </w:rPr>
        <w:t xml:space="preserve">-Anwar, T., </w:t>
      </w:r>
      <w:r w:rsidR="614CD285" w:rsidRPr="249B11C1">
        <w:rPr>
          <w:rFonts w:eastAsia="Montserrat Light" w:cs="Montserrat Light"/>
        </w:rPr>
        <w:t>et al.</w:t>
      </w:r>
      <w:r w:rsidRPr="249B11C1">
        <w:rPr>
          <w:rFonts w:eastAsia="Montserrat Light" w:cs="Montserrat Light"/>
        </w:rPr>
        <w:t xml:space="preserve"> (2017). </w:t>
      </w:r>
      <w:r w:rsidRPr="249B11C1">
        <w:rPr>
          <w:rFonts w:eastAsia="Montserrat Light" w:cs="Montserrat Light"/>
          <w:i/>
        </w:rPr>
        <w:t>Gambling report: Results from the 2016 Health and Lifestyles Survey</w:t>
      </w:r>
      <w:r w:rsidRPr="249B11C1">
        <w:rPr>
          <w:rFonts w:eastAsia="Montserrat Light" w:cs="Montserrat Light"/>
        </w:rPr>
        <w:t xml:space="preserve">. Wellington: Health Promotion Agency Research and Evaluation Unit. </w:t>
      </w:r>
      <w:r w:rsidR="00817CEF">
        <w:rPr>
          <w:rFonts w:eastAsia="Montserrat Light" w:cs="Montserrat Light"/>
        </w:rPr>
        <w:t xml:space="preserve"> </w:t>
      </w:r>
      <w:hyperlink r:id="rId53" w:history="1">
        <w:r w:rsidR="00D8498A" w:rsidRPr="00317A9A">
          <w:rPr>
            <w:rStyle w:val="Hyperlink"/>
            <w:shd w:val="clear" w:color="auto" w:fill="FFFFFF"/>
          </w:rPr>
          <w:t>https://www.hpa.org.nz/sites/default/files/Final-Report_Results-from-2016-Health-And-Lifestyles-Survey_Gambling-Feb2018.pdf</w:t>
        </w:r>
      </w:hyperlink>
      <w:r w:rsidR="00D8498A">
        <w:rPr>
          <w:shd w:val="clear" w:color="auto" w:fill="FFFFFF"/>
        </w:rPr>
        <w:t xml:space="preserve">   </w:t>
      </w:r>
      <w:r w:rsidR="00BB0BAB" w:rsidRPr="00BB0BAB">
        <w:rPr>
          <w:shd w:val="clear" w:color="auto" w:fill="FFFFFF"/>
        </w:rPr>
        <w:t xml:space="preserve"> </w:t>
      </w:r>
      <w:r w:rsidR="002740FE">
        <w:rPr>
          <w:shd w:val="clear" w:color="auto" w:fill="FFFFFF"/>
        </w:rPr>
        <w:t>Accessed 4/10/2021</w:t>
      </w:r>
    </w:p>
    <w:p w14:paraId="26D06BD8" w14:textId="51928990" w:rsidR="000C134A" w:rsidRPr="004E4574" w:rsidRDefault="37A96470" w:rsidP="249B11C1">
      <w:pPr>
        <w:pStyle w:val="BodyText"/>
        <w:rPr>
          <w:rFonts w:eastAsia="Calibri" w:cs="Arial"/>
        </w:rPr>
      </w:pPr>
      <w:r w:rsidRPr="249B11C1">
        <w:rPr>
          <w:rFonts w:eastAsia="Montserrat Light" w:cs="Montserrat Light"/>
        </w:rPr>
        <w:t xml:space="preserve">Thangaratinam, S. &amp; Redman, C.W.E. (2005). The Delphi technique. </w:t>
      </w:r>
      <w:r w:rsidRPr="249B11C1">
        <w:rPr>
          <w:rFonts w:eastAsia="Montserrat Light" w:cs="Montserrat Light"/>
          <w:i/>
          <w:iCs/>
        </w:rPr>
        <w:t>The Obstetrician &amp; Gynaecologist, 7</w:t>
      </w:r>
      <w:r w:rsidRPr="249B11C1">
        <w:rPr>
          <w:rFonts w:eastAsia="Montserrat Light" w:cs="Montserrat Light"/>
        </w:rPr>
        <w:t>(2), 120-5.</w:t>
      </w:r>
      <w:r w:rsidR="002740FE">
        <w:rPr>
          <w:rFonts w:eastAsia="Montserrat Light" w:cs="Montserrat Light"/>
        </w:rPr>
        <w:t xml:space="preserve"> </w:t>
      </w:r>
      <w:hyperlink r:id="rId54" w:history="1">
        <w:r w:rsidR="002740FE" w:rsidRPr="00B91E55">
          <w:rPr>
            <w:rStyle w:val="Hyperlink"/>
            <w:rFonts w:eastAsia="Montserrat Light" w:cs="Montserrat Light"/>
          </w:rPr>
          <w:t>https://obgyn.onlinelibrary.wiley.com/doi/abs/10.1576/toag.7.2.120.27071</w:t>
        </w:r>
      </w:hyperlink>
      <w:r w:rsidR="002740FE">
        <w:rPr>
          <w:rFonts w:eastAsia="Montserrat Light" w:cs="Montserrat Light"/>
        </w:rPr>
        <w:t xml:space="preserve"> Accessed 4/10/2021</w:t>
      </w:r>
    </w:p>
    <w:p w14:paraId="1C2A763B" w14:textId="35537F77" w:rsidR="000C134A" w:rsidRPr="004E4574" w:rsidRDefault="000C134A" w:rsidP="249B11C1">
      <w:pPr>
        <w:pStyle w:val="BodyText"/>
        <w:spacing w:after="0"/>
      </w:pPr>
      <w:r w:rsidRPr="249B11C1">
        <w:rPr>
          <w:rFonts w:eastAsia="Montserrat Light" w:cs="Montserrat Light"/>
        </w:rPr>
        <w:t xml:space="preserve">Thomas, </w:t>
      </w:r>
      <w:r w:rsidR="37A96470" w:rsidRPr="249B11C1">
        <w:rPr>
          <w:rFonts w:eastAsia="Montserrat Light" w:cs="Montserrat Light"/>
        </w:rPr>
        <w:t>S., et al. (</w:t>
      </w:r>
      <w:r w:rsidRPr="249B11C1">
        <w:rPr>
          <w:rFonts w:eastAsia="Montserrat Light" w:cs="Montserrat Light"/>
        </w:rPr>
        <w:t>2016</w:t>
      </w:r>
      <w:r w:rsidR="37A96470" w:rsidRPr="249B11C1">
        <w:rPr>
          <w:rFonts w:eastAsia="Montserrat Light" w:cs="Montserrat Light"/>
        </w:rPr>
        <w:t>).</w:t>
      </w:r>
      <w:r w:rsidRPr="249B11C1">
        <w:rPr>
          <w:rFonts w:eastAsia="Montserrat Light" w:cs="Montserrat Light"/>
        </w:rPr>
        <w:t xml:space="preserve"> </w:t>
      </w:r>
      <w:r w:rsidRPr="249B11C1">
        <w:rPr>
          <w:rFonts w:eastAsia="Montserrat Light" w:cs="Montserrat Light"/>
          <w:i/>
        </w:rPr>
        <w:t>Lessons for the development of initiatives to tackle the stigma associated with problem gambling</w:t>
      </w:r>
      <w:r w:rsidR="37A96470" w:rsidRPr="249B11C1">
        <w:rPr>
          <w:rFonts w:eastAsia="Montserrat Light" w:cs="Montserrat Light"/>
        </w:rPr>
        <w:t>.</w:t>
      </w:r>
      <w:r w:rsidRPr="249B11C1">
        <w:rPr>
          <w:rFonts w:eastAsia="Montserrat Light" w:cs="Montserrat Light"/>
        </w:rPr>
        <w:t xml:space="preserve"> Victorian Responsible Gambling Foundation, Melbourne.</w:t>
      </w:r>
    </w:p>
    <w:p w14:paraId="48158B19" w14:textId="186079E3" w:rsidR="008775D7" w:rsidRDefault="008775D7" w:rsidP="249B11C1">
      <w:pPr>
        <w:pStyle w:val="BodyText"/>
      </w:pPr>
      <w:r w:rsidRPr="00F62854">
        <w:rPr>
          <w:rStyle w:val="Hyperlink"/>
          <w:rFonts w:eastAsia="Montserrat Light" w:cs="Montserrat Light"/>
        </w:rPr>
        <w:t>https://responsiblegambling.vic.gov.au/documents/347/Thomas_lessons_for_initiatives_to_tackle_stigma_of_problem_gambling_May_2016_m25vNjf.pdf</w:t>
      </w:r>
      <w:r w:rsidRPr="008775D7">
        <w:t xml:space="preserve"> </w:t>
      </w:r>
      <w:r>
        <w:t xml:space="preserve"> Access</w:t>
      </w:r>
      <w:r w:rsidR="00144FBF">
        <w:t>ed 4/10/2021</w:t>
      </w:r>
    </w:p>
    <w:p w14:paraId="70BDE777" w14:textId="4F989A96" w:rsidR="000C134A" w:rsidRDefault="4761598E" w:rsidP="249B11C1">
      <w:pPr>
        <w:pStyle w:val="BodyText"/>
        <w:rPr>
          <w:rFonts w:eastAsia="Montserrat Light" w:cs="Montserrat Light"/>
        </w:rPr>
      </w:pPr>
      <w:r w:rsidRPr="00F10EE3">
        <w:rPr>
          <w:rFonts w:eastAsia="Montserrat Light" w:cs="Montserrat Light"/>
        </w:rPr>
        <w:t>Tse</w:t>
      </w:r>
      <w:r w:rsidRPr="249B11C1">
        <w:rPr>
          <w:rFonts w:eastAsia="Montserrat Light" w:cs="Montserrat Light"/>
        </w:rPr>
        <w:t xml:space="preserve">, S., et al. (2005). </w:t>
      </w:r>
      <w:r w:rsidRPr="249B11C1">
        <w:rPr>
          <w:rFonts w:eastAsia="Montserrat Light" w:cs="Montserrat Light"/>
          <w:i/>
          <w:iCs/>
        </w:rPr>
        <w:t>Host Responsibility for Gambling Venues in New Zealand: Guidelines Report</w:t>
      </w:r>
      <w:r w:rsidRPr="249B11C1">
        <w:rPr>
          <w:rFonts w:eastAsia="Montserrat Light" w:cs="Montserrat Light"/>
        </w:rPr>
        <w:t xml:space="preserve">. Auckland </w:t>
      </w:r>
      <w:proofErr w:type="spellStart"/>
      <w:r w:rsidRPr="249B11C1">
        <w:rPr>
          <w:rFonts w:eastAsia="Montserrat Light" w:cs="Montserrat Light"/>
        </w:rPr>
        <w:t>UniServices</w:t>
      </w:r>
      <w:proofErr w:type="spellEnd"/>
      <w:r w:rsidRPr="249B11C1">
        <w:rPr>
          <w:rFonts w:eastAsia="Montserrat Light" w:cs="Montserrat Light"/>
        </w:rPr>
        <w:t xml:space="preserve"> Limited, University of Auckland</w:t>
      </w:r>
      <w:r w:rsidR="00503E93">
        <w:rPr>
          <w:rFonts w:eastAsia="Montserrat Light" w:cs="Montserrat Light"/>
        </w:rPr>
        <w:t xml:space="preserve"> </w:t>
      </w:r>
      <w:hyperlink r:id="rId55" w:history="1">
        <w:r w:rsidR="00C61FEB" w:rsidRPr="00B91E55">
          <w:rPr>
            <w:rStyle w:val="Hyperlink"/>
            <w:rFonts w:eastAsia="Montserrat Light" w:cs="Montserrat Light"/>
          </w:rPr>
          <w:t>https://www.fmhs.auckland.ac.nz/assets/fmhs/soph/sch/adams/docs/hr_summary_&amp;_recommendations.pdf</w:t>
        </w:r>
      </w:hyperlink>
      <w:r w:rsidR="00C61FEB">
        <w:rPr>
          <w:rFonts w:eastAsia="Montserrat Light" w:cs="Montserrat Light"/>
        </w:rPr>
        <w:t xml:space="preserve"> Accessed  4/10/2021</w:t>
      </w:r>
    </w:p>
    <w:p w14:paraId="13856C34" w14:textId="1BA5F8FD" w:rsidR="000C134A" w:rsidRPr="004E4574" w:rsidRDefault="4761598E" w:rsidP="249B11C1">
      <w:pPr>
        <w:spacing w:line="264" w:lineRule="auto"/>
      </w:pPr>
      <w:r w:rsidRPr="249B11C1">
        <w:rPr>
          <w:rFonts w:eastAsia="Montserrat Light" w:cs="Montserrat Light"/>
        </w:rPr>
        <w:t xml:space="preserve">UK Gambling Commission. (2019). </w:t>
      </w:r>
      <w:r w:rsidRPr="249B11C1">
        <w:rPr>
          <w:rFonts w:eastAsia="Montserrat Light" w:cs="Montserrat Light"/>
          <w:i/>
          <w:iCs/>
        </w:rPr>
        <w:t>National Strategy to Reduce Gambling Harms.</w:t>
      </w:r>
      <w:r w:rsidRPr="249B11C1">
        <w:rPr>
          <w:rFonts w:eastAsia="Montserrat Light" w:cs="Montserrat Light"/>
        </w:rPr>
        <w:t xml:space="preserve"> </w:t>
      </w:r>
      <w:hyperlink r:id="rId56" w:history="1">
        <w:r w:rsidR="00F345E1" w:rsidRPr="00B91E55">
          <w:rPr>
            <w:rStyle w:val="Hyperlink"/>
            <w:rFonts w:eastAsia="Montserrat Light" w:cs="Montserrat Light"/>
          </w:rPr>
          <w:t>https://www.gamblingcommission.gov.uk/about-us/guide/rgh-strategy-approach-and-delivery</w:t>
        </w:r>
      </w:hyperlink>
      <w:r w:rsidR="00F345E1">
        <w:rPr>
          <w:rFonts w:eastAsia="Montserrat Light" w:cs="Montserrat Light"/>
        </w:rPr>
        <w:t xml:space="preserve">  Accessed </w:t>
      </w:r>
      <w:r w:rsidR="00E8570E">
        <w:rPr>
          <w:rFonts w:eastAsia="Montserrat Light" w:cs="Montserrat Light"/>
        </w:rPr>
        <w:t>4/10/2021</w:t>
      </w:r>
    </w:p>
    <w:p w14:paraId="3AFA7BF4" w14:textId="575C5EFD" w:rsidR="000C134A" w:rsidRPr="004E4574" w:rsidRDefault="000C134A" w:rsidP="249B11C1">
      <w:pPr>
        <w:pStyle w:val="BodyText"/>
        <w:spacing w:after="0"/>
        <w:rPr>
          <w:rFonts w:eastAsia="Calibri" w:cs="Arial"/>
        </w:rPr>
      </w:pPr>
    </w:p>
    <w:p w14:paraId="48538D7C" w14:textId="30FFCE8A" w:rsidR="000C134A" w:rsidRPr="004E4574" w:rsidRDefault="000C134A" w:rsidP="249B11C1">
      <w:pPr>
        <w:pStyle w:val="BodyText"/>
        <w:spacing w:after="0"/>
      </w:pPr>
      <w:r w:rsidRPr="249B11C1">
        <w:rPr>
          <w:rFonts w:eastAsia="Montserrat Light" w:cs="Montserrat Light"/>
        </w:rPr>
        <w:t xml:space="preserve">Williams, </w:t>
      </w:r>
      <w:r w:rsidR="4761598E" w:rsidRPr="249B11C1">
        <w:rPr>
          <w:rFonts w:eastAsia="Montserrat Light" w:cs="Montserrat Light"/>
        </w:rPr>
        <w:t>R. &amp;</w:t>
      </w:r>
      <w:r w:rsidRPr="249B11C1">
        <w:rPr>
          <w:rFonts w:eastAsia="Montserrat Light" w:cs="Montserrat Light"/>
        </w:rPr>
        <w:t xml:space="preserve"> Wood, </w:t>
      </w:r>
      <w:r w:rsidR="4761598E" w:rsidRPr="249B11C1">
        <w:rPr>
          <w:rFonts w:eastAsia="Montserrat Light" w:cs="Montserrat Light"/>
        </w:rPr>
        <w:t>R.</w:t>
      </w:r>
      <w:r w:rsidRPr="249B11C1">
        <w:rPr>
          <w:rFonts w:eastAsia="Montserrat Light" w:cs="Montserrat Light"/>
        </w:rPr>
        <w:t xml:space="preserve"> (2016</w:t>
      </w:r>
      <w:r w:rsidR="4761598E" w:rsidRPr="249B11C1">
        <w:rPr>
          <w:rFonts w:eastAsia="Montserrat Light" w:cs="Montserrat Light"/>
        </w:rPr>
        <w:t>.)</w:t>
      </w:r>
      <w:r w:rsidRPr="249B11C1">
        <w:rPr>
          <w:rFonts w:eastAsia="Montserrat Light" w:cs="Montserrat Light"/>
        </w:rPr>
        <w:t xml:space="preserve"> </w:t>
      </w:r>
      <w:r w:rsidRPr="249B11C1">
        <w:rPr>
          <w:rFonts w:eastAsia="Montserrat Light" w:cs="Montserrat Light"/>
          <w:i/>
        </w:rPr>
        <w:t>What Proportion of Gambling Revenue is Derived from Problem Gamblers?</w:t>
      </w:r>
      <w:r w:rsidRPr="249B11C1">
        <w:rPr>
          <w:rFonts w:eastAsia="Montserrat Light" w:cs="Montserrat Light"/>
        </w:rPr>
        <w:t xml:space="preserve"> </w:t>
      </w:r>
      <w:r w:rsidR="4761598E" w:rsidRPr="249B11C1">
        <w:rPr>
          <w:rFonts w:eastAsia="Montserrat Light" w:cs="Montserrat Light"/>
        </w:rPr>
        <w:t xml:space="preserve">[Conference presentation]. </w:t>
      </w:r>
      <w:r w:rsidRPr="249B11C1">
        <w:rPr>
          <w:rFonts w:eastAsia="Montserrat Light" w:cs="Montserrat Light"/>
        </w:rPr>
        <w:t>Alberta Gambling Research Institute Conference Banff, Alberta</w:t>
      </w:r>
      <w:r w:rsidR="007B2FE8" w:rsidRPr="249B11C1">
        <w:rPr>
          <w:rFonts w:eastAsia="Montserrat Light" w:cs="Montserrat Light"/>
        </w:rPr>
        <w:t>.</w:t>
      </w:r>
    </w:p>
    <w:p w14:paraId="493155FC" w14:textId="12BA0214" w:rsidR="000C134A" w:rsidRDefault="00005CFC" w:rsidP="006D4571">
      <w:pPr>
        <w:spacing w:line="264" w:lineRule="auto"/>
        <w:rPr>
          <w:rFonts w:eastAsia="Montserrat Light" w:cs="Montserrat Light"/>
        </w:rPr>
      </w:pPr>
      <w:hyperlink r:id="rId57" w:history="1">
        <w:r w:rsidR="007B2FE8" w:rsidRPr="001F65F9">
          <w:rPr>
            <w:rStyle w:val="Hyperlink"/>
            <w:rFonts w:eastAsia="Montserrat Light" w:cs="Montserrat Light"/>
          </w:rPr>
          <w:t>https://prism.ucalgary.ca/bitstream/handle/1880/51141/Williams_AGRI2016_What_Proportion_of_Gambling_Revenue_is_Derived_from_PG.pdf;jsessionid=74E3FE973ACDB5284FC179A441174F11?sequence=18</w:t>
        </w:r>
      </w:hyperlink>
      <w:r w:rsidR="006D4571">
        <w:rPr>
          <w:rStyle w:val="Hyperlink"/>
          <w:color w:val="3F7AA5" w:themeColor="accent2" w:themeShade="80"/>
        </w:rPr>
        <w:t xml:space="preserve"> </w:t>
      </w:r>
      <w:r w:rsidR="00E410E4">
        <w:rPr>
          <w:rStyle w:val="Hyperlink"/>
          <w:shd w:val="clear" w:color="auto" w:fill="FFFFFF"/>
        </w:rPr>
        <w:t xml:space="preserve"> </w:t>
      </w:r>
      <w:r w:rsidR="00E410E4" w:rsidRPr="006D4571">
        <w:rPr>
          <w:rFonts w:eastAsia="Montserrat Light" w:cs="Montserrat Light"/>
        </w:rPr>
        <w:t>Accessed</w:t>
      </w:r>
      <w:r w:rsidR="005F7055" w:rsidRPr="006D4571">
        <w:rPr>
          <w:rFonts w:eastAsia="Montserrat Light" w:cs="Montserrat Light"/>
        </w:rPr>
        <w:t xml:space="preserve"> 4/10/2021</w:t>
      </w:r>
    </w:p>
    <w:p w14:paraId="04EE7450" w14:textId="77777777" w:rsidR="006D4571" w:rsidRPr="006D4571" w:rsidRDefault="006D4571" w:rsidP="006D4571">
      <w:pPr>
        <w:spacing w:line="264" w:lineRule="auto"/>
        <w:rPr>
          <w:rFonts w:eastAsia="Montserrat Light" w:cs="Montserrat Light"/>
        </w:rPr>
      </w:pPr>
    </w:p>
    <w:p w14:paraId="7C14BB7B" w14:textId="3D814FC0" w:rsidR="12A4406A" w:rsidRDefault="12A4406A" w:rsidP="249B11C1">
      <w:pPr>
        <w:spacing w:line="264" w:lineRule="auto"/>
      </w:pPr>
      <w:r w:rsidRPr="249B11C1">
        <w:rPr>
          <w:rFonts w:eastAsia="Montserrat Light" w:cs="Montserrat Light"/>
        </w:rPr>
        <w:t xml:space="preserve">Williams, R. &amp; Wood, R. (2007). The Proportion of Ontario Gambling Revenue Derived from Problem Gamblers. </w:t>
      </w:r>
      <w:r w:rsidRPr="249B11C1">
        <w:rPr>
          <w:rFonts w:eastAsia="Montserrat Light" w:cs="Montserrat Light"/>
          <w:i/>
          <w:iCs/>
        </w:rPr>
        <w:t>Canadian Public Policy, 33</w:t>
      </w:r>
      <w:r w:rsidRPr="249B11C1">
        <w:rPr>
          <w:rFonts w:eastAsia="Montserrat Light" w:cs="Montserrat Light"/>
        </w:rPr>
        <w:t xml:space="preserve"> (3), 367-388. </w:t>
      </w:r>
      <w:r w:rsidRPr="249B11C1">
        <w:rPr>
          <w:rFonts w:eastAsia="Montserrat Light" w:cs="Montserrat Light"/>
          <w:color w:val="4F81BD"/>
          <w:u w:val="single"/>
        </w:rPr>
        <w:t>https://doi.org/10.3138/cpp.33.3.367</w:t>
      </w:r>
      <w:r w:rsidRPr="249B11C1">
        <w:rPr>
          <w:rFonts w:eastAsia="Montserrat Light" w:cs="Montserrat Light"/>
        </w:rPr>
        <w:t xml:space="preserve">  </w:t>
      </w:r>
    </w:p>
    <w:p w14:paraId="0B4DAA01" w14:textId="48E9925F" w:rsidR="249B11C1" w:rsidRDefault="00ED4172" w:rsidP="249B11C1">
      <w:pPr>
        <w:pStyle w:val="BodyText"/>
        <w:spacing w:after="0"/>
        <w:rPr>
          <w:rFonts w:eastAsia="Calibri" w:cs="Arial"/>
        </w:rPr>
      </w:pPr>
      <w:r>
        <w:rPr>
          <w:rFonts w:eastAsia="Calibri" w:cs="Arial"/>
        </w:rPr>
        <w:t>Accessed 4/10/2021</w:t>
      </w:r>
    </w:p>
    <w:p w14:paraId="43A1199B" w14:textId="77777777" w:rsidR="002D532E" w:rsidRDefault="002D532E" w:rsidP="249B11C1">
      <w:pPr>
        <w:pStyle w:val="BodyText"/>
        <w:spacing w:after="0"/>
        <w:rPr>
          <w:rFonts w:eastAsia="Calibri" w:cs="Arial"/>
        </w:rPr>
      </w:pPr>
    </w:p>
    <w:p w14:paraId="383E4AC1" w14:textId="05A00DB6" w:rsidR="12A4406A" w:rsidRPr="00F41B40" w:rsidRDefault="12A4406A" w:rsidP="249B11C1">
      <w:pPr>
        <w:spacing w:line="264" w:lineRule="auto"/>
        <w:rPr>
          <w:rFonts w:eastAsia="Montserrat Light" w:cs="Montserrat Light"/>
        </w:rPr>
      </w:pPr>
      <w:r w:rsidRPr="249B11C1">
        <w:rPr>
          <w:rFonts w:eastAsia="Montserrat Light" w:cs="Montserrat Light"/>
        </w:rPr>
        <w:t>Winslow, C.E. A. (</w:t>
      </w:r>
      <w:r w:rsidRPr="002D532E">
        <w:rPr>
          <w:rFonts w:eastAsia="Montserrat Light" w:cs="Montserrat Light"/>
        </w:rPr>
        <w:t xml:space="preserve">1920). The untilled fields of public health. </w:t>
      </w:r>
      <w:r w:rsidRPr="002D532E">
        <w:rPr>
          <w:rFonts w:eastAsia="Montserrat Light" w:cs="Montserrat Light"/>
          <w:i/>
          <w:iCs/>
        </w:rPr>
        <w:t>Science, 51</w:t>
      </w:r>
      <w:r w:rsidRPr="002D532E">
        <w:rPr>
          <w:rFonts w:eastAsia="Montserrat Light" w:cs="Montserrat Light"/>
        </w:rPr>
        <w:t xml:space="preserve">(1306), 23–33. </w:t>
      </w:r>
      <w:hyperlink r:id="rId58" w:history="1">
        <w:r w:rsidR="00484763" w:rsidRPr="00B91E55">
          <w:rPr>
            <w:rStyle w:val="Hyperlink"/>
            <w:rFonts w:eastAsia="Montserrat Light" w:cs="Montserrat Light"/>
          </w:rPr>
          <w:t>https://doi.org/10.1126/science.51.1306.23</w:t>
        </w:r>
      </w:hyperlink>
      <w:r w:rsidR="00484763">
        <w:rPr>
          <w:rFonts w:eastAsia="Montserrat Light" w:cs="Montserrat Light"/>
          <w:color w:val="4F81BD"/>
          <w:u w:val="single"/>
        </w:rPr>
        <w:t xml:space="preserve">   </w:t>
      </w:r>
      <w:r w:rsidR="00484763" w:rsidRPr="00F41B40">
        <w:rPr>
          <w:rFonts w:eastAsia="Montserrat Light" w:cs="Montserrat Light"/>
        </w:rPr>
        <w:t>A</w:t>
      </w:r>
      <w:r w:rsidR="00F41B40" w:rsidRPr="00F41B40">
        <w:rPr>
          <w:rFonts w:eastAsia="Montserrat Light" w:cs="Montserrat Light"/>
        </w:rPr>
        <w:t>ccessed 4/10/2021</w:t>
      </w:r>
    </w:p>
    <w:p w14:paraId="709DCC46" w14:textId="442B6769" w:rsidR="249B11C1" w:rsidRPr="00F41B40" w:rsidRDefault="249B11C1" w:rsidP="00F41B40">
      <w:pPr>
        <w:spacing w:line="264" w:lineRule="auto"/>
        <w:rPr>
          <w:rFonts w:eastAsia="Montserrat Light" w:cs="Montserrat Light"/>
        </w:rPr>
      </w:pPr>
    </w:p>
    <w:p w14:paraId="224C4A53" w14:textId="00EBC1D8" w:rsidR="12A4406A" w:rsidRDefault="12A4406A" w:rsidP="249B11C1">
      <w:pPr>
        <w:spacing w:line="264" w:lineRule="auto"/>
      </w:pPr>
      <w:r w:rsidRPr="002D532E">
        <w:rPr>
          <w:rFonts w:eastAsia="Montserrat Light" w:cs="Montserrat Light"/>
        </w:rPr>
        <w:t xml:space="preserve">Wood, R. (2019). Personal Communication </w:t>
      </w:r>
      <w:r w:rsidRPr="002D532E">
        <w:rPr>
          <w:rFonts w:eastAsia="Montserrat Light" w:cs="Montserrat Light"/>
          <w:u w:val="single"/>
        </w:rPr>
        <w:t>[Not publicly available]</w:t>
      </w:r>
    </w:p>
    <w:p w14:paraId="678CCE60" w14:textId="371A83AE" w:rsidR="249B11C1" w:rsidRDefault="249B11C1" w:rsidP="249B11C1">
      <w:pPr>
        <w:spacing w:line="264" w:lineRule="auto"/>
        <w:rPr>
          <w:rFonts w:eastAsia="Calibri" w:cs="Arial"/>
        </w:rPr>
      </w:pPr>
    </w:p>
    <w:p w14:paraId="5555FE66" w14:textId="77E29C1E" w:rsidR="12A4406A" w:rsidRDefault="12A4406A" w:rsidP="1CCFCCC7">
      <w:pPr>
        <w:spacing w:line="264" w:lineRule="auto"/>
      </w:pPr>
      <w:r w:rsidRPr="1CCFCCC7">
        <w:rPr>
          <w:rFonts w:eastAsia="Montserrat Light" w:cs="Montserrat Light"/>
        </w:rPr>
        <w:t xml:space="preserve">Wood, R.T.A., Shorter, G.W., &amp; Griffiths, M.D. (2014a). Rating the suitability of responsible gambling features for specific game types: A resource for optimizing responsible gambling strategy. </w:t>
      </w:r>
      <w:r w:rsidRPr="1CCFCCC7">
        <w:rPr>
          <w:rFonts w:eastAsia="Montserrat Light" w:cs="Montserrat Light"/>
          <w:i/>
          <w:iCs/>
        </w:rPr>
        <w:t>International Journal of Mental Health and Addiction, 12</w:t>
      </w:r>
      <w:r w:rsidRPr="1CCFCCC7">
        <w:rPr>
          <w:rFonts w:eastAsia="Montserrat Light" w:cs="Montserrat Light"/>
        </w:rPr>
        <w:t xml:space="preserve">, 94–112.  </w:t>
      </w:r>
    </w:p>
    <w:p w14:paraId="256270D0" w14:textId="3467A6B2" w:rsidR="12A4406A" w:rsidRPr="00C36D98" w:rsidRDefault="00005CFC" w:rsidP="1CCFCCC7">
      <w:pPr>
        <w:pStyle w:val="BodyText"/>
        <w:rPr>
          <w:rFonts w:eastAsia="Montserrat Light" w:cs="Montserrat Light"/>
        </w:rPr>
      </w:pPr>
      <w:hyperlink r:id="rId59" w:history="1">
        <w:r w:rsidR="00233B52" w:rsidRPr="00B91E55">
          <w:rPr>
            <w:rStyle w:val="Hyperlink"/>
            <w:rFonts w:eastAsia="Montserrat Light" w:cs="Montserrat Light"/>
          </w:rPr>
          <w:t>http://irep.ntu.ac.uk/id/eprint/26629/1/Pubsub3137_Griffiths.pdf</w:t>
        </w:r>
      </w:hyperlink>
      <w:r w:rsidR="00233B52">
        <w:rPr>
          <w:rFonts w:eastAsia="Montserrat Light" w:cs="Montserrat Light"/>
          <w:color w:val="4F81BD"/>
          <w:u w:val="single"/>
        </w:rPr>
        <w:t xml:space="preserve"> </w:t>
      </w:r>
      <w:r w:rsidR="00233B52" w:rsidRPr="00C36D98">
        <w:rPr>
          <w:rFonts w:eastAsia="Montserrat Light" w:cs="Montserrat Light"/>
        </w:rPr>
        <w:t>Accessed 4/10/2021</w:t>
      </w:r>
    </w:p>
    <w:p w14:paraId="317E3F79" w14:textId="40EDBE12" w:rsidR="12A4406A" w:rsidRPr="00C36D98" w:rsidRDefault="000C134A" w:rsidP="58D8BC24">
      <w:pPr>
        <w:spacing w:line="264" w:lineRule="auto"/>
        <w:rPr>
          <w:rFonts w:eastAsia="Montserrat Light" w:cs="Montserrat Light"/>
        </w:rPr>
      </w:pPr>
      <w:r w:rsidRPr="58D8BC24">
        <w:rPr>
          <w:rFonts w:eastAsia="Montserrat Light" w:cs="Montserrat Light"/>
        </w:rPr>
        <w:t>Wood, R.T.A., Shorter, G.W. &amp; Griffiths, M.D. (</w:t>
      </w:r>
      <w:r w:rsidR="009E07DE" w:rsidRPr="58D8BC24">
        <w:rPr>
          <w:rFonts w:eastAsia="Montserrat Light" w:cs="Montserrat Light"/>
        </w:rPr>
        <w:t>2014b</w:t>
      </w:r>
      <w:r w:rsidR="12A4406A" w:rsidRPr="58D8BC24">
        <w:rPr>
          <w:rFonts w:eastAsia="Montserrat Light" w:cs="Montserrat Light"/>
        </w:rPr>
        <w:t>).</w:t>
      </w:r>
      <w:r w:rsidRPr="58D8BC24">
        <w:rPr>
          <w:rFonts w:eastAsia="Montserrat Light" w:cs="Montserrat Light"/>
        </w:rPr>
        <w:t xml:space="preserve"> Selecting appropriate gambling features for a specific portfolio of games</w:t>
      </w:r>
      <w:r w:rsidR="12A4406A" w:rsidRPr="58D8BC24">
        <w:rPr>
          <w:rFonts w:eastAsia="Montserrat Light" w:cs="Montserrat Light"/>
        </w:rPr>
        <w:t>.</w:t>
      </w:r>
      <w:r w:rsidRPr="58D8BC24">
        <w:rPr>
          <w:rFonts w:eastAsia="Montserrat Light" w:cs="Montserrat Light"/>
        </w:rPr>
        <w:t xml:space="preserve"> </w:t>
      </w:r>
      <w:r w:rsidRPr="58D8BC24">
        <w:rPr>
          <w:rFonts w:eastAsia="Montserrat Light" w:cs="Montserrat Light"/>
          <w:i/>
        </w:rPr>
        <w:t>Responsible Gambling Review</w:t>
      </w:r>
      <w:r w:rsidR="12A4406A" w:rsidRPr="58D8BC24">
        <w:rPr>
          <w:rFonts w:eastAsia="Montserrat Light" w:cs="Montserrat Light"/>
          <w:i/>
          <w:iCs/>
        </w:rPr>
        <w:t>,</w:t>
      </w:r>
      <w:r w:rsidRPr="58D8BC24">
        <w:rPr>
          <w:rFonts w:eastAsia="Montserrat Light" w:cs="Montserrat Light"/>
          <w:i/>
        </w:rPr>
        <w:t xml:space="preserve"> 1</w:t>
      </w:r>
      <w:r w:rsidR="12A4406A" w:rsidRPr="58D8BC24">
        <w:rPr>
          <w:rFonts w:eastAsia="Montserrat Light" w:cs="Montserrat Light"/>
        </w:rPr>
        <w:t xml:space="preserve">(1), pp. 51-63.  </w:t>
      </w:r>
      <w:hyperlink r:id="rId60" w:history="1">
        <w:r w:rsidR="007F0912" w:rsidRPr="00B91E55">
          <w:rPr>
            <w:rStyle w:val="Hyperlink"/>
            <w:rFonts w:eastAsia="Montserrat Light" w:cs="Montserrat Light"/>
          </w:rPr>
          <w:t>http://irep.ntu.ac.uk/id/eprint/25766/1/221373_PubSub3049_Griffiths.pdf</w:t>
        </w:r>
      </w:hyperlink>
      <w:r w:rsidR="007F0912">
        <w:rPr>
          <w:rFonts w:eastAsia="Montserrat Light" w:cs="Montserrat Light"/>
          <w:color w:val="4F81BD"/>
          <w:u w:val="single"/>
        </w:rPr>
        <w:t xml:space="preserve">   </w:t>
      </w:r>
      <w:r w:rsidR="007F0912" w:rsidRPr="00C36D98">
        <w:rPr>
          <w:rFonts w:eastAsia="Montserrat Light" w:cs="Montserrat Light"/>
        </w:rPr>
        <w:t>Accessed 4/10/2021</w:t>
      </w:r>
    </w:p>
    <w:p w14:paraId="4742CF08" w14:textId="3667500D" w:rsidR="000C134A" w:rsidRPr="004E4574" w:rsidRDefault="12A4406A" w:rsidP="00336D76">
      <w:pPr>
        <w:spacing w:line="264" w:lineRule="auto"/>
        <w:rPr>
          <w:shd w:val="clear" w:color="auto" w:fill="FFFFFF"/>
        </w:rPr>
      </w:pPr>
      <w:r w:rsidRPr="00C36D98">
        <w:rPr>
          <w:rFonts w:eastAsia="Montserrat Light" w:cs="Montserrat Light"/>
        </w:rPr>
        <w:br/>
      </w:r>
      <w:r w:rsidR="000C134A" w:rsidRPr="004E4574">
        <w:rPr>
          <w:shd w:val="clear" w:color="auto" w:fill="FFFFFF"/>
        </w:rPr>
        <w:t xml:space="preserve">Wood, R. T. A., Wohl, M. J. A., Tabri, N., &amp; Philander, K. (2017). Measuring responsible gambling amongst players: Development of the Positive Play Scale. Frontiers in Psychology, 8, Article 227. </w:t>
      </w:r>
      <w:proofErr w:type="spellStart"/>
      <w:r w:rsidR="000C134A" w:rsidRPr="00A05B78">
        <w:rPr>
          <w:rStyle w:val="Hyperlink"/>
          <w:rFonts w:eastAsia="Montserrat Light" w:cs="Montserrat Light"/>
        </w:rPr>
        <w:t>doi</w:t>
      </w:r>
      <w:proofErr w:type="spellEnd"/>
      <w:r w:rsidR="000C134A" w:rsidRPr="00A05B78">
        <w:rPr>
          <w:rStyle w:val="Hyperlink"/>
          <w:rFonts w:eastAsia="Montserrat Light" w:cs="Montserrat Light"/>
        </w:rPr>
        <w:t>: </w:t>
      </w:r>
      <w:hyperlink r:id="rId61" w:tgtFrame="pmc_ext" w:history="1">
        <w:r w:rsidR="000C134A" w:rsidRPr="00A05B78">
          <w:rPr>
            <w:rStyle w:val="Hyperlink"/>
            <w:rFonts w:eastAsia="Montserrat Light" w:cs="Montserrat Light"/>
          </w:rPr>
          <w:t>10.3389/fpsyg.2017.00227</w:t>
        </w:r>
      </w:hyperlink>
      <w:r w:rsidR="00B56806">
        <w:t xml:space="preserve">   Accessed 4/10/2021</w:t>
      </w:r>
    </w:p>
    <w:p w14:paraId="15EDE349" w14:textId="77777777" w:rsidR="006120C1" w:rsidRPr="004E4574" w:rsidRDefault="006120C1" w:rsidP="006120C1">
      <w:pPr>
        <w:pStyle w:val="BodyText"/>
        <w:rPr>
          <w:shd w:val="clear" w:color="auto" w:fill="FFFFFF"/>
        </w:rPr>
      </w:pPr>
    </w:p>
    <w:p w14:paraId="52F12A8C" w14:textId="77777777" w:rsidR="0072600D" w:rsidRPr="008C1419" w:rsidRDefault="0072600D" w:rsidP="0072600D">
      <w:pPr>
        <w:rPr>
          <w:sz w:val="26"/>
          <w:szCs w:val="26"/>
        </w:rPr>
        <w:sectPr w:rsidR="0072600D" w:rsidRPr="008C1419" w:rsidSect="00BC65A4">
          <w:pgSz w:w="11906" w:h="16838" w:code="168"/>
          <w:pgMar w:top="1418" w:right="1134" w:bottom="851" w:left="1134" w:header="426" w:footer="284" w:gutter="0"/>
          <w:cols w:space="708"/>
          <w:docGrid w:linePitch="360"/>
        </w:sectPr>
      </w:pPr>
    </w:p>
    <w:tbl>
      <w:tblPr>
        <w:tblStyle w:val="TableGrid"/>
        <w:tblpPr w:leftFromText="181" w:rightFromText="181" w:vertAnchor="page" w:horzAnchor="page" w:tblpX="1702" w:tblpY="3687"/>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64"/>
      </w:tblGrid>
      <w:tr w:rsidR="0072600D" w:rsidRPr="008C1419" w14:paraId="4CDBD234" w14:textId="77777777" w:rsidTr="008C1419">
        <w:trPr>
          <w:trHeight w:val="3969"/>
        </w:trPr>
        <w:tc>
          <w:tcPr>
            <w:tcW w:w="8364" w:type="dxa"/>
          </w:tcPr>
          <w:p w14:paraId="08FA1594" w14:textId="645BE560" w:rsidR="0072600D" w:rsidRPr="008C1419" w:rsidRDefault="0072600D" w:rsidP="008C1419">
            <w:pPr>
              <w:pStyle w:val="WSPCoverPage-MainTitle"/>
            </w:pPr>
            <w:r w:rsidRPr="008C1419">
              <w:lastRenderedPageBreak/>
              <w:t xml:space="preserve">Appendix </w:t>
            </w:r>
            <w:r w:rsidRPr="008C1419">
              <w:fldChar w:fldCharType="begin"/>
            </w:r>
            <w:r w:rsidRPr="008C1419">
              <w:instrText xml:space="preserve"> AUTONUM  \* ALPHABETIC \s " " </w:instrText>
            </w:r>
            <w:r w:rsidRPr="008C1419">
              <w:fldChar w:fldCharType="end"/>
            </w:r>
            <w:r w:rsidRPr="008C1419">
              <w:br/>
            </w:r>
            <w:r w:rsidR="0091610B">
              <w:t>Approach letter and interview questions</w:t>
            </w:r>
          </w:p>
          <w:p w14:paraId="7D5F520E" w14:textId="4D85DB94" w:rsidR="0072600D" w:rsidRPr="008C1419" w:rsidRDefault="0072600D" w:rsidP="0072600D">
            <w:pPr>
              <w:pStyle w:val="WSPHeadingSub-Sub"/>
              <w:rPr>
                <w:rFonts w:ascii="Montserrat Light" w:hAnsi="Montserrat Light"/>
                <w:sz w:val="26"/>
                <w:szCs w:val="26"/>
              </w:rPr>
            </w:pPr>
          </w:p>
        </w:tc>
      </w:tr>
    </w:tbl>
    <w:p w14:paraId="52C610DC" w14:textId="77777777" w:rsidR="0072478B" w:rsidRPr="0072478B" w:rsidRDefault="0072478B" w:rsidP="0072478B">
      <w:pPr>
        <w:pStyle w:val="BodyText"/>
        <w:sectPr w:rsidR="0072478B" w:rsidRPr="0072478B" w:rsidSect="00FC3D32">
          <w:headerReference w:type="even" r:id="rId62"/>
          <w:headerReference w:type="default" r:id="rId63"/>
          <w:footerReference w:type="default" r:id="rId64"/>
          <w:headerReference w:type="first" r:id="rId65"/>
          <w:pgSz w:w="11906" w:h="16838" w:code="168"/>
          <w:pgMar w:top="1418" w:right="1134" w:bottom="851" w:left="1134" w:header="851" w:footer="284" w:gutter="0"/>
          <w:cols w:space="708"/>
          <w:docGrid w:linePitch="360"/>
        </w:sectPr>
      </w:pPr>
    </w:p>
    <w:p w14:paraId="2E29773E" w14:textId="40022065" w:rsidR="00810732" w:rsidRDefault="00810732" w:rsidP="001070D7">
      <w:pPr>
        <w:pStyle w:val="Heading1"/>
        <w:numPr>
          <w:ilvl w:val="0"/>
          <w:numId w:val="0"/>
        </w:numPr>
        <w:ind w:left="567" w:hanging="567"/>
      </w:pPr>
      <w:bookmarkStart w:id="441" w:name="_Toc87263203"/>
      <w:r>
        <w:lastRenderedPageBreak/>
        <w:t>Appendices</w:t>
      </w:r>
      <w:bookmarkEnd w:id="441"/>
    </w:p>
    <w:p w14:paraId="342989C8" w14:textId="09E51D32" w:rsidR="0072478B" w:rsidRPr="009827F3" w:rsidRDefault="001070D7" w:rsidP="00810732">
      <w:pPr>
        <w:pStyle w:val="Heading2"/>
        <w:numPr>
          <w:ilvl w:val="0"/>
          <w:numId w:val="0"/>
        </w:numPr>
        <w:ind w:left="567" w:hanging="567"/>
      </w:pPr>
      <w:bookmarkStart w:id="442" w:name="_Toc87263204"/>
      <w:r>
        <w:t>Appendix</w:t>
      </w:r>
      <w:r w:rsidR="00810732">
        <w:t xml:space="preserve"> A</w:t>
      </w:r>
      <w:r>
        <w:t xml:space="preserve">: </w:t>
      </w:r>
      <w:r w:rsidR="0072478B" w:rsidRPr="009827F3">
        <w:t>Approach Letter</w:t>
      </w:r>
      <w:bookmarkEnd w:id="442"/>
    </w:p>
    <w:p w14:paraId="38979C97" w14:textId="77777777" w:rsidR="0072478B" w:rsidRPr="009827F3" w:rsidRDefault="0072478B" w:rsidP="0072478B">
      <w:pPr>
        <w:rPr>
          <w:i/>
        </w:rPr>
      </w:pPr>
    </w:p>
    <w:p w14:paraId="2B5F2C04" w14:textId="77777777" w:rsidR="0072478B" w:rsidRPr="009827F3" w:rsidRDefault="0072478B" w:rsidP="0072478B">
      <w:pPr>
        <w:pStyle w:val="BodyText"/>
      </w:pPr>
      <w:r w:rsidRPr="009827F3">
        <w:t>Dear [name],</w:t>
      </w:r>
    </w:p>
    <w:p w14:paraId="7D286326" w14:textId="5BA3E27C" w:rsidR="0072478B" w:rsidRPr="009827F3" w:rsidRDefault="0072478B" w:rsidP="0072478B">
      <w:pPr>
        <w:pStyle w:val="BodyText"/>
      </w:pPr>
      <w:r w:rsidRPr="009827F3">
        <w:t>I am inviting you to participate in a research project our WSP Research and Innovation Centre are conducting for the New Zealand (NZ) Ministry of Health. The purpose of this study is to provide an industry-independent evaluation of ‘</w:t>
      </w:r>
      <w:r w:rsidR="008A6C4E">
        <w:t>Gamgard</w:t>
      </w:r>
      <w:r w:rsidRPr="009827F3">
        <w:t xml:space="preserve">’ (Gambling Assessment Measure – Guidance about Responsible Design) in an NZ setting. As you may be aware, </w:t>
      </w:r>
      <w:r w:rsidR="008A6C4E">
        <w:t>Gamgard</w:t>
      </w:r>
      <w:r w:rsidRPr="009827F3">
        <w:t xml:space="preserve"> is an online rating tool designed to assist the gambling industry to assess how risky a game is likely to be for a vulnerable player by examining specific risk features. </w:t>
      </w:r>
    </w:p>
    <w:p w14:paraId="1170B6DF" w14:textId="69AD3721" w:rsidR="0072478B" w:rsidRPr="009827F3" w:rsidRDefault="0072478B" w:rsidP="0072478B">
      <w:pPr>
        <w:pStyle w:val="BodyText"/>
      </w:pPr>
      <w:r w:rsidRPr="009827F3">
        <w:t xml:space="preserve">This evaluation is intended to inform NZ government agency thinking about the utility of the </w:t>
      </w:r>
      <w:r w:rsidR="008A6C4E">
        <w:t>Gamgard</w:t>
      </w:r>
      <w:r w:rsidRPr="009827F3">
        <w:t xml:space="preserve"> product with regards to regulatory decision making and gambling harm minimisation within current policy settings, as well as to NZ gambling providers. The evaluation will concern </w:t>
      </w:r>
      <w:r w:rsidR="008A6C4E">
        <w:t>Gamgard</w:t>
      </w:r>
      <w:r w:rsidRPr="009827F3">
        <w:t>’s overall design philosophy, utility and fit as a risk rating tool for detecting the how likely it is that a game will lead vulnerable players into problem gambling.</w:t>
      </w:r>
    </w:p>
    <w:p w14:paraId="2C244B7A" w14:textId="77777777" w:rsidR="0072478B" w:rsidRPr="00696D73" w:rsidRDefault="0072478B" w:rsidP="0072478B">
      <w:pPr>
        <w:pStyle w:val="BodyText"/>
      </w:pPr>
      <w:r w:rsidRPr="00696D73">
        <w:t>We would like to invite you to participate because you have been identified as an expert in this field. If you agree, we would like to conduct a phone or Skype interview at a time convenient for you. The interview should take about 30 minutes and will cover your perspectives and insights on:</w:t>
      </w:r>
    </w:p>
    <w:p w14:paraId="07703F38" w14:textId="77777777" w:rsidR="0072478B" w:rsidRPr="009827F3" w:rsidRDefault="0072478B" w:rsidP="0072478B">
      <w:pPr>
        <w:pStyle w:val="ListBullet"/>
      </w:pPr>
      <w:r w:rsidRPr="009827F3">
        <w:t>the role of game design within a harm minimisation and responsible gambling context,</w:t>
      </w:r>
    </w:p>
    <w:p w14:paraId="78360E26" w14:textId="77777777" w:rsidR="0072478B" w:rsidRPr="009827F3" w:rsidRDefault="0072478B" w:rsidP="0072478B">
      <w:pPr>
        <w:pStyle w:val="ListBullet"/>
      </w:pPr>
      <w:r w:rsidRPr="009827F3">
        <w:t>game design features and associations with risk of harm;</w:t>
      </w:r>
    </w:p>
    <w:p w14:paraId="4CC9BA98" w14:textId="7ACA88E1" w:rsidR="0072478B" w:rsidRPr="009827F3" w:rsidRDefault="0072478B" w:rsidP="0072478B">
      <w:pPr>
        <w:pStyle w:val="BodyText"/>
      </w:pPr>
      <w:r w:rsidRPr="009827F3">
        <w:t xml:space="preserve">As well as (to the best extent of your understanding) </w:t>
      </w:r>
      <w:r w:rsidR="008A6C4E">
        <w:t>Gamgard</w:t>
      </w:r>
      <w:r w:rsidRPr="009827F3">
        <w:t>’s:</w:t>
      </w:r>
    </w:p>
    <w:p w14:paraId="72083D8C" w14:textId="77777777" w:rsidR="0072478B" w:rsidRPr="009827F3" w:rsidRDefault="0072478B" w:rsidP="0072478B">
      <w:pPr>
        <w:pStyle w:val="ListBullet"/>
      </w:pPr>
      <w:r w:rsidRPr="009827F3">
        <w:t xml:space="preserve">background, </w:t>
      </w:r>
    </w:p>
    <w:p w14:paraId="412E0604" w14:textId="77777777" w:rsidR="0072478B" w:rsidRPr="009827F3" w:rsidRDefault="0072478B" w:rsidP="0072478B">
      <w:pPr>
        <w:pStyle w:val="ListBullet"/>
      </w:pPr>
      <w:r w:rsidRPr="009827F3">
        <w:t>function,</w:t>
      </w:r>
    </w:p>
    <w:p w14:paraId="1DA99F7F" w14:textId="77777777" w:rsidR="0072478B" w:rsidRPr="009827F3" w:rsidRDefault="0072478B" w:rsidP="0072478B">
      <w:pPr>
        <w:pStyle w:val="ListBullet"/>
      </w:pPr>
      <w:r w:rsidRPr="009827F3">
        <w:t>use,</w:t>
      </w:r>
    </w:p>
    <w:p w14:paraId="0F588F06" w14:textId="77777777" w:rsidR="0072478B" w:rsidRPr="009827F3" w:rsidRDefault="0072478B" w:rsidP="0072478B">
      <w:pPr>
        <w:pStyle w:val="ListBullet"/>
      </w:pPr>
      <w:r w:rsidRPr="009827F3">
        <w:t>alternatives.</w:t>
      </w:r>
    </w:p>
    <w:p w14:paraId="5373A262" w14:textId="77777777" w:rsidR="0072478B" w:rsidRPr="009827F3" w:rsidRDefault="0072478B" w:rsidP="0072478B">
      <w:pPr>
        <w:pStyle w:val="BodyText"/>
      </w:pPr>
      <w:r w:rsidRPr="009827F3">
        <w:t xml:space="preserve">Your agreement to take part in this study would be greatly appreciated. If you would like to take part, please respond to this email and we will be in touch soon to arrange the interview. If you have any questions, please contact me directly. </w:t>
      </w:r>
    </w:p>
    <w:p w14:paraId="16297534" w14:textId="77777777" w:rsidR="0072478B" w:rsidRPr="009827F3" w:rsidRDefault="0072478B" w:rsidP="0072478B">
      <w:pPr>
        <w:pStyle w:val="BodyText"/>
      </w:pPr>
      <w:r w:rsidRPr="009827F3">
        <w:t>Yours sincerely,</w:t>
      </w:r>
    </w:p>
    <w:p w14:paraId="4F81F912" w14:textId="77777777" w:rsidR="0072478B" w:rsidRPr="009827F3" w:rsidRDefault="0072478B" w:rsidP="0072478B">
      <w:pPr>
        <w:pStyle w:val="BodyText"/>
      </w:pPr>
      <w:r w:rsidRPr="009827F3">
        <w:t xml:space="preserve">Jean Beetham   Email: </w:t>
      </w:r>
      <w:hyperlink r:id="rId66" w:history="1">
        <w:r w:rsidRPr="009827F3">
          <w:rPr>
            <w:rStyle w:val="Hyperlink"/>
          </w:rPr>
          <w:t>Jean.beetham@wsp.com</w:t>
        </w:r>
      </w:hyperlink>
      <w:r w:rsidRPr="009827F3">
        <w:t xml:space="preserve">  </w:t>
      </w:r>
      <w:r w:rsidRPr="009827F3">
        <w:rPr>
          <w:rFonts w:ascii="Arial" w:hAnsi="Arial" w:cs="Arial"/>
          <w:color w:val="000000"/>
          <w:sz w:val="18"/>
          <w:szCs w:val="18"/>
        </w:rPr>
        <w:t>M +64 273142380</w:t>
      </w:r>
    </w:p>
    <w:p w14:paraId="2B8444EC" w14:textId="77777777" w:rsidR="00810732" w:rsidRDefault="00810732">
      <w:pPr>
        <w:rPr>
          <w:rFonts w:ascii="Montserrat" w:eastAsiaTheme="majorEastAsia" w:hAnsi="Montserrat" w:cstheme="majorBidi"/>
          <w:color w:val="F9423A"/>
          <w:sz w:val="36"/>
          <w:szCs w:val="32"/>
        </w:rPr>
      </w:pPr>
      <w:r>
        <w:br w:type="page"/>
      </w:r>
    </w:p>
    <w:p w14:paraId="483D15AF" w14:textId="51221956" w:rsidR="0072478B" w:rsidRPr="009827F3" w:rsidRDefault="001070D7" w:rsidP="00810732">
      <w:pPr>
        <w:pStyle w:val="Heading2"/>
        <w:numPr>
          <w:ilvl w:val="0"/>
          <w:numId w:val="0"/>
        </w:numPr>
        <w:ind w:left="567" w:hanging="567"/>
      </w:pPr>
      <w:bookmarkStart w:id="443" w:name="_Toc87263205"/>
      <w:r>
        <w:lastRenderedPageBreak/>
        <w:t>Appendix</w:t>
      </w:r>
      <w:r w:rsidR="00810732">
        <w:t xml:space="preserve"> B</w:t>
      </w:r>
      <w:r>
        <w:t xml:space="preserve">: </w:t>
      </w:r>
      <w:r w:rsidR="0072478B" w:rsidRPr="00696D73">
        <w:t>Questions</w:t>
      </w:r>
      <w:r w:rsidR="0072478B" w:rsidRPr="009827F3">
        <w:t xml:space="preserve"> for </w:t>
      </w:r>
      <w:r w:rsidR="008A6C4E">
        <w:t>Gamgard</w:t>
      </w:r>
      <w:r w:rsidR="0072478B" w:rsidRPr="009827F3">
        <w:t xml:space="preserve"> interviews</w:t>
      </w:r>
      <w:bookmarkEnd w:id="443"/>
    </w:p>
    <w:p w14:paraId="6A75B4DC" w14:textId="77777777" w:rsidR="0072478B" w:rsidRPr="009827F3" w:rsidRDefault="0072478B" w:rsidP="0072478B">
      <w:pPr>
        <w:rPr>
          <w:sz w:val="12"/>
          <w:szCs w:val="12"/>
        </w:rPr>
      </w:pPr>
    </w:p>
    <w:p w14:paraId="40A85767" w14:textId="77777777" w:rsidR="0072478B" w:rsidRPr="009827F3" w:rsidRDefault="0072478B" w:rsidP="0072478B">
      <w:pPr>
        <w:pStyle w:val="BodyText"/>
      </w:pPr>
      <w:r w:rsidRPr="009827F3">
        <w:t xml:space="preserve">Verbal consent to participate in the research will be sought at the start of the interview. Interviews will be recorded, and the interviewees will be informed of this fact. Interviewees will be asked to declare any potential conflicts of interest before the interview begins. </w:t>
      </w:r>
    </w:p>
    <w:p w14:paraId="152DF173" w14:textId="77777777" w:rsidR="0072478B" w:rsidRPr="009827F3" w:rsidRDefault="0072478B" w:rsidP="0072478B">
      <w:pPr>
        <w:pStyle w:val="BodyText"/>
      </w:pPr>
      <w:r w:rsidRPr="009827F3">
        <w:t>General questions:</w:t>
      </w:r>
    </w:p>
    <w:p w14:paraId="1E9472E4" w14:textId="77777777" w:rsidR="0072478B" w:rsidRPr="009827F3" w:rsidRDefault="0072478B" w:rsidP="00E0716C">
      <w:pPr>
        <w:pStyle w:val="ListNumber"/>
        <w:numPr>
          <w:ilvl w:val="0"/>
          <w:numId w:val="34"/>
        </w:numPr>
      </w:pPr>
      <w:r w:rsidRPr="009827F3">
        <w:t xml:space="preserve">In your opinion, what is the relative importance of game design within a harm minimisation and responsible gambling context? </w:t>
      </w:r>
    </w:p>
    <w:p w14:paraId="40084B74" w14:textId="77777777" w:rsidR="0072478B" w:rsidRPr="009827F3" w:rsidRDefault="0072478B" w:rsidP="00FD68E3">
      <w:pPr>
        <w:pStyle w:val="ListNumber"/>
        <w:numPr>
          <w:ilvl w:val="0"/>
          <w:numId w:val="34"/>
        </w:numPr>
      </w:pPr>
      <w:r w:rsidRPr="009827F3">
        <w:t xml:space="preserve">What do you think is the best way to identify the risk of harm associated with the design of a game? </w:t>
      </w:r>
    </w:p>
    <w:p w14:paraId="19436494" w14:textId="77777777" w:rsidR="0072478B" w:rsidRPr="009827F3" w:rsidRDefault="0072478B" w:rsidP="00FD68E3">
      <w:pPr>
        <w:pStyle w:val="ListNumber"/>
        <w:numPr>
          <w:ilvl w:val="0"/>
          <w:numId w:val="34"/>
        </w:numPr>
      </w:pPr>
      <w:r w:rsidRPr="009827F3">
        <w:t xml:space="preserve">To what degree do you think generalisations can be made about game features that are most likely to be associated with harm? </w:t>
      </w:r>
      <w:r w:rsidRPr="009827F3">
        <w:rPr>
          <w:i/>
          <w:color w:val="7F7F7F" w:themeColor="text1" w:themeTint="80"/>
        </w:rPr>
        <w:t>If they can be, which features do you think they are? If not, why not?</w:t>
      </w:r>
    </w:p>
    <w:p w14:paraId="49764786" w14:textId="5E311734" w:rsidR="0072478B" w:rsidRPr="009827F3" w:rsidRDefault="0072478B" w:rsidP="0072478B">
      <w:pPr>
        <w:pStyle w:val="BodyText"/>
      </w:pPr>
      <w:r w:rsidRPr="009827F3">
        <w:t xml:space="preserve">Background of </w:t>
      </w:r>
      <w:r w:rsidR="008A6C4E">
        <w:t>Gamgard</w:t>
      </w:r>
      <w:r w:rsidRPr="009827F3">
        <w:t>:</w:t>
      </w:r>
    </w:p>
    <w:p w14:paraId="59A2BDA3" w14:textId="5ED10BBB" w:rsidR="0072478B" w:rsidRPr="009827F3" w:rsidRDefault="0072478B" w:rsidP="00E0716C">
      <w:pPr>
        <w:pStyle w:val="ListNumber"/>
        <w:numPr>
          <w:ilvl w:val="0"/>
          <w:numId w:val="35"/>
        </w:numPr>
      </w:pPr>
      <w:r w:rsidRPr="009827F3">
        <w:t xml:space="preserve">Are you familiar with the </w:t>
      </w:r>
      <w:r w:rsidR="008A6C4E">
        <w:t>Gamgard</w:t>
      </w:r>
      <w:r w:rsidRPr="009827F3">
        <w:t xml:space="preserve"> product? </w:t>
      </w:r>
    </w:p>
    <w:p w14:paraId="53520DE0" w14:textId="77777777" w:rsidR="0072478B" w:rsidRPr="009827F3" w:rsidRDefault="0072478B" w:rsidP="0072478B">
      <w:pPr>
        <w:pStyle w:val="ListParagraph"/>
        <w:rPr>
          <w:i/>
          <w:color w:val="7F7F7F" w:themeColor="text1" w:themeTint="80"/>
        </w:rPr>
      </w:pPr>
      <w:r w:rsidRPr="009827F3">
        <w:rPr>
          <w:i/>
          <w:color w:val="7F7F7F" w:themeColor="text1" w:themeTint="80"/>
        </w:rPr>
        <w:t>[Prompts: If not familiar, the following will be read:</w:t>
      </w:r>
    </w:p>
    <w:p w14:paraId="0DEB274A" w14:textId="0A045993" w:rsidR="0072478B" w:rsidRPr="009827F3" w:rsidRDefault="0072478B" w:rsidP="0072478B">
      <w:pPr>
        <w:pStyle w:val="ListParagraph"/>
        <w:ind w:left="1134"/>
      </w:pPr>
      <w:r w:rsidRPr="009827F3">
        <w:rPr>
          <w:i/>
          <w:color w:val="7F7F7F" w:themeColor="text1" w:themeTint="80"/>
        </w:rPr>
        <w:t>“</w:t>
      </w:r>
      <w:r w:rsidR="008A6C4E">
        <w:rPr>
          <w:i/>
          <w:color w:val="7F7F7F" w:themeColor="text1" w:themeTint="80"/>
        </w:rPr>
        <w:t>Gamgard</w:t>
      </w:r>
      <w:r w:rsidRPr="009827F3">
        <w:rPr>
          <w:i/>
          <w:color w:val="7F7F7F" w:themeColor="text1" w:themeTint="80"/>
        </w:rPr>
        <w:t xml:space="preserve"> is an online rating tool intended to assess how risky a game is likely to be for a vulnerable player by examining specific risk features. It aims to pinpoint the elements of a game that are most risky and advise on how to lower the risk of some games.” </w:t>
      </w:r>
      <w:r w:rsidRPr="009827F3">
        <w:rPr>
          <w:b/>
          <w:i/>
          <w:color w:val="7F7F7F" w:themeColor="text1" w:themeTint="80"/>
        </w:rPr>
        <w:t>[SKIP to explanation under Q9].</w:t>
      </w:r>
    </w:p>
    <w:p w14:paraId="114EFE5A" w14:textId="18F7175E" w:rsidR="0072478B" w:rsidRPr="009827F3" w:rsidRDefault="0072478B" w:rsidP="0072478B">
      <w:pPr>
        <w:pStyle w:val="ListNumber"/>
      </w:pPr>
      <w:r w:rsidRPr="009827F3">
        <w:t xml:space="preserve">What is your understanding of the purpose of </w:t>
      </w:r>
      <w:r w:rsidR="008A6C4E">
        <w:t>Gamgard</w:t>
      </w:r>
      <w:r w:rsidRPr="009827F3">
        <w:t>?</w:t>
      </w:r>
    </w:p>
    <w:p w14:paraId="1E808C94" w14:textId="21498AE8" w:rsidR="0072478B" w:rsidRPr="009827F3" w:rsidRDefault="0072478B" w:rsidP="0072478B">
      <w:pPr>
        <w:pStyle w:val="ListNumber"/>
        <w:rPr>
          <w:i/>
        </w:rPr>
      </w:pPr>
      <w:r w:rsidRPr="009827F3">
        <w:rPr>
          <w:b/>
        </w:rPr>
        <w:t xml:space="preserve">BRANCHING QUERIES: Only for those who are very familiar: </w:t>
      </w:r>
      <w:r w:rsidRPr="009827F3">
        <w:t xml:space="preserve">What is your understanding of how </w:t>
      </w:r>
      <w:r w:rsidR="008A6C4E">
        <w:t>Gamgard</w:t>
      </w:r>
      <w:r w:rsidRPr="009827F3">
        <w:t xml:space="preserve"> is maintained and supported?</w:t>
      </w:r>
      <w:r w:rsidRPr="009827F3">
        <w:rPr>
          <w:i/>
        </w:rPr>
        <w:t xml:space="preserve"> </w:t>
      </w:r>
    </w:p>
    <w:p w14:paraId="449DC0FD" w14:textId="77777777" w:rsidR="0072478B" w:rsidRPr="009827F3" w:rsidRDefault="0072478B" w:rsidP="0072478B">
      <w:pPr>
        <w:pStyle w:val="ListParagraph"/>
        <w:rPr>
          <w:i/>
          <w:color w:val="7F7F7F" w:themeColor="text1" w:themeTint="80"/>
        </w:rPr>
      </w:pPr>
      <w:r w:rsidRPr="009827F3">
        <w:rPr>
          <w:i/>
          <w:color w:val="7F7F7F" w:themeColor="text1" w:themeTint="80"/>
        </w:rPr>
        <w:t xml:space="preserve">[Prompts: How well are users trained? How good is the consistency of scoring? How is it updated? Is this a robust update process in your opinion?] </w:t>
      </w:r>
    </w:p>
    <w:p w14:paraId="73017EBA" w14:textId="77777777" w:rsidR="0072478B" w:rsidRDefault="0072478B" w:rsidP="0072478B"/>
    <w:p w14:paraId="1B679717" w14:textId="6AFF15A8" w:rsidR="0072478B" w:rsidRPr="009827F3" w:rsidRDefault="0072478B" w:rsidP="0072478B">
      <w:pPr>
        <w:pStyle w:val="BodyText"/>
      </w:pPr>
      <w:r w:rsidRPr="009827F3">
        <w:t xml:space="preserve">Function of </w:t>
      </w:r>
      <w:r w:rsidR="008A6C4E">
        <w:t>Gamgard</w:t>
      </w:r>
      <w:r w:rsidRPr="009827F3">
        <w:t>:</w:t>
      </w:r>
    </w:p>
    <w:p w14:paraId="701C0806" w14:textId="1D2C41DE" w:rsidR="0072478B" w:rsidRPr="009827F3" w:rsidRDefault="0072478B" w:rsidP="0072478B">
      <w:pPr>
        <w:pStyle w:val="ListNumber"/>
      </w:pPr>
      <w:r w:rsidRPr="009827F3">
        <w:t xml:space="preserve">What is your understanding of the components and function of </w:t>
      </w:r>
      <w:r w:rsidR="008A6C4E">
        <w:t>Gamgard</w:t>
      </w:r>
      <w:r w:rsidRPr="009827F3">
        <w:t xml:space="preserve">? </w:t>
      </w:r>
    </w:p>
    <w:p w14:paraId="7E6CB0A2" w14:textId="77777777" w:rsidR="0072478B" w:rsidRPr="009827F3" w:rsidRDefault="0072478B" w:rsidP="0072478B">
      <w:pPr>
        <w:pStyle w:val="ListParagraph"/>
        <w:rPr>
          <w:i/>
          <w:color w:val="7F7F7F" w:themeColor="text1" w:themeTint="80"/>
        </w:rPr>
      </w:pPr>
      <w:r w:rsidRPr="009827F3">
        <w:rPr>
          <w:i/>
          <w:color w:val="7F7F7F" w:themeColor="text1" w:themeTint="80"/>
        </w:rPr>
        <w:t>[Prompts: If not familiar, the following will be read:</w:t>
      </w:r>
    </w:p>
    <w:p w14:paraId="2AC12AC4" w14:textId="6133D414" w:rsidR="0072478B" w:rsidRPr="009827F3" w:rsidRDefault="0072478B" w:rsidP="0072478B">
      <w:pPr>
        <w:pStyle w:val="ListParagraph"/>
        <w:ind w:left="1134"/>
        <w:rPr>
          <w:i/>
          <w:color w:val="7F7F7F" w:themeColor="text1" w:themeTint="80"/>
        </w:rPr>
      </w:pPr>
      <w:r w:rsidRPr="009827F3">
        <w:rPr>
          <w:i/>
          <w:color w:val="7F7F7F" w:themeColor="text1" w:themeTint="80"/>
        </w:rPr>
        <w:t>“</w:t>
      </w:r>
      <w:r w:rsidR="008A6C4E">
        <w:rPr>
          <w:i/>
          <w:color w:val="7F7F7F" w:themeColor="text1" w:themeTint="80"/>
        </w:rPr>
        <w:t>Gamgard</w:t>
      </w:r>
      <w:r w:rsidRPr="009827F3">
        <w:rPr>
          <w:i/>
          <w:color w:val="7F7F7F" w:themeColor="text1" w:themeTint="80"/>
        </w:rPr>
        <w:t xml:space="preserve"> rates the overall risk of a game based on an assessment of the severity of risk of ten game features (below). The score for each feature is weighted and an overall score produced (very low-low-medium-high-very high).”</w:t>
      </w:r>
    </w:p>
    <w:p w14:paraId="4F927B0B" w14:textId="77777777" w:rsidR="0072478B" w:rsidRPr="009827F3" w:rsidRDefault="0072478B" w:rsidP="00352919">
      <w:pPr>
        <w:pStyle w:val="ListParagraph"/>
        <w:numPr>
          <w:ilvl w:val="0"/>
          <w:numId w:val="12"/>
        </w:numPr>
        <w:spacing w:after="160" w:line="259" w:lineRule="auto"/>
        <w:rPr>
          <w:i/>
          <w:color w:val="7F7F7F" w:themeColor="text1" w:themeTint="80"/>
        </w:rPr>
      </w:pPr>
      <w:r w:rsidRPr="009827F3">
        <w:rPr>
          <w:i/>
          <w:color w:val="7F7F7F" w:themeColor="text1" w:themeTint="80"/>
        </w:rPr>
        <w:t>Event frequency</w:t>
      </w:r>
    </w:p>
    <w:p w14:paraId="418726AB" w14:textId="77777777" w:rsidR="0072478B" w:rsidRPr="009827F3" w:rsidRDefault="0072478B" w:rsidP="00352919">
      <w:pPr>
        <w:pStyle w:val="ListParagraph"/>
        <w:numPr>
          <w:ilvl w:val="0"/>
          <w:numId w:val="12"/>
        </w:numPr>
        <w:spacing w:after="160" w:line="259" w:lineRule="auto"/>
        <w:rPr>
          <w:i/>
          <w:color w:val="7F7F7F" w:themeColor="text1" w:themeTint="80"/>
        </w:rPr>
      </w:pPr>
      <w:r w:rsidRPr="009827F3">
        <w:rPr>
          <w:i/>
          <w:color w:val="7F7F7F" w:themeColor="text1" w:themeTint="80"/>
        </w:rPr>
        <w:t>Multigame</w:t>
      </w:r>
    </w:p>
    <w:p w14:paraId="78E34782" w14:textId="77777777" w:rsidR="0072478B" w:rsidRPr="009827F3" w:rsidRDefault="0072478B" w:rsidP="00352919">
      <w:pPr>
        <w:pStyle w:val="ListParagraph"/>
        <w:numPr>
          <w:ilvl w:val="0"/>
          <w:numId w:val="12"/>
        </w:numPr>
        <w:spacing w:after="160" w:line="259" w:lineRule="auto"/>
        <w:rPr>
          <w:i/>
          <w:color w:val="7F7F7F" w:themeColor="text1" w:themeTint="80"/>
        </w:rPr>
      </w:pPr>
      <w:r w:rsidRPr="009827F3">
        <w:rPr>
          <w:i/>
          <w:color w:val="7F7F7F" w:themeColor="text1" w:themeTint="80"/>
        </w:rPr>
        <w:t>Fixed/variable stake</w:t>
      </w:r>
    </w:p>
    <w:p w14:paraId="423B3AD1" w14:textId="77777777" w:rsidR="0072478B" w:rsidRPr="009827F3" w:rsidRDefault="0072478B" w:rsidP="00352919">
      <w:pPr>
        <w:pStyle w:val="ListParagraph"/>
        <w:numPr>
          <w:ilvl w:val="0"/>
          <w:numId w:val="12"/>
        </w:numPr>
        <w:spacing w:after="160" w:line="259" w:lineRule="auto"/>
        <w:rPr>
          <w:i/>
          <w:color w:val="7F7F7F" w:themeColor="text1" w:themeTint="80"/>
        </w:rPr>
      </w:pPr>
      <w:r w:rsidRPr="009827F3">
        <w:rPr>
          <w:i/>
          <w:color w:val="7F7F7F" w:themeColor="text1" w:themeTint="80"/>
        </w:rPr>
        <w:t>Prizeback</w:t>
      </w:r>
    </w:p>
    <w:p w14:paraId="754C2FAD" w14:textId="77777777" w:rsidR="0072478B" w:rsidRPr="009827F3" w:rsidRDefault="0072478B" w:rsidP="00352919">
      <w:pPr>
        <w:pStyle w:val="ListParagraph"/>
        <w:numPr>
          <w:ilvl w:val="0"/>
          <w:numId w:val="12"/>
        </w:numPr>
        <w:spacing w:after="160" w:line="259" w:lineRule="auto"/>
        <w:rPr>
          <w:i/>
          <w:color w:val="7F7F7F" w:themeColor="text1" w:themeTint="80"/>
        </w:rPr>
      </w:pPr>
      <w:r w:rsidRPr="009827F3">
        <w:rPr>
          <w:i/>
          <w:color w:val="7F7F7F" w:themeColor="text1" w:themeTint="80"/>
        </w:rPr>
        <w:t>Jackpot</w:t>
      </w:r>
    </w:p>
    <w:p w14:paraId="06CDF231" w14:textId="77777777" w:rsidR="0072478B" w:rsidRPr="009827F3" w:rsidRDefault="0072478B" w:rsidP="00352919">
      <w:pPr>
        <w:pStyle w:val="ListParagraph"/>
        <w:numPr>
          <w:ilvl w:val="0"/>
          <w:numId w:val="12"/>
        </w:numPr>
        <w:spacing w:after="160" w:line="259" w:lineRule="auto"/>
        <w:rPr>
          <w:i/>
          <w:color w:val="7F7F7F" w:themeColor="text1" w:themeTint="80"/>
        </w:rPr>
      </w:pPr>
      <w:r w:rsidRPr="009827F3">
        <w:rPr>
          <w:i/>
          <w:color w:val="7F7F7F" w:themeColor="text1" w:themeTint="80"/>
        </w:rPr>
        <w:t>Near Win</w:t>
      </w:r>
    </w:p>
    <w:p w14:paraId="25D0FC79" w14:textId="77777777" w:rsidR="0072478B" w:rsidRPr="009827F3" w:rsidRDefault="0072478B" w:rsidP="00352919">
      <w:pPr>
        <w:pStyle w:val="ListParagraph"/>
        <w:numPr>
          <w:ilvl w:val="0"/>
          <w:numId w:val="12"/>
        </w:numPr>
        <w:spacing w:after="160" w:line="259" w:lineRule="auto"/>
        <w:rPr>
          <w:i/>
          <w:color w:val="7F7F7F" w:themeColor="text1" w:themeTint="80"/>
        </w:rPr>
      </w:pPr>
      <w:r w:rsidRPr="009827F3">
        <w:rPr>
          <w:i/>
          <w:color w:val="7F7F7F" w:themeColor="text1" w:themeTint="80"/>
        </w:rPr>
        <w:t>Continuity</w:t>
      </w:r>
    </w:p>
    <w:p w14:paraId="5D726A0C" w14:textId="77777777" w:rsidR="0072478B" w:rsidRPr="009827F3" w:rsidRDefault="0072478B" w:rsidP="00352919">
      <w:pPr>
        <w:pStyle w:val="ListParagraph"/>
        <w:numPr>
          <w:ilvl w:val="0"/>
          <w:numId w:val="12"/>
        </w:numPr>
        <w:spacing w:after="160" w:line="259" w:lineRule="auto"/>
        <w:rPr>
          <w:i/>
          <w:color w:val="7F7F7F" w:themeColor="text1" w:themeTint="80"/>
        </w:rPr>
      </w:pPr>
      <w:r w:rsidRPr="009827F3">
        <w:rPr>
          <w:i/>
          <w:color w:val="7F7F7F" w:themeColor="text1" w:themeTint="80"/>
        </w:rPr>
        <w:t>Accessibility</w:t>
      </w:r>
    </w:p>
    <w:p w14:paraId="095B4221" w14:textId="77777777" w:rsidR="0072478B" w:rsidRPr="009827F3" w:rsidRDefault="0072478B" w:rsidP="00352919">
      <w:pPr>
        <w:pStyle w:val="ListParagraph"/>
        <w:numPr>
          <w:ilvl w:val="0"/>
          <w:numId w:val="12"/>
        </w:numPr>
        <w:spacing w:after="160" w:line="259" w:lineRule="auto"/>
        <w:rPr>
          <w:i/>
          <w:color w:val="7F7F7F" w:themeColor="text1" w:themeTint="80"/>
        </w:rPr>
      </w:pPr>
      <w:r w:rsidRPr="009827F3">
        <w:rPr>
          <w:i/>
          <w:color w:val="7F7F7F" w:themeColor="text1" w:themeTint="80"/>
        </w:rPr>
        <w:t>Payment options</w:t>
      </w:r>
    </w:p>
    <w:p w14:paraId="0D049175" w14:textId="77777777" w:rsidR="0072478B" w:rsidRPr="009827F3" w:rsidRDefault="0072478B" w:rsidP="00352919">
      <w:pPr>
        <w:pStyle w:val="ListParagraph"/>
        <w:numPr>
          <w:ilvl w:val="0"/>
          <w:numId w:val="12"/>
        </w:numPr>
        <w:spacing w:after="160" w:line="259" w:lineRule="auto"/>
        <w:rPr>
          <w:i/>
          <w:color w:val="7F7F7F" w:themeColor="text1" w:themeTint="80"/>
        </w:rPr>
      </w:pPr>
      <w:r w:rsidRPr="009827F3">
        <w:rPr>
          <w:i/>
          <w:color w:val="7F7F7F" w:themeColor="text1" w:themeTint="80"/>
        </w:rPr>
        <w:t>Illusions of control</w:t>
      </w:r>
    </w:p>
    <w:p w14:paraId="034CE217" w14:textId="0E20E53F" w:rsidR="0072478B" w:rsidRPr="009827F3" w:rsidRDefault="0072478B" w:rsidP="0072478B">
      <w:pPr>
        <w:ind w:left="1134"/>
        <w:rPr>
          <w:i/>
          <w:color w:val="7F7F7F" w:themeColor="text1" w:themeTint="80"/>
        </w:rPr>
      </w:pPr>
      <w:r w:rsidRPr="009827F3">
        <w:rPr>
          <w:i/>
          <w:color w:val="7F7F7F" w:themeColor="text1" w:themeTint="80"/>
        </w:rPr>
        <w:t xml:space="preserve">These 10 factors were assessed as being the most important out of a myriad of factors during an initial Delphi development process. The tool then produces a “risk wheel” showing the assessed contribution of each risk factor to the game’s overall risk. In </w:t>
      </w:r>
      <w:r w:rsidR="008A6C4E">
        <w:rPr>
          <w:i/>
          <w:color w:val="7F7F7F" w:themeColor="text1" w:themeTint="80"/>
        </w:rPr>
        <w:t>Gamgard</w:t>
      </w:r>
      <w:r w:rsidRPr="009827F3">
        <w:rPr>
          <w:i/>
          <w:color w:val="7F7F7F" w:themeColor="text1" w:themeTint="80"/>
        </w:rPr>
        <w:t xml:space="preserve"> 3.0 the risk rating gained by this method can be reduced by incorporation any of the following “responsible gambling features” into the game:</w:t>
      </w:r>
    </w:p>
    <w:p w14:paraId="378A42C1" w14:textId="77777777" w:rsidR="0072478B" w:rsidRPr="009827F3" w:rsidRDefault="0072478B" w:rsidP="00352919">
      <w:pPr>
        <w:pStyle w:val="ListParagraph"/>
        <w:numPr>
          <w:ilvl w:val="0"/>
          <w:numId w:val="13"/>
        </w:numPr>
        <w:spacing w:after="160" w:line="259" w:lineRule="auto"/>
        <w:rPr>
          <w:i/>
          <w:color w:val="7F7F7F" w:themeColor="text1" w:themeTint="80"/>
        </w:rPr>
      </w:pPr>
      <w:r w:rsidRPr="009827F3">
        <w:rPr>
          <w:i/>
          <w:color w:val="7F7F7F" w:themeColor="text1" w:themeTint="80"/>
        </w:rPr>
        <w:t>Popup reminders</w:t>
      </w:r>
    </w:p>
    <w:p w14:paraId="4E2FBB02" w14:textId="77777777" w:rsidR="0072478B" w:rsidRPr="009827F3" w:rsidRDefault="0072478B" w:rsidP="00352919">
      <w:pPr>
        <w:pStyle w:val="ListParagraph"/>
        <w:numPr>
          <w:ilvl w:val="0"/>
          <w:numId w:val="13"/>
        </w:numPr>
        <w:spacing w:after="160" w:line="259" w:lineRule="auto"/>
        <w:rPr>
          <w:i/>
          <w:color w:val="7F7F7F" w:themeColor="text1" w:themeTint="80"/>
        </w:rPr>
      </w:pPr>
      <w:r w:rsidRPr="009827F3">
        <w:rPr>
          <w:i/>
          <w:color w:val="7F7F7F" w:themeColor="text1" w:themeTint="80"/>
        </w:rPr>
        <w:t>Spend limits</w:t>
      </w:r>
    </w:p>
    <w:p w14:paraId="182624DB" w14:textId="77777777" w:rsidR="0072478B" w:rsidRPr="009827F3" w:rsidRDefault="0072478B" w:rsidP="00352919">
      <w:pPr>
        <w:pStyle w:val="ListParagraph"/>
        <w:numPr>
          <w:ilvl w:val="0"/>
          <w:numId w:val="13"/>
        </w:numPr>
        <w:spacing w:after="160" w:line="259" w:lineRule="auto"/>
        <w:rPr>
          <w:i/>
          <w:color w:val="7F7F7F" w:themeColor="text1" w:themeTint="80"/>
        </w:rPr>
      </w:pPr>
      <w:r w:rsidRPr="009827F3">
        <w:rPr>
          <w:i/>
          <w:color w:val="7F7F7F" w:themeColor="text1" w:themeTint="80"/>
        </w:rPr>
        <w:t>Time limits</w:t>
      </w:r>
    </w:p>
    <w:p w14:paraId="0A6092F8" w14:textId="77777777" w:rsidR="0072478B" w:rsidRPr="009827F3" w:rsidRDefault="0072478B" w:rsidP="00352919">
      <w:pPr>
        <w:pStyle w:val="ListParagraph"/>
        <w:numPr>
          <w:ilvl w:val="0"/>
          <w:numId w:val="13"/>
        </w:numPr>
        <w:spacing w:after="160" w:line="259" w:lineRule="auto"/>
        <w:rPr>
          <w:i/>
          <w:color w:val="7F7F7F" w:themeColor="text1" w:themeTint="80"/>
        </w:rPr>
      </w:pPr>
      <w:r w:rsidRPr="009827F3">
        <w:rPr>
          <w:i/>
          <w:color w:val="7F7F7F" w:themeColor="text1" w:themeTint="80"/>
        </w:rPr>
        <w:t>Feedback tools”</w:t>
      </w:r>
    </w:p>
    <w:p w14:paraId="35F2EA6B" w14:textId="7993293C" w:rsidR="0072478B" w:rsidRPr="009827F3" w:rsidRDefault="0072478B" w:rsidP="0072478B">
      <w:pPr>
        <w:pStyle w:val="ListNumber"/>
      </w:pPr>
      <w:r w:rsidRPr="009827F3">
        <w:t xml:space="preserve">To the best of your knowledge, to what extent do you think the </w:t>
      </w:r>
      <w:r w:rsidR="008A6C4E">
        <w:t>Gamgard</w:t>
      </w:r>
      <w:r w:rsidRPr="009827F3">
        <w:t xml:space="preserve"> risk ratings reflect the actual risk of games? [Prompt: Thinking about how the risk rating is scored, where would you set the </w:t>
      </w:r>
      <w:r w:rsidRPr="009827F3">
        <w:lastRenderedPageBreak/>
        <w:t>acceptable threshold? Can low risk features compensate for the presence of high-risk features? How do its ratings compare with other sources?]</w:t>
      </w:r>
    </w:p>
    <w:p w14:paraId="4317D8CC" w14:textId="66CAA5F4" w:rsidR="0072478B" w:rsidRPr="009827F3" w:rsidRDefault="0072478B" w:rsidP="0072478B">
      <w:pPr>
        <w:pStyle w:val="ListNumber"/>
      </w:pPr>
      <w:r w:rsidRPr="009827F3">
        <w:t xml:space="preserve">What do you see as the strengths of </w:t>
      </w:r>
      <w:r w:rsidR="008A6C4E">
        <w:t>Gamgard</w:t>
      </w:r>
      <w:r w:rsidRPr="009827F3">
        <w:t>? What do you see as its weaknesses?</w:t>
      </w:r>
    </w:p>
    <w:p w14:paraId="04E4E05B" w14:textId="6952990A" w:rsidR="0072478B" w:rsidRPr="009827F3" w:rsidRDefault="0072478B" w:rsidP="0072478B">
      <w:pPr>
        <w:pStyle w:val="ListNumber"/>
      </w:pPr>
      <w:r w:rsidRPr="009827F3">
        <w:t xml:space="preserve">[Prompts: What would be the ONE most important thing that would improve </w:t>
      </w:r>
      <w:r w:rsidR="008A6C4E">
        <w:t>Gamgard</w:t>
      </w:r>
      <w:r w:rsidRPr="009827F3">
        <w:t xml:space="preserve">? In your opinion, what is the reputation of </w:t>
      </w:r>
      <w:r w:rsidR="008A6C4E">
        <w:t>Gamgard</w:t>
      </w:r>
      <w:r w:rsidRPr="009827F3">
        <w:t>?]</w:t>
      </w:r>
    </w:p>
    <w:p w14:paraId="5B7FB928" w14:textId="658DFBCA" w:rsidR="0072478B" w:rsidRPr="009827F3" w:rsidRDefault="0072478B" w:rsidP="0072478B">
      <w:pPr>
        <w:pStyle w:val="ListNumber"/>
      </w:pPr>
      <w:r w:rsidRPr="009827F3">
        <w:t xml:space="preserve">Could you please comment on the extent to which you believe </w:t>
      </w:r>
      <w:r w:rsidR="008A6C4E">
        <w:t>Gamgard</w:t>
      </w:r>
      <w:r w:rsidRPr="009827F3">
        <w:t xml:space="preserve"> is fit-for-purpose?</w:t>
      </w:r>
    </w:p>
    <w:p w14:paraId="4DEF12EA" w14:textId="36F9F1A9" w:rsidR="0072478B" w:rsidRPr="009827F3" w:rsidRDefault="0072478B" w:rsidP="0072478B">
      <w:pPr>
        <w:pStyle w:val="BodyText"/>
      </w:pPr>
      <w:r w:rsidRPr="009827F3">
        <w:t xml:space="preserve">Use of </w:t>
      </w:r>
      <w:r w:rsidR="008A6C4E">
        <w:t>Gamgard</w:t>
      </w:r>
      <w:r w:rsidRPr="009827F3">
        <w:t xml:space="preserve">: </w:t>
      </w:r>
    </w:p>
    <w:p w14:paraId="67B57D9D" w14:textId="21B68E04" w:rsidR="0072478B" w:rsidRPr="009827F3" w:rsidRDefault="0072478B" w:rsidP="0072478B">
      <w:pPr>
        <w:pStyle w:val="ListNumber"/>
        <w:rPr>
          <w:i/>
        </w:rPr>
      </w:pPr>
      <w:r w:rsidRPr="009827F3">
        <w:t xml:space="preserve">In your opinion, what is (or would be) appropriate use of </w:t>
      </w:r>
      <w:r w:rsidR="008A6C4E">
        <w:t>Gamgard</w:t>
      </w:r>
      <w:r w:rsidRPr="009827F3">
        <w:t>?</w:t>
      </w:r>
    </w:p>
    <w:p w14:paraId="38A0CB60" w14:textId="77777777" w:rsidR="0072478B" w:rsidRPr="009827F3" w:rsidRDefault="0072478B" w:rsidP="0072478B">
      <w:pPr>
        <w:pStyle w:val="ListNumber"/>
        <w:numPr>
          <w:ilvl w:val="0"/>
          <w:numId w:val="0"/>
        </w:numPr>
        <w:ind w:left="567"/>
        <w:rPr>
          <w:i/>
        </w:rPr>
      </w:pPr>
      <w:r w:rsidRPr="009827F3">
        <w:rPr>
          <w:i/>
          <w:color w:val="7F7F7F" w:themeColor="text1" w:themeTint="80"/>
        </w:rPr>
        <w:t>[Prompts: Are there any specific games it works better? Any it is less suited for?]</w:t>
      </w:r>
    </w:p>
    <w:p w14:paraId="0BA6E577" w14:textId="1BD15B1B" w:rsidR="0072478B" w:rsidRPr="009827F3" w:rsidRDefault="0072478B" w:rsidP="0072478B">
      <w:pPr>
        <w:pStyle w:val="ListNumber"/>
      </w:pPr>
      <w:r w:rsidRPr="009827F3">
        <w:t xml:space="preserve">Can you provide any examples of where </w:t>
      </w:r>
      <w:r w:rsidR="008A6C4E">
        <w:t>Gamgard</w:t>
      </w:r>
      <w:r w:rsidRPr="009827F3">
        <w:t xml:space="preserve"> has been used appropriately or inappropriately?</w:t>
      </w:r>
    </w:p>
    <w:p w14:paraId="1CBDB391" w14:textId="3C2FF47F" w:rsidR="0072478B" w:rsidRPr="009827F3" w:rsidRDefault="0072478B" w:rsidP="0072478B">
      <w:pPr>
        <w:pStyle w:val="ListNumber"/>
        <w:numPr>
          <w:ilvl w:val="0"/>
          <w:numId w:val="0"/>
        </w:numPr>
        <w:ind w:left="567"/>
        <w:rPr>
          <w:i/>
          <w:color w:val="7F7F7F" w:themeColor="text1" w:themeTint="80"/>
        </w:rPr>
      </w:pPr>
      <w:r w:rsidRPr="009827F3">
        <w:rPr>
          <w:i/>
          <w:color w:val="7F7F7F" w:themeColor="text1" w:themeTint="80"/>
        </w:rPr>
        <w:t xml:space="preserve">[Prompt: What is your impression of how Lotto NZ is applying </w:t>
      </w:r>
      <w:r w:rsidR="008A6C4E">
        <w:rPr>
          <w:i/>
          <w:color w:val="7F7F7F" w:themeColor="text1" w:themeTint="80"/>
        </w:rPr>
        <w:t>Gamgard</w:t>
      </w:r>
      <w:r w:rsidRPr="009827F3">
        <w:rPr>
          <w:i/>
          <w:color w:val="7F7F7F" w:themeColor="text1" w:themeTint="80"/>
        </w:rPr>
        <w:t>?]</w:t>
      </w:r>
    </w:p>
    <w:p w14:paraId="349E7108" w14:textId="77777777" w:rsidR="0072478B" w:rsidRPr="009827F3" w:rsidRDefault="0072478B" w:rsidP="0072478B">
      <w:pPr>
        <w:pStyle w:val="BodyText"/>
      </w:pPr>
      <w:r w:rsidRPr="009827F3">
        <w:t>Alternatives:</w:t>
      </w:r>
    </w:p>
    <w:p w14:paraId="3D6311F4" w14:textId="67EBC2FD" w:rsidR="0072478B" w:rsidRPr="009827F3" w:rsidRDefault="0072478B" w:rsidP="00352919">
      <w:pPr>
        <w:pStyle w:val="ListParagraph"/>
        <w:numPr>
          <w:ilvl w:val="0"/>
          <w:numId w:val="14"/>
        </w:numPr>
        <w:spacing w:after="160" w:line="259" w:lineRule="auto"/>
      </w:pPr>
      <w:r w:rsidRPr="009827F3">
        <w:t xml:space="preserve">Are you aware of any alternative products to </w:t>
      </w:r>
      <w:r w:rsidR="008A6C4E">
        <w:t>Gamgard</w:t>
      </w:r>
      <w:r w:rsidRPr="009827F3">
        <w:t xml:space="preserve">? </w:t>
      </w:r>
    </w:p>
    <w:p w14:paraId="1CB49383" w14:textId="77777777" w:rsidR="0072478B" w:rsidRPr="009827F3" w:rsidRDefault="0072478B" w:rsidP="0072478B">
      <w:pPr>
        <w:pStyle w:val="ListParagraph"/>
        <w:rPr>
          <w:i/>
          <w:color w:val="7F7F7F" w:themeColor="text1" w:themeTint="80"/>
        </w:rPr>
      </w:pPr>
      <w:r w:rsidRPr="009827F3">
        <w:rPr>
          <w:i/>
          <w:color w:val="7F7F7F" w:themeColor="text1" w:themeTint="80"/>
        </w:rPr>
        <w:t>[Prompts If yes: What are they? Briefly, how do they function and perform? What are your views on them?]</w:t>
      </w:r>
    </w:p>
    <w:p w14:paraId="44A4F97E" w14:textId="77777777" w:rsidR="005C3704" w:rsidRDefault="005C3704" w:rsidP="0072478B">
      <w:pPr>
        <w:pStyle w:val="BodyText"/>
      </w:pPr>
    </w:p>
    <w:p w14:paraId="568BC235" w14:textId="73E57421" w:rsidR="0072478B" w:rsidRPr="009827F3" w:rsidRDefault="0072478B" w:rsidP="0072478B">
      <w:pPr>
        <w:pStyle w:val="BodyText"/>
      </w:pPr>
      <w:r w:rsidRPr="009827F3">
        <w:t>Final thoughts:</w:t>
      </w:r>
    </w:p>
    <w:p w14:paraId="4AA65F3E" w14:textId="02837D3B" w:rsidR="00810732" w:rsidRDefault="0072478B" w:rsidP="00352919">
      <w:pPr>
        <w:pStyle w:val="ListParagraph"/>
        <w:numPr>
          <w:ilvl w:val="0"/>
          <w:numId w:val="14"/>
        </w:numPr>
        <w:spacing w:after="160" w:line="259" w:lineRule="auto"/>
      </w:pPr>
      <w:r w:rsidRPr="009827F3">
        <w:t>Do you have any other insights or thoughts you would like to share related to our conversation today?</w:t>
      </w:r>
    </w:p>
    <w:p w14:paraId="096803CC" w14:textId="77777777" w:rsidR="00810732" w:rsidRDefault="00810732">
      <w:r>
        <w:br w:type="page"/>
      </w:r>
    </w:p>
    <w:p w14:paraId="73DD0E88" w14:textId="37DC6324" w:rsidR="0072478B" w:rsidRDefault="00EE5D22" w:rsidP="00EE5D22">
      <w:pPr>
        <w:pStyle w:val="Heading2"/>
        <w:numPr>
          <w:ilvl w:val="0"/>
          <w:numId w:val="0"/>
        </w:numPr>
        <w:ind w:left="567" w:hanging="567"/>
      </w:pPr>
      <w:bookmarkStart w:id="444" w:name="_Ref72502841"/>
      <w:bookmarkStart w:id="445" w:name="_Toc87263206"/>
      <w:r>
        <w:lastRenderedPageBreak/>
        <w:t xml:space="preserve">Appendix C: </w:t>
      </w:r>
      <w:r w:rsidR="009F15B8">
        <w:t>E</w:t>
      </w:r>
      <w:r>
        <w:t>valuation scoring sheet</w:t>
      </w:r>
      <w:bookmarkEnd w:id="444"/>
      <w:bookmarkEnd w:id="445"/>
    </w:p>
    <w:p w14:paraId="5F998DDC" w14:textId="77777777" w:rsidR="00EE5D22" w:rsidRPr="00EE5D22" w:rsidRDefault="00EE5D22" w:rsidP="00EE5D22">
      <w:pPr>
        <w:spacing w:after="180" w:line="264" w:lineRule="auto"/>
        <w:rPr>
          <w:rFonts w:eastAsia="Calibri" w:cs="Times New Roman"/>
          <w:b/>
          <w:bCs/>
        </w:rPr>
      </w:pPr>
      <w:r w:rsidRPr="00EE5D22">
        <w:rPr>
          <w:rFonts w:eastAsia="Calibri" w:cs="Times New Roman"/>
          <w:b/>
          <w:bCs/>
        </w:rPr>
        <w:t>Score Sheet</w:t>
      </w:r>
    </w:p>
    <w:tbl>
      <w:tblPr>
        <w:tblStyle w:val="TableGrid10"/>
        <w:tblW w:w="0" w:type="auto"/>
        <w:tblLook w:val="04A0" w:firstRow="1" w:lastRow="0" w:firstColumn="1" w:lastColumn="0" w:noHBand="0" w:noVBand="1"/>
      </w:tblPr>
      <w:tblGrid>
        <w:gridCol w:w="1974"/>
        <w:gridCol w:w="5312"/>
        <w:gridCol w:w="1259"/>
        <w:gridCol w:w="1083"/>
      </w:tblGrid>
      <w:tr w:rsidR="00EE5D22" w:rsidRPr="00EE5D22" w14:paraId="172479B2" w14:textId="77777777" w:rsidTr="004E4B34">
        <w:tc>
          <w:tcPr>
            <w:tcW w:w="1974" w:type="dxa"/>
          </w:tcPr>
          <w:p w14:paraId="20E4200B" w14:textId="77777777" w:rsidR="00EE5D22" w:rsidRPr="00EE5D22" w:rsidRDefault="00EE5D22" w:rsidP="00EE5D22">
            <w:pPr>
              <w:spacing w:after="180" w:line="264" w:lineRule="auto"/>
              <w:rPr>
                <w:rFonts w:eastAsia="Calibri" w:cs="Times New Roman"/>
              </w:rPr>
            </w:pPr>
            <w:r w:rsidRPr="00EE5D22">
              <w:rPr>
                <w:rFonts w:eastAsia="Calibri" w:cs="Times New Roman"/>
              </w:rPr>
              <w:t>Product</w:t>
            </w:r>
          </w:p>
        </w:tc>
        <w:tc>
          <w:tcPr>
            <w:tcW w:w="5312" w:type="dxa"/>
          </w:tcPr>
          <w:p w14:paraId="6AAE07C8" w14:textId="77777777" w:rsidR="00EE5D22" w:rsidRPr="00EE5D22" w:rsidRDefault="00EE5D22" w:rsidP="00EE5D22">
            <w:pPr>
              <w:spacing w:after="180" w:line="264" w:lineRule="auto"/>
              <w:rPr>
                <w:rFonts w:eastAsia="Calibri" w:cs="Times New Roman"/>
              </w:rPr>
            </w:pPr>
          </w:p>
        </w:tc>
        <w:tc>
          <w:tcPr>
            <w:tcW w:w="1259" w:type="dxa"/>
          </w:tcPr>
          <w:p w14:paraId="316D6FEE" w14:textId="77777777" w:rsidR="00EE5D22" w:rsidRPr="00EE5D22" w:rsidRDefault="00EE5D22" w:rsidP="00EE5D22">
            <w:pPr>
              <w:spacing w:after="180" w:line="264" w:lineRule="auto"/>
              <w:rPr>
                <w:rFonts w:eastAsia="Calibri" w:cs="Times New Roman"/>
              </w:rPr>
            </w:pPr>
            <w:r w:rsidRPr="00EE5D22">
              <w:rPr>
                <w:rFonts w:eastAsia="Calibri" w:cs="Times New Roman"/>
              </w:rPr>
              <w:t>Scorer ID</w:t>
            </w:r>
          </w:p>
        </w:tc>
        <w:tc>
          <w:tcPr>
            <w:tcW w:w="1083" w:type="dxa"/>
          </w:tcPr>
          <w:p w14:paraId="4E6BC2FE" w14:textId="77777777" w:rsidR="00EE5D22" w:rsidRPr="00EE5D22" w:rsidRDefault="00EE5D22" w:rsidP="00EE5D22">
            <w:pPr>
              <w:spacing w:after="180" w:line="264" w:lineRule="auto"/>
              <w:rPr>
                <w:rFonts w:eastAsia="Calibri" w:cs="Times New Roman"/>
              </w:rPr>
            </w:pPr>
          </w:p>
        </w:tc>
      </w:tr>
      <w:tr w:rsidR="00EE5D22" w:rsidRPr="00EE5D22" w14:paraId="4DDB12A3" w14:textId="77777777" w:rsidTr="004E4B34">
        <w:tc>
          <w:tcPr>
            <w:tcW w:w="8545" w:type="dxa"/>
            <w:gridSpan w:val="3"/>
          </w:tcPr>
          <w:p w14:paraId="6D5D58F5" w14:textId="77777777" w:rsidR="00EE5D22" w:rsidRPr="00EE5D22" w:rsidRDefault="00EE5D22" w:rsidP="00EE5D22">
            <w:pPr>
              <w:spacing w:line="264" w:lineRule="auto"/>
              <w:rPr>
                <w:rFonts w:eastAsia="Calibri" w:cs="Times New Roman"/>
                <w:sz w:val="16"/>
                <w:szCs w:val="16"/>
              </w:rPr>
            </w:pPr>
            <w:r w:rsidRPr="00EE5D22">
              <w:rPr>
                <w:rFonts w:eastAsia="Calibri" w:cs="Times New Roman"/>
              </w:rPr>
              <w:t xml:space="preserve">Familiarity with product </w:t>
            </w:r>
            <w:r w:rsidRPr="00EE5D22">
              <w:rPr>
                <w:rFonts w:eastAsia="Calibri" w:cs="Times New Roman"/>
                <w:sz w:val="16"/>
                <w:szCs w:val="16"/>
              </w:rPr>
              <w:t>[rate from 1-5, with: 1 = not familiar at all to 5 = extremely familiar]</w:t>
            </w:r>
          </w:p>
        </w:tc>
        <w:tc>
          <w:tcPr>
            <w:tcW w:w="1083" w:type="dxa"/>
          </w:tcPr>
          <w:p w14:paraId="312AB128" w14:textId="77777777" w:rsidR="00EE5D22" w:rsidRPr="00EE5D22" w:rsidRDefault="00EE5D22" w:rsidP="00EE5D22">
            <w:pPr>
              <w:spacing w:after="180" w:line="264" w:lineRule="auto"/>
              <w:rPr>
                <w:rFonts w:eastAsia="Calibri" w:cs="Times New Roman"/>
              </w:rPr>
            </w:pPr>
          </w:p>
        </w:tc>
      </w:tr>
    </w:tbl>
    <w:p w14:paraId="6866DF83" w14:textId="77777777" w:rsidR="00EE5D22" w:rsidRPr="00EE5D22" w:rsidRDefault="00EE5D22" w:rsidP="00EE5D22">
      <w:pPr>
        <w:spacing w:line="264" w:lineRule="auto"/>
        <w:rPr>
          <w:rFonts w:eastAsia="Calibri" w:cs="Times New Roman"/>
          <w:b/>
          <w:bCs/>
        </w:rPr>
      </w:pPr>
    </w:p>
    <w:tbl>
      <w:tblPr>
        <w:tblStyle w:val="TableGrid10"/>
        <w:tblW w:w="0" w:type="auto"/>
        <w:tblLook w:val="04A0" w:firstRow="1" w:lastRow="0" w:firstColumn="1" w:lastColumn="0" w:noHBand="0" w:noVBand="1"/>
      </w:tblPr>
      <w:tblGrid>
        <w:gridCol w:w="1894"/>
        <w:gridCol w:w="761"/>
        <w:gridCol w:w="1015"/>
        <w:gridCol w:w="1185"/>
        <w:gridCol w:w="4773"/>
      </w:tblGrid>
      <w:tr w:rsidR="00EE5D22" w:rsidRPr="00EE5D22" w14:paraId="00B403B8" w14:textId="77777777" w:rsidTr="00EE5D22">
        <w:trPr>
          <w:trHeight w:val="833"/>
          <w:tblHeader/>
        </w:trPr>
        <w:tc>
          <w:tcPr>
            <w:tcW w:w="1894" w:type="dxa"/>
            <w:vMerge w:val="restart"/>
            <w:shd w:val="clear" w:color="auto" w:fill="D9E2F3"/>
          </w:tcPr>
          <w:p w14:paraId="4D999ECC" w14:textId="77777777" w:rsidR="00EE5D22" w:rsidRPr="00EE5D22" w:rsidRDefault="00EE5D22" w:rsidP="00EE5D22">
            <w:pPr>
              <w:spacing w:after="180" w:line="264" w:lineRule="auto"/>
              <w:rPr>
                <w:rFonts w:eastAsia="Calibri" w:cs="Times New Roman"/>
                <w:b/>
                <w:bCs/>
                <w:sz w:val="18"/>
                <w:szCs w:val="18"/>
              </w:rPr>
            </w:pPr>
            <w:r w:rsidRPr="00EE5D22">
              <w:rPr>
                <w:rFonts w:eastAsia="Calibri" w:cs="Times New Roman"/>
                <w:b/>
                <w:bCs/>
                <w:sz w:val="18"/>
                <w:szCs w:val="18"/>
              </w:rPr>
              <w:t>Attribute</w:t>
            </w:r>
          </w:p>
        </w:tc>
        <w:tc>
          <w:tcPr>
            <w:tcW w:w="761" w:type="dxa"/>
            <w:vMerge w:val="restart"/>
            <w:shd w:val="clear" w:color="auto" w:fill="D9E2F3"/>
          </w:tcPr>
          <w:p w14:paraId="196DDBC4" w14:textId="77777777" w:rsidR="00EE5D22" w:rsidRPr="00EE5D22" w:rsidRDefault="00EE5D22" w:rsidP="00EE5D22">
            <w:pPr>
              <w:spacing w:after="180" w:line="264" w:lineRule="auto"/>
              <w:rPr>
                <w:rFonts w:eastAsia="Calibri" w:cs="Times New Roman"/>
                <w:b/>
                <w:bCs/>
                <w:sz w:val="18"/>
                <w:szCs w:val="18"/>
              </w:rPr>
            </w:pPr>
            <w:r w:rsidRPr="00EE5D22">
              <w:rPr>
                <w:rFonts w:eastAsia="Calibri" w:cs="Times New Roman"/>
                <w:b/>
                <w:bCs/>
                <w:sz w:val="18"/>
                <w:szCs w:val="18"/>
              </w:rPr>
              <w:t>Score</w:t>
            </w:r>
          </w:p>
        </w:tc>
        <w:tc>
          <w:tcPr>
            <w:tcW w:w="1015" w:type="dxa"/>
            <w:shd w:val="clear" w:color="auto" w:fill="D9E2F3"/>
          </w:tcPr>
          <w:p w14:paraId="2694B802" w14:textId="77777777" w:rsidR="00EE5D22" w:rsidRPr="00EE5D22" w:rsidRDefault="00EE5D22" w:rsidP="00EE5D22">
            <w:pPr>
              <w:spacing w:line="264" w:lineRule="auto"/>
              <w:rPr>
                <w:rFonts w:eastAsia="Calibri" w:cs="Times New Roman"/>
                <w:b/>
                <w:bCs/>
                <w:sz w:val="14"/>
                <w:szCs w:val="14"/>
              </w:rPr>
            </w:pPr>
            <w:r w:rsidRPr="00EE5D22">
              <w:rPr>
                <w:rFonts w:eastAsia="Calibri" w:cs="Times New Roman"/>
                <w:b/>
                <w:bCs/>
                <w:sz w:val="14"/>
                <w:szCs w:val="14"/>
              </w:rPr>
              <w:t>Confidence in accuracy</w:t>
            </w:r>
          </w:p>
          <w:p w14:paraId="3263FB58" w14:textId="77777777" w:rsidR="00EE5D22" w:rsidRPr="00EE5D22" w:rsidRDefault="00EE5D22" w:rsidP="00EE5D22">
            <w:pPr>
              <w:spacing w:line="264" w:lineRule="auto"/>
              <w:rPr>
                <w:rFonts w:eastAsia="Calibri" w:cs="Times New Roman"/>
                <w:b/>
                <w:bCs/>
                <w:sz w:val="14"/>
                <w:szCs w:val="14"/>
              </w:rPr>
            </w:pPr>
            <w:r w:rsidRPr="00EE5D22">
              <w:rPr>
                <w:rFonts w:eastAsia="Calibri" w:cs="Times New Roman"/>
                <w:b/>
                <w:bCs/>
                <w:sz w:val="14"/>
                <w:szCs w:val="14"/>
              </w:rPr>
              <w:t>of my scoring</w:t>
            </w:r>
          </w:p>
        </w:tc>
        <w:tc>
          <w:tcPr>
            <w:tcW w:w="1185" w:type="dxa"/>
            <w:shd w:val="clear" w:color="auto" w:fill="D9E2F3"/>
          </w:tcPr>
          <w:p w14:paraId="40AE37E9" w14:textId="77777777" w:rsidR="00EE5D22" w:rsidRPr="00EE5D22" w:rsidRDefault="00EE5D22" w:rsidP="00EE5D22">
            <w:pPr>
              <w:spacing w:line="264" w:lineRule="auto"/>
              <w:rPr>
                <w:rFonts w:eastAsia="Calibri" w:cs="Times New Roman"/>
                <w:b/>
                <w:bCs/>
                <w:sz w:val="14"/>
                <w:szCs w:val="14"/>
              </w:rPr>
            </w:pPr>
            <w:r w:rsidRPr="00EE5D22">
              <w:rPr>
                <w:rFonts w:eastAsia="Calibri" w:cs="Times New Roman"/>
                <w:b/>
                <w:bCs/>
                <w:sz w:val="14"/>
                <w:szCs w:val="14"/>
              </w:rPr>
              <w:t xml:space="preserve">Confidence of sensitivity of scale in capturing any harm </w:t>
            </w:r>
          </w:p>
        </w:tc>
        <w:tc>
          <w:tcPr>
            <w:tcW w:w="4773" w:type="dxa"/>
            <w:vMerge w:val="restart"/>
            <w:shd w:val="clear" w:color="auto" w:fill="D9E2F3"/>
          </w:tcPr>
          <w:p w14:paraId="76A3B06C" w14:textId="77777777" w:rsidR="00EE5D22" w:rsidRPr="00EE5D22" w:rsidRDefault="00EE5D22" w:rsidP="00EE5D22">
            <w:pPr>
              <w:spacing w:after="180" w:line="264" w:lineRule="auto"/>
              <w:rPr>
                <w:rFonts w:eastAsia="Calibri" w:cs="Times New Roman"/>
                <w:b/>
                <w:bCs/>
                <w:sz w:val="18"/>
                <w:szCs w:val="18"/>
              </w:rPr>
            </w:pPr>
            <w:r w:rsidRPr="00EE5D22">
              <w:rPr>
                <w:rFonts w:eastAsia="Calibri" w:cs="Times New Roman"/>
                <w:b/>
                <w:bCs/>
                <w:sz w:val="18"/>
                <w:szCs w:val="18"/>
              </w:rPr>
              <w:t>Rationale / comments</w:t>
            </w:r>
          </w:p>
        </w:tc>
      </w:tr>
      <w:tr w:rsidR="00EE5D22" w:rsidRPr="00EE5D22" w14:paraId="1B5FF1DC" w14:textId="77777777" w:rsidTr="00EE5D22">
        <w:trPr>
          <w:trHeight w:val="107"/>
          <w:tblHeader/>
        </w:trPr>
        <w:tc>
          <w:tcPr>
            <w:tcW w:w="1894" w:type="dxa"/>
            <w:vMerge/>
            <w:shd w:val="clear" w:color="auto" w:fill="EA6C16"/>
          </w:tcPr>
          <w:p w14:paraId="14FF4D4A" w14:textId="77777777" w:rsidR="00EE5D22" w:rsidRPr="00EE5D22" w:rsidRDefault="00EE5D22" w:rsidP="00EE5D22">
            <w:pPr>
              <w:spacing w:after="180" w:line="264" w:lineRule="auto"/>
              <w:rPr>
                <w:rFonts w:eastAsia="Calibri" w:cs="Times New Roman"/>
                <w:b/>
                <w:bCs/>
              </w:rPr>
            </w:pPr>
          </w:p>
        </w:tc>
        <w:tc>
          <w:tcPr>
            <w:tcW w:w="761" w:type="dxa"/>
            <w:vMerge/>
            <w:shd w:val="clear" w:color="auto" w:fill="EA6C16"/>
          </w:tcPr>
          <w:p w14:paraId="2144C024" w14:textId="77777777" w:rsidR="00EE5D22" w:rsidRPr="00EE5D22" w:rsidRDefault="00EE5D22" w:rsidP="00EE5D22">
            <w:pPr>
              <w:spacing w:after="180" w:line="264" w:lineRule="auto"/>
              <w:rPr>
                <w:rFonts w:eastAsia="Calibri" w:cs="Times New Roman"/>
                <w:b/>
                <w:bCs/>
              </w:rPr>
            </w:pPr>
          </w:p>
        </w:tc>
        <w:tc>
          <w:tcPr>
            <w:tcW w:w="2200" w:type="dxa"/>
            <w:gridSpan w:val="2"/>
            <w:shd w:val="clear" w:color="auto" w:fill="D9E2F3"/>
          </w:tcPr>
          <w:p w14:paraId="658BE327" w14:textId="77777777" w:rsidR="00EE5D22" w:rsidRPr="00EE5D22" w:rsidRDefault="00EE5D22" w:rsidP="00EE5D22">
            <w:pPr>
              <w:spacing w:line="264" w:lineRule="auto"/>
              <w:jc w:val="center"/>
              <w:rPr>
                <w:rFonts w:eastAsia="Calibri" w:cs="Times New Roman"/>
                <w:b/>
                <w:bCs/>
              </w:rPr>
            </w:pPr>
            <w:r w:rsidRPr="00EE5D22">
              <w:rPr>
                <w:rFonts w:eastAsia="Calibri" w:cs="Times New Roman"/>
                <w:b/>
                <w:bCs/>
                <w:i/>
                <w:iCs/>
                <w:sz w:val="16"/>
                <w:szCs w:val="16"/>
              </w:rPr>
              <w:t>[1 = Not confident at all – 5= very confident]</w:t>
            </w:r>
          </w:p>
        </w:tc>
        <w:tc>
          <w:tcPr>
            <w:tcW w:w="4773" w:type="dxa"/>
            <w:vMerge/>
            <w:shd w:val="clear" w:color="auto" w:fill="EA6C16"/>
          </w:tcPr>
          <w:p w14:paraId="42964EF5" w14:textId="77777777" w:rsidR="00EE5D22" w:rsidRPr="00EE5D22" w:rsidRDefault="00EE5D22" w:rsidP="00EE5D22">
            <w:pPr>
              <w:spacing w:after="180" w:line="264" w:lineRule="auto"/>
              <w:rPr>
                <w:rFonts w:eastAsia="Calibri" w:cs="Times New Roman"/>
                <w:b/>
                <w:bCs/>
              </w:rPr>
            </w:pPr>
          </w:p>
        </w:tc>
      </w:tr>
      <w:tr w:rsidR="00EE5D22" w:rsidRPr="00EE5D22" w14:paraId="4F0B10D2" w14:textId="77777777" w:rsidTr="004E4B34">
        <w:trPr>
          <w:trHeight w:val="1296"/>
        </w:trPr>
        <w:tc>
          <w:tcPr>
            <w:tcW w:w="1894" w:type="dxa"/>
          </w:tcPr>
          <w:p w14:paraId="4ACE4B21" w14:textId="77777777" w:rsidR="00EE5D22" w:rsidRPr="00EE5D22" w:rsidRDefault="00EE5D22" w:rsidP="00352919">
            <w:pPr>
              <w:numPr>
                <w:ilvl w:val="0"/>
                <w:numId w:val="17"/>
              </w:numPr>
              <w:spacing w:line="264" w:lineRule="auto"/>
              <w:ind w:left="240" w:hanging="240"/>
              <w:rPr>
                <w:rFonts w:eastAsia="Calibri" w:cs="Times New Roman"/>
                <w:color w:val="auto"/>
                <w:sz w:val="18"/>
                <w:szCs w:val="18"/>
              </w:rPr>
            </w:pPr>
            <w:r w:rsidRPr="00EE5D22">
              <w:rPr>
                <w:rFonts w:eastAsia="Calibri" w:cs="Times New Roman"/>
                <w:color w:val="auto"/>
                <w:sz w:val="18"/>
                <w:szCs w:val="18"/>
              </w:rPr>
              <w:t>Event frequency</w:t>
            </w:r>
          </w:p>
          <w:p w14:paraId="67251265" w14:textId="77777777" w:rsidR="00EE5D22" w:rsidRPr="00EE5D22" w:rsidRDefault="00EE5D22" w:rsidP="00EE5D22">
            <w:pPr>
              <w:ind w:left="60"/>
              <w:rPr>
                <w:rFonts w:eastAsia="Calibri" w:cs="Times New Roman"/>
                <w:i/>
                <w:iCs/>
                <w:color w:val="auto"/>
                <w:sz w:val="18"/>
                <w:szCs w:val="18"/>
              </w:rPr>
            </w:pPr>
            <w:r w:rsidRPr="00EE5D22">
              <w:rPr>
                <w:rFonts w:eastAsia="Calibri" w:cs="Times New Roman"/>
                <w:i/>
                <w:iCs/>
                <w:color w:val="auto"/>
                <w:sz w:val="18"/>
                <w:szCs w:val="18"/>
              </w:rPr>
              <w:t>[1 = 7days+ to 11 = 5secs or less]</w:t>
            </w:r>
          </w:p>
        </w:tc>
        <w:tc>
          <w:tcPr>
            <w:tcW w:w="761" w:type="dxa"/>
          </w:tcPr>
          <w:p w14:paraId="143F8BA1" w14:textId="77777777" w:rsidR="00EE5D22" w:rsidRPr="00EE5D22" w:rsidRDefault="00EE5D22" w:rsidP="00EE5D22">
            <w:pPr>
              <w:spacing w:after="180" w:line="264" w:lineRule="auto"/>
              <w:rPr>
                <w:rFonts w:eastAsia="Calibri" w:cs="Times New Roman"/>
              </w:rPr>
            </w:pPr>
          </w:p>
        </w:tc>
        <w:tc>
          <w:tcPr>
            <w:tcW w:w="1015" w:type="dxa"/>
          </w:tcPr>
          <w:p w14:paraId="64DC5848" w14:textId="77777777" w:rsidR="00EE5D22" w:rsidRPr="00EE5D22" w:rsidRDefault="00EE5D22" w:rsidP="00EE5D22">
            <w:pPr>
              <w:spacing w:after="180" w:line="264" w:lineRule="auto"/>
              <w:rPr>
                <w:rFonts w:eastAsia="Calibri" w:cs="Times New Roman"/>
              </w:rPr>
            </w:pPr>
          </w:p>
        </w:tc>
        <w:tc>
          <w:tcPr>
            <w:tcW w:w="1185" w:type="dxa"/>
          </w:tcPr>
          <w:p w14:paraId="7433B638" w14:textId="77777777" w:rsidR="00EE5D22" w:rsidRPr="00EE5D22" w:rsidRDefault="00EE5D22" w:rsidP="00EE5D22">
            <w:pPr>
              <w:spacing w:after="180" w:line="264" w:lineRule="auto"/>
              <w:rPr>
                <w:rFonts w:eastAsia="Calibri" w:cs="Times New Roman"/>
              </w:rPr>
            </w:pPr>
          </w:p>
        </w:tc>
        <w:tc>
          <w:tcPr>
            <w:tcW w:w="4773" w:type="dxa"/>
          </w:tcPr>
          <w:p w14:paraId="7EE26A0A" w14:textId="77777777" w:rsidR="00EE5D22" w:rsidRPr="00EE5D22" w:rsidRDefault="00EE5D22" w:rsidP="00EE5D22">
            <w:pPr>
              <w:spacing w:after="180" w:line="264" w:lineRule="auto"/>
              <w:rPr>
                <w:rFonts w:eastAsia="Calibri" w:cs="Times New Roman"/>
              </w:rPr>
            </w:pPr>
          </w:p>
        </w:tc>
      </w:tr>
      <w:tr w:rsidR="00EE5D22" w:rsidRPr="00EE5D22" w14:paraId="1900C559" w14:textId="77777777" w:rsidTr="004E4B34">
        <w:trPr>
          <w:trHeight w:val="1296"/>
        </w:trPr>
        <w:tc>
          <w:tcPr>
            <w:tcW w:w="1894" w:type="dxa"/>
          </w:tcPr>
          <w:p w14:paraId="7691269F" w14:textId="77777777" w:rsidR="00EE5D22" w:rsidRPr="00EE5D22" w:rsidRDefault="00EE5D22" w:rsidP="00352919">
            <w:pPr>
              <w:numPr>
                <w:ilvl w:val="0"/>
                <w:numId w:val="17"/>
              </w:numPr>
              <w:spacing w:line="264" w:lineRule="auto"/>
              <w:ind w:left="240" w:hanging="240"/>
              <w:rPr>
                <w:rFonts w:eastAsia="Calibri" w:cs="Times New Roman"/>
                <w:color w:val="auto"/>
                <w:sz w:val="18"/>
                <w:szCs w:val="18"/>
              </w:rPr>
            </w:pPr>
            <w:r w:rsidRPr="00EE5D22">
              <w:rPr>
                <w:rFonts w:eastAsia="Calibri" w:cs="Times New Roman"/>
                <w:color w:val="auto"/>
                <w:sz w:val="18"/>
                <w:szCs w:val="18"/>
              </w:rPr>
              <w:t>Multi-game / stake options</w:t>
            </w:r>
          </w:p>
          <w:p w14:paraId="398395E7" w14:textId="77777777" w:rsidR="00EE5D22" w:rsidRPr="00EE5D22" w:rsidRDefault="00EE5D22" w:rsidP="00EE5D22">
            <w:pPr>
              <w:spacing w:after="180" w:line="264" w:lineRule="auto"/>
              <w:rPr>
                <w:rFonts w:eastAsia="Calibri" w:cs="Times New Roman"/>
                <w:i/>
                <w:iCs/>
                <w:color w:val="auto"/>
                <w:sz w:val="18"/>
                <w:szCs w:val="18"/>
              </w:rPr>
            </w:pPr>
            <w:r w:rsidRPr="00EE5D22">
              <w:rPr>
                <w:rFonts w:eastAsia="Calibri" w:cs="Times New Roman"/>
                <w:i/>
                <w:iCs/>
                <w:color w:val="auto"/>
                <w:sz w:val="18"/>
                <w:szCs w:val="18"/>
              </w:rPr>
              <w:t>[1 = only 1 to 3 = Unlimited]</w:t>
            </w:r>
          </w:p>
        </w:tc>
        <w:tc>
          <w:tcPr>
            <w:tcW w:w="761" w:type="dxa"/>
          </w:tcPr>
          <w:p w14:paraId="081A8761" w14:textId="77777777" w:rsidR="00EE5D22" w:rsidRPr="00EE5D22" w:rsidRDefault="00EE5D22" w:rsidP="00EE5D22">
            <w:pPr>
              <w:spacing w:after="180" w:line="264" w:lineRule="auto"/>
              <w:rPr>
                <w:rFonts w:eastAsia="Calibri" w:cs="Times New Roman"/>
              </w:rPr>
            </w:pPr>
          </w:p>
        </w:tc>
        <w:tc>
          <w:tcPr>
            <w:tcW w:w="1015" w:type="dxa"/>
          </w:tcPr>
          <w:p w14:paraId="7CC83A26" w14:textId="77777777" w:rsidR="00EE5D22" w:rsidRPr="00EE5D22" w:rsidRDefault="00EE5D22" w:rsidP="00EE5D22">
            <w:pPr>
              <w:spacing w:after="180" w:line="264" w:lineRule="auto"/>
              <w:rPr>
                <w:rFonts w:eastAsia="Calibri" w:cs="Times New Roman"/>
              </w:rPr>
            </w:pPr>
          </w:p>
        </w:tc>
        <w:tc>
          <w:tcPr>
            <w:tcW w:w="1185" w:type="dxa"/>
          </w:tcPr>
          <w:p w14:paraId="286BC090" w14:textId="77777777" w:rsidR="00EE5D22" w:rsidRPr="00EE5D22" w:rsidRDefault="00EE5D22" w:rsidP="00EE5D22">
            <w:pPr>
              <w:spacing w:after="180" w:line="264" w:lineRule="auto"/>
              <w:rPr>
                <w:rFonts w:eastAsia="Calibri" w:cs="Times New Roman"/>
              </w:rPr>
            </w:pPr>
          </w:p>
        </w:tc>
        <w:tc>
          <w:tcPr>
            <w:tcW w:w="4773" w:type="dxa"/>
          </w:tcPr>
          <w:p w14:paraId="48C7186C" w14:textId="77777777" w:rsidR="00EE5D22" w:rsidRPr="00EE5D22" w:rsidRDefault="00EE5D22" w:rsidP="00EE5D22">
            <w:pPr>
              <w:spacing w:after="180" w:line="264" w:lineRule="auto"/>
              <w:rPr>
                <w:rFonts w:eastAsia="Calibri" w:cs="Times New Roman"/>
              </w:rPr>
            </w:pPr>
          </w:p>
        </w:tc>
      </w:tr>
      <w:tr w:rsidR="00EE5D22" w:rsidRPr="00EE5D22" w14:paraId="70DEB1C8" w14:textId="77777777" w:rsidTr="004E4B34">
        <w:trPr>
          <w:trHeight w:val="1296"/>
        </w:trPr>
        <w:tc>
          <w:tcPr>
            <w:tcW w:w="1894" w:type="dxa"/>
          </w:tcPr>
          <w:p w14:paraId="4D9FA034" w14:textId="77777777" w:rsidR="00EE5D22" w:rsidRPr="00EE5D22" w:rsidRDefault="00EE5D22" w:rsidP="00352919">
            <w:pPr>
              <w:numPr>
                <w:ilvl w:val="0"/>
                <w:numId w:val="17"/>
              </w:numPr>
              <w:spacing w:line="264" w:lineRule="auto"/>
              <w:ind w:left="240" w:hanging="240"/>
              <w:rPr>
                <w:rFonts w:eastAsia="Calibri" w:cs="Times New Roman"/>
                <w:color w:val="auto"/>
                <w:sz w:val="18"/>
                <w:szCs w:val="18"/>
              </w:rPr>
            </w:pPr>
            <w:r w:rsidRPr="00EE5D22">
              <w:rPr>
                <w:rFonts w:eastAsia="Calibri" w:cs="Times New Roman"/>
                <w:color w:val="auto"/>
                <w:sz w:val="18"/>
                <w:szCs w:val="18"/>
              </w:rPr>
              <w:t>Variable / fixed stake size</w:t>
            </w:r>
          </w:p>
          <w:p w14:paraId="7FD1BF8E" w14:textId="77777777" w:rsidR="00EE5D22" w:rsidRPr="00EE5D22" w:rsidRDefault="00EE5D22" w:rsidP="00EE5D22">
            <w:pPr>
              <w:spacing w:line="264" w:lineRule="auto"/>
              <w:rPr>
                <w:rFonts w:eastAsia="Calibri" w:cs="Times New Roman"/>
                <w:color w:val="auto"/>
                <w:sz w:val="18"/>
                <w:szCs w:val="18"/>
              </w:rPr>
            </w:pPr>
            <w:r w:rsidRPr="00EE5D22">
              <w:rPr>
                <w:rFonts w:eastAsia="Calibri" w:cs="Times New Roman"/>
                <w:i/>
                <w:iCs/>
                <w:color w:val="auto"/>
                <w:sz w:val="18"/>
                <w:szCs w:val="18"/>
              </w:rPr>
              <w:t>[1 = fixed to 3 = player determined]</w:t>
            </w:r>
          </w:p>
        </w:tc>
        <w:tc>
          <w:tcPr>
            <w:tcW w:w="761" w:type="dxa"/>
          </w:tcPr>
          <w:p w14:paraId="2CAEB488" w14:textId="77777777" w:rsidR="00EE5D22" w:rsidRPr="00EE5D22" w:rsidRDefault="00EE5D22" w:rsidP="00EE5D22">
            <w:pPr>
              <w:spacing w:after="180" w:line="264" w:lineRule="auto"/>
              <w:rPr>
                <w:rFonts w:eastAsia="Calibri" w:cs="Times New Roman"/>
              </w:rPr>
            </w:pPr>
          </w:p>
        </w:tc>
        <w:tc>
          <w:tcPr>
            <w:tcW w:w="1015" w:type="dxa"/>
          </w:tcPr>
          <w:p w14:paraId="45508851" w14:textId="77777777" w:rsidR="00EE5D22" w:rsidRPr="00EE5D22" w:rsidRDefault="00EE5D22" w:rsidP="00EE5D22">
            <w:pPr>
              <w:spacing w:after="180" w:line="264" w:lineRule="auto"/>
              <w:rPr>
                <w:rFonts w:eastAsia="Calibri" w:cs="Times New Roman"/>
              </w:rPr>
            </w:pPr>
          </w:p>
        </w:tc>
        <w:tc>
          <w:tcPr>
            <w:tcW w:w="1185" w:type="dxa"/>
          </w:tcPr>
          <w:p w14:paraId="3D8A6D22" w14:textId="77777777" w:rsidR="00EE5D22" w:rsidRPr="00EE5D22" w:rsidRDefault="00EE5D22" w:rsidP="00EE5D22">
            <w:pPr>
              <w:spacing w:after="180" w:line="264" w:lineRule="auto"/>
              <w:rPr>
                <w:rFonts w:eastAsia="Calibri" w:cs="Times New Roman"/>
              </w:rPr>
            </w:pPr>
          </w:p>
        </w:tc>
        <w:tc>
          <w:tcPr>
            <w:tcW w:w="4773" w:type="dxa"/>
          </w:tcPr>
          <w:p w14:paraId="028985CD" w14:textId="77777777" w:rsidR="00EE5D22" w:rsidRPr="00EE5D22" w:rsidRDefault="00EE5D22" w:rsidP="00EE5D22">
            <w:pPr>
              <w:spacing w:after="180" w:line="264" w:lineRule="auto"/>
              <w:rPr>
                <w:rFonts w:eastAsia="Calibri" w:cs="Times New Roman"/>
              </w:rPr>
            </w:pPr>
          </w:p>
        </w:tc>
      </w:tr>
      <w:tr w:rsidR="00EE5D22" w:rsidRPr="00EE5D22" w14:paraId="661FE17A" w14:textId="77777777" w:rsidTr="004E4B34">
        <w:trPr>
          <w:trHeight w:val="1296"/>
        </w:trPr>
        <w:tc>
          <w:tcPr>
            <w:tcW w:w="1894" w:type="dxa"/>
          </w:tcPr>
          <w:p w14:paraId="2A573B39" w14:textId="77777777" w:rsidR="00EE5D22" w:rsidRPr="00EE5D22" w:rsidRDefault="00EE5D22" w:rsidP="00352919">
            <w:pPr>
              <w:numPr>
                <w:ilvl w:val="0"/>
                <w:numId w:val="17"/>
              </w:numPr>
              <w:spacing w:line="264" w:lineRule="auto"/>
              <w:ind w:left="240" w:hanging="240"/>
              <w:rPr>
                <w:rFonts w:eastAsia="Calibri" w:cs="Times New Roman"/>
                <w:color w:val="auto"/>
                <w:sz w:val="18"/>
                <w:szCs w:val="18"/>
              </w:rPr>
            </w:pPr>
            <w:r w:rsidRPr="00EE5D22">
              <w:rPr>
                <w:rFonts w:eastAsia="Calibri" w:cs="Times New Roman"/>
                <w:color w:val="auto"/>
                <w:sz w:val="18"/>
                <w:szCs w:val="18"/>
              </w:rPr>
              <w:t>Prizeback percentage</w:t>
            </w:r>
          </w:p>
          <w:p w14:paraId="6F87C3F5" w14:textId="77777777" w:rsidR="00EE5D22" w:rsidRPr="00EE5D22" w:rsidRDefault="00EE5D22" w:rsidP="00EE5D22">
            <w:pPr>
              <w:spacing w:line="264" w:lineRule="auto"/>
              <w:rPr>
                <w:rFonts w:eastAsia="Calibri" w:cs="Times New Roman"/>
                <w:color w:val="auto"/>
                <w:sz w:val="18"/>
                <w:szCs w:val="18"/>
              </w:rPr>
            </w:pPr>
            <w:r w:rsidRPr="00EE5D22">
              <w:rPr>
                <w:rFonts w:eastAsia="Calibri" w:cs="Times New Roman"/>
                <w:i/>
                <w:iCs/>
                <w:color w:val="auto"/>
                <w:sz w:val="18"/>
                <w:szCs w:val="18"/>
              </w:rPr>
              <w:t>[1 = 50% or below to 3 = 71% +]</w:t>
            </w:r>
          </w:p>
        </w:tc>
        <w:tc>
          <w:tcPr>
            <w:tcW w:w="761" w:type="dxa"/>
          </w:tcPr>
          <w:p w14:paraId="46758E6E" w14:textId="77777777" w:rsidR="00EE5D22" w:rsidRPr="00EE5D22" w:rsidRDefault="00EE5D22" w:rsidP="00EE5D22">
            <w:pPr>
              <w:spacing w:after="180" w:line="264" w:lineRule="auto"/>
              <w:rPr>
                <w:rFonts w:eastAsia="Calibri" w:cs="Times New Roman"/>
              </w:rPr>
            </w:pPr>
          </w:p>
        </w:tc>
        <w:tc>
          <w:tcPr>
            <w:tcW w:w="1015" w:type="dxa"/>
          </w:tcPr>
          <w:p w14:paraId="26E5F8B1" w14:textId="77777777" w:rsidR="00EE5D22" w:rsidRPr="00EE5D22" w:rsidRDefault="00EE5D22" w:rsidP="00EE5D22">
            <w:pPr>
              <w:spacing w:after="180" w:line="264" w:lineRule="auto"/>
              <w:rPr>
                <w:rFonts w:eastAsia="Calibri" w:cs="Times New Roman"/>
              </w:rPr>
            </w:pPr>
          </w:p>
        </w:tc>
        <w:tc>
          <w:tcPr>
            <w:tcW w:w="1185" w:type="dxa"/>
          </w:tcPr>
          <w:p w14:paraId="5F8252E6" w14:textId="77777777" w:rsidR="00EE5D22" w:rsidRPr="00EE5D22" w:rsidRDefault="00EE5D22" w:rsidP="00EE5D22">
            <w:pPr>
              <w:spacing w:after="180" w:line="264" w:lineRule="auto"/>
              <w:rPr>
                <w:rFonts w:eastAsia="Calibri" w:cs="Times New Roman"/>
              </w:rPr>
            </w:pPr>
          </w:p>
        </w:tc>
        <w:tc>
          <w:tcPr>
            <w:tcW w:w="4773" w:type="dxa"/>
          </w:tcPr>
          <w:p w14:paraId="25B32F07" w14:textId="77777777" w:rsidR="00EE5D22" w:rsidRPr="00EE5D22" w:rsidRDefault="00EE5D22" w:rsidP="00EE5D22">
            <w:pPr>
              <w:spacing w:after="180" w:line="264" w:lineRule="auto"/>
              <w:rPr>
                <w:rFonts w:eastAsia="Calibri" w:cs="Times New Roman"/>
              </w:rPr>
            </w:pPr>
          </w:p>
        </w:tc>
      </w:tr>
      <w:tr w:rsidR="00EE5D22" w:rsidRPr="00EE5D22" w14:paraId="003E14B8" w14:textId="77777777" w:rsidTr="004E4B34">
        <w:trPr>
          <w:trHeight w:val="1296"/>
        </w:trPr>
        <w:tc>
          <w:tcPr>
            <w:tcW w:w="1894" w:type="dxa"/>
          </w:tcPr>
          <w:p w14:paraId="7019FF87" w14:textId="77777777" w:rsidR="00EE5D22" w:rsidRPr="00EE5D22" w:rsidRDefault="00EE5D22" w:rsidP="00352919">
            <w:pPr>
              <w:numPr>
                <w:ilvl w:val="0"/>
                <w:numId w:val="17"/>
              </w:numPr>
              <w:spacing w:line="264" w:lineRule="auto"/>
              <w:ind w:left="240" w:hanging="240"/>
              <w:rPr>
                <w:rFonts w:eastAsia="Calibri" w:cs="Times New Roman"/>
                <w:color w:val="auto"/>
                <w:sz w:val="18"/>
                <w:szCs w:val="18"/>
              </w:rPr>
            </w:pPr>
            <w:r w:rsidRPr="00EE5D22">
              <w:rPr>
                <w:rFonts w:eastAsia="Calibri" w:cs="Times New Roman"/>
                <w:color w:val="auto"/>
                <w:sz w:val="18"/>
                <w:szCs w:val="18"/>
              </w:rPr>
              <w:t>Jackpot size</w:t>
            </w:r>
          </w:p>
          <w:p w14:paraId="306CC1B3" w14:textId="77777777" w:rsidR="00EE5D22" w:rsidRPr="00EE5D22" w:rsidRDefault="00EE5D22" w:rsidP="00EE5D22">
            <w:pPr>
              <w:spacing w:line="264" w:lineRule="auto"/>
              <w:rPr>
                <w:rFonts w:eastAsia="Calibri" w:cs="Times New Roman"/>
                <w:i/>
                <w:iCs/>
                <w:color w:val="auto"/>
                <w:sz w:val="18"/>
                <w:szCs w:val="18"/>
              </w:rPr>
            </w:pPr>
            <w:r w:rsidRPr="00EE5D22">
              <w:rPr>
                <w:rFonts w:eastAsia="Calibri" w:cs="Times New Roman"/>
                <w:i/>
                <w:iCs/>
                <w:color w:val="auto"/>
                <w:sz w:val="18"/>
                <w:szCs w:val="18"/>
              </w:rPr>
              <w:t>[1 = $150 or less to 7 = variable size]</w:t>
            </w:r>
          </w:p>
        </w:tc>
        <w:tc>
          <w:tcPr>
            <w:tcW w:w="761" w:type="dxa"/>
          </w:tcPr>
          <w:p w14:paraId="574FB9FB" w14:textId="77777777" w:rsidR="00EE5D22" w:rsidRPr="00EE5D22" w:rsidRDefault="00EE5D22" w:rsidP="00EE5D22">
            <w:pPr>
              <w:spacing w:after="180" w:line="264" w:lineRule="auto"/>
              <w:rPr>
                <w:rFonts w:eastAsia="Calibri" w:cs="Times New Roman"/>
              </w:rPr>
            </w:pPr>
          </w:p>
        </w:tc>
        <w:tc>
          <w:tcPr>
            <w:tcW w:w="1015" w:type="dxa"/>
          </w:tcPr>
          <w:p w14:paraId="289EB6BD" w14:textId="77777777" w:rsidR="00EE5D22" w:rsidRPr="00EE5D22" w:rsidRDefault="00EE5D22" w:rsidP="00EE5D22">
            <w:pPr>
              <w:spacing w:after="180" w:line="264" w:lineRule="auto"/>
              <w:rPr>
                <w:rFonts w:eastAsia="Calibri" w:cs="Times New Roman"/>
              </w:rPr>
            </w:pPr>
          </w:p>
        </w:tc>
        <w:tc>
          <w:tcPr>
            <w:tcW w:w="1185" w:type="dxa"/>
          </w:tcPr>
          <w:p w14:paraId="6BD5415B" w14:textId="77777777" w:rsidR="00EE5D22" w:rsidRPr="00EE5D22" w:rsidRDefault="00EE5D22" w:rsidP="00EE5D22">
            <w:pPr>
              <w:spacing w:after="180" w:line="264" w:lineRule="auto"/>
              <w:rPr>
                <w:rFonts w:eastAsia="Calibri" w:cs="Times New Roman"/>
              </w:rPr>
            </w:pPr>
          </w:p>
        </w:tc>
        <w:tc>
          <w:tcPr>
            <w:tcW w:w="4773" w:type="dxa"/>
          </w:tcPr>
          <w:p w14:paraId="6F3931F2" w14:textId="77777777" w:rsidR="00EE5D22" w:rsidRPr="00EE5D22" w:rsidRDefault="00EE5D22" w:rsidP="00EE5D22">
            <w:pPr>
              <w:spacing w:after="180" w:line="264" w:lineRule="auto"/>
              <w:rPr>
                <w:rFonts w:eastAsia="Calibri" w:cs="Times New Roman"/>
              </w:rPr>
            </w:pPr>
          </w:p>
        </w:tc>
      </w:tr>
      <w:tr w:rsidR="00EE5D22" w:rsidRPr="00EE5D22" w14:paraId="69F68A2D" w14:textId="77777777" w:rsidTr="004E4B34">
        <w:trPr>
          <w:trHeight w:val="1296"/>
        </w:trPr>
        <w:tc>
          <w:tcPr>
            <w:tcW w:w="1894" w:type="dxa"/>
          </w:tcPr>
          <w:p w14:paraId="68AD776F" w14:textId="77777777" w:rsidR="00EE5D22" w:rsidRPr="00EE5D22" w:rsidRDefault="00EE5D22" w:rsidP="00352919">
            <w:pPr>
              <w:numPr>
                <w:ilvl w:val="0"/>
                <w:numId w:val="17"/>
              </w:numPr>
              <w:spacing w:line="264" w:lineRule="auto"/>
              <w:ind w:left="240" w:hanging="240"/>
              <w:rPr>
                <w:rFonts w:eastAsia="Calibri" w:cs="Times New Roman"/>
                <w:color w:val="auto"/>
                <w:sz w:val="18"/>
                <w:szCs w:val="18"/>
              </w:rPr>
            </w:pPr>
            <w:r w:rsidRPr="00EE5D22">
              <w:rPr>
                <w:rFonts w:eastAsia="Calibri" w:cs="Times New Roman"/>
                <w:color w:val="auto"/>
                <w:sz w:val="18"/>
                <w:szCs w:val="18"/>
              </w:rPr>
              <w:t>Near win options</w:t>
            </w:r>
          </w:p>
          <w:p w14:paraId="61CBDE0D" w14:textId="77777777" w:rsidR="00EE5D22" w:rsidRPr="00EE5D22" w:rsidRDefault="00EE5D22" w:rsidP="00EE5D22">
            <w:pPr>
              <w:spacing w:line="264" w:lineRule="auto"/>
              <w:rPr>
                <w:rFonts w:eastAsia="Calibri" w:cs="Times New Roman"/>
                <w:color w:val="auto"/>
                <w:sz w:val="18"/>
                <w:szCs w:val="18"/>
              </w:rPr>
            </w:pPr>
            <w:r w:rsidRPr="00EE5D22">
              <w:rPr>
                <w:rFonts w:eastAsia="Calibri" w:cs="Times New Roman"/>
                <w:i/>
                <w:iCs/>
                <w:color w:val="auto"/>
                <w:sz w:val="18"/>
                <w:szCs w:val="18"/>
              </w:rPr>
              <w:t>[1 = none to 2 = near win options]</w:t>
            </w:r>
          </w:p>
        </w:tc>
        <w:tc>
          <w:tcPr>
            <w:tcW w:w="761" w:type="dxa"/>
          </w:tcPr>
          <w:p w14:paraId="65128332" w14:textId="77777777" w:rsidR="00EE5D22" w:rsidRPr="00EE5D22" w:rsidRDefault="00EE5D22" w:rsidP="00EE5D22">
            <w:pPr>
              <w:spacing w:after="180" w:line="264" w:lineRule="auto"/>
              <w:rPr>
                <w:rFonts w:eastAsia="Calibri" w:cs="Times New Roman"/>
              </w:rPr>
            </w:pPr>
          </w:p>
        </w:tc>
        <w:tc>
          <w:tcPr>
            <w:tcW w:w="1015" w:type="dxa"/>
          </w:tcPr>
          <w:p w14:paraId="123FF347" w14:textId="77777777" w:rsidR="00EE5D22" w:rsidRPr="00EE5D22" w:rsidRDefault="00EE5D22" w:rsidP="00EE5D22">
            <w:pPr>
              <w:spacing w:after="180" w:line="264" w:lineRule="auto"/>
              <w:rPr>
                <w:rFonts w:eastAsia="Calibri" w:cs="Times New Roman"/>
              </w:rPr>
            </w:pPr>
          </w:p>
        </w:tc>
        <w:tc>
          <w:tcPr>
            <w:tcW w:w="1185" w:type="dxa"/>
          </w:tcPr>
          <w:p w14:paraId="3A64A3AA" w14:textId="77777777" w:rsidR="00EE5D22" w:rsidRPr="00EE5D22" w:rsidRDefault="00EE5D22" w:rsidP="00EE5D22">
            <w:pPr>
              <w:spacing w:after="180" w:line="264" w:lineRule="auto"/>
              <w:rPr>
                <w:rFonts w:eastAsia="Calibri" w:cs="Times New Roman"/>
              </w:rPr>
            </w:pPr>
          </w:p>
        </w:tc>
        <w:tc>
          <w:tcPr>
            <w:tcW w:w="4773" w:type="dxa"/>
          </w:tcPr>
          <w:p w14:paraId="41E7856D" w14:textId="77777777" w:rsidR="00EE5D22" w:rsidRPr="00EE5D22" w:rsidRDefault="00EE5D22" w:rsidP="00EE5D22">
            <w:pPr>
              <w:spacing w:after="180" w:line="264" w:lineRule="auto"/>
              <w:rPr>
                <w:rFonts w:eastAsia="Calibri" w:cs="Times New Roman"/>
              </w:rPr>
            </w:pPr>
          </w:p>
        </w:tc>
      </w:tr>
      <w:tr w:rsidR="00EE5D22" w:rsidRPr="00EE5D22" w14:paraId="62C116AB" w14:textId="77777777" w:rsidTr="004E4B34">
        <w:trPr>
          <w:trHeight w:val="1296"/>
        </w:trPr>
        <w:tc>
          <w:tcPr>
            <w:tcW w:w="1894" w:type="dxa"/>
          </w:tcPr>
          <w:p w14:paraId="321FC98C" w14:textId="77777777" w:rsidR="00EE5D22" w:rsidRPr="00EE5D22" w:rsidRDefault="00EE5D22" w:rsidP="00352919">
            <w:pPr>
              <w:numPr>
                <w:ilvl w:val="0"/>
                <w:numId w:val="17"/>
              </w:numPr>
              <w:spacing w:line="264" w:lineRule="auto"/>
              <w:ind w:left="240" w:hanging="240"/>
              <w:rPr>
                <w:rFonts w:eastAsia="Calibri" w:cs="Times New Roman"/>
                <w:color w:val="auto"/>
                <w:sz w:val="18"/>
                <w:szCs w:val="18"/>
              </w:rPr>
            </w:pPr>
            <w:r w:rsidRPr="00EE5D22">
              <w:rPr>
                <w:rFonts w:eastAsia="Calibri" w:cs="Times New Roman"/>
                <w:color w:val="auto"/>
                <w:sz w:val="18"/>
                <w:szCs w:val="18"/>
              </w:rPr>
              <w:t>Continuity of play</w:t>
            </w:r>
          </w:p>
          <w:p w14:paraId="0883DA9A" w14:textId="77777777" w:rsidR="00EE5D22" w:rsidRPr="00EE5D22" w:rsidRDefault="00EE5D22" w:rsidP="00EE5D22">
            <w:pPr>
              <w:spacing w:line="264" w:lineRule="auto"/>
              <w:rPr>
                <w:rFonts w:eastAsia="Calibri" w:cs="Times New Roman"/>
                <w:color w:val="auto"/>
                <w:sz w:val="18"/>
                <w:szCs w:val="18"/>
              </w:rPr>
            </w:pPr>
            <w:r w:rsidRPr="00EE5D22">
              <w:rPr>
                <w:rFonts w:eastAsia="Calibri" w:cs="Times New Roman"/>
                <w:i/>
                <w:iCs/>
                <w:color w:val="auto"/>
                <w:sz w:val="18"/>
                <w:szCs w:val="18"/>
              </w:rPr>
              <w:t>[1 = break at or before 1 hour to 3 = 5 hours + without break]</w:t>
            </w:r>
          </w:p>
        </w:tc>
        <w:tc>
          <w:tcPr>
            <w:tcW w:w="761" w:type="dxa"/>
          </w:tcPr>
          <w:p w14:paraId="4565F826" w14:textId="77777777" w:rsidR="00EE5D22" w:rsidRPr="00EE5D22" w:rsidRDefault="00EE5D22" w:rsidP="00EE5D22">
            <w:pPr>
              <w:spacing w:after="180" w:line="264" w:lineRule="auto"/>
              <w:rPr>
                <w:rFonts w:eastAsia="Calibri" w:cs="Times New Roman"/>
              </w:rPr>
            </w:pPr>
          </w:p>
        </w:tc>
        <w:tc>
          <w:tcPr>
            <w:tcW w:w="1015" w:type="dxa"/>
          </w:tcPr>
          <w:p w14:paraId="73ED981A" w14:textId="77777777" w:rsidR="00EE5D22" w:rsidRPr="00EE5D22" w:rsidRDefault="00EE5D22" w:rsidP="00EE5D22">
            <w:pPr>
              <w:spacing w:after="180" w:line="264" w:lineRule="auto"/>
              <w:rPr>
                <w:rFonts w:eastAsia="Calibri" w:cs="Times New Roman"/>
              </w:rPr>
            </w:pPr>
          </w:p>
        </w:tc>
        <w:tc>
          <w:tcPr>
            <w:tcW w:w="1185" w:type="dxa"/>
          </w:tcPr>
          <w:p w14:paraId="7CF11687" w14:textId="77777777" w:rsidR="00EE5D22" w:rsidRPr="00EE5D22" w:rsidRDefault="00EE5D22" w:rsidP="00EE5D22">
            <w:pPr>
              <w:spacing w:after="180" w:line="264" w:lineRule="auto"/>
              <w:rPr>
                <w:rFonts w:eastAsia="Calibri" w:cs="Times New Roman"/>
              </w:rPr>
            </w:pPr>
          </w:p>
        </w:tc>
        <w:tc>
          <w:tcPr>
            <w:tcW w:w="4773" w:type="dxa"/>
          </w:tcPr>
          <w:p w14:paraId="47FA2743" w14:textId="77777777" w:rsidR="00EE5D22" w:rsidRPr="00EE5D22" w:rsidRDefault="00EE5D22" w:rsidP="00EE5D22">
            <w:pPr>
              <w:spacing w:after="180" w:line="264" w:lineRule="auto"/>
              <w:rPr>
                <w:rFonts w:eastAsia="Calibri" w:cs="Times New Roman"/>
              </w:rPr>
            </w:pPr>
          </w:p>
        </w:tc>
      </w:tr>
      <w:tr w:rsidR="00EE5D22" w:rsidRPr="00EE5D22" w14:paraId="4E952A7D" w14:textId="77777777" w:rsidTr="004E4B34">
        <w:trPr>
          <w:trHeight w:val="1296"/>
        </w:trPr>
        <w:tc>
          <w:tcPr>
            <w:tcW w:w="1894" w:type="dxa"/>
          </w:tcPr>
          <w:p w14:paraId="248F9C74" w14:textId="77777777" w:rsidR="00EE5D22" w:rsidRPr="00EE5D22" w:rsidRDefault="00EE5D22" w:rsidP="00352919">
            <w:pPr>
              <w:numPr>
                <w:ilvl w:val="0"/>
                <w:numId w:val="17"/>
              </w:numPr>
              <w:spacing w:line="264" w:lineRule="auto"/>
              <w:ind w:left="240" w:hanging="240"/>
              <w:rPr>
                <w:rFonts w:eastAsia="Calibri" w:cs="Times New Roman"/>
                <w:color w:val="auto"/>
                <w:sz w:val="18"/>
                <w:szCs w:val="18"/>
              </w:rPr>
            </w:pPr>
            <w:r w:rsidRPr="00EE5D22">
              <w:rPr>
                <w:rFonts w:eastAsia="Calibri" w:cs="Times New Roman"/>
                <w:color w:val="auto"/>
                <w:sz w:val="18"/>
                <w:szCs w:val="18"/>
              </w:rPr>
              <w:t xml:space="preserve">Accessibility points </w:t>
            </w:r>
          </w:p>
          <w:p w14:paraId="3471CB0F" w14:textId="77777777" w:rsidR="00EE5D22" w:rsidRPr="00EE5D22" w:rsidRDefault="00EE5D22" w:rsidP="00EE5D22">
            <w:pPr>
              <w:spacing w:line="264" w:lineRule="auto"/>
              <w:rPr>
                <w:rFonts w:eastAsia="Calibri" w:cs="Times New Roman"/>
                <w:color w:val="auto"/>
                <w:sz w:val="18"/>
                <w:szCs w:val="18"/>
              </w:rPr>
            </w:pPr>
            <w:r w:rsidRPr="00EE5D22">
              <w:rPr>
                <w:rFonts w:eastAsia="Calibri" w:cs="Times New Roman"/>
                <w:color w:val="auto"/>
                <w:sz w:val="18"/>
                <w:szCs w:val="18"/>
              </w:rPr>
              <w:t>[</w:t>
            </w:r>
            <w:r w:rsidRPr="00EE5D22">
              <w:rPr>
                <w:rFonts w:eastAsia="Calibri" w:cs="Times New Roman"/>
                <w:i/>
                <w:iCs/>
                <w:color w:val="auto"/>
                <w:sz w:val="18"/>
                <w:szCs w:val="18"/>
              </w:rPr>
              <w:t>1 = travel to gamble to 3 = Remote access]</w:t>
            </w:r>
          </w:p>
        </w:tc>
        <w:tc>
          <w:tcPr>
            <w:tcW w:w="761" w:type="dxa"/>
          </w:tcPr>
          <w:p w14:paraId="0C87CBC7" w14:textId="77777777" w:rsidR="00EE5D22" w:rsidRPr="00EE5D22" w:rsidRDefault="00EE5D22" w:rsidP="00EE5D22">
            <w:pPr>
              <w:spacing w:after="180" w:line="264" w:lineRule="auto"/>
              <w:rPr>
                <w:rFonts w:eastAsia="Calibri" w:cs="Times New Roman"/>
              </w:rPr>
            </w:pPr>
          </w:p>
        </w:tc>
        <w:tc>
          <w:tcPr>
            <w:tcW w:w="1015" w:type="dxa"/>
          </w:tcPr>
          <w:p w14:paraId="50A15627" w14:textId="77777777" w:rsidR="00EE5D22" w:rsidRPr="00EE5D22" w:rsidRDefault="00EE5D22" w:rsidP="00EE5D22">
            <w:pPr>
              <w:spacing w:after="180" w:line="264" w:lineRule="auto"/>
              <w:rPr>
                <w:rFonts w:eastAsia="Calibri" w:cs="Times New Roman"/>
              </w:rPr>
            </w:pPr>
          </w:p>
        </w:tc>
        <w:tc>
          <w:tcPr>
            <w:tcW w:w="1185" w:type="dxa"/>
          </w:tcPr>
          <w:p w14:paraId="5872ED3C" w14:textId="77777777" w:rsidR="00EE5D22" w:rsidRPr="00EE5D22" w:rsidRDefault="00EE5D22" w:rsidP="00EE5D22">
            <w:pPr>
              <w:spacing w:after="180" w:line="264" w:lineRule="auto"/>
              <w:rPr>
                <w:rFonts w:eastAsia="Calibri" w:cs="Times New Roman"/>
              </w:rPr>
            </w:pPr>
          </w:p>
        </w:tc>
        <w:tc>
          <w:tcPr>
            <w:tcW w:w="4773" w:type="dxa"/>
          </w:tcPr>
          <w:p w14:paraId="4C03F32F" w14:textId="77777777" w:rsidR="00EE5D22" w:rsidRPr="00EE5D22" w:rsidRDefault="00EE5D22" w:rsidP="00EE5D22">
            <w:pPr>
              <w:spacing w:after="180" w:line="264" w:lineRule="auto"/>
              <w:rPr>
                <w:rFonts w:eastAsia="Calibri" w:cs="Times New Roman"/>
              </w:rPr>
            </w:pPr>
          </w:p>
        </w:tc>
      </w:tr>
      <w:tr w:rsidR="00EE5D22" w:rsidRPr="00EE5D22" w14:paraId="31902810" w14:textId="77777777" w:rsidTr="004E4B34">
        <w:trPr>
          <w:trHeight w:val="1296"/>
        </w:trPr>
        <w:tc>
          <w:tcPr>
            <w:tcW w:w="1894" w:type="dxa"/>
          </w:tcPr>
          <w:p w14:paraId="4B8BE423" w14:textId="77777777" w:rsidR="00EE5D22" w:rsidRPr="00EE5D22" w:rsidRDefault="00EE5D22" w:rsidP="00352919">
            <w:pPr>
              <w:numPr>
                <w:ilvl w:val="0"/>
                <w:numId w:val="17"/>
              </w:numPr>
              <w:spacing w:line="264" w:lineRule="auto"/>
              <w:ind w:left="240" w:hanging="240"/>
              <w:rPr>
                <w:rFonts w:eastAsia="Calibri" w:cs="Times New Roman"/>
                <w:color w:val="auto"/>
                <w:sz w:val="18"/>
                <w:szCs w:val="18"/>
              </w:rPr>
            </w:pPr>
            <w:r w:rsidRPr="00EE5D22">
              <w:rPr>
                <w:rFonts w:eastAsia="Calibri" w:cs="Times New Roman"/>
                <w:color w:val="auto"/>
                <w:sz w:val="18"/>
                <w:szCs w:val="18"/>
              </w:rPr>
              <w:lastRenderedPageBreak/>
              <w:t>Payment</w:t>
            </w:r>
          </w:p>
          <w:p w14:paraId="50BBEDAD" w14:textId="77777777" w:rsidR="00EE5D22" w:rsidRPr="00EE5D22" w:rsidRDefault="00EE5D22" w:rsidP="00EE5D22">
            <w:pPr>
              <w:spacing w:line="264" w:lineRule="auto"/>
              <w:rPr>
                <w:rFonts w:eastAsia="Calibri" w:cs="Times New Roman"/>
                <w:color w:val="auto"/>
                <w:sz w:val="18"/>
                <w:szCs w:val="18"/>
              </w:rPr>
            </w:pPr>
            <w:r w:rsidRPr="00EE5D22">
              <w:rPr>
                <w:rFonts w:eastAsia="Calibri" w:cs="Times New Roman"/>
                <w:i/>
                <w:iCs/>
                <w:color w:val="auto"/>
                <w:sz w:val="18"/>
                <w:szCs w:val="18"/>
              </w:rPr>
              <w:t>[1 = Cash only to 5 = credit]</w:t>
            </w:r>
          </w:p>
        </w:tc>
        <w:tc>
          <w:tcPr>
            <w:tcW w:w="761" w:type="dxa"/>
          </w:tcPr>
          <w:p w14:paraId="5499F351" w14:textId="77777777" w:rsidR="00EE5D22" w:rsidRPr="00EE5D22" w:rsidRDefault="00EE5D22" w:rsidP="00EE5D22">
            <w:pPr>
              <w:spacing w:after="180" w:line="264" w:lineRule="auto"/>
              <w:rPr>
                <w:rFonts w:eastAsia="Calibri" w:cs="Times New Roman"/>
              </w:rPr>
            </w:pPr>
          </w:p>
        </w:tc>
        <w:tc>
          <w:tcPr>
            <w:tcW w:w="1015" w:type="dxa"/>
          </w:tcPr>
          <w:p w14:paraId="311852BA" w14:textId="77777777" w:rsidR="00EE5D22" w:rsidRPr="00EE5D22" w:rsidRDefault="00EE5D22" w:rsidP="00EE5D22">
            <w:pPr>
              <w:spacing w:after="180" w:line="264" w:lineRule="auto"/>
              <w:rPr>
                <w:rFonts w:eastAsia="Calibri" w:cs="Times New Roman"/>
              </w:rPr>
            </w:pPr>
          </w:p>
        </w:tc>
        <w:tc>
          <w:tcPr>
            <w:tcW w:w="1185" w:type="dxa"/>
          </w:tcPr>
          <w:p w14:paraId="0D2A7D6B" w14:textId="77777777" w:rsidR="00EE5D22" w:rsidRPr="00EE5D22" w:rsidRDefault="00EE5D22" w:rsidP="00EE5D22">
            <w:pPr>
              <w:spacing w:after="180" w:line="264" w:lineRule="auto"/>
              <w:rPr>
                <w:rFonts w:eastAsia="Calibri" w:cs="Times New Roman"/>
              </w:rPr>
            </w:pPr>
          </w:p>
        </w:tc>
        <w:tc>
          <w:tcPr>
            <w:tcW w:w="4773" w:type="dxa"/>
          </w:tcPr>
          <w:p w14:paraId="321A2F2A" w14:textId="77777777" w:rsidR="00EE5D22" w:rsidRPr="00EE5D22" w:rsidRDefault="00EE5D22" w:rsidP="00EE5D22">
            <w:pPr>
              <w:spacing w:after="180" w:line="264" w:lineRule="auto"/>
              <w:rPr>
                <w:rFonts w:eastAsia="Calibri" w:cs="Times New Roman"/>
              </w:rPr>
            </w:pPr>
          </w:p>
        </w:tc>
      </w:tr>
      <w:tr w:rsidR="00EE5D22" w:rsidRPr="00EE5D22" w14:paraId="2F00FF09" w14:textId="77777777" w:rsidTr="004E4B34">
        <w:trPr>
          <w:trHeight w:val="1296"/>
        </w:trPr>
        <w:tc>
          <w:tcPr>
            <w:tcW w:w="1894" w:type="dxa"/>
          </w:tcPr>
          <w:p w14:paraId="025DC46F" w14:textId="77777777" w:rsidR="00EE5D22" w:rsidRPr="00EE5D22" w:rsidRDefault="00EE5D22" w:rsidP="00352919">
            <w:pPr>
              <w:numPr>
                <w:ilvl w:val="0"/>
                <w:numId w:val="17"/>
              </w:numPr>
              <w:spacing w:line="264" w:lineRule="auto"/>
              <w:ind w:left="330" w:hanging="330"/>
              <w:rPr>
                <w:rFonts w:eastAsia="Calibri" w:cs="Times New Roman"/>
                <w:color w:val="auto"/>
                <w:sz w:val="18"/>
                <w:szCs w:val="18"/>
              </w:rPr>
            </w:pPr>
            <w:r w:rsidRPr="00EE5D22">
              <w:rPr>
                <w:rFonts w:eastAsia="Calibri" w:cs="Times New Roman"/>
                <w:color w:val="auto"/>
                <w:sz w:val="18"/>
                <w:szCs w:val="18"/>
              </w:rPr>
              <w:t>Illusion of control</w:t>
            </w:r>
          </w:p>
          <w:p w14:paraId="624588E6" w14:textId="77777777" w:rsidR="00EE5D22" w:rsidRPr="00EE5D22" w:rsidRDefault="00EE5D22" w:rsidP="00EE5D22">
            <w:pPr>
              <w:spacing w:line="264" w:lineRule="auto"/>
              <w:rPr>
                <w:rFonts w:eastAsia="Calibri" w:cs="Times New Roman"/>
                <w:color w:val="auto"/>
                <w:sz w:val="18"/>
                <w:szCs w:val="18"/>
              </w:rPr>
            </w:pPr>
            <w:r w:rsidRPr="00EE5D22">
              <w:rPr>
                <w:rFonts w:eastAsia="Calibri" w:cs="Times New Roman"/>
                <w:i/>
                <w:iCs/>
                <w:color w:val="auto"/>
                <w:sz w:val="18"/>
                <w:szCs w:val="18"/>
              </w:rPr>
              <w:t>[1 = none to 2 = some]</w:t>
            </w:r>
          </w:p>
        </w:tc>
        <w:tc>
          <w:tcPr>
            <w:tcW w:w="761" w:type="dxa"/>
          </w:tcPr>
          <w:p w14:paraId="20A1D0B3" w14:textId="77777777" w:rsidR="00EE5D22" w:rsidRPr="00EE5D22" w:rsidRDefault="00EE5D22" w:rsidP="00EE5D22">
            <w:pPr>
              <w:spacing w:after="180" w:line="264" w:lineRule="auto"/>
              <w:rPr>
                <w:rFonts w:eastAsia="Calibri" w:cs="Times New Roman"/>
              </w:rPr>
            </w:pPr>
          </w:p>
        </w:tc>
        <w:tc>
          <w:tcPr>
            <w:tcW w:w="1015" w:type="dxa"/>
          </w:tcPr>
          <w:p w14:paraId="7AD03825" w14:textId="77777777" w:rsidR="00EE5D22" w:rsidRPr="00EE5D22" w:rsidRDefault="00EE5D22" w:rsidP="00EE5D22">
            <w:pPr>
              <w:spacing w:after="180" w:line="264" w:lineRule="auto"/>
              <w:rPr>
                <w:rFonts w:eastAsia="Calibri" w:cs="Times New Roman"/>
              </w:rPr>
            </w:pPr>
          </w:p>
        </w:tc>
        <w:tc>
          <w:tcPr>
            <w:tcW w:w="1185" w:type="dxa"/>
          </w:tcPr>
          <w:p w14:paraId="2106CA78" w14:textId="77777777" w:rsidR="00EE5D22" w:rsidRPr="00EE5D22" w:rsidRDefault="00EE5D22" w:rsidP="00EE5D22">
            <w:pPr>
              <w:spacing w:after="180" w:line="264" w:lineRule="auto"/>
              <w:rPr>
                <w:rFonts w:eastAsia="Calibri" w:cs="Times New Roman"/>
              </w:rPr>
            </w:pPr>
          </w:p>
        </w:tc>
        <w:tc>
          <w:tcPr>
            <w:tcW w:w="4773" w:type="dxa"/>
          </w:tcPr>
          <w:p w14:paraId="1C922E25" w14:textId="77777777" w:rsidR="00EE5D22" w:rsidRPr="00EE5D22" w:rsidRDefault="00EE5D22" w:rsidP="00EE5D22">
            <w:pPr>
              <w:spacing w:after="180" w:line="264" w:lineRule="auto"/>
              <w:rPr>
                <w:rFonts w:eastAsia="Calibri" w:cs="Times New Roman"/>
              </w:rPr>
            </w:pPr>
          </w:p>
        </w:tc>
      </w:tr>
      <w:tr w:rsidR="00EE5D22" w:rsidRPr="00EE5D22" w14:paraId="31AF0A3F" w14:textId="77777777" w:rsidTr="004E4B34">
        <w:trPr>
          <w:trHeight w:val="1296"/>
        </w:trPr>
        <w:tc>
          <w:tcPr>
            <w:tcW w:w="1894" w:type="dxa"/>
          </w:tcPr>
          <w:p w14:paraId="5444BB95" w14:textId="77777777" w:rsidR="00EE5D22" w:rsidRPr="00EE5D22" w:rsidRDefault="00EE5D22" w:rsidP="00352919">
            <w:pPr>
              <w:numPr>
                <w:ilvl w:val="0"/>
                <w:numId w:val="17"/>
              </w:numPr>
              <w:spacing w:line="264" w:lineRule="auto"/>
              <w:ind w:left="240" w:hanging="240"/>
              <w:rPr>
                <w:rFonts w:eastAsia="Calibri" w:cs="Times New Roman"/>
                <w:color w:val="auto"/>
                <w:sz w:val="18"/>
                <w:szCs w:val="18"/>
              </w:rPr>
            </w:pPr>
            <w:r w:rsidRPr="00EE5D22">
              <w:rPr>
                <w:rFonts w:eastAsia="Calibri" w:cs="Times New Roman"/>
                <w:color w:val="auto"/>
                <w:sz w:val="18"/>
                <w:szCs w:val="18"/>
              </w:rPr>
              <w:t>Pop-up reminders</w:t>
            </w:r>
          </w:p>
          <w:p w14:paraId="6BDD2F9F" w14:textId="77777777" w:rsidR="00EE5D22" w:rsidRPr="00EE5D22" w:rsidRDefault="00EE5D22" w:rsidP="00EE5D22">
            <w:pPr>
              <w:spacing w:line="264" w:lineRule="auto"/>
              <w:rPr>
                <w:rFonts w:eastAsia="Calibri" w:cs="Times New Roman"/>
                <w:color w:val="auto"/>
                <w:sz w:val="18"/>
                <w:szCs w:val="18"/>
              </w:rPr>
            </w:pPr>
            <w:r w:rsidRPr="00EE5D22">
              <w:rPr>
                <w:rFonts w:eastAsia="Calibri" w:cs="Times New Roman"/>
                <w:i/>
                <w:iCs/>
                <w:color w:val="auto"/>
                <w:sz w:val="18"/>
                <w:szCs w:val="18"/>
              </w:rPr>
              <w:t>[1 = warning at/before 1 hour to 3 = No warning times]</w:t>
            </w:r>
          </w:p>
        </w:tc>
        <w:tc>
          <w:tcPr>
            <w:tcW w:w="761" w:type="dxa"/>
          </w:tcPr>
          <w:p w14:paraId="1F78E791" w14:textId="77777777" w:rsidR="00EE5D22" w:rsidRPr="00EE5D22" w:rsidRDefault="00EE5D22" w:rsidP="00EE5D22">
            <w:pPr>
              <w:spacing w:after="180" w:line="264" w:lineRule="auto"/>
              <w:rPr>
                <w:rFonts w:eastAsia="Calibri" w:cs="Times New Roman"/>
              </w:rPr>
            </w:pPr>
          </w:p>
        </w:tc>
        <w:tc>
          <w:tcPr>
            <w:tcW w:w="1015" w:type="dxa"/>
          </w:tcPr>
          <w:p w14:paraId="7C586270" w14:textId="77777777" w:rsidR="00EE5D22" w:rsidRPr="00EE5D22" w:rsidRDefault="00EE5D22" w:rsidP="00EE5D22">
            <w:pPr>
              <w:spacing w:after="180" w:line="264" w:lineRule="auto"/>
              <w:rPr>
                <w:rFonts w:eastAsia="Calibri" w:cs="Times New Roman"/>
              </w:rPr>
            </w:pPr>
          </w:p>
        </w:tc>
        <w:tc>
          <w:tcPr>
            <w:tcW w:w="1185" w:type="dxa"/>
          </w:tcPr>
          <w:p w14:paraId="65C56ECD" w14:textId="77777777" w:rsidR="00EE5D22" w:rsidRPr="00EE5D22" w:rsidRDefault="00EE5D22" w:rsidP="00EE5D22">
            <w:pPr>
              <w:spacing w:after="180" w:line="264" w:lineRule="auto"/>
              <w:rPr>
                <w:rFonts w:eastAsia="Calibri" w:cs="Times New Roman"/>
              </w:rPr>
            </w:pPr>
          </w:p>
        </w:tc>
        <w:tc>
          <w:tcPr>
            <w:tcW w:w="4773" w:type="dxa"/>
          </w:tcPr>
          <w:p w14:paraId="6238A216" w14:textId="77777777" w:rsidR="00EE5D22" w:rsidRPr="00EE5D22" w:rsidRDefault="00EE5D22" w:rsidP="00EE5D22">
            <w:pPr>
              <w:spacing w:after="180" w:line="264" w:lineRule="auto"/>
              <w:rPr>
                <w:rFonts w:eastAsia="Calibri" w:cs="Times New Roman"/>
              </w:rPr>
            </w:pPr>
          </w:p>
        </w:tc>
      </w:tr>
      <w:tr w:rsidR="00EE5D22" w:rsidRPr="00EE5D22" w14:paraId="3A8D1965" w14:textId="77777777" w:rsidTr="004E4B34">
        <w:trPr>
          <w:trHeight w:val="1296"/>
        </w:trPr>
        <w:tc>
          <w:tcPr>
            <w:tcW w:w="1894" w:type="dxa"/>
          </w:tcPr>
          <w:p w14:paraId="2328EE14" w14:textId="77777777" w:rsidR="00EE5D22" w:rsidRPr="00EE5D22" w:rsidRDefault="00EE5D22" w:rsidP="00352919">
            <w:pPr>
              <w:numPr>
                <w:ilvl w:val="0"/>
                <w:numId w:val="17"/>
              </w:numPr>
              <w:spacing w:line="264" w:lineRule="auto"/>
              <w:ind w:left="240" w:hanging="240"/>
              <w:rPr>
                <w:rFonts w:eastAsia="Calibri" w:cs="Times New Roman"/>
                <w:color w:val="auto"/>
                <w:sz w:val="18"/>
                <w:szCs w:val="18"/>
              </w:rPr>
            </w:pPr>
            <w:r w:rsidRPr="00EE5D22">
              <w:rPr>
                <w:rFonts w:eastAsia="Calibri" w:cs="Times New Roman"/>
                <w:color w:val="auto"/>
                <w:sz w:val="18"/>
                <w:szCs w:val="18"/>
              </w:rPr>
              <w:t>Player defined spend/loss limits</w:t>
            </w:r>
          </w:p>
          <w:p w14:paraId="74422AE9" w14:textId="77777777" w:rsidR="00EE5D22" w:rsidRPr="00EE5D22" w:rsidRDefault="00EE5D22" w:rsidP="00EE5D22">
            <w:pPr>
              <w:spacing w:line="264" w:lineRule="auto"/>
              <w:rPr>
                <w:rFonts w:eastAsia="Calibri" w:cs="Times New Roman"/>
                <w:i/>
                <w:iCs/>
                <w:color w:val="auto"/>
                <w:sz w:val="18"/>
                <w:szCs w:val="18"/>
              </w:rPr>
            </w:pPr>
            <w:r w:rsidRPr="00EE5D22">
              <w:rPr>
                <w:rFonts w:eastAsia="Calibri" w:cs="Times New Roman"/>
                <w:i/>
                <w:iCs/>
                <w:color w:val="auto"/>
                <w:sz w:val="18"/>
                <w:szCs w:val="18"/>
              </w:rPr>
              <w:t>[1 = mandatory limit to 3 = no option]</w:t>
            </w:r>
          </w:p>
        </w:tc>
        <w:tc>
          <w:tcPr>
            <w:tcW w:w="761" w:type="dxa"/>
          </w:tcPr>
          <w:p w14:paraId="29752EF2" w14:textId="77777777" w:rsidR="00EE5D22" w:rsidRPr="00EE5D22" w:rsidRDefault="00EE5D22" w:rsidP="00EE5D22">
            <w:pPr>
              <w:spacing w:after="180" w:line="264" w:lineRule="auto"/>
              <w:rPr>
                <w:rFonts w:eastAsia="Calibri" w:cs="Times New Roman"/>
              </w:rPr>
            </w:pPr>
          </w:p>
        </w:tc>
        <w:tc>
          <w:tcPr>
            <w:tcW w:w="1015" w:type="dxa"/>
          </w:tcPr>
          <w:p w14:paraId="0F96CEF6" w14:textId="77777777" w:rsidR="00EE5D22" w:rsidRPr="00EE5D22" w:rsidRDefault="00EE5D22" w:rsidP="00EE5D22">
            <w:pPr>
              <w:spacing w:after="180" w:line="264" w:lineRule="auto"/>
              <w:rPr>
                <w:rFonts w:eastAsia="Calibri" w:cs="Times New Roman"/>
              </w:rPr>
            </w:pPr>
          </w:p>
        </w:tc>
        <w:tc>
          <w:tcPr>
            <w:tcW w:w="1185" w:type="dxa"/>
          </w:tcPr>
          <w:p w14:paraId="278E6D10" w14:textId="77777777" w:rsidR="00EE5D22" w:rsidRPr="00EE5D22" w:rsidRDefault="00EE5D22" w:rsidP="00EE5D22">
            <w:pPr>
              <w:spacing w:line="264" w:lineRule="auto"/>
              <w:rPr>
                <w:rFonts w:eastAsia="Calibri" w:cs="Times New Roman"/>
              </w:rPr>
            </w:pPr>
          </w:p>
        </w:tc>
        <w:tc>
          <w:tcPr>
            <w:tcW w:w="4773" w:type="dxa"/>
          </w:tcPr>
          <w:p w14:paraId="1DFAD369" w14:textId="77777777" w:rsidR="00EE5D22" w:rsidRPr="00EE5D22" w:rsidRDefault="00EE5D22" w:rsidP="00EE5D22">
            <w:pPr>
              <w:spacing w:line="264" w:lineRule="auto"/>
              <w:rPr>
                <w:rFonts w:eastAsia="Calibri" w:cs="Times New Roman"/>
              </w:rPr>
            </w:pPr>
          </w:p>
        </w:tc>
      </w:tr>
      <w:tr w:rsidR="00EE5D22" w:rsidRPr="00EE5D22" w14:paraId="5142179A" w14:textId="77777777" w:rsidTr="004E4B34">
        <w:trPr>
          <w:trHeight w:val="1296"/>
        </w:trPr>
        <w:tc>
          <w:tcPr>
            <w:tcW w:w="1894" w:type="dxa"/>
            <w:vAlign w:val="center"/>
          </w:tcPr>
          <w:p w14:paraId="5213FEA6" w14:textId="77777777" w:rsidR="00EE5D22" w:rsidRPr="00EE5D22" w:rsidRDefault="00EE5D22" w:rsidP="00352919">
            <w:pPr>
              <w:numPr>
                <w:ilvl w:val="0"/>
                <w:numId w:val="17"/>
              </w:numPr>
              <w:spacing w:line="264" w:lineRule="auto"/>
              <w:ind w:left="240" w:hanging="240"/>
              <w:rPr>
                <w:rFonts w:eastAsia="Calibri" w:cs="Times New Roman"/>
                <w:color w:val="auto"/>
                <w:sz w:val="18"/>
                <w:szCs w:val="18"/>
              </w:rPr>
            </w:pPr>
            <w:r w:rsidRPr="00EE5D22">
              <w:rPr>
                <w:rFonts w:eastAsia="Calibri" w:cs="Times New Roman"/>
                <w:color w:val="auto"/>
                <w:sz w:val="18"/>
                <w:szCs w:val="18"/>
              </w:rPr>
              <w:t>Player-defined time limits.</w:t>
            </w:r>
          </w:p>
          <w:p w14:paraId="641D00AB" w14:textId="77777777" w:rsidR="00EE5D22" w:rsidRPr="00EE5D22" w:rsidRDefault="00EE5D22" w:rsidP="00EE5D22">
            <w:pPr>
              <w:spacing w:line="264" w:lineRule="auto"/>
              <w:rPr>
                <w:rFonts w:eastAsia="Calibri" w:cs="Times New Roman"/>
                <w:sz w:val="18"/>
                <w:szCs w:val="18"/>
              </w:rPr>
            </w:pPr>
            <w:r w:rsidRPr="00EE5D22">
              <w:rPr>
                <w:rFonts w:eastAsia="Calibri" w:cs="Times New Roman"/>
                <w:i/>
                <w:iCs/>
                <w:color w:val="auto"/>
                <w:sz w:val="18"/>
                <w:szCs w:val="18"/>
              </w:rPr>
              <w:t>[1 = Mandatory to 3 = No option]</w:t>
            </w:r>
          </w:p>
        </w:tc>
        <w:tc>
          <w:tcPr>
            <w:tcW w:w="761" w:type="dxa"/>
          </w:tcPr>
          <w:p w14:paraId="47AF7C35" w14:textId="77777777" w:rsidR="00EE5D22" w:rsidRPr="00EE5D22" w:rsidRDefault="00EE5D22" w:rsidP="00EE5D22">
            <w:pPr>
              <w:spacing w:after="180" w:line="264" w:lineRule="auto"/>
              <w:rPr>
                <w:rFonts w:eastAsia="Calibri" w:cs="Times New Roman"/>
              </w:rPr>
            </w:pPr>
          </w:p>
        </w:tc>
        <w:tc>
          <w:tcPr>
            <w:tcW w:w="1015" w:type="dxa"/>
          </w:tcPr>
          <w:p w14:paraId="323CE029" w14:textId="77777777" w:rsidR="00EE5D22" w:rsidRPr="00EE5D22" w:rsidRDefault="00EE5D22" w:rsidP="00EE5D22">
            <w:pPr>
              <w:spacing w:after="180" w:line="264" w:lineRule="auto"/>
              <w:rPr>
                <w:rFonts w:eastAsia="Calibri" w:cs="Times New Roman"/>
              </w:rPr>
            </w:pPr>
          </w:p>
        </w:tc>
        <w:tc>
          <w:tcPr>
            <w:tcW w:w="1185" w:type="dxa"/>
          </w:tcPr>
          <w:p w14:paraId="647055BE" w14:textId="77777777" w:rsidR="00EE5D22" w:rsidRPr="00EE5D22" w:rsidRDefault="00EE5D22" w:rsidP="00EE5D22">
            <w:pPr>
              <w:spacing w:after="180" w:line="264" w:lineRule="auto"/>
              <w:rPr>
                <w:rFonts w:eastAsia="Calibri" w:cs="Times New Roman"/>
              </w:rPr>
            </w:pPr>
          </w:p>
        </w:tc>
        <w:tc>
          <w:tcPr>
            <w:tcW w:w="4773" w:type="dxa"/>
          </w:tcPr>
          <w:p w14:paraId="4496337D" w14:textId="77777777" w:rsidR="00EE5D22" w:rsidRPr="00EE5D22" w:rsidRDefault="00EE5D22" w:rsidP="00EE5D22">
            <w:pPr>
              <w:spacing w:after="180" w:line="264" w:lineRule="auto"/>
              <w:rPr>
                <w:rFonts w:eastAsia="Calibri" w:cs="Times New Roman"/>
              </w:rPr>
            </w:pPr>
          </w:p>
        </w:tc>
      </w:tr>
      <w:tr w:rsidR="00EE5D22" w:rsidRPr="00EE5D22" w14:paraId="23E934CB" w14:textId="77777777" w:rsidTr="004E4B34">
        <w:trPr>
          <w:trHeight w:val="1296"/>
        </w:trPr>
        <w:tc>
          <w:tcPr>
            <w:tcW w:w="1894" w:type="dxa"/>
            <w:vAlign w:val="center"/>
          </w:tcPr>
          <w:p w14:paraId="6F905CF0" w14:textId="77777777" w:rsidR="00EE5D22" w:rsidRPr="00EE5D22" w:rsidRDefault="00EE5D22" w:rsidP="00352919">
            <w:pPr>
              <w:numPr>
                <w:ilvl w:val="0"/>
                <w:numId w:val="17"/>
              </w:numPr>
              <w:spacing w:line="264" w:lineRule="auto"/>
              <w:ind w:left="240" w:hanging="240"/>
              <w:rPr>
                <w:rFonts w:eastAsia="Calibri" w:cs="Times New Roman"/>
                <w:sz w:val="18"/>
                <w:szCs w:val="18"/>
              </w:rPr>
            </w:pPr>
            <w:r w:rsidRPr="00EE5D22">
              <w:rPr>
                <w:rFonts w:eastAsia="Calibri" w:cs="Times New Roman"/>
                <w:sz w:val="18"/>
                <w:szCs w:val="18"/>
              </w:rPr>
              <w:t>Feedback tools</w:t>
            </w:r>
          </w:p>
          <w:p w14:paraId="104A55E8" w14:textId="77777777" w:rsidR="00EE5D22" w:rsidRPr="00EE5D22" w:rsidRDefault="00EE5D22" w:rsidP="00EE5D22">
            <w:pPr>
              <w:spacing w:after="180" w:line="264" w:lineRule="auto"/>
              <w:rPr>
                <w:rFonts w:eastAsia="Calibri" w:cs="Times New Roman"/>
                <w:sz w:val="18"/>
                <w:szCs w:val="18"/>
              </w:rPr>
            </w:pPr>
            <w:r w:rsidRPr="00EE5D22">
              <w:rPr>
                <w:rFonts w:eastAsia="Calibri" w:cs="Times New Roman"/>
                <w:sz w:val="18"/>
                <w:szCs w:val="18"/>
              </w:rPr>
              <w:t>[1= All players + risk to 5 = no feedback]</w:t>
            </w:r>
          </w:p>
        </w:tc>
        <w:tc>
          <w:tcPr>
            <w:tcW w:w="761" w:type="dxa"/>
          </w:tcPr>
          <w:p w14:paraId="0ECE5C5B" w14:textId="77777777" w:rsidR="00EE5D22" w:rsidRPr="00EE5D22" w:rsidRDefault="00EE5D22" w:rsidP="00EE5D22">
            <w:pPr>
              <w:spacing w:after="180" w:line="264" w:lineRule="auto"/>
              <w:rPr>
                <w:rFonts w:eastAsia="Calibri" w:cs="Times New Roman"/>
              </w:rPr>
            </w:pPr>
          </w:p>
        </w:tc>
        <w:tc>
          <w:tcPr>
            <w:tcW w:w="1015" w:type="dxa"/>
          </w:tcPr>
          <w:p w14:paraId="1DB9D5F1" w14:textId="77777777" w:rsidR="00EE5D22" w:rsidRPr="00EE5D22" w:rsidRDefault="00EE5D22" w:rsidP="00EE5D22">
            <w:pPr>
              <w:spacing w:after="180" w:line="264" w:lineRule="auto"/>
              <w:rPr>
                <w:rFonts w:eastAsia="Calibri" w:cs="Times New Roman"/>
              </w:rPr>
            </w:pPr>
          </w:p>
        </w:tc>
        <w:tc>
          <w:tcPr>
            <w:tcW w:w="1185" w:type="dxa"/>
          </w:tcPr>
          <w:p w14:paraId="7D5151F1" w14:textId="77777777" w:rsidR="00EE5D22" w:rsidRPr="00EE5D22" w:rsidRDefault="00EE5D22" w:rsidP="00EE5D22">
            <w:pPr>
              <w:spacing w:after="180" w:line="264" w:lineRule="auto"/>
              <w:rPr>
                <w:rFonts w:eastAsia="Calibri" w:cs="Times New Roman"/>
              </w:rPr>
            </w:pPr>
          </w:p>
        </w:tc>
        <w:tc>
          <w:tcPr>
            <w:tcW w:w="4773" w:type="dxa"/>
          </w:tcPr>
          <w:p w14:paraId="33C19120" w14:textId="77777777" w:rsidR="00EE5D22" w:rsidRPr="00EE5D22" w:rsidRDefault="00EE5D22" w:rsidP="00EE5D22">
            <w:pPr>
              <w:spacing w:after="180" w:line="264" w:lineRule="auto"/>
              <w:rPr>
                <w:rFonts w:eastAsia="Calibri" w:cs="Times New Roman"/>
              </w:rPr>
            </w:pPr>
          </w:p>
        </w:tc>
      </w:tr>
    </w:tbl>
    <w:p w14:paraId="449B241E" w14:textId="77777777" w:rsidR="00EE5D22" w:rsidRPr="00EE5D22" w:rsidRDefault="00EE5D22" w:rsidP="00EE5D22">
      <w:pPr>
        <w:spacing w:after="180" w:line="264" w:lineRule="auto"/>
        <w:rPr>
          <w:rFonts w:eastAsia="Calibri" w:cs="Times New Roman"/>
        </w:rPr>
      </w:pPr>
    </w:p>
    <w:tbl>
      <w:tblPr>
        <w:tblStyle w:val="TableGrid10"/>
        <w:tblW w:w="0" w:type="auto"/>
        <w:tblLook w:val="04A0" w:firstRow="1" w:lastRow="0" w:firstColumn="1" w:lastColumn="0" w:noHBand="0" w:noVBand="1"/>
      </w:tblPr>
      <w:tblGrid>
        <w:gridCol w:w="1894"/>
        <w:gridCol w:w="761"/>
        <w:gridCol w:w="1015"/>
        <w:gridCol w:w="1047"/>
        <w:gridCol w:w="4911"/>
      </w:tblGrid>
      <w:tr w:rsidR="00EE5D22" w:rsidRPr="00EE5D22" w14:paraId="46079153" w14:textId="77777777" w:rsidTr="00EE5D22">
        <w:trPr>
          <w:trHeight w:val="833"/>
          <w:tblHeader/>
        </w:trPr>
        <w:tc>
          <w:tcPr>
            <w:tcW w:w="1894" w:type="dxa"/>
            <w:vMerge w:val="restart"/>
            <w:shd w:val="clear" w:color="auto" w:fill="D9E2F3"/>
          </w:tcPr>
          <w:p w14:paraId="0EC55A9C" w14:textId="77777777" w:rsidR="00EE5D22" w:rsidRPr="00EE5D22" w:rsidRDefault="00EE5D22" w:rsidP="00EE5D22">
            <w:pPr>
              <w:spacing w:after="180" w:line="264" w:lineRule="auto"/>
              <w:rPr>
                <w:rFonts w:eastAsia="Calibri" w:cs="Times New Roman"/>
                <w:b/>
                <w:bCs/>
                <w:sz w:val="18"/>
                <w:szCs w:val="18"/>
              </w:rPr>
            </w:pPr>
            <w:r w:rsidRPr="00EE5D22">
              <w:rPr>
                <w:rFonts w:eastAsia="Calibri" w:cs="Times New Roman"/>
                <w:b/>
                <w:bCs/>
                <w:sz w:val="18"/>
                <w:szCs w:val="18"/>
              </w:rPr>
              <w:t>Attribute</w:t>
            </w:r>
          </w:p>
        </w:tc>
        <w:tc>
          <w:tcPr>
            <w:tcW w:w="761" w:type="dxa"/>
            <w:vMerge w:val="restart"/>
            <w:shd w:val="clear" w:color="auto" w:fill="D9E2F3"/>
          </w:tcPr>
          <w:p w14:paraId="4431BFA1" w14:textId="77777777" w:rsidR="00EE5D22" w:rsidRPr="00EE5D22" w:rsidRDefault="00EE5D22" w:rsidP="00EE5D22">
            <w:pPr>
              <w:spacing w:after="180" w:line="264" w:lineRule="auto"/>
              <w:rPr>
                <w:rFonts w:eastAsia="Calibri" w:cs="Times New Roman"/>
                <w:b/>
                <w:bCs/>
                <w:sz w:val="18"/>
                <w:szCs w:val="18"/>
              </w:rPr>
            </w:pPr>
            <w:r w:rsidRPr="00EE5D22">
              <w:rPr>
                <w:rFonts w:eastAsia="Calibri" w:cs="Times New Roman"/>
                <w:b/>
                <w:bCs/>
                <w:sz w:val="18"/>
                <w:szCs w:val="18"/>
              </w:rPr>
              <w:t>Score</w:t>
            </w:r>
          </w:p>
        </w:tc>
        <w:tc>
          <w:tcPr>
            <w:tcW w:w="1015" w:type="dxa"/>
            <w:shd w:val="clear" w:color="auto" w:fill="D9E2F3"/>
          </w:tcPr>
          <w:p w14:paraId="43915CBA" w14:textId="77777777" w:rsidR="00EE5D22" w:rsidRPr="00EE5D22" w:rsidRDefault="00EE5D22" w:rsidP="00EE5D22">
            <w:pPr>
              <w:spacing w:line="264" w:lineRule="auto"/>
              <w:rPr>
                <w:rFonts w:eastAsia="Calibri" w:cs="Times New Roman"/>
                <w:b/>
                <w:bCs/>
                <w:sz w:val="14"/>
                <w:szCs w:val="14"/>
              </w:rPr>
            </w:pPr>
            <w:r w:rsidRPr="00EE5D22">
              <w:rPr>
                <w:rFonts w:eastAsia="Calibri" w:cs="Times New Roman"/>
                <w:b/>
                <w:bCs/>
                <w:sz w:val="14"/>
                <w:szCs w:val="14"/>
              </w:rPr>
              <w:t>Confidence in accuracy</w:t>
            </w:r>
          </w:p>
          <w:p w14:paraId="3A9F3239" w14:textId="77777777" w:rsidR="00EE5D22" w:rsidRPr="00EE5D22" w:rsidRDefault="00EE5D22" w:rsidP="00EE5D22">
            <w:pPr>
              <w:spacing w:line="264" w:lineRule="auto"/>
              <w:rPr>
                <w:rFonts w:eastAsia="Calibri" w:cs="Times New Roman"/>
                <w:b/>
                <w:bCs/>
                <w:sz w:val="14"/>
                <w:szCs w:val="14"/>
              </w:rPr>
            </w:pPr>
            <w:r w:rsidRPr="00EE5D22">
              <w:rPr>
                <w:rFonts w:eastAsia="Calibri" w:cs="Times New Roman"/>
                <w:b/>
                <w:bCs/>
                <w:sz w:val="14"/>
                <w:szCs w:val="14"/>
              </w:rPr>
              <w:t>of my scoring</w:t>
            </w:r>
          </w:p>
        </w:tc>
        <w:tc>
          <w:tcPr>
            <w:tcW w:w="1047" w:type="dxa"/>
            <w:shd w:val="clear" w:color="auto" w:fill="D9E2F3"/>
          </w:tcPr>
          <w:p w14:paraId="085688B5" w14:textId="77777777" w:rsidR="00EE5D22" w:rsidRPr="00EE5D22" w:rsidRDefault="00EE5D22" w:rsidP="00EE5D22">
            <w:pPr>
              <w:spacing w:line="264" w:lineRule="auto"/>
              <w:rPr>
                <w:rFonts w:eastAsia="Calibri" w:cs="Times New Roman"/>
                <w:b/>
                <w:bCs/>
                <w:sz w:val="14"/>
                <w:szCs w:val="14"/>
              </w:rPr>
            </w:pPr>
            <w:r w:rsidRPr="00EE5D22">
              <w:rPr>
                <w:rFonts w:eastAsia="Calibri" w:cs="Times New Roman"/>
                <w:b/>
                <w:bCs/>
                <w:sz w:val="14"/>
                <w:szCs w:val="14"/>
              </w:rPr>
              <w:t xml:space="preserve">Confidence of SCORE in capturing any harm </w:t>
            </w:r>
          </w:p>
        </w:tc>
        <w:tc>
          <w:tcPr>
            <w:tcW w:w="4911" w:type="dxa"/>
            <w:vMerge w:val="restart"/>
            <w:shd w:val="clear" w:color="auto" w:fill="D9E2F3"/>
          </w:tcPr>
          <w:p w14:paraId="7AC72C9E" w14:textId="77777777" w:rsidR="00EE5D22" w:rsidRPr="00EE5D22" w:rsidRDefault="00EE5D22" w:rsidP="00EE5D22">
            <w:pPr>
              <w:spacing w:after="180" w:line="264" w:lineRule="auto"/>
              <w:rPr>
                <w:rFonts w:eastAsia="Calibri" w:cs="Times New Roman"/>
                <w:b/>
                <w:bCs/>
                <w:sz w:val="18"/>
                <w:szCs w:val="18"/>
              </w:rPr>
            </w:pPr>
            <w:r w:rsidRPr="00EE5D22">
              <w:rPr>
                <w:rFonts w:eastAsia="Calibri" w:cs="Times New Roman"/>
                <w:b/>
                <w:bCs/>
                <w:sz w:val="18"/>
                <w:szCs w:val="18"/>
              </w:rPr>
              <w:t>Rationale / comments</w:t>
            </w:r>
          </w:p>
        </w:tc>
      </w:tr>
      <w:tr w:rsidR="00EE5D22" w:rsidRPr="00EE5D22" w14:paraId="18E41A35" w14:textId="77777777" w:rsidTr="00EE5D22">
        <w:trPr>
          <w:trHeight w:val="107"/>
          <w:tblHeader/>
        </w:trPr>
        <w:tc>
          <w:tcPr>
            <w:tcW w:w="1894" w:type="dxa"/>
            <w:vMerge/>
            <w:shd w:val="clear" w:color="auto" w:fill="EA6C16"/>
          </w:tcPr>
          <w:p w14:paraId="2B5EF498" w14:textId="77777777" w:rsidR="00EE5D22" w:rsidRPr="00EE5D22" w:rsidRDefault="00EE5D22" w:rsidP="00EE5D22">
            <w:pPr>
              <w:spacing w:after="180" w:line="264" w:lineRule="auto"/>
              <w:rPr>
                <w:rFonts w:eastAsia="Calibri" w:cs="Times New Roman"/>
                <w:b/>
                <w:bCs/>
              </w:rPr>
            </w:pPr>
          </w:p>
        </w:tc>
        <w:tc>
          <w:tcPr>
            <w:tcW w:w="761" w:type="dxa"/>
            <w:vMerge/>
            <w:shd w:val="clear" w:color="auto" w:fill="EA6C16"/>
          </w:tcPr>
          <w:p w14:paraId="74DA4415" w14:textId="77777777" w:rsidR="00EE5D22" w:rsidRPr="00EE5D22" w:rsidRDefault="00EE5D22" w:rsidP="00EE5D22">
            <w:pPr>
              <w:spacing w:after="180" w:line="264" w:lineRule="auto"/>
              <w:rPr>
                <w:rFonts w:eastAsia="Calibri" w:cs="Times New Roman"/>
                <w:b/>
                <w:bCs/>
              </w:rPr>
            </w:pPr>
          </w:p>
        </w:tc>
        <w:tc>
          <w:tcPr>
            <w:tcW w:w="2062" w:type="dxa"/>
            <w:gridSpan w:val="2"/>
            <w:shd w:val="clear" w:color="auto" w:fill="D9E2F3"/>
          </w:tcPr>
          <w:p w14:paraId="7472C3CD" w14:textId="77777777" w:rsidR="00EE5D22" w:rsidRPr="00EE5D22" w:rsidRDefault="00EE5D22" w:rsidP="00EE5D22">
            <w:pPr>
              <w:spacing w:line="264" w:lineRule="auto"/>
              <w:jc w:val="center"/>
              <w:rPr>
                <w:rFonts w:eastAsia="Calibri" w:cs="Times New Roman"/>
                <w:b/>
                <w:bCs/>
              </w:rPr>
            </w:pPr>
            <w:r w:rsidRPr="00EE5D22">
              <w:rPr>
                <w:rFonts w:eastAsia="Calibri" w:cs="Times New Roman"/>
                <w:b/>
                <w:bCs/>
                <w:i/>
                <w:iCs/>
                <w:sz w:val="16"/>
                <w:szCs w:val="16"/>
              </w:rPr>
              <w:t>[1 = Not confident at all – 5= very confident]</w:t>
            </w:r>
          </w:p>
        </w:tc>
        <w:tc>
          <w:tcPr>
            <w:tcW w:w="4911" w:type="dxa"/>
            <w:vMerge/>
            <w:shd w:val="clear" w:color="auto" w:fill="EA6C16"/>
          </w:tcPr>
          <w:p w14:paraId="71CE7825" w14:textId="77777777" w:rsidR="00EE5D22" w:rsidRPr="00EE5D22" w:rsidRDefault="00EE5D22" w:rsidP="00EE5D22">
            <w:pPr>
              <w:spacing w:after="180" w:line="264" w:lineRule="auto"/>
              <w:rPr>
                <w:rFonts w:eastAsia="Calibri" w:cs="Times New Roman"/>
                <w:b/>
                <w:bCs/>
              </w:rPr>
            </w:pPr>
          </w:p>
        </w:tc>
      </w:tr>
      <w:tr w:rsidR="00EE5D22" w:rsidRPr="00EE5D22" w14:paraId="6A6D1F1B" w14:textId="77777777" w:rsidTr="004E4B34">
        <w:trPr>
          <w:trHeight w:val="1296"/>
        </w:trPr>
        <w:tc>
          <w:tcPr>
            <w:tcW w:w="1894" w:type="dxa"/>
            <w:vAlign w:val="center"/>
          </w:tcPr>
          <w:p w14:paraId="01CE12FD" w14:textId="77777777" w:rsidR="00EE5D22" w:rsidRPr="00EE5D22" w:rsidRDefault="00EE5D22" w:rsidP="00EE5D22">
            <w:pPr>
              <w:ind w:left="60"/>
              <w:rPr>
                <w:rFonts w:eastAsia="Calibri" w:cs="Times New Roman"/>
                <w:i/>
                <w:iCs/>
                <w:color w:val="auto"/>
                <w:sz w:val="18"/>
                <w:szCs w:val="18"/>
              </w:rPr>
            </w:pPr>
            <w:r w:rsidRPr="00EE5D22">
              <w:rPr>
                <w:rFonts w:eastAsia="Calibri" w:cs="Times New Roman"/>
                <w:sz w:val="18"/>
                <w:szCs w:val="18"/>
              </w:rPr>
              <w:t>Initial score (no RG features)</w:t>
            </w:r>
          </w:p>
        </w:tc>
        <w:tc>
          <w:tcPr>
            <w:tcW w:w="761" w:type="dxa"/>
          </w:tcPr>
          <w:p w14:paraId="59BB1C12" w14:textId="77777777" w:rsidR="00EE5D22" w:rsidRPr="00EE5D22" w:rsidRDefault="00EE5D22" w:rsidP="00EE5D22">
            <w:pPr>
              <w:spacing w:after="180" w:line="264" w:lineRule="auto"/>
              <w:rPr>
                <w:rFonts w:eastAsia="Calibri" w:cs="Times New Roman"/>
              </w:rPr>
            </w:pPr>
          </w:p>
        </w:tc>
        <w:tc>
          <w:tcPr>
            <w:tcW w:w="1015" w:type="dxa"/>
          </w:tcPr>
          <w:p w14:paraId="7A30C62A" w14:textId="77777777" w:rsidR="00EE5D22" w:rsidRPr="00EE5D22" w:rsidRDefault="00EE5D22" w:rsidP="00EE5D22">
            <w:pPr>
              <w:spacing w:after="180" w:line="264" w:lineRule="auto"/>
              <w:rPr>
                <w:rFonts w:eastAsia="Calibri" w:cs="Times New Roman"/>
              </w:rPr>
            </w:pPr>
          </w:p>
        </w:tc>
        <w:tc>
          <w:tcPr>
            <w:tcW w:w="1047" w:type="dxa"/>
          </w:tcPr>
          <w:p w14:paraId="3C2F321E" w14:textId="77777777" w:rsidR="00EE5D22" w:rsidRPr="00EE5D22" w:rsidRDefault="00EE5D22" w:rsidP="00EE5D22">
            <w:pPr>
              <w:spacing w:after="180" w:line="264" w:lineRule="auto"/>
              <w:rPr>
                <w:rFonts w:eastAsia="Calibri" w:cs="Times New Roman"/>
              </w:rPr>
            </w:pPr>
          </w:p>
        </w:tc>
        <w:tc>
          <w:tcPr>
            <w:tcW w:w="4911" w:type="dxa"/>
          </w:tcPr>
          <w:p w14:paraId="79A28249" w14:textId="77777777" w:rsidR="00EE5D22" w:rsidRPr="00EE5D22" w:rsidRDefault="00EE5D22" w:rsidP="00EE5D22">
            <w:pPr>
              <w:spacing w:after="180" w:line="264" w:lineRule="auto"/>
              <w:rPr>
                <w:rFonts w:eastAsia="Calibri" w:cs="Times New Roman"/>
              </w:rPr>
            </w:pPr>
          </w:p>
        </w:tc>
      </w:tr>
      <w:tr w:rsidR="00EE5D22" w:rsidRPr="00EE5D22" w14:paraId="6257CCDA" w14:textId="77777777" w:rsidTr="004E4B34">
        <w:trPr>
          <w:trHeight w:val="1296"/>
        </w:trPr>
        <w:tc>
          <w:tcPr>
            <w:tcW w:w="1894" w:type="dxa"/>
            <w:vAlign w:val="center"/>
          </w:tcPr>
          <w:p w14:paraId="774F40EC" w14:textId="77777777" w:rsidR="00EE5D22" w:rsidRPr="00EE5D22" w:rsidRDefault="00EE5D22" w:rsidP="00EE5D22">
            <w:pPr>
              <w:spacing w:after="180" w:line="264" w:lineRule="auto"/>
              <w:rPr>
                <w:rFonts w:eastAsia="Calibri" w:cs="Times New Roman"/>
                <w:i/>
                <w:iCs/>
                <w:color w:val="auto"/>
                <w:sz w:val="18"/>
                <w:szCs w:val="18"/>
              </w:rPr>
            </w:pPr>
            <w:r w:rsidRPr="00EE5D22">
              <w:rPr>
                <w:rFonts w:eastAsia="Calibri" w:cs="Times New Roman"/>
                <w:sz w:val="18"/>
                <w:szCs w:val="18"/>
              </w:rPr>
              <w:t>Overall score (with RG features)</w:t>
            </w:r>
          </w:p>
        </w:tc>
        <w:tc>
          <w:tcPr>
            <w:tcW w:w="761" w:type="dxa"/>
          </w:tcPr>
          <w:p w14:paraId="367A9013" w14:textId="77777777" w:rsidR="00EE5D22" w:rsidRPr="00EE5D22" w:rsidRDefault="00EE5D22" w:rsidP="00EE5D22">
            <w:pPr>
              <w:spacing w:after="180" w:line="264" w:lineRule="auto"/>
              <w:rPr>
                <w:rFonts w:eastAsia="Calibri" w:cs="Times New Roman"/>
              </w:rPr>
            </w:pPr>
          </w:p>
        </w:tc>
        <w:tc>
          <w:tcPr>
            <w:tcW w:w="1015" w:type="dxa"/>
          </w:tcPr>
          <w:p w14:paraId="16F609F0" w14:textId="77777777" w:rsidR="00EE5D22" w:rsidRPr="00EE5D22" w:rsidRDefault="00EE5D22" w:rsidP="00EE5D22">
            <w:pPr>
              <w:spacing w:after="180" w:line="264" w:lineRule="auto"/>
              <w:rPr>
                <w:rFonts w:eastAsia="Calibri" w:cs="Times New Roman"/>
              </w:rPr>
            </w:pPr>
          </w:p>
        </w:tc>
        <w:tc>
          <w:tcPr>
            <w:tcW w:w="1047" w:type="dxa"/>
          </w:tcPr>
          <w:p w14:paraId="77E7F847" w14:textId="77777777" w:rsidR="00EE5D22" w:rsidRPr="00EE5D22" w:rsidRDefault="00EE5D22" w:rsidP="00EE5D22">
            <w:pPr>
              <w:spacing w:after="180" w:line="264" w:lineRule="auto"/>
              <w:rPr>
                <w:rFonts w:eastAsia="Calibri" w:cs="Times New Roman"/>
              </w:rPr>
            </w:pPr>
          </w:p>
        </w:tc>
        <w:tc>
          <w:tcPr>
            <w:tcW w:w="4911" w:type="dxa"/>
          </w:tcPr>
          <w:p w14:paraId="192CAF8F" w14:textId="77777777" w:rsidR="00EE5D22" w:rsidRPr="00EE5D22" w:rsidRDefault="00EE5D22" w:rsidP="00EE5D22">
            <w:pPr>
              <w:spacing w:after="180" w:line="264" w:lineRule="auto"/>
              <w:rPr>
                <w:rFonts w:eastAsia="Calibri" w:cs="Times New Roman"/>
              </w:rPr>
            </w:pPr>
          </w:p>
        </w:tc>
      </w:tr>
    </w:tbl>
    <w:p w14:paraId="5D5AA11C" w14:textId="77777777" w:rsidR="00EE5D22" w:rsidRPr="00EE5D22" w:rsidRDefault="00EE5D22" w:rsidP="00EE5D22">
      <w:pPr>
        <w:spacing w:after="180" w:line="264" w:lineRule="auto"/>
        <w:rPr>
          <w:rFonts w:eastAsia="Calibri" w:cs="Times New Roman"/>
        </w:rPr>
      </w:pPr>
    </w:p>
    <w:p w14:paraId="78E387CF" w14:textId="77777777" w:rsidR="00EE5D22" w:rsidRPr="00EE5D22" w:rsidRDefault="00EE5D22" w:rsidP="00EE5D22">
      <w:pPr>
        <w:spacing w:after="180" w:line="264" w:lineRule="auto"/>
        <w:rPr>
          <w:rFonts w:eastAsia="Calibri" w:cs="Times New Roman"/>
          <w:color w:val="auto"/>
        </w:rPr>
      </w:pPr>
      <w:r w:rsidRPr="00EE5D22">
        <w:rPr>
          <w:rFonts w:eastAsia="Calibri" w:cs="Times New Roman"/>
          <w:color w:val="auto"/>
        </w:rPr>
        <w:lastRenderedPageBreak/>
        <w:t>Any mitigations missing for this product? (i.e. that should be present, have been considered but were not implemented, or additional that have been added to this product).</w:t>
      </w:r>
    </w:p>
    <w:p w14:paraId="4BDE0BD5" w14:textId="77777777" w:rsidR="00EE5D22" w:rsidRPr="00EE5D22" w:rsidRDefault="00EE5D22" w:rsidP="00EE5D22">
      <w:pPr>
        <w:spacing w:after="180" w:line="264" w:lineRule="auto"/>
        <w:rPr>
          <w:rFonts w:eastAsia="Calibri" w:cs="Times New Roman"/>
        </w:rPr>
      </w:pPr>
      <w:r w:rsidRPr="00EE5D22">
        <w:rPr>
          <w:rFonts w:eastAsia="Calibri" w:cs="Times New Roman"/>
        </w:rPr>
        <w:t>……………………………………………………………………………………………………………………………………………………………………………………………………………………………………………………………………………………………………………………………………………………………………………………………………………………………………………………………………………………………………………………………………………………………………………………………………………………………………………………………………………………………………………………………………………………………………………………………………………………………………………………………………………………………………………………………………………………………………………………………………………………………………………………………………………………………………………………………………………………………………………………………………………………………………………………………………………………………………………………………………………………………………………………………………………………………………………………………………………………………………………………………………………………………………………………………………………………………………………………………………………………………………………………………………………………………………………………………………………………………………………………………………………………………………………………………………………………………………………………………………………………………………………………………………………………………………………………………………………………………………………………………………………………………………………………………………………………………………………………………………………………………………………………………………………</w:t>
      </w:r>
    </w:p>
    <w:p w14:paraId="2078B921" w14:textId="77777777" w:rsidR="00EE5D22" w:rsidRPr="00EE5D22" w:rsidRDefault="00EE5D22" w:rsidP="00EE5D22">
      <w:pPr>
        <w:spacing w:after="180" w:line="264" w:lineRule="auto"/>
        <w:rPr>
          <w:rFonts w:eastAsia="Calibri" w:cs="Times New Roman"/>
        </w:rPr>
      </w:pPr>
    </w:p>
    <w:p w14:paraId="5262FD28" w14:textId="77777777" w:rsidR="00EE5D22" w:rsidRPr="00EE5D22" w:rsidRDefault="00EE5D22" w:rsidP="00EE5D22">
      <w:pPr>
        <w:spacing w:after="180" w:line="264" w:lineRule="auto"/>
        <w:rPr>
          <w:rFonts w:eastAsia="Calibri" w:cs="Times New Roman"/>
          <w:b/>
          <w:bCs/>
        </w:rPr>
      </w:pPr>
      <w:r w:rsidRPr="00EE5D22">
        <w:rPr>
          <w:rFonts w:eastAsia="Calibri" w:cs="Times New Roman"/>
          <w:b/>
          <w:bCs/>
        </w:rPr>
        <w:t>Other comments / notes</w:t>
      </w:r>
    </w:p>
    <w:p w14:paraId="3A96BD06" w14:textId="77777777" w:rsidR="00EE5D22" w:rsidRPr="00EE5D22" w:rsidRDefault="00EE5D22" w:rsidP="00EE5D22">
      <w:pPr>
        <w:spacing w:after="180" w:line="264" w:lineRule="auto"/>
        <w:rPr>
          <w:rFonts w:eastAsia="Calibri" w:cs="Times New Roman"/>
        </w:rPr>
      </w:pPr>
      <w:r w:rsidRPr="00EE5D22">
        <w:rPr>
          <w:rFonts w:eastAsia="Calibri" w:cs="Times New Roman"/>
        </w:rPr>
        <w:t>…………………………………………………………………………………………………………………………………………………………………………………………………………………………………………………………………………………………………………………………………………………………………………………………………………………………………………………………………………………………………………………………………………………………………………………………………………………………………………………………………………………………………………………………………………………………………………………………………………………………………………………………………………………………………………………………………………………………………………………………………………………………………………………………………………………………………………………………………………………………………………………………………………………………………………………………………………………………………………………………………………………………………………………………………………………………………………………………………………………………………………………………………………………………………………………………………………………………………………………………………………………………………………………………………………………………………………………………………………………………………………………………………………………………………………………………………………………………………………………………………………………………………………………………………………………………………………………………………………………………………………………………………………………………………………………………………………………………………………………………………………………………………………………………………………………………………………………………………………………………………………………………………………………………………………………………………………………………………………………………………………………………………………………………………………………………………………………………………………………………………………………</w:t>
      </w:r>
    </w:p>
    <w:p w14:paraId="43DE72AF" w14:textId="77777777" w:rsidR="00EE5D22" w:rsidRPr="00EE5D22" w:rsidRDefault="00EE5D22" w:rsidP="00EE5D22">
      <w:pPr>
        <w:spacing w:after="180" w:line="264" w:lineRule="auto"/>
        <w:rPr>
          <w:rFonts w:eastAsia="Calibri" w:cs="Times New Roman"/>
        </w:rPr>
      </w:pPr>
    </w:p>
    <w:p w14:paraId="47E285CE" w14:textId="77777777" w:rsidR="00EE5D22" w:rsidRPr="00EE5D22" w:rsidRDefault="00EE5D22" w:rsidP="00EE5D22">
      <w:pPr>
        <w:rPr>
          <w:rFonts w:eastAsia="Calibri" w:cs="Times New Roman"/>
        </w:rPr>
      </w:pPr>
    </w:p>
    <w:p w14:paraId="37BD624A" w14:textId="77777777" w:rsidR="00EE5D22" w:rsidRPr="00EE5D22" w:rsidRDefault="00EE5D22" w:rsidP="00EE5D22">
      <w:pPr>
        <w:pStyle w:val="BodyText"/>
      </w:pPr>
    </w:p>
    <w:p w14:paraId="5A64423C" w14:textId="7F21E23B" w:rsidR="0072478B" w:rsidRDefault="0072478B" w:rsidP="0072478B"/>
    <w:p w14:paraId="6D4796AD" w14:textId="77777777" w:rsidR="0072478B" w:rsidRDefault="0072478B" w:rsidP="0072478B"/>
    <w:p w14:paraId="4CB60D1D" w14:textId="77777777" w:rsidR="0072478B" w:rsidRDefault="0072478B" w:rsidP="0072478B"/>
    <w:p w14:paraId="281BFD1E" w14:textId="6E6C52EC" w:rsidR="0072478B" w:rsidRPr="0072478B" w:rsidRDefault="0072478B" w:rsidP="0072478B">
      <w:pPr>
        <w:sectPr w:rsidR="0072478B" w:rsidRPr="0072478B" w:rsidSect="00FC3D32">
          <w:headerReference w:type="even" r:id="rId67"/>
          <w:headerReference w:type="default" r:id="rId68"/>
          <w:footerReference w:type="default" r:id="rId69"/>
          <w:headerReference w:type="first" r:id="rId70"/>
          <w:pgSz w:w="11906" w:h="16838" w:code="168"/>
          <w:pgMar w:top="1418" w:right="1134" w:bottom="851" w:left="1134" w:header="851" w:footer="284" w:gutter="0"/>
          <w:cols w:space="708"/>
          <w:docGrid w:linePitch="360"/>
        </w:sectPr>
      </w:pPr>
    </w:p>
    <w:bookmarkEnd w:id="8"/>
    <w:p w14:paraId="54CA34C6" w14:textId="77777777" w:rsidR="001A5DE5" w:rsidRPr="008C1419" w:rsidRDefault="001A5DE5" w:rsidP="001A5DE5">
      <w:pPr>
        <w:pStyle w:val="BodyText"/>
        <w:rPr>
          <w:sz w:val="26"/>
          <w:szCs w:val="26"/>
        </w:rPr>
      </w:pPr>
    </w:p>
    <w:p w14:paraId="6C5777B4" w14:textId="77777777" w:rsidR="007034F2" w:rsidRPr="008C1419" w:rsidRDefault="007034F2" w:rsidP="006C43B5">
      <w:pPr>
        <w:rPr>
          <w:sz w:val="26"/>
          <w:szCs w:val="26"/>
        </w:rPr>
      </w:pPr>
    </w:p>
    <w:sectPr w:rsidR="007034F2" w:rsidRPr="008C1419" w:rsidSect="00306437">
      <w:headerReference w:type="default" r:id="rId71"/>
      <w:footerReference w:type="default" r:id="rId72"/>
      <w:pgSz w:w="11906" w:h="16838" w:code="9"/>
      <w:pgMar w:top="1418" w:right="1134" w:bottom="851" w:left="1134" w:header="113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EA0841B" w14:textId="77777777" w:rsidR="00005CFC" w:rsidRPr="001858C0" w:rsidRDefault="00005CFC" w:rsidP="00773830">
      <w:r w:rsidRPr="001858C0">
        <w:separator/>
      </w:r>
    </w:p>
  </w:endnote>
  <w:endnote w:type="continuationSeparator" w:id="0">
    <w:p w14:paraId="0C13035C" w14:textId="77777777" w:rsidR="00005CFC" w:rsidRPr="001858C0" w:rsidRDefault="00005CFC" w:rsidP="00773830">
      <w:r w:rsidRPr="001858C0">
        <w:continuationSeparator/>
      </w:r>
    </w:p>
  </w:endnote>
  <w:endnote w:type="continuationNotice" w:id="1">
    <w:p w14:paraId="233DF186" w14:textId="77777777" w:rsidR="00005CFC" w:rsidRDefault="00005C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Light">
    <w:altName w:val="Montserrat Light"/>
    <w:charset w:val="00"/>
    <w:family w:val="auto"/>
    <w:pitch w:val="variable"/>
    <w:sig w:usb0="2000020F" w:usb1="00000003" w:usb2="00000000" w:usb3="00000000" w:csb0="00000197" w:csb1="00000000"/>
  </w:font>
  <w:font w:name="Montserrat">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NettoPro-Bold">
    <w:altName w:val="Calibri"/>
    <w:panose1 w:val="00000000000000000000"/>
    <w:charset w:val="00"/>
    <w:family w:val="swiss"/>
    <w:notTrueType/>
    <w:pitch w:val="variable"/>
    <w:sig w:usb0="A00000FF" w:usb1="4000E07B" w:usb2="00000008" w:usb3="00000000" w:csb0="00000093" w:csb1="00000000"/>
  </w:font>
  <w:font w:name="Bell MT">
    <w:panose1 w:val="020205030603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dvPSA88A">
    <w:altName w:val="Cambria"/>
    <w:panose1 w:val="00000000000000000000"/>
    <w:charset w:val="00"/>
    <w:family w:val="roman"/>
    <w:notTrueType/>
    <w:pitch w:val="default"/>
    <w:sig w:usb0="00000003" w:usb1="00000000" w:usb2="00000000" w:usb3="00000000" w:csb0="00000001" w:csb1="00000000"/>
  </w:font>
  <w:font w:name="TT159t00">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78853146"/>
      <w:docPartObj>
        <w:docPartGallery w:val="Page Numbers (Bottom of Page)"/>
        <w:docPartUnique/>
      </w:docPartObj>
    </w:sdtPr>
    <w:sdtEndPr>
      <w:rPr>
        <w:noProof/>
      </w:rPr>
    </w:sdtEndPr>
    <w:sdtContent>
      <w:p w14:paraId="1887ABD1" w14:textId="77777777" w:rsidR="00B96B90" w:rsidRDefault="00B96B9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7D72B12" w14:textId="77777777" w:rsidR="00B96B90" w:rsidRDefault="00B96B90" w:rsidP="00CD4956">
    <w:pPr>
      <w:pStyle w:val="Footer"/>
      <w:jc w:val="center"/>
    </w:pPr>
    <w:r>
      <w:rPr>
        <w:lang w:val="en-US"/>
      </w:rPr>
      <w:t>©</w:t>
    </w:r>
    <w:r w:rsidRPr="00DC7533">
      <w:rPr>
        <w:lang w:val="en-US"/>
      </w:rPr>
      <w:t>WSP New Zealand Limited 2019</w:t>
    </w:r>
    <w:r>
      <w:rPr>
        <w:lang w:val="en-US"/>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F3FD03" w14:textId="77777777" w:rsidR="00B96B90" w:rsidRDefault="00B96B90" w:rsidP="000F798A">
    <w:pPr>
      <w:pStyle w:val="Footer"/>
    </w:pPr>
    <w:r w:rsidRPr="00AD4385">
      <w:rPr>
        <w:rStyle w:val="WSPWebsiteChar"/>
        <w:noProof/>
      </w:rPr>
      <mc:AlternateContent>
        <mc:Choice Requires="wps">
          <w:drawing>
            <wp:anchor distT="45720" distB="45720" distL="114300" distR="114300" simplePos="0" relativeHeight="251657216" behindDoc="0" locked="0" layoutInCell="1" allowOverlap="1" wp14:anchorId="2CFE326B" wp14:editId="2EE0F9E8">
              <wp:simplePos x="0" y="0"/>
              <wp:positionH relativeFrom="column">
                <wp:posOffset>5434385</wp:posOffset>
              </wp:positionH>
              <wp:positionV relativeFrom="paragraph">
                <wp:posOffset>-182245</wp:posOffset>
              </wp:positionV>
              <wp:extent cx="798830" cy="863600"/>
              <wp:effectExtent l="0" t="0" r="127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830" cy="863600"/>
                      </a:xfrm>
                      <a:prstGeom prst="rect">
                        <a:avLst/>
                      </a:prstGeom>
                      <a:solidFill>
                        <a:srgbClr val="FFFFFF"/>
                      </a:solidFill>
                      <a:ln w="9525">
                        <a:noFill/>
                        <a:miter lim="800000"/>
                        <a:headEnd/>
                        <a:tailEnd/>
                      </a:ln>
                    </wps:spPr>
                    <wps:txbx>
                      <w:txbxContent>
                        <w:p w14:paraId="13082E2F" w14:textId="77777777" w:rsidR="00B96B90" w:rsidRDefault="00B96B90" w:rsidP="005E7546">
                          <w:r w:rsidRPr="00EE56F7">
                            <w:rPr>
                              <w:noProof/>
                            </w:rPr>
                            <w:drawing>
                              <wp:inline distT="0" distB="0" distL="0" distR="0" wp14:anchorId="7E24492C" wp14:editId="511810E6">
                                <wp:extent cx="617247" cy="615285"/>
                                <wp:effectExtent l="0" t="0" r="0" b="0"/>
                                <wp:docPr id="4" name="Picture 3">
                                  <a:extLst xmlns:a="http://schemas.openxmlformats.org/drawingml/2006/main">
                                    <a:ext uri="{FF2B5EF4-FFF2-40B4-BE49-F238E27FC236}">
                                      <a16:creationId xmlns:a16="http://schemas.microsoft.com/office/drawing/2014/main" id="{D0FCE600-B8F5-47AD-8154-292FD7F78D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0FCE600-B8F5-47AD-8154-292FD7F78D80}"/>
                                            </a:ext>
                                          </a:extLst>
                                        </pic:cNvPr>
                                        <pic:cNvPicPr>
                                          <a:picLocks noChangeAspect="1"/>
                                        </pic:cNvPicPr>
                                      </pic:nvPicPr>
                                      <pic:blipFill>
                                        <a:blip r:embed="rId1"/>
                                        <a:stretch>
                                          <a:fillRect/>
                                        </a:stretch>
                                      </pic:blipFill>
                                      <pic:spPr>
                                        <a:xfrm>
                                          <a:off x="0" y="0"/>
                                          <a:ext cx="675515" cy="673368"/>
                                        </a:xfrm>
                                        <a:prstGeom prst="rect">
                                          <a:avLst/>
                                        </a:prstGeom>
                                      </pic:spPr>
                                    </pic:pic>
                                  </a:graphicData>
                                </a:graphic>
                              </wp:inline>
                            </w:drawing>
                          </w:r>
                        </w:p>
                        <w:p w14:paraId="3BE07FF1" w14:textId="77777777" w:rsidR="00B96B90" w:rsidRDefault="00B96B90" w:rsidP="005E7546">
                          <w:pPr>
                            <w:jc w:val="right"/>
                          </w:pP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2CFE326B" id="_x0000_t202" coordsize="21600,21600" o:spt="202" path="m,l,21600r21600,l21600,xe">
              <v:stroke joinstyle="miter"/>
              <v:path gradientshapeok="t" o:connecttype="rect"/>
            </v:shapetype>
            <v:shape id="Text Box 2" o:spid="_x0000_s1026" type="#_x0000_t202" style="position:absolute;margin-left:427.9pt;margin-top:-14.35pt;width:62.9pt;height:68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" stroked="f">
              <v:textbox inset="0,0,0,0">
                <w:txbxContent>
                  <w:p w14:paraId="13082E2F" w14:textId="77777777" w:rsidR="00B96B90" w:rsidRDefault="00B96B90" w:rsidP="005E7546">
                    <w:r w:rsidRPr="00EE56F7">
                      <w:rPr>
                        <w:noProof/>
                      </w:rPr>
                      <w:drawing>
                        <wp:inline distT="0" distB="0" distL="0" distR="0" wp14:anchorId="7E24492C" wp14:editId="511810E6">
                          <wp:extent cx="617247" cy="615285"/>
                          <wp:effectExtent l="0" t="0" r="0" b="0"/>
                          <wp:docPr id="4" name="Picture 3">
                            <a:extLst xmlns:a="http://schemas.openxmlformats.org/drawingml/2006/main">
                              <a:ext uri="{FF2B5EF4-FFF2-40B4-BE49-F238E27FC236}">
                                <a16:creationId xmlns:a16="http://schemas.microsoft.com/office/drawing/2014/main" id="{D0FCE600-B8F5-47AD-8154-292FD7F78D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0FCE600-B8F5-47AD-8154-292FD7F78D80}"/>
                                      </a:ext>
                                    </a:extLst>
                                  </pic:cNvPr>
                                  <pic:cNvPicPr>
                                    <a:picLocks noChangeAspect="1"/>
                                  </pic:cNvPicPr>
                                </pic:nvPicPr>
                                <pic:blipFill>
                                  <a:blip r:embed="rId2"/>
                                  <a:stretch>
                                    <a:fillRect/>
                                  </a:stretch>
                                </pic:blipFill>
                                <pic:spPr>
                                  <a:xfrm>
                                    <a:off x="0" y="0"/>
                                    <a:ext cx="675515" cy="673368"/>
                                  </a:xfrm>
                                  <a:prstGeom prst="rect">
                                    <a:avLst/>
                                  </a:prstGeom>
                                </pic:spPr>
                              </pic:pic>
                            </a:graphicData>
                          </a:graphic>
                        </wp:inline>
                      </w:drawing>
                    </w:r>
                  </w:p>
                  <w:p w14:paraId="3BE07FF1" w14:textId="77777777" w:rsidR="00B96B90" w:rsidRDefault="00B96B90" w:rsidP="005E7546">
                    <w:pPr>
                      <w:jc w:val="right"/>
                    </w:pPr>
                  </w:p>
                </w:txbxContent>
              </v:textbox>
              <w10:wrap type="square"/>
            </v:shape>
          </w:pict>
        </mc:Fallback>
      </mc:AlternateContent>
    </w:r>
    <w:r w:rsidRPr="00580408">
      <w:rPr>
        <w:noProof/>
        <w:lang w:val="fr-FR" w:eastAsia="fr-FR"/>
      </w:rPr>
      <w:drawing>
        <wp:inline distT="0" distB="0" distL="0" distR="0" wp14:anchorId="07DFF441" wp14:editId="35AA1337">
          <wp:extent cx="960120" cy="457200"/>
          <wp:effectExtent l="0" t="0" r="0" b="0"/>
          <wp:docPr id="15" name="Logo 1" descr="G:\Brand\New Visual Identity\Assets\WSP logos\wsp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Brand\New Visual Identity\Assets\WSP logos\wsp_RGB.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60120" cy="4572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34993120"/>
      <w:docPartObj>
        <w:docPartGallery w:val="Page Numbers (Bottom of Page)"/>
        <w:docPartUnique/>
      </w:docPartObj>
    </w:sdtPr>
    <w:sdtEndPr>
      <w:rPr>
        <w:noProof/>
      </w:rPr>
    </w:sdtEndPr>
    <w:sdtContent>
      <w:p w14:paraId="34B57D79" w14:textId="77777777" w:rsidR="00B96B90" w:rsidRPr="000F0232" w:rsidRDefault="00B96B90" w:rsidP="00EB4BDC">
        <w:pPr>
          <w:pStyle w:val="Footer"/>
          <w:tabs>
            <w:tab w:val="right" w:pos="9639"/>
          </w:tabs>
          <w:ind w:firstLine="3828"/>
          <w:rPr>
            <w:noProof/>
            <w:sz w:val="20"/>
          </w:rPr>
        </w:pPr>
        <w:r>
          <w:rPr>
            <w:lang w:val="en-US"/>
          </w:rPr>
          <w:t>©WSP New Zealand Limited 2021</w:t>
        </w:r>
        <w:r>
          <w:rPr>
            <w:lang w:val="en-US"/>
          </w:rPr>
          <w:tab/>
        </w:r>
        <w:r>
          <w:fldChar w:fldCharType="begin"/>
        </w:r>
        <w:r>
          <w:instrText xml:space="preserve"> PAGE   \* MERGEFORMAT </w:instrText>
        </w:r>
        <w:r>
          <w:fldChar w:fldCharType="separate"/>
        </w:r>
        <w:r>
          <w:t>1</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509B38" w14:textId="77777777" w:rsidR="00B96B90" w:rsidRPr="00F1723D" w:rsidRDefault="00B96B90" w:rsidP="00FC3D3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043D90" w14:textId="77777777" w:rsidR="00B96B90" w:rsidRPr="00F1723D" w:rsidRDefault="00B96B90" w:rsidP="00FC3D3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pPr w:leftFromText="181" w:rightFromText="181" w:horzAnchor="margin" w:tblpYSpec="bottom"/>
      <w:tblOverlap w:val="never"/>
      <w:tblW w:w="3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56"/>
    </w:tblGrid>
    <w:tr w:rsidR="00B96B90" w:rsidRPr="00C24B6B" w14:paraId="746E6FD1" w14:textId="77777777" w:rsidTr="00F44553">
      <w:trPr>
        <w:trHeight w:val="567"/>
      </w:trPr>
      <w:tc>
        <w:tcPr>
          <w:tcW w:w="3855" w:type="dxa"/>
        </w:tcPr>
        <w:p w14:paraId="77683963" w14:textId="77777777" w:rsidR="00B96B90" w:rsidRPr="00C24B6B" w:rsidRDefault="00B96B90" w:rsidP="00AC3397">
          <w:pPr>
            <w:rPr>
              <w:color w:val="FFFFFF" w:themeColor="background1"/>
            </w:rPr>
          </w:pPr>
          <w:r>
            <w:rPr>
              <w:color w:val="FFFFFF" w:themeColor="background1"/>
            </w:rPr>
            <w:t>wsp.com/</w:t>
          </w:r>
          <w:proofErr w:type="spellStart"/>
          <w:r>
            <w:rPr>
              <w:color w:val="FFFFFF" w:themeColor="background1"/>
            </w:rPr>
            <w:t>nz</w:t>
          </w:r>
          <w:proofErr w:type="spellEnd"/>
        </w:p>
      </w:tc>
    </w:tr>
  </w:tbl>
  <w:p w14:paraId="4BC491A5" w14:textId="77777777" w:rsidR="00B96B90" w:rsidRPr="00F1723D" w:rsidRDefault="00B96B90" w:rsidP="00FC3D32">
    <w:pPr>
      <w:pStyle w:val="Footer"/>
    </w:pPr>
    <w:r w:rsidRPr="001858C0">
      <w:rPr>
        <w:noProof/>
        <w:lang w:eastAsia="en-NZ"/>
      </w:rPr>
      <w:drawing>
        <wp:anchor distT="0" distB="0" distL="114300" distR="114300" simplePos="0" relativeHeight="251658243" behindDoc="0" locked="0" layoutInCell="1" allowOverlap="1" wp14:anchorId="4969CAA8" wp14:editId="7A9075E8">
          <wp:simplePos x="0" y="0"/>
          <wp:positionH relativeFrom="column">
            <wp:posOffset>44597</wp:posOffset>
          </wp:positionH>
          <wp:positionV relativeFrom="page">
            <wp:posOffset>9152255</wp:posOffset>
          </wp:positionV>
          <wp:extent cx="869950" cy="414020"/>
          <wp:effectExtent l="0" t="0" r="6350" b="5080"/>
          <wp:wrapTopAndBottom/>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oni Backup\3-Branding\WSP-Opus\2017 WSP OPUS Logo Family2 - White.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69950" cy="4140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B70D7D" w14:textId="77777777" w:rsidR="00005CFC" w:rsidRPr="001858C0" w:rsidRDefault="00005CFC" w:rsidP="00773830">
      <w:r w:rsidRPr="001858C0">
        <w:separator/>
      </w:r>
    </w:p>
  </w:footnote>
  <w:footnote w:type="continuationSeparator" w:id="0">
    <w:p w14:paraId="70E78F89" w14:textId="77777777" w:rsidR="00005CFC" w:rsidRPr="001858C0" w:rsidRDefault="00005CFC" w:rsidP="00773830">
      <w:r w:rsidRPr="001858C0">
        <w:continuationSeparator/>
      </w:r>
    </w:p>
  </w:footnote>
  <w:footnote w:type="continuationNotice" w:id="1">
    <w:p w14:paraId="37B3437C" w14:textId="77777777" w:rsidR="00005CFC" w:rsidRDefault="00005CFC"/>
  </w:footnote>
  <w:footnote w:id="2">
    <w:p w14:paraId="7D37D421" w14:textId="7CBAF83D" w:rsidR="00B96B90" w:rsidRDefault="00B96B90" w:rsidP="00FC07D7">
      <w:pPr>
        <w:pStyle w:val="FootnoteText"/>
      </w:pPr>
      <w:r>
        <w:rPr>
          <w:rStyle w:val="FootnoteReference"/>
        </w:rPr>
        <w:footnoteRef/>
      </w:r>
      <w:r>
        <w:t xml:space="preserve"> </w:t>
      </w:r>
      <w:hyperlink r:id="rId1" w:history="1">
        <w:r>
          <w:rPr>
            <w:rStyle w:val="Hyperlink"/>
          </w:rPr>
          <w:t>https://www.hpa.org.nz/tags/health-and-lifestyles-survey</w:t>
        </w:r>
      </w:hyperlink>
      <w:r>
        <w:t xml:space="preserve"> Accessed 18/6/2020</w:t>
      </w:r>
    </w:p>
  </w:footnote>
  <w:footnote w:id="3">
    <w:p w14:paraId="61D1F07F" w14:textId="77777777" w:rsidR="00B96B90" w:rsidRDefault="00B96B90" w:rsidP="00FC07D7">
      <w:pPr>
        <w:pStyle w:val="FootnoteText"/>
      </w:pPr>
    </w:p>
  </w:footnote>
  <w:footnote w:id="4">
    <w:p w14:paraId="4E041160" w14:textId="4A49A196" w:rsidR="00B96B90" w:rsidRDefault="00B96B90" w:rsidP="00FC07D7">
      <w:pPr>
        <w:pStyle w:val="FootnoteText"/>
      </w:pPr>
      <w:r>
        <w:rPr>
          <w:rStyle w:val="FootnoteReference"/>
        </w:rPr>
        <w:footnoteRef/>
      </w:r>
      <w:r>
        <w:t xml:space="preserve"> </w:t>
      </w:r>
      <w:hyperlink r:id="rId2" w:history="1">
        <w:r w:rsidRPr="00AB1F8E">
          <w:rPr>
            <w:rStyle w:val="Hyperlink"/>
          </w:rPr>
          <w:t>http://www.legislation.govt.nz/act/public/2003/0051/latest/DLM207497.html</w:t>
        </w:r>
      </w:hyperlink>
      <w:r>
        <w:t xml:space="preserve"> Accessed 18/6/2020</w:t>
      </w:r>
    </w:p>
  </w:footnote>
  <w:footnote w:id="5">
    <w:p w14:paraId="5E3A935C" w14:textId="1DFC69AD" w:rsidR="00B96B90" w:rsidRDefault="00B96B90" w:rsidP="00FC07D7">
      <w:pPr>
        <w:pStyle w:val="FootnoteText"/>
      </w:pPr>
      <w:r>
        <w:rPr>
          <w:rStyle w:val="FootnoteReference"/>
        </w:rPr>
        <w:footnoteRef/>
      </w:r>
      <w:r>
        <w:t xml:space="preserve"> </w:t>
      </w:r>
      <w:hyperlink r:id="rId3" w:history="1">
        <w:r>
          <w:rPr>
            <w:rStyle w:val="Hyperlink"/>
          </w:rPr>
          <w:t>http://www.camelotgroup.co.uk/what-we-do/promoting-responsible-play</w:t>
        </w:r>
      </w:hyperlink>
      <w:r>
        <w:t xml:space="preserve">  </w:t>
      </w:r>
      <w:r>
        <w:br/>
        <w:t>Accessed 18/2/2020</w:t>
      </w:r>
    </w:p>
  </w:footnote>
  <w:footnote w:id="6">
    <w:p w14:paraId="08340DA3" w14:textId="10C560A1" w:rsidR="00B96B90" w:rsidRDefault="00B96B90" w:rsidP="00FC07D7">
      <w:pPr>
        <w:pStyle w:val="FootnoteText"/>
      </w:pPr>
      <w:r>
        <w:rPr>
          <w:rStyle w:val="FootnoteReference"/>
        </w:rPr>
        <w:footnoteRef/>
      </w:r>
      <w:r>
        <w:t xml:space="preserve"> </w:t>
      </w:r>
      <w:hyperlink r:id="rId4" w:history="1">
        <w:r>
          <w:rPr>
            <w:rStyle w:val="Hyperlink"/>
          </w:rPr>
          <w:t>https://www.gamgard.com/</w:t>
        </w:r>
      </w:hyperlink>
      <w:r>
        <w:t xml:space="preserve"> Accessed 15/6/2020</w:t>
      </w:r>
    </w:p>
  </w:footnote>
  <w:footnote w:id="7">
    <w:p w14:paraId="7872D6B3" w14:textId="78A910A6" w:rsidR="00B96B90" w:rsidRDefault="00B96B90" w:rsidP="006E03C0">
      <w:pPr>
        <w:pStyle w:val="FootnoteText"/>
      </w:pPr>
      <w:r>
        <w:rPr>
          <w:rStyle w:val="FootnoteReference"/>
        </w:rPr>
        <w:footnoteRef/>
      </w:r>
      <w:r>
        <w:t xml:space="preserve"> </w:t>
      </w:r>
      <w:hyperlink r:id="rId5" w:history="1">
        <w:r w:rsidRPr="00B91E55">
          <w:rPr>
            <w:rStyle w:val="Hyperlink"/>
          </w:rPr>
          <w:t>www.gamres.org</w:t>
        </w:r>
      </w:hyperlink>
      <w:r>
        <w:rPr>
          <w:rStyle w:val="Hyperlink"/>
        </w:rPr>
        <w:t xml:space="preserve"> </w:t>
      </w:r>
      <w:r w:rsidRPr="00A4127F">
        <w:t>Accessed 5/10/2021</w:t>
      </w:r>
    </w:p>
  </w:footnote>
  <w:footnote w:id="8">
    <w:p w14:paraId="68A397AC" w14:textId="003E1FB9" w:rsidR="00B96B90" w:rsidRDefault="00B96B90" w:rsidP="006E03C0">
      <w:pPr>
        <w:pStyle w:val="FootnoteText"/>
      </w:pPr>
      <w:r>
        <w:rPr>
          <w:rStyle w:val="FootnoteReference"/>
        </w:rPr>
        <w:footnoteRef/>
      </w:r>
      <w:r>
        <w:t xml:space="preserve"> </w:t>
      </w:r>
      <w:hyperlink r:id="rId6" w:history="1">
        <w:r>
          <w:rPr>
            <w:rStyle w:val="Hyperlink"/>
          </w:rPr>
          <w:t>https://www.ntu.ac.uk/staff-profiles/social-sciences/mark-griffiths</w:t>
        </w:r>
      </w:hyperlink>
      <w:r>
        <w:rPr>
          <w:rStyle w:val="Hyperlink"/>
        </w:rPr>
        <w:t xml:space="preserve"> </w:t>
      </w:r>
      <w:r w:rsidRPr="00602432">
        <w:t>Accessed</w:t>
      </w:r>
      <w:r>
        <w:rPr>
          <w:rStyle w:val="Hyperlink"/>
        </w:rPr>
        <w:t xml:space="preserve"> </w:t>
      </w:r>
      <w:r w:rsidRPr="00602432">
        <w:t>5/10/2021</w:t>
      </w:r>
    </w:p>
  </w:footnote>
  <w:footnote w:id="9">
    <w:p w14:paraId="67DBDD0A" w14:textId="079880D4" w:rsidR="00B96B90" w:rsidRDefault="00B96B90">
      <w:pPr>
        <w:pStyle w:val="FootnoteText"/>
      </w:pPr>
      <w:r>
        <w:rPr>
          <w:rStyle w:val="FootnoteReference"/>
        </w:rPr>
        <w:footnoteRef/>
      </w:r>
      <w:r>
        <w:t xml:space="preserve"> </w:t>
      </w:r>
      <w:hyperlink r:id="rId7" w:history="1">
        <w:r w:rsidRPr="00BE5BF5">
          <w:rPr>
            <w:rStyle w:val="Hyperlink"/>
            <w:rFonts w:eastAsia="Arial"/>
          </w:rPr>
          <w:t>https://www.sophro.uk.com/</w:t>
        </w:r>
      </w:hyperlink>
      <w:r>
        <w:rPr>
          <w:rStyle w:val="Hyperlink"/>
          <w:rFonts w:eastAsia="Arial"/>
        </w:rPr>
        <w:t xml:space="preserve"> Accessed 5/10/2021</w:t>
      </w:r>
    </w:p>
  </w:footnote>
  <w:footnote w:id="10">
    <w:p w14:paraId="3084BA04" w14:textId="5E5DF555" w:rsidR="00B96B90" w:rsidRDefault="00B96B90" w:rsidP="006E03C0">
      <w:pPr>
        <w:pStyle w:val="FootnoteText"/>
      </w:pPr>
      <w:r>
        <w:rPr>
          <w:rStyle w:val="FootnoteReference"/>
        </w:rPr>
        <w:footnoteRef/>
      </w:r>
      <w:r>
        <w:t xml:space="preserve"> </w:t>
      </w:r>
      <w:hyperlink r:id="rId8" w:history="1">
        <w:r w:rsidRPr="00B91E55">
          <w:rPr>
            <w:rStyle w:val="Hyperlink"/>
          </w:rPr>
          <w:t>www.gamgard.com</w:t>
        </w:r>
      </w:hyperlink>
      <w:r>
        <w:t xml:space="preserve">   Accessed 8/7/2020 </w:t>
      </w:r>
    </w:p>
  </w:footnote>
  <w:footnote w:id="11">
    <w:p w14:paraId="6EE102D1" w14:textId="77777777" w:rsidR="00B96B90" w:rsidRDefault="00B96B90" w:rsidP="006E03C0">
      <w:pPr>
        <w:pStyle w:val="FootnoteText"/>
      </w:pPr>
      <w:r>
        <w:rPr>
          <w:rStyle w:val="FootnoteReference"/>
        </w:rPr>
        <w:footnoteRef/>
      </w:r>
      <w:r>
        <w:t xml:space="preserve"> </w:t>
      </w:r>
      <w:hyperlink r:id="rId9" w:history="1">
        <w:r>
          <w:rPr>
            <w:rStyle w:val="Hyperlink"/>
            <w:rFonts w:eastAsia="Arial"/>
          </w:rPr>
          <w:t>https://www.health.govt.nz/system/files/documents/publications/strategy-prevent-minimise-gambling-harm-2019-20-to-2021-22-dec18.pdf</w:t>
        </w:r>
      </w:hyperlink>
    </w:p>
    <w:p w14:paraId="4936042F" w14:textId="77777777" w:rsidR="00B96B90" w:rsidRDefault="00B96B90" w:rsidP="006E03C0">
      <w:pPr>
        <w:pStyle w:val="FootnoteText"/>
      </w:pPr>
    </w:p>
  </w:footnote>
  <w:footnote w:id="12">
    <w:p w14:paraId="7E487AA0" w14:textId="77777777" w:rsidR="00B96B90" w:rsidRDefault="00B96B90" w:rsidP="009B7D64">
      <w:pPr>
        <w:pStyle w:val="FootnoteText"/>
      </w:pPr>
      <w:r>
        <w:rPr>
          <w:rStyle w:val="FootnoteReference"/>
        </w:rPr>
        <w:footnoteRef/>
      </w:r>
      <w:r>
        <w:t xml:space="preserve"> It is not clear what is meant by “average” in this context as the average level of risk would depend on historical acceptance criteria.</w:t>
      </w:r>
    </w:p>
  </w:footnote>
  <w:footnote w:id="13">
    <w:p w14:paraId="04DB6332" w14:textId="072E48F5" w:rsidR="00B96B90" w:rsidRDefault="00B96B90" w:rsidP="00471209">
      <w:pPr>
        <w:pStyle w:val="FootnoteText"/>
        <w:rPr>
          <w:lang w:val="en-US"/>
        </w:rPr>
      </w:pPr>
      <w:r w:rsidRPr="0003504E">
        <w:rPr>
          <w:rStyle w:val="FootnoteReference"/>
        </w:rPr>
        <w:footnoteRef/>
      </w:r>
      <w:r w:rsidRPr="0003504E">
        <w:t xml:space="preserve"> </w:t>
      </w:r>
      <w:hyperlink r:id="rId10" w:history="1">
        <w:r w:rsidRPr="00BE5BF5">
          <w:rPr>
            <w:rFonts w:eastAsia="Arial" w:cs="Arial"/>
            <w:lang w:val="en-US" w:bidi="en-US"/>
          </w:rPr>
          <w:t>http://www.camelotgroup.co.uk/</w:t>
        </w:r>
      </w:hyperlink>
      <w:r>
        <w:rPr>
          <w:rFonts w:eastAsia="Arial" w:cs="Arial"/>
          <w:lang w:val="en-US" w:bidi="en-US"/>
        </w:rPr>
        <w:t xml:space="preserve">  Accessed 5/10/2021</w:t>
      </w:r>
    </w:p>
  </w:footnote>
  <w:footnote w:id="14">
    <w:p w14:paraId="6F9C0467" w14:textId="77777777" w:rsidR="00B96B90" w:rsidRDefault="00B96B90" w:rsidP="00200256">
      <w:pPr>
        <w:pStyle w:val="FootnoteText"/>
      </w:pPr>
      <w:r>
        <w:rPr>
          <w:rStyle w:val="FootnoteReference"/>
        </w:rPr>
        <w:footnoteRef/>
      </w:r>
      <w:r>
        <w:t xml:space="preserve"> </w:t>
      </w:r>
      <w:hyperlink r:id="rId11" w:history="1">
        <w:r>
          <w:rPr>
            <w:rStyle w:val="Hyperlink"/>
          </w:rPr>
          <w:t>https://www.gamgard.com/faq/</w:t>
        </w:r>
      </w:hyperlink>
    </w:p>
  </w:footnote>
  <w:footnote w:id="15">
    <w:p w14:paraId="4F61CD84" w14:textId="77777777" w:rsidR="00B96B90" w:rsidRDefault="00B96B90" w:rsidP="00200256">
      <w:pPr>
        <w:pStyle w:val="FootnoteText"/>
      </w:pPr>
      <w:r>
        <w:rPr>
          <w:rStyle w:val="FootnoteReference"/>
        </w:rPr>
        <w:footnoteRef/>
      </w:r>
      <w:r>
        <w:t xml:space="preserve"> </w:t>
      </w:r>
      <w:hyperlink r:id="rId12" w:history="1">
        <w:r>
          <w:rPr>
            <w:rStyle w:val="Hyperlink"/>
          </w:rPr>
          <w:t>https://gamres.org/gamgard-version-3-0-launched-2/</w:t>
        </w:r>
      </w:hyperlink>
      <w:r>
        <w:t xml:space="preserve"> Viewed 8/7/2020 4.20pm.</w:t>
      </w:r>
    </w:p>
  </w:footnote>
  <w:footnote w:id="16">
    <w:p w14:paraId="0A70F80F" w14:textId="77777777" w:rsidR="00B96B90" w:rsidRDefault="00B96B90" w:rsidP="00200256">
      <w:pPr>
        <w:pStyle w:val="FootnoteText"/>
      </w:pPr>
      <w:r>
        <w:rPr>
          <w:rStyle w:val="FootnoteReference"/>
        </w:rPr>
        <w:footnoteRef/>
      </w:r>
      <w:r>
        <w:t xml:space="preserve"> Gamgard.com Viewed 8/7/2020 4.25 pm</w:t>
      </w:r>
    </w:p>
  </w:footnote>
  <w:footnote w:id="17">
    <w:p w14:paraId="2C84FBED" w14:textId="77777777" w:rsidR="00B96B90" w:rsidRDefault="00B96B90" w:rsidP="00200256">
      <w:pPr>
        <w:pStyle w:val="FootnoteText"/>
      </w:pPr>
      <w:r>
        <w:rPr>
          <w:rStyle w:val="FootnoteReference"/>
        </w:rPr>
        <w:footnoteRef/>
      </w:r>
      <w:r>
        <w:t xml:space="preserve"> </w:t>
      </w:r>
      <w:hyperlink r:id="rId13" w:history="1">
        <w:r>
          <w:rPr>
            <w:rStyle w:val="Hyperlink"/>
          </w:rPr>
          <w:t>https://www.gamgard.com/about/</w:t>
        </w:r>
      </w:hyperlink>
      <w:r>
        <w:t xml:space="preserve"> Viewed 8/7/2020 </w:t>
      </w:r>
    </w:p>
  </w:footnote>
  <w:footnote w:id="18">
    <w:p w14:paraId="70EDE178" w14:textId="77777777" w:rsidR="00B96B90" w:rsidRDefault="00B96B90" w:rsidP="00575802">
      <w:pPr>
        <w:pStyle w:val="FootnoteText"/>
      </w:pPr>
      <w:r>
        <w:rPr>
          <w:rStyle w:val="FootnoteReference"/>
        </w:rPr>
        <w:footnoteRef/>
      </w:r>
      <w:r>
        <w:t xml:space="preserve"> </w:t>
      </w:r>
      <w:hyperlink r:id="rId14" w:history="1">
        <w:r>
          <w:rPr>
            <w:sz w:val="23"/>
            <w:szCs w:val="23"/>
          </w:rPr>
          <w:t>https://www.veikkaus.fi/fi/yritys?lang=en</w:t>
        </w:r>
      </w:hyperlink>
    </w:p>
  </w:footnote>
  <w:footnote w:id="19">
    <w:p w14:paraId="70EFAD41" w14:textId="77777777" w:rsidR="00B96B90" w:rsidRDefault="00B96B90" w:rsidP="00575802">
      <w:pPr>
        <w:pStyle w:val="FootnoteText"/>
      </w:pPr>
      <w:r>
        <w:rPr>
          <w:rStyle w:val="FootnoteReference"/>
        </w:rPr>
        <w:footnoteRef/>
      </w:r>
      <w:r>
        <w:t xml:space="preserve"> </w:t>
      </w:r>
      <w:hyperlink r:id="rId15" w:history="1">
        <w:r>
          <w:rPr>
            <w:rStyle w:val="Hyperlink"/>
          </w:rPr>
          <w:t>http://www.arjel.fr/IMG/pdf/synthese20161122en.pdf</w:t>
        </w:r>
      </w:hyperlink>
      <w:r>
        <w:t xml:space="preserve"> Viewed 12/6/2020</w:t>
      </w:r>
    </w:p>
  </w:footnote>
  <w:footnote w:id="20">
    <w:p w14:paraId="35D69B50" w14:textId="77777777" w:rsidR="00B96B90" w:rsidRDefault="00B96B90" w:rsidP="00575802">
      <w:pPr>
        <w:pStyle w:val="FootnoteText"/>
      </w:pPr>
      <w:r>
        <w:rPr>
          <w:rStyle w:val="FootnoteReference"/>
        </w:rPr>
        <w:footnoteRef/>
      </w:r>
      <w:r>
        <w:t xml:space="preserve"> </w:t>
      </w:r>
      <w:hyperlink r:id="rId16" w:history="1">
        <w:r>
          <w:rPr>
            <w:rStyle w:val="Hyperlink"/>
          </w:rPr>
          <w:t>https://www.groupefdj.com/en/group/our-csr-activities-responsible-gaming.html</w:t>
        </w:r>
      </w:hyperlink>
      <w:r>
        <w:t xml:space="preserve"> Viewed 12/6/2020</w:t>
      </w:r>
    </w:p>
  </w:footnote>
  <w:footnote w:id="21">
    <w:p w14:paraId="518306C6" w14:textId="77777777" w:rsidR="00B96B90" w:rsidRDefault="00B96B90" w:rsidP="00575802">
      <w:pPr>
        <w:pStyle w:val="FootnoteText"/>
      </w:pPr>
      <w:r>
        <w:rPr>
          <w:rStyle w:val="FootnoteReference"/>
        </w:rPr>
        <w:footnoteRef/>
      </w:r>
      <w:r>
        <w:t xml:space="preserve"> Added to </w:t>
      </w:r>
      <w:r>
        <w:t>Asterig in 2012.</w:t>
      </w:r>
    </w:p>
  </w:footnote>
  <w:footnote w:id="22">
    <w:p w14:paraId="395D5928" w14:textId="77777777" w:rsidR="00B96B90" w:rsidRDefault="00B96B90" w:rsidP="00575802">
      <w:pPr>
        <w:pStyle w:val="FootnoteText"/>
      </w:pPr>
      <w:r>
        <w:rPr>
          <w:rStyle w:val="FootnoteReference"/>
        </w:rPr>
        <w:footnoteRef/>
      </w:r>
      <w:r>
        <w:t xml:space="preserve"> </w:t>
      </w:r>
      <w:hyperlink r:id="rId17" w:history="1">
        <w:r>
          <w:rPr>
            <w:rStyle w:val="Hyperlink"/>
          </w:rPr>
          <w:t>https://www.agco.ca/lottery-and-gaming/electronic-gaming-equipment-and-systems</w:t>
        </w:r>
      </w:hyperlink>
    </w:p>
  </w:footnote>
  <w:footnote w:id="23">
    <w:p w14:paraId="4D3219AA" w14:textId="77777777" w:rsidR="00B96B90" w:rsidRDefault="00B96B90" w:rsidP="00575802">
      <w:r>
        <w:rPr>
          <w:rStyle w:val="FootnoteReference"/>
        </w:rPr>
        <w:footnoteRef/>
      </w:r>
    </w:p>
    <w:p w14:paraId="160F8034" w14:textId="77777777" w:rsidR="00B96B90" w:rsidRDefault="00005CFC" w:rsidP="00575802">
      <w:pPr>
        <w:pStyle w:val="CommentText"/>
      </w:pPr>
      <w:hyperlink r:id="rId18" w:history="1">
        <w:r w:rsidR="00B96B90">
          <w:rPr>
            <w:rStyle w:val="Hyperlink"/>
          </w:rPr>
          <w:t>https://gaminglabs.com/services/testing/</w:t>
        </w:r>
      </w:hyperlink>
    </w:p>
    <w:p w14:paraId="6BB5FE84" w14:textId="77777777" w:rsidR="00B96B90" w:rsidRDefault="00B96B90" w:rsidP="00575802">
      <w:pPr>
        <w:pStyle w:val="FootnoteText"/>
      </w:pPr>
    </w:p>
  </w:footnote>
  <w:footnote w:id="24">
    <w:p w14:paraId="7412DFDC" w14:textId="04D3FF70" w:rsidR="00B96B90" w:rsidRDefault="00B96B90">
      <w:pPr>
        <w:pStyle w:val="FootnoteText"/>
      </w:pPr>
      <w:r>
        <w:rPr>
          <w:rStyle w:val="FootnoteReference"/>
        </w:rPr>
        <w:footnoteRef/>
      </w:r>
      <w:r>
        <w:t xml:space="preserve"> </w:t>
      </w:r>
      <w:r w:rsidRPr="00EC1591">
        <w:t>https://mylotto.co.nz/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71B422" w14:textId="0D7E86A9" w:rsidR="00B96B90" w:rsidRPr="00FA6D62" w:rsidRDefault="00B96B90" w:rsidP="00FA6D62">
    <w:pPr>
      <w:pStyle w:val="Header"/>
      <w:tabs>
        <w:tab w:val="clear" w:pos="4513"/>
      </w:tabs>
      <w:jc w:val="left"/>
      <w:rPr>
        <w:rFonts w:ascii="Montserrat" w:hAnsi="Montserrat"/>
      </w:rPr>
    </w:pPr>
    <w:r>
      <w:rPr>
        <w:noProof/>
      </w:rPr>
      <w:drawing>
        <wp:inline distT="0" distB="0" distL="0" distR="0" wp14:anchorId="4A00C2BB" wp14:editId="1A3B68C3">
          <wp:extent cx="802105" cy="381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802105" cy="381000"/>
                  </a:xfrm>
                  <a:prstGeom prst="rect">
                    <a:avLst/>
                  </a:prstGeom>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9FD166" w14:textId="77777777" w:rsidR="00B96B90" w:rsidRPr="001858C0" w:rsidRDefault="00B96B90">
    <w:pPr>
      <w:pStyle w:val="Header"/>
    </w:pPr>
    <w:r w:rsidRPr="001858C0">
      <w:rPr>
        <w:noProof/>
        <w:lang w:eastAsia="en-NZ"/>
      </w:rPr>
      <w:drawing>
        <wp:anchor distT="0" distB="0" distL="114300" distR="114300" simplePos="0" relativeHeight="251651072" behindDoc="1" locked="0" layoutInCell="0" allowOverlap="1" wp14:anchorId="7EDC93ED" wp14:editId="6F23D56B">
          <wp:simplePos x="0" y="0"/>
          <wp:positionH relativeFrom="margin">
            <wp:align>center</wp:align>
          </wp:positionH>
          <wp:positionV relativeFrom="margin">
            <wp:align>center</wp:align>
          </wp:positionV>
          <wp:extent cx="6117590" cy="6117590"/>
          <wp:effectExtent l="0" t="0" r="0" b="0"/>
          <wp:wrapNone/>
          <wp:docPr id="11" name="Picture 11" descr="WSP-Red_DLTrans-25p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SP-Red_DLTrans-25pt_CMYK"/>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117590" cy="611759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942F67" w14:textId="77777777" w:rsidR="00B96B90" w:rsidRPr="001858C0" w:rsidRDefault="00B96B90" w:rsidP="00FC3D32">
    <w:pPr>
      <w:pStyle w:val="Header"/>
    </w:pPr>
    <w:r w:rsidRPr="001858C0">
      <w:rPr>
        <w:noProof/>
        <w:lang w:eastAsia="en-NZ"/>
      </w:rPr>
      <mc:AlternateContent>
        <mc:Choice Requires="wps">
          <w:drawing>
            <wp:anchor distT="0" distB="0" distL="114300" distR="114300" simplePos="0" relativeHeight="251658242" behindDoc="1" locked="0" layoutInCell="1" allowOverlap="1" wp14:anchorId="4CBF607B" wp14:editId="64E53D33">
              <wp:simplePos x="0" y="0"/>
              <wp:positionH relativeFrom="page">
                <wp:posOffset>0</wp:posOffset>
              </wp:positionH>
              <wp:positionV relativeFrom="page">
                <wp:posOffset>0</wp:posOffset>
              </wp:positionV>
              <wp:extent cx="7664400" cy="10857600"/>
              <wp:effectExtent l="0" t="0" r="0" b="1270"/>
              <wp:wrapNone/>
              <wp:docPr id="19" name="Rectangle 19"/>
              <wp:cNvGraphicFramePr/>
              <a:graphic xmlns:a="http://schemas.openxmlformats.org/drawingml/2006/main">
                <a:graphicData uri="http://schemas.microsoft.com/office/word/2010/wordprocessingShape">
                  <wps:wsp>
                    <wps:cNvSpPr/>
                    <wps:spPr>
                      <a:xfrm>
                        <a:off x="0" y="0"/>
                        <a:ext cx="7664400" cy="10857600"/>
                      </a:xfrm>
                      <a:prstGeom prst="rect">
                        <a:avLst/>
                      </a:prstGeom>
                      <a:solidFill>
                        <a:srgbClr val="FF443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F3D08E" id="Rectangle 19" o:spid="_x0000_s1026" style="position:absolute;margin-left:0;margin-top:0;width:603.5pt;height:854.9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" fillcolor="#ff4438" stroked="f" strokeweight="1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E957B3" w14:textId="77777777" w:rsidR="00B96B90" w:rsidRPr="001858C0" w:rsidRDefault="00B96B90">
    <w:pPr>
      <w:pStyle w:val="Header"/>
    </w:pPr>
    <w:r w:rsidRPr="001858C0">
      <w:rPr>
        <w:noProof/>
        <w:lang w:eastAsia="en-NZ"/>
      </w:rPr>
      <w:drawing>
        <wp:anchor distT="0" distB="0" distL="114300" distR="114300" simplePos="0" relativeHeight="251654144" behindDoc="1" locked="0" layoutInCell="0" allowOverlap="1" wp14:anchorId="58B00842" wp14:editId="7439BFAA">
          <wp:simplePos x="0" y="0"/>
          <wp:positionH relativeFrom="margin">
            <wp:posOffset>2326005</wp:posOffset>
          </wp:positionH>
          <wp:positionV relativeFrom="margin">
            <wp:align>center</wp:align>
          </wp:positionV>
          <wp:extent cx="6116400" cy="6116400"/>
          <wp:effectExtent l="0" t="0" r="0" b="0"/>
          <wp:wrapNone/>
          <wp:docPr id="16" name="Picture 16" descr="WSP-Red_DLTrans-25p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SP-Red_DLTrans-25pt_CMYK"/>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116400" cy="6116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95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bottom w:w="113" w:type="dxa"/>
        <w:right w:w="0" w:type="dxa"/>
      </w:tblCellMar>
      <w:tblLook w:val="04A0" w:firstRow="1" w:lastRow="0" w:firstColumn="1" w:lastColumn="0" w:noHBand="0" w:noVBand="1"/>
    </w:tblPr>
    <w:tblGrid>
      <w:gridCol w:w="4785"/>
      <w:gridCol w:w="4718"/>
    </w:tblGrid>
    <w:tr w:rsidR="00B96B90" w:rsidRPr="00EA16D9" w14:paraId="22CB4C94" w14:textId="77777777" w:rsidTr="00FA6D62">
      <w:trPr>
        <w:trHeight w:val="624"/>
      </w:trPr>
      <w:tc>
        <w:tcPr>
          <w:tcW w:w="4785" w:type="dxa"/>
          <w:noWrap/>
          <w:tcMar>
            <w:bottom w:w="0" w:type="dxa"/>
          </w:tcMar>
        </w:tcPr>
        <w:p w14:paraId="13697DF2" w14:textId="77777777" w:rsidR="00B96B90" w:rsidRPr="00EA16D9" w:rsidRDefault="00B96B90" w:rsidP="00FA6D62">
          <w:pPr>
            <w:pStyle w:val="Header"/>
            <w:jc w:val="left"/>
          </w:pPr>
          <w:bookmarkStart w:id="5" w:name="_Hlk18051074"/>
          <w:bookmarkStart w:id="6" w:name="_Hlk18051075"/>
          <w:r>
            <w:rPr>
              <w:noProof/>
            </w:rPr>
            <w:drawing>
              <wp:inline distT="0" distB="0" distL="0" distR="0" wp14:anchorId="667AC7FA" wp14:editId="12472D1B">
                <wp:extent cx="802105" cy="381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802105" cy="381000"/>
                        </a:xfrm>
                        <a:prstGeom prst="rect">
                          <a:avLst/>
                        </a:prstGeom>
                      </pic:spPr>
                    </pic:pic>
                  </a:graphicData>
                </a:graphic>
              </wp:inline>
            </w:drawing>
          </w:r>
        </w:p>
      </w:tc>
      <w:tc>
        <w:tcPr>
          <w:tcW w:w="4718" w:type="dxa"/>
          <w:noWrap/>
          <w:tcMar>
            <w:right w:w="0" w:type="dxa"/>
          </w:tcMar>
        </w:tcPr>
        <w:p w14:paraId="51116137" w14:textId="77777777" w:rsidR="00B96B90" w:rsidRPr="00EA16D9" w:rsidRDefault="00B96B90" w:rsidP="00FA6D62">
          <w:pPr>
            <w:pStyle w:val="Header"/>
          </w:pPr>
        </w:p>
      </w:tc>
    </w:tr>
    <w:bookmarkEnd w:id="5"/>
    <w:bookmarkEnd w:id="6"/>
  </w:tbl>
  <w:p w14:paraId="6C459C2F" w14:textId="77777777" w:rsidR="00B96B90" w:rsidRPr="001858C0" w:rsidRDefault="00B96B90" w:rsidP="00FA6D62">
    <w:pPr>
      <w:pStyle w:val="Header"/>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F55D9A" w14:textId="77777777" w:rsidR="00B96B90" w:rsidRPr="008659B3" w:rsidRDefault="00B96B90" w:rsidP="003B13F4">
    <w:pPr>
      <w:pStyle w:val="BodyText"/>
      <w:spacing w:after="0"/>
      <w:rPr>
        <w:rStyle w:val="TitleChar"/>
        <w:color w:val="A6A6A6" w:themeColor="background1" w:themeShade="A6"/>
        <w:spacing w:val="0"/>
        <w:sz w:val="16"/>
        <w:szCs w:val="16"/>
      </w:rPr>
    </w:pPr>
    <w:r>
      <w:rPr>
        <w:rStyle w:val="TitleChar"/>
        <w:color w:val="A6A6A6" w:themeColor="background1" w:themeShade="A6"/>
        <w:spacing w:val="0"/>
        <w:sz w:val="16"/>
        <w:szCs w:val="16"/>
      </w:rPr>
      <w:t>Project</w:t>
    </w:r>
    <w:r w:rsidRPr="008659B3">
      <w:rPr>
        <w:rStyle w:val="TitleChar"/>
        <w:color w:val="A6A6A6" w:themeColor="background1" w:themeShade="A6"/>
        <w:spacing w:val="0"/>
        <w:sz w:val="16"/>
        <w:szCs w:val="16"/>
      </w:rPr>
      <w:t xml:space="preserve"> Number: </w:t>
    </w:r>
    <w:sdt>
      <w:sdtPr>
        <w:rPr>
          <w:rStyle w:val="Style4"/>
        </w:rPr>
        <w:alias w:val="Form.ReportNo"/>
        <w:tag w:val="{&quot;templafy&quot;:{&quot;id&quot;:&quot;553b72a9-b8c6-4290-afeb-58c2c591d7b6&quot;}}"/>
        <w:id w:val="-853034093"/>
        <w:placeholder>
          <w:docPart w:val="DefaultPlaceholder_-1854013440"/>
        </w:placeholder>
        <w:temporary/>
        <w15:color w:val="999999"/>
      </w:sdtPr>
      <w:sdtEndPr>
        <w:rPr>
          <w:rStyle w:val="TitleChar"/>
          <w:rFonts w:eastAsiaTheme="majorEastAsia" w:cstheme="majorBidi"/>
          <w:color w:val="1D252C"/>
          <w:spacing w:val="-10"/>
          <w:kern w:val="28"/>
          <w:sz w:val="20"/>
          <w:szCs w:val="16"/>
        </w:rPr>
      </w:sdtEndPr>
      <w:sdtContent>
        <w:r>
          <w:rPr>
            <w:rStyle w:val="Style4"/>
          </w:rPr>
          <w:t>5-28185.00</w:t>
        </w:r>
      </w:sdtContent>
    </w:sdt>
  </w:p>
  <w:p w14:paraId="5014AFF7" w14:textId="77777777" w:rsidR="00B96B90" w:rsidRPr="008659B3" w:rsidRDefault="00005CFC" w:rsidP="003B13F4">
    <w:pPr>
      <w:pStyle w:val="BodyText"/>
      <w:spacing w:after="0"/>
      <w:rPr>
        <w:sz w:val="16"/>
        <w:szCs w:val="16"/>
      </w:rPr>
    </w:pPr>
    <w:sdt>
      <w:sdtPr>
        <w:rPr>
          <w:rStyle w:val="TitleChar"/>
          <w:color w:val="A6A6A6" w:themeColor="background1" w:themeShade="A6"/>
          <w:spacing w:val="0"/>
          <w:sz w:val="16"/>
          <w:szCs w:val="16"/>
        </w:rPr>
        <w:alias w:val="Form.ProjectTitle"/>
        <w:tag w:val="{&quot;templafy&quot;:{&quot;id&quot;:&quot;61891cf2-6c2a-4d4a-9dba-a4f7bfa3daaf&quot;}}"/>
        <w:id w:val="284466385"/>
        <w:placeholder>
          <w:docPart w:val="F08F705FA94341D3A8FACE81EBE1A59D"/>
        </w:placeholder>
      </w:sdtPr>
      <w:sdtEndPr>
        <w:rPr>
          <w:rStyle w:val="TitleChar"/>
        </w:rPr>
      </w:sdtEndPr>
      <w:sdtContent>
        <w:r w:rsidR="00B96B90">
          <w:rPr>
            <w:rStyle w:val="WSPCoverPage-MainTitleChar"/>
            <w:color w:val="A6A6A6" w:themeColor="background1" w:themeShade="A6"/>
            <w:sz w:val="16"/>
            <w:szCs w:val="16"/>
          </w:rPr>
          <w:t>Gamgard Evaluation Phase 2 Deliverable</w:t>
        </w:r>
      </w:sdtContent>
    </w:sdt>
  </w:p>
  <w:sdt>
    <w:sdtPr>
      <w:rPr>
        <w:rStyle w:val="SubtitleChar"/>
        <w:color w:val="A6A6A6" w:themeColor="background1" w:themeShade="A6"/>
        <w:spacing w:val="0"/>
        <w:sz w:val="16"/>
        <w:szCs w:val="16"/>
      </w:rPr>
      <w:alias w:val="Form.SubTitle"/>
      <w:tag w:val="{&quot;templafy&quot;:{&quot;id&quot;:&quot;13f814d7-0187-41ac-94cc-626dc26c98ac&quot;}}"/>
      <w:id w:val="1882132901"/>
      <w:placeholder>
        <w:docPart w:val="F08F705FA94341D3A8FACE81EBE1A59D"/>
      </w:placeholder>
    </w:sdtPr>
    <w:sdtEndPr>
      <w:rPr>
        <w:rStyle w:val="SubtitleChar"/>
      </w:rPr>
    </w:sdtEndPr>
    <w:sdtContent>
      <w:p w14:paraId="44AF7A76" w14:textId="77777777" w:rsidR="00B96B90" w:rsidRDefault="00B96B90">
        <w:pPr>
          <w:pStyle w:val="BodyText"/>
          <w:spacing w:after="0"/>
          <w:rPr>
            <w:b/>
            <w:sz w:val="16"/>
            <w:szCs w:val="16"/>
          </w:rPr>
        </w:pPr>
        <w:r>
          <w:rPr>
            <w:rStyle w:val="SubtitleChar"/>
            <w:color w:val="A6A6A6" w:themeColor="background1" w:themeShade="A6"/>
            <w:spacing w:val="0"/>
            <w:sz w:val="16"/>
            <w:szCs w:val="16"/>
          </w:rPr>
          <w:t>A targeted literature review of existing knowledge related to Gamgard, a gambling game risk assessment tool</w:t>
        </w:r>
      </w:p>
    </w:sdtContent>
  </w:sdt>
  <w:p w14:paraId="1AF9D1A4" w14:textId="77777777" w:rsidR="00B96B90" w:rsidRPr="001858C0" w:rsidRDefault="00B96B90" w:rsidP="00FA6D62">
    <w:pPr>
      <w:pStyle w:val="Header"/>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81BBC4" w14:textId="77777777" w:rsidR="00B96B90" w:rsidRDefault="00B96B9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F80E0A" w14:textId="77777777" w:rsidR="00B96B90" w:rsidRPr="00B61CB2" w:rsidRDefault="00B96B90" w:rsidP="006451B6">
    <w:pPr>
      <w:pStyle w:val="Header"/>
    </w:pPr>
    <w:r w:rsidRPr="00B61CB2">
      <w:rPr>
        <w:noProof/>
        <w:lang w:val="fr-FR" w:eastAsia="fr-FR"/>
      </w:rPr>
      <w:drawing>
        <wp:anchor distT="0" distB="0" distL="114300" distR="114300" simplePos="0" relativeHeight="251666432" behindDoc="0" locked="0" layoutInCell="1" allowOverlap="1" wp14:anchorId="0546F09A" wp14:editId="0D88E7D7">
          <wp:simplePos x="0" y="0"/>
          <wp:positionH relativeFrom="margin">
            <wp:posOffset>4633468</wp:posOffset>
          </wp:positionH>
          <wp:positionV relativeFrom="page">
            <wp:posOffset>530352</wp:posOffset>
          </wp:positionV>
          <wp:extent cx="1728216" cy="3849624"/>
          <wp:effectExtent l="0" t="0" r="5715" b="0"/>
          <wp:wrapNone/>
          <wp:docPr id="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8216" cy="3849624"/>
                  </a:xfrm>
                  <a:prstGeom prst="rect">
                    <a:avLst/>
                  </a:prstGeom>
                  <a:noFill/>
                </pic:spPr>
              </pic:pic>
            </a:graphicData>
          </a:graphic>
          <wp14:sizeRelH relativeFrom="margin">
            <wp14:pctWidth>0</wp14:pctWidth>
          </wp14:sizeRelH>
          <wp14:sizeRelV relativeFrom="margin">
            <wp14:pctHeight>0</wp14:pctHeight>
          </wp14:sizeRelV>
        </wp:anchor>
      </w:drawing>
    </w:r>
    <w:r w:rsidRPr="00B61CB2">
      <w:rPr>
        <w:b/>
        <w:caps/>
        <w:noProof/>
        <w:color w:val="000000" w:themeColor="text1"/>
        <w:sz w:val="52"/>
        <w:szCs w:val="52"/>
        <w:lang w:val="fr-FR" w:eastAsia="fr-FR"/>
      </w:rPr>
      <mc:AlternateContent>
        <mc:Choice Requires="wps">
          <w:drawing>
            <wp:anchor distT="0" distB="0" distL="114300" distR="114300" simplePos="0" relativeHeight="251663360" behindDoc="1" locked="0" layoutInCell="1" allowOverlap="1" wp14:anchorId="5832D6CE" wp14:editId="3167836A">
              <wp:simplePos x="0" y="0"/>
              <wp:positionH relativeFrom="page">
                <wp:posOffset>463296</wp:posOffset>
              </wp:positionH>
              <wp:positionV relativeFrom="page">
                <wp:posOffset>536448</wp:posOffset>
              </wp:positionV>
              <wp:extent cx="6620256" cy="9667748"/>
              <wp:effectExtent l="0" t="0" r="9525" b="0"/>
              <wp:wrapNone/>
              <wp:docPr id="23" name="Rectangle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620256" cy="9667748"/>
                      </a:xfrm>
                      <a:prstGeom prst="rect">
                        <a:avLst/>
                      </a:prstGeom>
                      <a:gradFill flip="none" rotWithShape="1">
                        <a:gsLst>
                          <a:gs pos="50400">
                            <a:srgbClr val="D8E6F0"/>
                          </a:gs>
                          <a:gs pos="0">
                            <a:srgbClr val="B3D6EC"/>
                          </a:gs>
                          <a:gs pos="100000">
                            <a:schemeClr val="bg1"/>
                          </a:gs>
                        </a:gsLst>
                        <a:lin ang="2700000" scaled="1"/>
                        <a:tileRect/>
                      </a:gra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48B176" id="Rectangle 23" o:spid="_x0000_s1026" style="position:absolute;margin-left:36.5pt;margin-top:42.25pt;width:521.3pt;height:761.2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" fillcolor="#b3d6ec" stroked="f" strokeweight=".5pt">
              <v:fill color2="white [3212]" rotate="t" angle="45" colors="0 #b3d6ec;33030f #d8e6f0;1 white" focus="100%" type="gradient"/>
              <o:lock v:ext="edit" aspectratio="t"/>
              <w10:wrap anchorx="page" anchory="page"/>
            </v:rect>
          </w:pict>
        </mc:Fallback>
      </mc:AlternateContent>
    </w:r>
  </w:p>
  <w:p w14:paraId="6E3F72C4" w14:textId="77777777" w:rsidR="00B96B90" w:rsidRPr="001858C0" w:rsidRDefault="00B96B9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C9D780" w14:textId="77777777" w:rsidR="00B96B90" w:rsidRPr="001858C0" w:rsidRDefault="00B96B90">
    <w:pPr>
      <w:pStyle w:val="Header"/>
    </w:pPr>
    <w:r w:rsidRPr="001858C0">
      <w:rPr>
        <w:noProof/>
        <w:lang w:eastAsia="en-NZ"/>
      </w:rPr>
      <w:drawing>
        <wp:anchor distT="0" distB="0" distL="114300" distR="114300" simplePos="0" relativeHeight="251660288" behindDoc="1" locked="0" layoutInCell="0" allowOverlap="1" wp14:anchorId="6B294688" wp14:editId="2983C51F">
          <wp:simplePos x="0" y="0"/>
          <wp:positionH relativeFrom="margin">
            <wp:align>center</wp:align>
          </wp:positionH>
          <wp:positionV relativeFrom="margin">
            <wp:align>center</wp:align>
          </wp:positionV>
          <wp:extent cx="6117590" cy="6117590"/>
          <wp:effectExtent l="0" t="0" r="0" b="0"/>
          <wp:wrapNone/>
          <wp:docPr id="10" name="Picture 10" descr="WSP-Red_DLTrans-25p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SP-Red_DLTrans-25pt_CMYK"/>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117590" cy="611759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3BD938" w14:textId="77777777" w:rsidR="00B96B90" w:rsidRDefault="00B96B9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F8BAE5" w14:textId="77777777" w:rsidR="00B96B90" w:rsidRPr="001858C0" w:rsidRDefault="00B96B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ECE079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DDE81FC"/>
    <w:lvl w:ilvl="0">
      <w:start w:val="1"/>
      <w:numFmt w:val="decimal"/>
      <w:pStyle w:val="ListNumber4"/>
      <w:lvlText w:val="%1."/>
      <w:lvlJc w:val="left"/>
      <w:pPr>
        <w:tabs>
          <w:tab w:val="num" w:pos="1209"/>
        </w:tabs>
        <w:ind w:left="1209" w:hanging="360"/>
      </w:pPr>
    </w:lvl>
  </w:abstractNum>
  <w:abstractNum w:abstractNumId="2" w15:restartNumberingAfterBreak="0">
    <w:nsid w:val="FFFFFF7F"/>
    <w:multiLevelType w:val="singleLevel"/>
    <w:tmpl w:val="3DD81C0A"/>
    <w:lvl w:ilvl="0">
      <w:start w:val="1"/>
      <w:numFmt w:val="decimal"/>
      <w:pStyle w:val="ListNumber2"/>
      <w:lvlText w:val="%1."/>
      <w:lvlJc w:val="left"/>
      <w:pPr>
        <w:tabs>
          <w:tab w:val="num" w:pos="643"/>
        </w:tabs>
        <w:ind w:left="643" w:hanging="360"/>
      </w:pPr>
    </w:lvl>
  </w:abstractNum>
  <w:abstractNum w:abstractNumId="3" w15:restartNumberingAfterBreak="0">
    <w:nsid w:val="FFFFFF88"/>
    <w:multiLevelType w:val="singleLevel"/>
    <w:tmpl w:val="14DA62BA"/>
    <w:lvl w:ilvl="0">
      <w:start w:val="1"/>
      <w:numFmt w:val="decimal"/>
      <w:pStyle w:val="ListNumber"/>
      <w:lvlText w:val="%1."/>
      <w:lvlJc w:val="left"/>
      <w:pPr>
        <w:tabs>
          <w:tab w:val="num" w:pos="360"/>
        </w:tabs>
        <w:ind w:left="360" w:hanging="360"/>
      </w:pPr>
      <w:rPr>
        <w:rFonts w:hint="default"/>
      </w:rPr>
    </w:lvl>
  </w:abstractNum>
  <w:abstractNum w:abstractNumId="4" w15:restartNumberingAfterBreak="0">
    <w:nsid w:val="0000000B"/>
    <w:multiLevelType w:val="multilevel"/>
    <w:tmpl w:val="D8FE03E6"/>
    <w:name w:val="Opus List Indent Bullet"/>
    <w:lvl w:ilvl="0">
      <w:start w:val="1"/>
      <w:numFmt w:val="bullet"/>
      <w:lvlText w:val=""/>
      <w:lvlJc w:val="left"/>
      <w:pPr>
        <w:tabs>
          <w:tab w:val="left" w:pos="1701"/>
        </w:tabs>
        <w:ind w:left="1701" w:hanging="284"/>
      </w:pPr>
      <w:rPr>
        <w:rFonts w:ascii="Symbol" w:hAnsi="Symbol" w:hint="default"/>
        <w:color w:val="D22630"/>
        <w:sz w:val="20"/>
      </w:rPr>
    </w:lvl>
    <w:lvl w:ilvl="1">
      <w:start w:val="1"/>
      <w:numFmt w:val="bullet"/>
      <w:lvlText w:val=""/>
      <w:lvlJc w:val="left"/>
      <w:pPr>
        <w:tabs>
          <w:tab w:val="left" w:pos="1984"/>
        </w:tabs>
        <w:ind w:left="1984" w:hanging="283"/>
      </w:pPr>
      <w:rPr>
        <w:rFonts w:ascii="Symbol" w:hAnsi="Symbol" w:hint="default"/>
        <w:color w:val="777777"/>
        <w:sz w:val="20"/>
      </w:rPr>
    </w:lvl>
    <w:lvl w:ilvl="2">
      <w:start w:val="1"/>
      <w:numFmt w:val="bullet"/>
      <w:lvlText w:val="○"/>
      <w:lvlJc w:val="left"/>
      <w:pPr>
        <w:tabs>
          <w:tab w:val="left" w:pos="2268"/>
        </w:tabs>
        <w:ind w:left="2268" w:hanging="284"/>
      </w:pPr>
      <w:rPr>
        <w:rFonts w:ascii="Calibri" w:hAnsi="Calibri"/>
        <w:color w:val="4D4D4D"/>
        <w:sz w:val="18"/>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000001B"/>
    <w:multiLevelType w:val="hybridMultilevel"/>
    <w:tmpl w:val="3B185F1C"/>
    <w:lvl w:ilvl="0" w:tplc="1409001B">
      <w:start w:val="1"/>
      <w:numFmt w:val="lowerRoman"/>
      <w:lvlText w:val="%1."/>
      <w:lvlJc w:val="right"/>
      <w:pPr>
        <w:ind w:left="717" w:hanging="360"/>
      </w:pPr>
    </w:lvl>
    <w:lvl w:ilvl="1" w:tplc="14090019" w:tentative="1">
      <w:start w:val="1"/>
      <w:numFmt w:val="lowerLetter"/>
      <w:lvlText w:val="%2."/>
      <w:lvlJc w:val="left"/>
      <w:pPr>
        <w:ind w:left="1797" w:hanging="360"/>
      </w:pPr>
    </w:lvl>
    <w:lvl w:ilvl="2" w:tplc="1409001B" w:tentative="1">
      <w:start w:val="1"/>
      <w:numFmt w:val="lowerRoman"/>
      <w:lvlText w:val="%3."/>
      <w:lvlJc w:val="right"/>
      <w:pPr>
        <w:ind w:left="2517" w:hanging="180"/>
      </w:pPr>
    </w:lvl>
    <w:lvl w:ilvl="3" w:tplc="1409000F" w:tentative="1">
      <w:start w:val="1"/>
      <w:numFmt w:val="decimal"/>
      <w:lvlText w:val="%4."/>
      <w:lvlJc w:val="left"/>
      <w:pPr>
        <w:ind w:left="3237" w:hanging="360"/>
      </w:pPr>
    </w:lvl>
    <w:lvl w:ilvl="4" w:tplc="14090019" w:tentative="1">
      <w:start w:val="1"/>
      <w:numFmt w:val="lowerLetter"/>
      <w:lvlText w:val="%5."/>
      <w:lvlJc w:val="left"/>
      <w:pPr>
        <w:ind w:left="3957" w:hanging="360"/>
      </w:pPr>
    </w:lvl>
    <w:lvl w:ilvl="5" w:tplc="1409001B" w:tentative="1">
      <w:start w:val="1"/>
      <w:numFmt w:val="lowerRoman"/>
      <w:lvlText w:val="%6."/>
      <w:lvlJc w:val="right"/>
      <w:pPr>
        <w:ind w:left="4677" w:hanging="180"/>
      </w:pPr>
    </w:lvl>
    <w:lvl w:ilvl="6" w:tplc="1409000F" w:tentative="1">
      <w:start w:val="1"/>
      <w:numFmt w:val="decimal"/>
      <w:lvlText w:val="%7."/>
      <w:lvlJc w:val="left"/>
      <w:pPr>
        <w:ind w:left="5397" w:hanging="360"/>
      </w:pPr>
    </w:lvl>
    <w:lvl w:ilvl="7" w:tplc="14090019" w:tentative="1">
      <w:start w:val="1"/>
      <w:numFmt w:val="lowerLetter"/>
      <w:lvlText w:val="%8."/>
      <w:lvlJc w:val="left"/>
      <w:pPr>
        <w:ind w:left="6117" w:hanging="360"/>
      </w:pPr>
    </w:lvl>
    <w:lvl w:ilvl="8" w:tplc="1409001B" w:tentative="1">
      <w:start w:val="1"/>
      <w:numFmt w:val="lowerRoman"/>
      <w:lvlText w:val="%9."/>
      <w:lvlJc w:val="right"/>
      <w:pPr>
        <w:ind w:left="6837" w:hanging="180"/>
      </w:pPr>
    </w:lvl>
  </w:abstractNum>
  <w:abstractNum w:abstractNumId="6" w15:restartNumberingAfterBreak="0">
    <w:nsid w:val="0A8C44D7"/>
    <w:multiLevelType w:val="multilevel"/>
    <w:tmpl w:val="4CB663FA"/>
    <w:name w:val="WSP List Indent Numbering"/>
    <w:lvl w:ilvl="0">
      <w:start w:val="1"/>
      <w:numFmt w:val="decimal"/>
      <w:lvlRestart w:val="0"/>
      <w:pStyle w:val="ListNumberIndent"/>
      <w:lvlText w:val="%1"/>
      <w:lvlJc w:val="left"/>
      <w:pPr>
        <w:tabs>
          <w:tab w:val="num" w:pos="1134"/>
        </w:tabs>
        <w:ind w:left="1134" w:hanging="567"/>
      </w:pPr>
      <w:rPr>
        <w:rFonts w:ascii="Montserrat Light" w:hAnsi="Montserrat Light"/>
        <w:color w:val="1D252C"/>
      </w:rPr>
    </w:lvl>
    <w:lvl w:ilvl="1">
      <w:start w:val="1"/>
      <w:numFmt w:val="lowerLetter"/>
      <w:pStyle w:val="ListNumber2Indent"/>
      <w:lvlText w:val="(%2)"/>
      <w:lvlJc w:val="left"/>
      <w:pPr>
        <w:tabs>
          <w:tab w:val="num" w:pos="1701"/>
        </w:tabs>
        <w:ind w:left="1701" w:hanging="567"/>
      </w:pPr>
      <w:rPr>
        <w:rFonts w:ascii="Montserrat Light" w:hAnsi="Montserrat Light"/>
        <w:color w:val="1D252C"/>
      </w:rPr>
    </w:lvl>
    <w:lvl w:ilvl="2">
      <w:start w:val="1"/>
      <w:numFmt w:val="lowerRoman"/>
      <w:pStyle w:val="ListNumber3Indent"/>
      <w:lvlText w:val="(%3)"/>
      <w:lvlJc w:val="left"/>
      <w:pPr>
        <w:tabs>
          <w:tab w:val="num" w:pos="2268"/>
        </w:tabs>
        <w:ind w:left="2268" w:hanging="567"/>
      </w:pPr>
      <w:rPr>
        <w:rFonts w:ascii="Montserrat Light" w:hAnsi="Montserrat Light"/>
        <w:i/>
        <w:color w:val="1D252C"/>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77768CD"/>
    <w:multiLevelType w:val="hybridMultilevel"/>
    <w:tmpl w:val="A1C0AAC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1E166252"/>
    <w:multiLevelType w:val="hybridMultilevel"/>
    <w:tmpl w:val="7CAE992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1EB4208E"/>
    <w:multiLevelType w:val="hybridMultilevel"/>
    <w:tmpl w:val="7B4C9C60"/>
    <w:lvl w:ilvl="0" w:tplc="04090011">
      <w:start w:val="1"/>
      <w:numFmt w:val="decimal"/>
      <w:lvlText w:val="%1)"/>
      <w:lvlJc w:val="left"/>
      <w:pPr>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21073A14"/>
    <w:multiLevelType w:val="hybridMultilevel"/>
    <w:tmpl w:val="986043C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22891204"/>
    <w:multiLevelType w:val="hybridMultilevel"/>
    <w:tmpl w:val="986043C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2D7E73D9"/>
    <w:multiLevelType w:val="multilevel"/>
    <w:tmpl w:val="3C062DC0"/>
    <w:name w:val="WSP Heading Numbering"/>
    <w:lvl w:ilvl="0">
      <w:start w:val="1"/>
      <w:numFmt w:val="decimal"/>
      <w:lvlRestart w:val="0"/>
      <w:pStyle w:val="Heading1"/>
      <w:lvlText w:val="%1"/>
      <w:lvlJc w:val="left"/>
      <w:pPr>
        <w:tabs>
          <w:tab w:val="num" w:pos="567"/>
        </w:tabs>
        <w:ind w:left="567" w:hanging="567"/>
      </w:pPr>
      <w:rPr>
        <w:rFonts w:ascii="Montserrat Light" w:hAnsi="Montserrat Light"/>
        <w:color w:val="F9423A"/>
      </w:rPr>
    </w:lvl>
    <w:lvl w:ilvl="1">
      <w:start w:val="1"/>
      <w:numFmt w:val="decimal"/>
      <w:pStyle w:val="Heading2"/>
      <w:lvlText w:val="%1.%2"/>
      <w:lvlJc w:val="left"/>
      <w:pPr>
        <w:tabs>
          <w:tab w:val="num" w:pos="567"/>
        </w:tabs>
        <w:ind w:left="567" w:hanging="567"/>
      </w:pPr>
      <w:rPr>
        <w:rFonts w:ascii="Montserrat Light" w:hAnsi="Montserrat Light"/>
        <w:color w:val="F9423A"/>
      </w:rPr>
    </w:lvl>
    <w:lvl w:ilvl="2">
      <w:start w:val="1"/>
      <w:numFmt w:val="decimal"/>
      <w:pStyle w:val="Heading3"/>
      <w:lvlText w:val="%1.%2.%3"/>
      <w:lvlJc w:val="left"/>
      <w:pPr>
        <w:tabs>
          <w:tab w:val="num" w:pos="1417"/>
        </w:tabs>
        <w:ind w:left="1417" w:hanging="850"/>
      </w:pPr>
      <w:rPr>
        <w:rFonts w:ascii="Montserrat" w:hAnsi="Montserrat" w:hint="default"/>
        <w:b w:val="0"/>
        <w:bCs w:val="0"/>
        <w:i w:val="0"/>
        <w:iCs w:val="0"/>
        <w:caps w:val="0"/>
        <w:smallCaps w:val="0"/>
        <w:strike w:val="0"/>
        <w:dstrike w:val="0"/>
        <w:outline w:val="0"/>
        <w:shadow w:val="0"/>
        <w:emboss w:val="0"/>
        <w:imprint w:val="0"/>
        <w:noProof w:val="0"/>
        <w:vanish w:val="0"/>
        <w:color w:val="F9423A"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tabs>
          <w:tab w:val="num" w:pos="1417"/>
        </w:tabs>
        <w:ind w:left="1417" w:hanging="850"/>
      </w:pPr>
      <w:rPr>
        <w:rFonts w:ascii="Montserrat Light" w:hAnsi="Montserrat Light"/>
        <w:color w:val="F9423A"/>
      </w:rPr>
    </w:lvl>
    <w:lvl w:ilvl="4">
      <w:start w:val="1"/>
      <w:numFmt w:val="decimal"/>
      <w:pStyle w:val="Heading5"/>
      <w:lvlText w:val="%1.%2.%3.%4.%5"/>
      <w:lvlJc w:val="left"/>
      <w:pPr>
        <w:tabs>
          <w:tab w:val="num" w:pos="1417"/>
        </w:tabs>
        <w:ind w:left="1417" w:hanging="850"/>
      </w:pPr>
      <w:rPr>
        <w:rFonts w:ascii="Montserrat Light" w:hAnsi="Montserrat Light"/>
        <w:color w:val="F9423A"/>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F034AA2"/>
    <w:multiLevelType w:val="hybridMultilevel"/>
    <w:tmpl w:val="C55280A4"/>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37EB7CE5"/>
    <w:multiLevelType w:val="hybridMultilevel"/>
    <w:tmpl w:val="4DF631F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3FD1028E"/>
    <w:multiLevelType w:val="hybridMultilevel"/>
    <w:tmpl w:val="7C042C0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460D16C1"/>
    <w:multiLevelType w:val="hybridMultilevel"/>
    <w:tmpl w:val="83B2AF32"/>
    <w:lvl w:ilvl="0" w:tplc="A370A596">
      <w:start w:val="8"/>
      <w:numFmt w:val="decimal"/>
      <w:lvlText w:val="%1."/>
      <w:lvlJc w:val="left"/>
      <w:pPr>
        <w:ind w:left="360" w:hanging="360"/>
      </w:pPr>
      <w:rPr>
        <w:rFonts w:hint="default"/>
        <w:i w:val="0"/>
      </w:r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17" w15:restartNumberingAfterBreak="0">
    <w:nsid w:val="4A0F719A"/>
    <w:multiLevelType w:val="hybridMultilevel"/>
    <w:tmpl w:val="7D8CCF00"/>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50632E3E"/>
    <w:multiLevelType w:val="hybridMultilevel"/>
    <w:tmpl w:val="986043C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562A4318"/>
    <w:multiLevelType w:val="hybridMultilevel"/>
    <w:tmpl w:val="5CAE1A74"/>
    <w:lvl w:ilvl="0" w:tplc="1409000F">
      <w:start w:val="1"/>
      <w:numFmt w:val="decimal"/>
      <w:lvlText w:val="%1."/>
      <w:lvlJc w:val="left"/>
      <w:pPr>
        <w:ind w:left="644"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5B4B146B"/>
    <w:multiLevelType w:val="multilevel"/>
    <w:tmpl w:val="1409001D"/>
    <w:name w:val="WSP List Indent Bullet2"/>
    <w:styleLink w:val="1ai"/>
    <w:lvl w:ilvl="0">
      <w:start w:val="1"/>
      <w:numFmt w:val="decimal"/>
      <w:lvlText w:val="%1)"/>
      <w:lvlJc w:val="left"/>
      <w:pPr>
        <w:ind w:left="360" w:hanging="360"/>
      </w:pPr>
      <w:rPr>
        <w:rFonts w:ascii="Montserrat Light" w:hAnsi="Montserrat Light"/>
        <w:color w:val="1D252C"/>
        <w:sz w:val="2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5ECF79FF"/>
    <w:multiLevelType w:val="hybridMultilevel"/>
    <w:tmpl w:val="7D8CCF00"/>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67283E42"/>
    <w:multiLevelType w:val="hybridMultilevel"/>
    <w:tmpl w:val="6B9CDD2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67753058"/>
    <w:multiLevelType w:val="multilevel"/>
    <w:tmpl w:val="675E0FCC"/>
    <w:name w:val="WSP List Indent Bullet"/>
    <w:styleLink w:val="111111"/>
    <w:lvl w:ilvl="0">
      <w:start w:val="1"/>
      <w:numFmt w:val="bullet"/>
      <w:lvlRestart w:val="0"/>
      <w:pStyle w:val="ListBulletIndent"/>
      <w:lvlText w:val=""/>
      <w:lvlJc w:val="left"/>
      <w:pPr>
        <w:tabs>
          <w:tab w:val="num" w:pos="1134"/>
        </w:tabs>
        <w:ind w:left="1134" w:hanging="567"/>
      </w:pPr>
      <w:rPr>
        <w:rFonts w:ascii="Symbol" w:hAnsi="Symbol" w:hint="default"/>
        <w:color w:val="F9423A"/>
        <w:sz w:val="20"/>
      </w:rPr>
    </w:lvl>
    <w:lvl w:ilvl="1">
      <w:start w:val="1"/>
      <w:numFmt w:val="bullet"/>
      <w:pStyle w:val="ListBullet2Indent"/>
      <w:lvlText w:val=""/>
      <w:lvlJc w:val="left"/>
      <w:pPr>
        <w:tabs>
          <w:tab w:val="num" w:pos="1701"/>
        </w:tabs>
        <w:ind w:left="1701" w:hanging="567"/>
      </w:pPr>
      <w:rPr>
        <w:rFonts w:ascii="Symbol" w:hAnsi="Symbol" w:hint="default"/>
        <w:color w:val="1D252C"/>
        <w:sz w:val="20"/>
      </w:rPr>
    </w:lvl>
    <w:lvl w:ilvl="2">
      <w:start w:val="1"/>
      <w:numFmt w:val="bullet"/>
      <w:pStyle w:val="ListBullet3Indent"/>
      <w:lvlText w:val="–"/>
      <w:lvlJc w:val="left"/>
      <w:pPr>
        <w:tabs>
          <w:tab w:val="num" w:pos="2268"/>
        </w:tabs>
        <w:ind w:left="2268" w:hanging="567"/>
      </w:pPr>
      <w:rPr>
        <w:rFonts w:ascii="Calibri" w:hAnsi="Calibri"/>
        <w:b/>
        <w:color w:val="1D252C"/>
        <w:sz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D9C3942"/>
    <w:multiLevelType w:val="multilevel"/>
    <w:tmpl w:val="8826830A"/>
    <w:lvl w:ilvl="0">
      <w:start w:val="1"/>
      <w:numFmt w:val="decimal"/>
      <w:lvlRestart w:val="0"/>
      <w:lvlText w:val="%1"/>
      <w:lvlJc w:val="left"/>
      <w:pPr>
        <w:tabs>
          <w:tab w:val="num" w:pos="567"/>
        </w:tabs>
        <w:ind w:left="567" w:hanging="56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1134"/>
        </w:tabs>
        <w:ind w:left="1134" w:hanging="567"/>
      </w:pPr>
      <w:rPr>
        <w:rFonts w:ascii="Montserrat Light" w:hAnsi="Montserrat Light"/>
        <w:color w:val="1D252C"/>
      </w:rPr>
    </w:lvl>
    <w:lvl w:ilvl="2">
      <w:start w:val="1"/>
      <w:numFmt w:val="lowerRoman"/>
      <w:pStyle w:val="ListNumber3"/>
      <w:lvlText w:val="(%3)"/>
      <w:lvlJc w:val="left"/>
      <w:pPr>
        <w:tabs>
          <w:tab w:val="num" w:pos="1701"/>
        </w:tabs>
        <w:ind w:left="1701" w:hanging="567"/>
      </w:pPr>
      <w:rPr>
        <w:rFonts w:ascii="Montserrat Light" w:hAnsi="Montserrat Light"/>
        <w:i/>
        <w:color w:val="1D252C"/>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701409D8"/>
    <w:multiLevelType w:val="multilevel"/>
    <w:tmpl w:val="098CBAFE"/>
    <w:name w:val="WSP List Bullet"/>
    <w:lvl w:ilvl="0">
      <w:start w:val="1"/>
      <w:numFmt w:val="bullet"/>
      <w:lvlRestart w:val="0"/>
      <w:pStyle w:val="ListBullet"/>
      <w:lvlText w:val=""/>
      <w:lvlJc w:val="left"/>
      <w:pPr>
        <w:tabs>
          <w:tab w:val="num" w:pos="567"/>
        </w:tabs>
        <w:ind w:left="567" w:hanging="567"/>
      </w:pPr>
      <w:rPr>
        <w:rFonts w:ascii="Symbol" w:hAnsi="Symbol" w:hint="default"/>
        <w:color w:val="F9423A"/>
        <w:sz w:val="20"/>
      </w:rPr>
    </w:lvl>
    <w:lvl w:ilvl="1">
      <w:start w:val="1"/>
      <w:numFmt w:val="bullet"/>
      <w:pStyle w:val="ListBullet2"/>
      <w:lvlText w:val=""/>
      <w:lvlJc w:val="left"/>
      <w:pPr>
        <w:tabs>
          <w:tab w:val="num" w:pos="1134"/>
        </w:tabs>
        <w:ind w:left="1134" w:hanging="567"/>
      </w:pPr>
      <w:rPr>
        <w:rFonts w:ascii="Symbol" w:hAnsi="Symbol" w:hint="default"/>
        <w:color w:val="1D252C"/>
        <w:sz w:val="20"/>
      </w:rPr>
    </w:lvl>
    <w:lvl w:ilvl="2">
      <w:start w:val="1"/>
      <w:numFmt w:val="bullet"/>
      <w:pStyle w:val="ListBullet3"/>
      <w:lvlText w:val="–"/>
      <w:lvlJc w:val="left"/>
      <w:pPr>
        <w:tabs>
          <w:tab w:val="num" w:pos="1701"/>
        </w:tabs>
        <w:ind w:left="1701" w:hanging="567"/>
      </w:pPr>
      <w:rPr>
        <w:rFonts w:ascii="Calibri" w:hAnsi="Calibri"/>
        <w:b/>
        <w:color w:val="1D252C"/>
        <w:sz w:val="20"/>
      </w:rPr>
    </w:lvl>
    <w:lvl w:ilvl="3">
      <w:start w:val="1"/>
      <w:numFmt w:val="bullet"/>
      <w:pStyle w:val="ListBullet4"/>
      <w:lvlText w:val=""/>
      <w:lvlJc w:val="left"/>
      <w:pPr>
        <w:tabs>
          <w:tab w:val="num" w:pos="2268"/>
        </w:tabs>
        <w:ind w:left="2268" w:hanging="567"/>
      </w:pPr>
      <w:rPr>
        <w:rFonts w:ascii="Symbol" w:hAnsi="Symbol" w:hint="default"/>
        <w:color w:val="F9423A"/>
        <w:sz w:val="20"/>
      </w:rPr>
    </w:lvl>
    <w:lvl w:ilvl="4">
      <w:start w:val="1"/>
      <w:numFmt w:val="bullet"/>
      <w:pStyle w:val="ListBullet5"/>
      <w:lvlText w:val=""/>
      <w:lvlJc w:val="left"/>
      <w:pPr>
        <w:tabs>
          <w:tab w:val="num" w:pos="2835"/>
        </w:tabs>
        <w:ind w:left="2835" w:hanging="567"/>
      </w:pPr>
      <w:rPr>
        <w:rFonts w:ascii="Symbol" w:hAnsi="Symbol" w:hint="default"/>
        <w:color w:val="1D252C"/>
        <w:sz w:val="20"/>
      </w:rPr>
    </w:lvl>
    <w:lvl w:ilvl="5">
      <w:start w:val="1"/>
      <w:numFmt w:val="bullet"/>
      <w:pStyle w:val="ListBullet6"/>
      <w:lvlText w:val="–"/>
      <w:lvlJc w:val="left"/>
      <w:pPr>
        <w:tabs>
          <w:tab w:val="num" w:pos="3402"/>
        </w:tabs>
        <w:ind w:left="3402" w:hanging="567"/>
      </w:pPr>
      <w:rPr>
        <w:rFonts w:ascii="Calibri" w:hAnsi="Calibri"/>
        <w:b/>
        <w:color w:val="1D252C"/>
        <w:sz w:val="20"/>
      </w:r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714412D7"/>
    <w:multiLevelType w:val="hybridMultilevel"/>
    <w:tmpl w:val="66041C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35969FB"/>
    <w:multiLevelType w:val="hybridMultilevel"/>
    <w:tmpl w:val="7B4C9C60"/>
    <w:lvl w:ilvl="0" w:tplc="04090011">
      <w:start w:val="1"/>
      <w:numFmt w:val="decimal"/>
      <w:lvlText w:val="%1)"/>
      <w:lvlJc w:val="left"/>
      <w:pPr>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74506465"/>
    <w:multiLevelType w:val="hybridMultilevel"/>
    <w:tmpl w:val="670001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753703C1"/>
    <w:multiLevelType w:val="hybridMultilevel"/>
    <w:tmpl w:val="7B4C9C60"/>
    <w:lvl w:ilvl="0" w:tplc="04090011">
      <w:start w:val="1"/>
      <w:numFmt w:val="decimal"/>
      <w:lvlText w:val="%1)"/>
      <w:lvlJc w:val="left"/>
      <w:pPr>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0" w15:restartNumberingAfterBreak="0">
    <w:nsid w:val="76101804"/>
    <w:multiLevelType w:val="hybridMultilevel"/>
    <w:tmpl w:val="04CC4CC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15:restartNumberingAfterBreak="0">
    <w:nsid w:val="76D463AD"/>
    <w:multiLevelType w:val="hybridMultilevel"/>
    <w:tmpl w:val="7C4E198A"/>
    <w:lvl w:ilvl="0" w:tplc="1409000F">
      <w:start w:val="1"/>
      <w:numFmt w:val="decimal"/>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2" w15:restartNumberingAfterBreak="0">
    <w:nsid w:val="77A00BFE"/>
    <w:multiLevelType w:val="multilevel"/>
    <w:tmpl w:val="869ECC96"/>
    <w:name w:val="WSP List Indent Bullet22"/>
    <w:styleLink w:val="ArticleSection"/>
    <w:lvl w:ilvl="0">
      <w:start w:val="1"/>
      <w:numFmt w:val="upperRoman"/>
      <w:lvlText w:val="Article %1."/>
      <w:lvlJc w:val="left"/>
      <w:pPr>
        <w:ind w:left="0" w:firstLine="0"/>
      </w:pPr>
      <w:rPr>
        <w:rFonts w:ascii="Montserrat Light" w:hAnsi="Montserrat Light"/>
        <w:color w:val="1D252C"/>
        <w:sz w:val="20"/>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abstractNum w:abstractNumId="33" w15:restartNumberingAfterBreak="0">
    <w:nsid w:val="78411898"/>
    <w:multiLevelType w:val="hybridMultilevel"/>
    <w:tmpl w:val="7B4C9C60"/>
    <w:lvl w:ilvl="0" w:tplc="04090011">
      <w:start w:val="1"/>
      <w:numFmt w:val="decimal"/>
      <w:lvlText w:val="%1)"/>
      <w:lvlJc w:val="left"/>
      <w:pPr>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4" w15:restartNumberingAfterBreak="0">
    <w:nsid w:val="7C9E18F8"/>
    <w:multiLevelType w:val="hybridMultilevel"/>
    <w:tmpl w:val="9F3AEC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3"/>
  </w:num>
  <w:num w:numId="2">
    <w:abstractNumId w:val="20"/>
  </w:num>
  <w:num w:numId="3">
    <w:abstractNumId w:val="32"/>
  </w:num>
  <w:num w:numId="4">
    <w:abstractNumId w:val="1"/>
  </w:num>
  <w:num w:numId="5">
    <w:abstractNumId w:val="0"/>
  </w:num>
  <w:num w:numId="6">
    <w:abstractNumId w:val="12"/>
  </w:num>
  <w:num w:numId="7">
    <w:abstractNumId w:val="6"/>
  </w:num>
  <w:num w:numId="8">
    <w:abstractNumId w:val="25"/>
  </w:num>
  <w:num w:numId="9">
    <w:abstractNumId w:val="5"/>
  </w:num>
  <w:num w:numId="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7"/>
  </w:num>
  <w:num w:numId="14">
    <w:abstractNumId w:val="16"/>
  </w:num>
  <w:num w:numId="1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26"/>
  </w:num>
  <w:num w:numId="18">
    <w:abstractNumId w:val="2"/>
  </w:num>
  <w:num w:numId="19">
    <w:abstractNumId w:val="29"/>
  </w:num>
  <w:num w:numId="20">
    <w:abstractNumId w:val="19"/>
  </w:num>
  <w:num w:numId="21">
    <w:abstractNumId w:val="22"/>
  </w:num>
  <w:num w:numId="22">
    <w:abstractNumId w:val="31"/>
  </w:num>
  <w:num w:numId="23">
    <w:abstractNumId w:val="8"/>
  </w:num>
  <w:num w:numId="24">
    <w:abstractNumId w:val="30"/>
  </w:num>
  <w:num w:numId="25">
    <w:abstractNumId w:val="14"/>
  </w:num>
  <w:num w:numId="26">
    <w:abstractNumId w:val="17"/>
  </w:num>
  <w:num w:numId="27">
    <w:abstractNumId w:val="11"/>
  </w:num>
  <w:num w:numId="28">
    <w:abstractNumId w:val="9"/>
  </w:num>
  <w:num w:numId="29">
    <w:abstractNumId w:val="33"/>
  </w:num>
  <w:num w:numId="30">
    <w:abstractNumId w:val="27"/>
  </w:num>
  <w:num w:numId="31">
    <w:abstractNumId w:val="18"/>
  </w:num>
  <w:num w:numId="32">
    <w:abstractNumId w:val="10"/>
  </w:num>
  <w:num w:numId="33">
    <w:abstractNumId w:val="21"/>
  </w:num>
  <w:num w:numId="34">
    <w:abstractNumId w:val="15"/>
  </w:num>
  <w:num w:numId="35">
    <w:abstractNumId w:val="3"/>
    <w:lvlOverride w:ilvl="0">
      <w:startOverride w:val="4"/>
    </w:lvlOverride>
  </w:num>
  <w:num w:numId="36">
    <w:abstractNumId w:val="34"/>
  </w:num>
  <w:num w:numId="37">
    <w:abstractNumId w:val="28"/>
  </w:num>
  <w:num w:numId="38">
    <w:abstractNumId w:val="3"/>
  </w:num>
  <w:num w:numId="39">
    <w:abstractNumId w:val="3"/>
  </w:num>
  <w:num w:numId="40">
    <w:abstractNumId w:val="3"/>
  </w:num>
  <w:num w:numId="41">
    <w:abstractNumId w:val="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removePersonalInformation/>
  <w:removeDateAndTim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styleLockQFSet/>
  <w:defaultTabStop w:val="720"/>
  <w:defaultTableStyle w:val="wspNZ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pus_AddLogos" w:val="False"/>
    <w:docVar w:name="Opus_DlgOnOpen" w:val="True"/>
    <w:docVar w:name="Opus_Fluent_RedisplayInputForm" w:val="False"/>
    <w:docVar w:name="Opus_Fluent_UpdateCovers" w:val="False"/>
    <w:docVar w:name="Opus_Formatting_Address_All" w:val="&lt;Formatting&gt;&lt;Text Bookmark=&quot;Company&quot; Format=&quot;ΘCompanyName◊&quot;/&gt;&lt;Text Bookmark=&quot;Office&quot; Format=&quot;ΘOfficeName◊&quot;/&gt;&lt;Text Bookmark=&quot;composite_address&quot; Format=&quot;ΘAddress1◊¶‡Address1◊ΘAddress2◊¶‡Address2◊ΘAddress3◊&quot;/&gt;&lt;Text Bookmark=&quot;Address3&quot; Format=&quot;ΘAddress3◊&quot;/&gt;&lt;Text Bookmark=&quot;Telephone&quot; Format=&quot;ΘTelephoneNumberOfficeDDI◊&quot;/&gt;&lt;Text Bookmark=&quot;Facsimile&quot; Format=&quot;ΘFaxNumberOfficeDDI◊&quot;/&gt;&lt;Text Bookmark=&quot;Address1&quot; Format=&quot;ΘAddress1‡Address1◊&quot;/&gt;&lt;Text Bookmark=&quot;Address2&quot; Format=&quot;ΘAddress2‡Address2◊&quot;/&gt;&lt;Text Bookmark=&quot;registered_office1&quot; Format=&quot;ΘRegisteredOffice1◊&quot;/&gt;&lt;Text Bookmark=&quot;registered_office2&quot; Format=&quot;ΘRegisteredOffice2◊&quot;/&gt;&lt;Text Bookmark=&quot;registered_office3&quot; Format=&quot;ΘRegisteredOffice3◊&quot;/&gt;&lt;Text Bookmark=&quot;registered_office4&quot; Format=&quot;ΘRegisteredOffice4◊&quot;/&gt;&lt;Text Bookmark=&quot;website&quot; Format=&quot;ΘWebsite◊&quot;/&gt;&lt;Text Bookmark=&quot;Mobile&quot; Format=&quot;ΘMobileNumber◊&quot;/&gt;&lt;Text Bookmark=&quot;contact_name&quot; Format=&quot;ΘFirstName◊ ◊ΘLastName◊&quot;/&gt;&lt;/Formatting&gt;"/>
    <w:docVar w:name="Opus_InsertAddress" w:val="2"/>
    <w:docVar w:name="Opus_LockDates" w:val="False"/>
    <w:docVar w:name="Opus_PageLayout" w:val="True"/>
    <w:docVar w:name="Opus_ProtectDocument" w:val="False"/>
    <w:docVar w:name="Opus_RevisionID" w:val="g08  07/19"/>
    <w:docVar w:name="Opus_SmartStart" w:val="False"/>
    <w:docVar w:name="Opus_UseHelpForm" w:val="True"/>
    <w:docVar w:name="Opus_VersionNumber" w:val="6.0.25"/>
  </w:docVars>
  <w:rsids>
    <w:rsidRoot w:val="001858C0"/>
    <w:rsid w:val="00001D30"/>
    <w:rsid w:val="00002057"/>
    <w:rsid w:val="000041AD"/>
    <w:rsid w:val="0000454B"/>
    <w:rsid w:val="000050CD"/>
    <w:rsid w:val="00005B21"/>
    <w:rsid w:val="00005CFC"/>
    <w:rsid w:val="0000761D"/>
    <w:rsid w:val="00010056"/>
    <w:rsid w:val="00010935"/>
    <w:rsid w:val="00010BB6"/>
    <w:rsid w:val="00010DC3"/>
    <w:rsid w:val="00011645"/>
    <w:rsid w:val="00012111"/>
    <w:rsid w:val="00012EA3"/>
    <w:rsid w:val="000137BF"/>
    <w:rsid w:val="00013CDE"/>
    <w:rsid w:val="00014081"/>
    <w:rsid w:val="00014920"/>
    <w:rsid w:val="0001497E"/>
    <w:rsid w:val="00014D0E"/>
    <w:rsid w:val="00014EFB"/>
    <w:rsid w:val="000167B9"/>
    <w:rsid w:val="00016B9C"/>
    <w:rsid w:val="00016F9C"/>
    <w:rsid w:val="0001731E"/>
    <w:rsid w:val="00017E44"/>
    <w:rsid w:val="0002111B"/>
    <w:rsid w:val="0002120D"/>
    <w:rsid w:val="00021930"/>
    <w:rsid w:val="00021953"/>
    <w:rsid w:val="0002285F"/>
    <w:rsid w:val="0002317C"/>
    <w:rsid w:val="000243BD"/>
    <w:rsid w:val="00024917"/>
    <w:rsid w:val="00025B76"/>
    <w:rsid w:val="00025C08"/>
    <w:rsid w:val="00026E5C"/>
    <w:rsid w:val="00027AC8"/>
    <w:rsid w:val="00030074"/>
    <w:rsid w:val="000307A0"/>
    <w:rsid w:val="00031554"/>
    <w:rsid w:val="0003171A"/>
    <w:rsid w:val="0003357B"/>
    <w:rsid w:val="00033758"/>
    <w:rsid w:val="00033EED"/>
    <w:rsid w:val="0003770E"/>
    <w:rsid w:val="0004057F"/>
    <w:rsid w:val="0004064C"/>
    <w:rsid w:val="00040CC8"/>
    <w:rsid w:val="00041C3C"/>
    <w:rsid w:val="000435DF"/>
    <w:rsid w:val="00044030"/>
    <w:rsid w:val="00044784"/>
    <w:rsid w:val="000448A2"/>
    <w:rsid w:val="00044AE0"/>
    <w:rsid w:val="0004576E"/>
    <w:rsid w:val="000470C6"/>
    <w:rsid w:val="00047B5C"/>
    <w:rsid w:val="00051049"/>
    <w:rsid w:val="00052AF5"/>
    <w:rsid w:val="00057CE2"/>
    <w:rsid w:val="00060B50"/>
    <w:rsid w:val="00061157"/>
    <w:rsid w:val="00061553"/>
    <w:rsid w:val="000619ED"/>
    <w:rsid w:val="00062943"/>
    <w:rsid w:val="00062F2F"/>
    <w:rsid w:val="00063A68"/>
    <w:rsid w:val="000648C1"/>
    <w:rsid w:val="00064D9E"/>
    <w:rsid w:val="000673A0"/>
    <w:rsid w:val="00070441"/>
    <w:rsid w:val="00070986"/>
    <w:rsid w:val="00071167"/>
    <w:rsid w:val="000716D0"/>
    <w:rsid w:val="00071980"/>
    <w:rsid w:val="00072501"/>
    <w:rsid w:val="00073800"/>
    <w:rsid w:val="00074163"/>
    <w:rsid w:val="0007462E"/>
    <w:rsid w:val="000752D3"/>
    <w:rsid w:val="00075E77"/>
    <w:rsid w:val="00077513"/>
    <w:rsid w:val="000779B2"/>
    <w:rsid w:val="00077B13"/>
    <w:rsid w:val="000808E6"/>
    <w:rsid w:val="00081002"/>
    <w:rsid w:val="00081D78"/>
    <w:rsid w:val="00082DCC"/>
    <w:rsid w:val="000849BC"/>
    <w:rsid w:val="00084CC5"/>
    <w:rsid w:val="00090FC7"/>
    <w:rsid w:val="00091DCE"/>
    <w:rsid w:val="00091E54"/>
    <w:rsid w:val="0009211D"/>
    <w:rsid w:val="00093449"/>
    <w:rsid w:val="00096908"/>
    <w:rsid w:val="00097178"/>
    <w:rsid w:val="000973A2"/>
    <w:rsid w:val="0009756F"/>
    <w:rsid w:val="000A0634"/>
    <w:rsid w:val="000A3B3B"/>
    <w:rsid w:val="000A3C83"/>
    <w:rsid w:val="000A4B56"/>
    <w:rsid w:val="000A61F7"/>
    <w:rsid w:val="000A6A7E"/>
    <w:rsid w:val="000A71A3"/>
    <w:rsid w:val="000A71E3"/>
    <w:rsid w:val="000A7426"/>
    <w:rsid w:val="000B0B92"/>
    <w:rsid w:val="000B1EB4"/>
    <w:rsid w:val="000B2579"/>
    <w:rsid w:val="000B539D"/>
    <w:rsid w:val="000B5790"/>
    <w:rsid w:val="000B5C5A"/>
    <w:rsid w:val="000B62BE"/>
    <w:rsid w:val="000B6E11"/>
    <w:rsid w:val="000B7F04"/>
    <w:rsid w:val="000C0705"/>
    <w:rsid w:val="000C0AAF"/>
    <w:rsid w:val="000C0CCF"/>
    <w:rsid w:val="000C103F"/>
    <w:rsid w:val="000C134A"/>
    <w:rsid w:val="000C1DB7"/>
    <w:rsid w:val="000C3B23"/>
    <w:rsid w:val="000C4B68"/>
    <w:rsid w:val="000C5B28"/>
    <w:rsid w:val="000C6935"/>
    <w:rsid w:val="000C79D2"/>
    <w:rsid w:val="000C7BB6"/>
    <w:rsid w:val="000C7DD9"/>
    <w:rsid w:val="000D04F7"/>
    <w:rsid w:val="000D1EEB"/>
    <w:rsid w:val="000D2361"/>
    <w:rsid w:val="000D2707"/>
    <w:rsid w:val="000D3A73"/>
    <w:rsid w:val="000D522D"/>
    <w:rsid w:val="000D558D"/>
    <w:rsid w:val="000D5C1F"/>
    <w:rsid w:val="000D61A5"/>
    <w:rsid w:val="000D6E33"/>
    <w:rsid w:val="000D7094"/>
    <w:rsid w:val="000D7902"/>
    <w:rsid w:val="000E0983"/>
    <w:rsid w:val="000E0E01"/>
    <w:rsid w:val="000E1CF5"/>
    <w:rsid w:val="000E31D3"/>
    <w:rsid w:val="000E361D"/>
    <w:rsid w:val="000E3787"/>
    <w:rsid w:val="000E45EB"/>
    <w:rsid w:val="000E4F52"/>
    <w:rsid w:val="000E52FD"/>
    <w:rsid w:val="000E53C8"/>
    <w:rsid w:val="000E54DC"/>
    <w:rsid w:val="000E65BD"/>
    <w:rsid w:val="000E66A6"/>
    <w:rsid w:val="000E6A62"/>
    <w:rsid w:val="000E6F12"/>
    <w:rsid w:val="000E74E0"/>
    <w:rsid w:val="000E75D5"/>
    <w:rsid w:val="000F0A06"/>
    <w:rsid w:val="000F1063"/>
    <w:rsid w:val="000F10D9"/>
    <w:rsid w:val="000F5253"/>
    <w:rsid w:val="000F5FF3"/>
    <w:rsid w:val="000F6A62"/>
    <w:rsid w:val="000F798A"/>
    <w:rsid w:val="000F7AEB"/>
    <w:rsid w:val="001000F8"/>
    <w:rsid w:val="00100194"/>
    <w:rsid w:val="00100498"/>
    <w:rsid w:val="00100CF8"/>
    <w:rsid w:val="00100FB2"/>
    <w:rsid w:val="00101144"/>
    <w:rsid w:val="00101C0E"/>
    <w:rsid w:val="00102209"/>
    <w:rsid w:val="00102EB6"/>
    <w:rsid w:val="0010312F"/>
    <w:rsid w:val="0010358E"/>
    <w:rsid w:val="00103923"/>
    <w:rsid w:val="00103FE8"/>
    <w:rsid w:val="001042F8"/>
    <w:rsid w:val="00105120"/>
    <w:rsid w:val="001056D1"/>
    <w:rsid w:val="00105C05"/>
    <w:rsid w:val="00105EE5"/>
    <w:rsid w:val="00106822"/>
    <w:rsid w:val="00106AD2"/>
    <w:rsid w:val="00106B53"/>
    <w:rsid w:val="00106B79"/>
    <w:rsid w:val="00106FD8"/>
    <w:rsid w:val="001070D7"/>
    <w:rsid w:val="00107208"/>
    <w:rsid w:val="00107270"/>
    <w:rsid w:val="00107879"/>
    <w:rsid w:val="00110752"/>
    <w:rsid w:val="00114329"/>
    <w:rsid w:val="00115960"/>
    <w:rsid w:val="00115B37"/>
    <w:rsid w:val="001164B2"/>
    <w:rsid w:val="00116F2C"/>
    <w:rsid w:val="0011795C"/>
    <w:rsid w:val="00120023"/>
    <w:rsid w:val="00122457"/>
    <w:rsid w:val="0012298B"/>
    <w:rsid w:val="00123DEB"/>
    <w:rsid w:val="001242E3"/>
    <w:rsid w:val="0012589D"/>
    <w:rsid w:val="00126656"/>
    <w:rsid w:val="00126761"/>
    <w:rsid w:val="00126FD0"/>
    <w:rsid w:val="0013032C"/>
    <w:rsid w:val="0013042E"/>
    <w:rsid w:val="00132EA3"/>
    <w:rsid w:val="00133343"/>
    <w:rsid w:val="001333F8"/>
    <w:rsid w:val="00135016"/>
    <w:rsid w:val="0013510B"/>
    <w:rsid w:val="00136399"/>
    <w:rsid w:val="001366CB"/>
    <w:rsid w:val="00136F1A"/>
    <w:rsid w:val="00137B3E"/>
    <w:rsid w:val="00140560"/>
    <w:rsid w:val="00140778"/>
    <w:rsid w:val="001433A0"/>
    <w:rsid w:val="0014396A"/>
    <w:rsid w:val="00144AA7"/>
    <w:rsid w:val="00144F25"/>
    <w:rsid w:val="00144FBF"/>
    <w:rsid w:val="00145736"/>
    <w:rsid w:val="00145D78"/>
    <w:rsid w:val="00145D79"/>
    <w:rsid w:val="00145E49"/>
    <w:rsid w:val="00146440"/>
    <w:rsid w:val="001469DE"/>
    <w:rsid w:val="00146A75"/>
    <w:rsid w:val="001471C2"/>
    <w:rsid w:val="001477EB"/>
    <w:rsid w:val="00147BAB"/>
    <w:rsid w:val="00150D79"/>
    <w:rsid w:val="001512C9"/>
    <w:rsid w:val="00151672"/>
    <w:rsid w:val="001517FB"/>
    <w:rsid w:val="00151B4A"/>
    <w:rsid w:val="00152293"/>
    <w:rsid w:val="00152A55"/>
    <w:rsid w:val="00153A19"/>
    <w:rsid w:val="00154068"/>
    <w:rsid w:val="001553B6"/>
    <w:rsid w:val="00155790"/>
    <w:rsid w:val="001558AF"/>
    <w:rsid w:val="00156472"/>
    <w:rsid w:val="001621AE"/>
    <w:rsid w:val="00162A5D"/>
    <w:rsid w:val="00164474"/>
    <w:rsid w:val="00165C0D"/>
    <w:rsid w:val="00167899"/>
    <w:rsid w:val="00167DBC"/>
    <w:rsid w:val="00170DE6"/>
    <w:rsid w:val="00171967"/>
    <w:rsid w:val="00171C7D"/>
    <w:rsid w:val="0017284F"/>
    <w:rsid w:val="00172A5B"/>
    <w:rsid w:val="001745C6"/>
    <w:rsid w:val="001746AF"/>
    <w:rsid w:val="00174C4D"/>
    <w:rsid w:val="00177573"/>
    <w:rsid w:val="00180319"/>
    <w:rsid w:val="0018063E"/>
    <w:rsid w:val="00181A6B"/>
    <w:rsid w:val="00183261"/>
    <w:rsid w:val="00183EB7"/>
    <w:rsid w:val="001844D5"/>
    <w:rsid w:val="00184A98"/>
    <w:rsid w:val="00184DC4"/>
    <w:rsid w:val="001858C0"/>
    <w:rsid w:val="0018598B"/>
    <w:rsid w:val="00185C86"/>
    <w:rsid w:val="00185D13"/>
    <w:rsid w:val="00187BE9"/>
    <w:rsid w:val="001907E0"/>
    <w:rsid w:val="001918AD"/>
    <w:rsid w:val="00191D10"/>
    <w:rsid w:val="0019462F"/>
    <w:rsid w:val="00195AFC"/>
    <w:rsid w:val="001A0090"/>
    <w:rsid w:val="001A078A"/>
    <w:rsid w:val="001A0BAA"/>
    <w:rsid w:val="001A168D"/>
    <w:rsid w:val="001A22D0"/>
    <w:rsid w:val="001A3715"/>
    <w:rsid w:val="001A4A1D"/>
    <w:rsid w:val="001A5DE5"/>
    <w:rsid w:val="001A6DFF"/>
    <w:rsid w:val="001A6EC6"/>
    <w:rsid w:val="001A730C"/>
    <w:rsid w:val="001A7941"/>
    <w:rsid w:val="001A7B44"/>
    <w:rsid w:val="001B0045"/>
    <w:rsid w:val="001B0B18"/>
    <w:rsid w:val="001B0CAF"/>
    <w:rsid w:val="001B0E28"/>
    <w:rsid w:val="001B1D04"/>
    <w:rsid w:val="001B30B9"/>
    <w:rsid w:val="001B3D6D"/>
    <w:rsid w:val="001B3F85"/>
    <w:rsid w:val="001B5C26"/>
    <w:rsid w:val="001B5E2F"/>
    <w:rsid w:val="001C35F3"/>
    <w:rsid w:val="001C3AEF"/>
    <w:rsid w:val="001C3BD6"/>
    <w:rsid w:val="001C42FF"/>
    <w:rsid w:val="001C481F"/>
    <w:rsid w:val="001C4BAF"/>
    <w:rsid w:val="001C6A8F"/>
    <w:rsid w:val="001C764A"/>
    <w:rsid w:val="001C7892"/>
    <w:rsid w:val="001D042D"/>
    <w:rsid w:val="001D065B"/>
    <w:rsid w:val="001D1DBC"/>
    <w:rsid w:val="001D251F"/>
    <w:rsid w:val="001D3E56"/>
    <w:rsid w:val="001D47D4"/>
    <w:rsid w:val="001D4C66"/>
    <w:rsid w:val="001D50F3"/>
    <w:rsid w:val="001D51BA"/>
    <w:rsid w:val="001D51C8"/>
    <w:rsid w:val="001D5FCB"/>
    <w:rsid w:val="001D6345"/>
    <w:rsid w:val="001D6600"/>
    <w:rsid w:val="001D6BCA"/>
    <w:rsid w:val="001D7393"/>
    <w:rsid w:val="001D79AC"/>
    <w:rsid w:val="001D7A43"/>
    <w:rsid w:val="001D7C4A"/>
    <w:rsid w:val="001E00B3"/>
    <w:rsid w:val="001E0182"/>
    <w:rsid w:val="001E0563"/>
    <w:rsid w:val="001E0763"/>
    <w:rsid w:val="001E09BE"/>
    <w:rsid w:val="001E0DEF"/>
    <w:rsid w:val="001E1F55"/>
    <w:rsid w:val="001E234C"/>
    <w:rsid w:val="001E27E8"/>
    <w:rsid w:val="001E367F"/>
    <w:rsid w:val="001E3959"/>
    <w:rsid w:val="001E3C7C"/>
    <w:rsid w:val="001E42BB"/>
    <w:rsid w:val="001E42C0"/>
    <w:rsid w:val="001E4986"/>
    <w:rsid w:val="001E4AE1"/>
    <w:rsid w:val="001E4D9F"/>
    <w:rsid w:val="001E584A"/>
    <w:rsid w:val="001E62EE"/>
    <w:rsid w:val="001E77B9"/>
    <w:rsid w:val="001F0273"/>
    <w:rsid w:val="001F0F15"/>
    <w:rsid w:val="001F1293"/>
    <w:rsid w:val="001F1E68"/>
    <w:rsid w:val="001F3F25"/>
    <w:rsid w:val="001F486A"/>
    <w:rsid w:val="001F4DE4"/>
    <w:rsid w:val="001F570E"/>
    <w:rsid w:val="001F65F9"/>
    <w:rsid w:val="00200256"/>
    <w:rsid w:val="0020379C"/>
    <w:rsid w:val="00203D6A"/>
    <w:rsid w:val="00204D88"/>
    <w:rsid w:val="002056B8"/>
    <w:rsid w:val="00206B39"/>
    <w:rsid w:val="00206C97"/>
    <w:rsid w:val="00207632"/>
    <w:rsid w:val="0021074C"/>
    <w:rsid w:val="002107B9"/>
    <w:rsid w:val="00210B76"/>
    <w:rsid w:val="002138BE"/>
    <w:rsid w:val="00214AA1"/>
    <w:rsid w:val="00214F52"/>
    <w:rsid w:val="0021565B"/>
    <w:rsid w:val="00216DCE"/>
    <w:rsid w:val="00220062"/>
    <w:rsid w:val="002206D8"/>
    <w:rsid w:val="002206F0"/>
    <w:rsid w:val="002215A2"/>
    <w:rsid w:val="0022183A"/>
    <w:rsid w:val="00221B8C"/>
    <w:rsid w:val="00221F03"/>
    <w:rsid w:val="00223EF8"/>
    <w:rsid w:val="00225ADE"/>
    <w:rsid w:val="00226B81"/>
    <w:rsid w:val="00227796"/>
    <w:rsid w:val="00230006"/>
    <w:rsid w:val="00230112"/>
    <w:rsid w:val="00231DDB"/>
    <w:rsid w:val="002326EC"/>
    <w:rsid w:val="0023391A"/>
    <w:rsid w:val="00233B52"/>
    <w:rsid w:val="00234D00"/>
    <w:rsid w:val="00234ECF"/>
    <w:rsid w:val="00235167"/>
    <w:rsid w:val="002355EC"/>
    <w:rsid w:val="0023625F"/>
    <w:rsid w:val="00236959"/>
    <w:rsid w:val="00237663"/>
    <w:rsid w:val="00240290"/>
    <w:rsid w:val="00240447"/>
    <w:rsid w:val="00240EB1"/>
    <w:rsid w:val="00241825"/>
    <w:rsid w:val="00241D58"/>
    <w:rsid w:val="0024206B"/>
    <w:rsid w:val="00242AD8"/>
    <w:rsid w:val="00242BB8"/>
    <w:rsid w:val="0024382D"/>
    <w:rsid w:val="00243991"/>
    <w:rsid w:val="00244BE1"/>
    <w:rsid w:val="00245558"/>
    <w:rsid w:val="0024630C"/>
    <w:rsid w:val="00246CA8"/>
    <w:rsid w:val="00250B93"/>
    <w:rsid w:val="00250CA5"/>
    <w:rsid w:val="00251924"/>
    <w:rsid w:val="00251A81"/>
    <w:rsid w:val="002538FE"/>
    <w:rsid w:val="00254925"/>
    <w:rsid w:val="0025599C"/>
    <w:rsid w:val="002564DD"/>
    <w:rsid w:val="002571CE"/>
    <w:rsid w:val="00261427"/>
    <w:rsid w:val="00261E45"/>
    <w:rsid w:val="002642D4"/>
    <w:rsid w:val="00264796"/>
    <w:rsid w:val="00265CFA"/>
    <w:rsid w:val="002676F3"/>
    <w:rsid w:val="00267F4B"/>
    <w:rsid w:val="00270229"/>
    <w:rsid w:val="00270750"/>
    <w:rsid w:val="002740FE"/>
    <w:rsid w:val="0027420B"/>
    <w:rsid w:val="002743A0"/>
    <w:rsid w:val="0027459E"/>
    <w:rsid w:val="0027480E"/>
    <w:rsid w:val="00275D59"/>
    <w:rsid w:val="00276B83"/>
    <w:rsid w:val="00281688"/>
    <w:rsid w:val="00281DB3"/>
    <w:rsid w:val="00281E10"/>
    <w:rsid w:val="002821B6"/>
    <w:rsid w:val="00282917"/>
    <w:rsid w:val="00283358"/>
    <w:rsid w:val="0028535D"/>
    <w:rsid w:val="00287766"/>
    <w:rsid w:val="00290569"/>
    <w:rsid w:val="002909E0"/>
    <w:rsid w:val="0029226F"/>
    <w:rsid w:val="0029363D"/>
    <w:rsid w:val="00295307"/>
    <w:rsid w:val="00295FD2"/>
    <w:rsid w:val="00296335"/>
    <w:rsid w:val="00296A65"/>
    <w:rsid w:val="00297913"/>
    <w:rsid w:val="002A00CD"/>
    <w:rsid w:val="002A048B"/>
    <w:rsid w:val="002A17C6"/>
    <w:rsid w:val="002A1861"/>
    <w:rsid w:val="002A21EE"/>
    <w:rsid w:val="002A232F"/>
    <w:rsid w:val="002A24A7"/>
    <w:rsid w:val="002A278F"/>
    <w:rsid w:val="002A3D51"/>
    <w:rsid w:val="002A4BE5"/>
    <w:rsid w:val="002A77F7"/>
    <w:rsid w:val="002B110E"/>
    <w:rsid w:val="002B1E42"/>
    <w:rsid w:val="002B2577"/>
    <w:rsid w:val="002B2A0A"/>
    <w:rsid w:val="002B2A2C"/>
    <w:rsid w:val="002B2B2A"/>
    <w:rsid w:val="002B2E74"/>
    <w:rsid w:val="002B30E4"/>
    <w:rsid w:val="002B4114"/>
    <w:rsid w:val="002B483A"/>
    <w:rsid w:val="002B5649"/>
    <w:rsid w:val="002B597A"/>
    <w:rsid w:val="002B69E8"/>
    <w:rsid w:val="002B6B8D"/>
    <w:rsid w:val="002B7BE0"/>
    <w:rsid w:val="002B7D0B"/>
    <w:rsid w:val="002C1B9C"/>
    <w:rsid w:val="002C246A"/>
    <w:rsid w:val="002C399C"/>
    <w:rsid w:val="002C3FCA"/>
    <w:rsid w:val="002C4B21"/>
    <w:rsid w:val="002C4DE7"/>
    <w:rsid w:val="002C4DF0"/>
    <w:rsid w:val="002C4F53"/>
    <w:rsid w:val="002C5DDC"/>
    <w:rsid w:val="002C5ED5"/>
    <w:rsid w:val="002C603F"/>
    <w:rsid w:val="002D0624"/>
    <w:rsid w:val="002D070E"/>
    <w:rsid w:val="002D0C67"/>
    <w:rsid w:val="002D1337"/>
    <w:rsid w:val="002D206D"/>
    <w:rsid w:val="002D2AF5"/>
    <w:rsid w:val="002D2E45"/>
    <w:rsid w:val="002D31C7"/>
    <w:rsid w:val="002D532E"/>
    <w:rsid w:val="002D56AC"/>
    <w:rsid w:val="002D5AA0"/>
    <w:rsid w:val="002D6443"/>
    <w:rsid w:val="002D6A7F"/>
    <w:rsid w:val="002D7AF9"/>
    <w:rsid w:val="002D7D7F"/>
    <w:rsid w:val="002E0A99"/>
    <w:rsid w:val="002E2084"/>
    <w:rsid w:val="002E28E4"/>
    <w:rsid w:val="002E3C7E"/>
    <w:rsid w:val="002E3D3C"/>
    <w:rsid w:val="002E407C"/>
    <w:rsid w:val="002E42BA"/>
    <w:rsid w:val="002E4362"/>
    <w:rsid w:val="002E5DD8"/>
    <w:rsid w:val="002F106C"/>
    <w:rsid w:val="002F2DE8"/>
    <w:rsid w:val="002F30AF"/>
    <w:rsid w:val="002F535A"/>
    <w:rsid w:val="002F5990"/>
    <w:rsid w:val="002F5DD0"/>
    <w:rsid w:val="002F5EA4"/>
    <w:rsid w:val="002F688F"/>
    <w:rsid w:val="002F7058"/>
    <w:rsid w:val="002F7999"/>
    <w:rsid w:val="002F7F06"/>
    <w:rsid w:val="003002A1"/>
    <w:rsid w:val="00300DA1"/>
    <w:rsid w:val="003026FC"/>
    <w:rsid w:val="0030287F"/>
    <w:rsid w:val="00302C69"/>
    <w:rsid w:val="00302CF8"/>
    <w:rsid w:val="00303BC3"/>
    <w:rsid w:val="0030412B"/>
    <w:rsid w:val="003048F9"/>
    <w:rsid w:val="00304C0E"/>
    <w:rsid w:val="00304D4B"/>
    <w:rsid w:val="00305B23"/>
    <w:rsid w:val="00306437"/>
    <w:rsid w:val="00306A11"/>
    <w:rsid w:val="00306D0B"/>
    <w:rsid w:val="003073F3"/>
    <w:rsid w:val="00307691"/>
    <w:rsid w:val="00311318"/>
    <w:rsid w:val="0031383F"/>
    <w:rsid w:val="00313980"/>
    <w:rsid w:val="00314744"/>
    <w:rsid w:val="003147E1"/>
    <w:rsid w:val="00314F02"/>
    <w:rsid w:val="0031748C"/>
    <w:rsid w:val="00317918"/>
    <w:rsid w:val="003202C4"/>
    <w:rsid w:val="00320F35"/>
    <w:rsid w:val="00321150"/>
    <w:rsid w:val="0032268D"/>
    <w:rsid w:val="003237B8"/>
    <w:rsid w:val="00323A82"/>
    <w:rsid w:val="00323CF6"/>
    <w:rsid w:val="00324A0A"/>
    <w:rsid w:val="003260C7"/>
    <w:rsid w:val="003262B3"/>
    <w:rsid w:val="00326719"/>
    <w:rsid w:val="003278BB"/>
    <w:rsid w:val="00330467"/>
    <w:rsid w:val="00330546"/>
    <w:rsid w:val="003345AC"/>
    <w:rsid w:val="00334EFC"/>
    <w:rsid w:val="00334F0A"/>
    <w:rsid w:val="003351E5"/>
    <w:rsid w:val="0033558D"/>
    <w:rsid w:val="00336471"/>
    <w:rsid w:val="00336D76"/>
    <w:rsid w:val="003401BC"/>
    <w:rsid w:val="00340DCF"/>
    <w:rsid w:val="00340F17"/>
    <w:rsid w:val="00340F7B"/>
    <w:rsid w:val="00342818"/>
    <w:rsid w:val="0034313C"/>
    <w:rsid w:val="00343AAF"/>
    <w:rsid w:val="00344955"/>
    <w:rsid w:val="00344999"/>
    <w:rsid w:val="00345073"/>
    <w:rsid w:val="00345797"/>
    <w:rsid w:val="0034658F"/>
    <w:rsid w:val="003468EE"/>
    <w:rsid w:val="003470D2"/>
    <w:rsid w:val="00347FB4"/>
    <w:rsid w:val="003509BC"/>
    <w:rsid w:val="00351951"/>
    <w:rsid w:val="00351CAB"/>
    <w:rsid w:val="003525D7"/>
    <w:rsid w:val="00352919"/>
    <w:rsid w:val="00352931"/>
    <w:rsid w:val="0035319F"/>
    <w:rsid w:val="00353224"/>
    <w:rsid w:val="00355F4E"/>
    <w:rsid w:val="00356155"/>
    <w:rsid w:val="003561E9"/>
    <w:rsid w:val="003564AD"/>
    <w:rsid w:val="003564C9"/>
    <w:rsid w:val="00356C0E"/>
    <w:rsid w:val="003571D8"/>
    <w:rsid w:val="003602BD"/>
    <w:rsid w:val="00360660"/>
    <w:rsid w:val="00360C38"/>
    <w:rsid w:val="00366263"/>
    <w:rsid w:val="00366CAD"/>
    <w:rsid w:val="00370F1C"/>
    <w:rsid w:val="00372B0C"/>
    <w:rsid w:val="00372BFC"/>
    <w:rsid w:val="00373982"/>
    <w:rsid w:val="0037438E"/>
    <w:rsid w:val="003746F1"/>
    <w:rsid w:val="00374FD9"/>
    <w:rsid w:val="00376299"/>
    <w:rsid w:val="00376D2E"/>
    <w:rsid w:val="00376D73"/>
    <w:rsid w:val="0038014B"/>
    <w:rsid w:val="0038080A"/>
    <w:rsid w:val="0038340E"/>
    <w:rsid w:val="00383AFA"/>
    <w:rsid w:val="00384350"/>
    <w:rsid w:val="00384421"/>
    <w:rsid w:val="00384456"/>
    <w:rsid w:val="00384957"/>
    <w:rsid w:val="00384B4B"/>
    <w:rsid w:val="003854A3"/>
    <w:rsid w:val="0038735B"/>
    <w:rsid w:val="00387810"/>
    <w:rsid w:val="00391765"/>
    <w:rsid w:val="00392C7E"/>
    <w:rsid w:val="003938C5"/>
    <w:rsid w:val="003938ED"/>
    <w:rsid w:val="00393B2C"/>
    <w:rsid w:val="003942A8"/>
    <w:rsid w:val="003947D5"/>
    <w:rsid w:val="00395BB3"/>
    <w:rsid w:val="00396252"/>
    <w:rsid w:val="00397167"/>
    <w:rsid w:val="00397335"/>
    <w:rsid w:val="00397A1F"/>
    <w:rsid w:val="00397A9B"/>
    <w:rsid w:val="003A08F9"/>
    <w:rsid w:val="003A1D5F"/>
    <w:rsid w:val="003A35C6"/>
    <w:rsid w:val="003A3712"/>
    <w:rsid w:val="003A37A4"/>
    <w:rsid w:val="003A40ED"/>
    <w:rsid w:val="003A4E79"/>
    <w:rsid w:val="003A5BA1"/>
    <w:rsid w:val="003A5ECF"/>
    <w:rsid w:val="003A649A"/>
    <w:rsid w:val="003A6E38"/>
    <w:rsid w:val="003A707B"/>
    <w:rsid w:val="003A7D70"/>
    <w:rsid w:val="003B0AB3"/>
    <w:rsid w:val="003B13F4"/>
    <w:rsid w:val="003B17C8"/>
    <w:rsid w:val="003B336B"/>
    <w:rsid w:val="003B4F8B"/>
    <w:rsid w:val="003B599D"/>
    <w:rsid w:val="003B671A"/>
    <w:rsid w:val="003B6AA4"/>
    <w:rsid w:val="003C04A0"/>
    <w:rsid w:val="003C0F95"/>
    <w:rsid w:val="003C19EA"/>
    <w:rsid w:val="003C20F7"/>
    <w:rsid w:val="003C246B"/>
    <w:rsid w:val="003C279A"/>
    <w:rsid w:val="003C3AA0"/>
    <w:rsid w:val="003C456B"/>
    <w:rsid w:val="003C4D20"/>
    <w:rsid w:val="003C4F0B"/>
    <w:rsid w:val="003C65C3"/>
    <w:rsid w:val="003C7763"/>
    <w:rsid w:val="003D03CE"/>
    <w:rsid w:val="003D065E"/>
    <w:rsid w:val="003D1525"/>
    <w:rsid w:val="003D3C38"/>
    <w:rsid w:val="003D4E32"/>
    <w:rsid w:val="003D61F7"/>
    <w:rsid w:val="003D7AA7"/>
    <w:rsid w:val="003E0259"/>
    <w:rsid w:val="003E1F73"/>
    <w:rsid w:val="003E2489"/>
    <w:rsid w:val="003E24ED"/>
    <w:rsid w:val="003E2597"/>
    <w:rsid w:val="003E2B00"/>
    <w:rsid w:val="003E3C7F"/>
    <w:rsid w:val="003E577A"/>
    <w:rsid w:val="003E7984"/>
    <w:rsid w:val="003F15C0"/>
    <w:rsid w:val="003F1D1D"/>
    <w:rsid w:val="003F1DCF"/>
    <w:rsid w:val="003F2DB2"/>
    <w:rsid w:val="003F3256"/>
    <w:rsid w:val="003F3371"/>
    <w:rsid w:val="003F33B9"/>
    <w:rsid w:val="003F3711"/>
    <w:rsid w:val="003F4A99"/>
    <w:rsid w:val="003F4AAF"/>
    <w:rsid w:val="003F4CFB"/>
    <w:rsid w:val="003F4FF6"/>
    <w:rsid w:val="003F6E79"/>
    <w:rsid w:val="003F7464"/>
    <w:rsid w:val="00400864"/>
    <w:rsid w:val="00401F57"/>
    <w:rsid w:val="00402320"/>
    <w:rsid w:val="004032A1"/>
    <w:rsid w:val="00403618"/>
    <w:rsid w:val="00404C00"/>
    <w:rsid w:val="004061C9"/>
    <w:rsid w:val="00406FCF"/>
    <w:rsid w:val="004071D1"/>
    <w:rsid w:val="004077C4"/>
    <w:rsid w:val="00407A7A"/>
    <w:rsid w:val="0041106E"/>
    <w:rsid w:val="00411C37"/>
    <w:rsid w:val="00413893"/>
    <w:rsid w:val="00413D4D"/>
    <w:rsid w:val="0041407A"/>
    <w:rsid w:val="004144D9"/>
    <w:rsid w:val="00416048"/>
    <w:rsid w:val="004161B6"/>
    <w:rsid w:val="00417237"/>
    <w:rsid w:val="00417D82"/>
    <w:rsid w:val="00420386"/>
    <w:rsid w:val="004205F9"/>
    <w:rsid w:val="0042182E"/>
    <w:rsid w:val="004226BD"/>
    <w:rsid w:val="00422D48"/>
    <w:rsid w:val="004233DA"/>
    <w:rsid w:val="004237C6"/>
    <w:rsid w:val="00423E9F"/>
    <w:rsid w:val="0042449F"/>
    <w:rsid w:val="00424B2D"/>
    <w:rsid w:val="00424B31"/>
    <w:rsid w:val="004251EB"/>
    <w:rsid w:val="004257DD"/>
    <w:rsid w:val="00425AD2"/>
    <w:rsid w:val="00425B0A"/>
    <w:rsid w:val="00426C20"/>
    <w:rsid w:val="0043195E"/>
    <w:rsid w:val="00433079"/>
    <w:rsid w:val="004337C4"/>
    <w:rsid w:val="00435536"/>
    <w:rsid w:val="00435573"/>
    <w:rsid w:val="00435BEF"/>
    <w:rsid w:val="0043698B"/>
    <w:rsid w:val="00436C6A"/>
    <w:rsid w:val="00437EF6"/>
    <w:rsid w:val="00441E27"/>
    <w:rsid w:val="0044285A"/>
    <w:rsid w:val="00442D87"/>
    <w:rsid w:val="0044459C"/>
    <w:rsid w:val="00444D9E"/>
    <w:rsid w:val="00445067"/>
    <w:rsid w:val="00446892"/>
    <w:rsid w:val="00446B17"/>
    <w:rsid w:val="004511E1"/>
    <w:rsid w:val="00451684"/>
    <w:rsid w:val="004527C4"/>
    <w:rsid w:val="00452D54"/>
    <w:rsid w:val="00453E73"/>
    <w:rsid w:val="00454C6A"/>
    <w:rsid w:val="00455F4E"/>
    <w:rsid w:val="0045772D"/>
    <w:rsid w:val="00460911"/>
    <w:rsid w:val="004609A3"/>
    <w:rsid w:val="004618F9"/>
    <w:rsid w:val="00461C0D"/>
    <w:rsid w:val="0046282D"/>
    <w:rsid w:val="00463137"/>
    <w:rsid w:val="0046379B"/>
    <w:rsid w:val="00463D40"/>
    <w:rsid w:val="00465F60"/>
    <w:rsid w:val="004663D2"/>
    <w:rsid w:val="004671BA"/>
    <w:rsid w:val="00467B36"/>
    <w:rsid w:val="00471209"/>
    <w:rsid w:val="004718DE"/>
    <w:rsid w:val="00471C66"/>
    <w:rsid w:val="00471E2A"/>
    <w:rsid w:val="00473214"/>
    <w:rsid w:val="0047409F"/>
    <w:rsid w:val="0047418F"/>
    <w:rsid w:val="00474674"/>
    <w:rsid w:val="004753D9"/>
    <w:rsid w:val="00476145"/>
    <w:rsid w:val="00476B76"/>
    <w:rsid w:val="00476E20"/>
    <w:rsid w:val="00477AF1"/>
    <w:rsid w:val="00477CA7"/>
    <w:rsid w:val="00481539"/>
    <w:rsid w:val="0048160D"/>
    <w:rsid w:val="00482334"/>
    <w:rsid w:val="00482AEB"/>
    <w:rsid w:val="00482BE9"/>
    <w:rsid w:val="00482D12"/>
    <w:rsid w:val="0048310F"/>
    <w:rsid w:val="00483929"/>
    <w:rsid w:val="00484763"/>
    <w:rsid w:val="00484FCF"/>
    <w:rsid w:val="0048592A"/>
    <w:rsid w:val="00485D37"/>
    <w:rsid w:val="0048603F"/>
    <w:rsid w:val="00486B22"/>
    <w:rsid w:val="00486CBB"/>
    <w:rsid w:val="0048770A"/>
    <w:rsid w:val="00487BA6"/>
    <w:rsid w:val="00490C08"/>
    <w:rsid w:val="00491888"/>
    <w:rsid w:val="00491C9A"/>
    <w:rsid w:val="00492570"/>
    <w:rsid w:val="00493674"/>
    <w:rsid w:val="00494C45"/>
    <w:rsid w:val="00495938"/>
    <w:rsid w:val="00496029"/>
    <w:rsid w:val="004965FF"/>
    <w:rsid w:val="00496BC2"/>
    <w:rsid w:val="00496C2A"/>
    <w:rsid w:val="004970A8"/>
    <w:rsid w:val="00497A7D"/>
    <w:rsid w:val="004A1D6F"/>
    <w:rsid w:val="004A1D96"/>
    <w:rsid w:val="004A1FB8"/>
    <w:rsid w:val="004A294E"/>
    <w:rsid w:val="004A5B69"/>
    <w:rsid w:val="004A7EA0"/>
    <w:rsid w:val="004B5A5E"/>
    <w:rsid w:val="004B6255"/>
    <w:rsid w:val="004B6793"/>
    <w:rsid w:val="004C0DA6"/>
    <w:rsid w:val="004C1467"/>
    <w:rsid w:val="004C15A0"/>
    <w:rsid w:val="004C2688"/>
    <w:rsid w:val="004C2D16"/>
    <w:rsid w:val="004C4C61"/>
    <w:rsid w:val="004C6D30"/>
    <w:rsid w:val="004C7359"/>
    <w:rsid w:val="004C7906"/>
    <w:rsid w:val="004D0742"/>
    <w:rsid w:val="004D0A8A"/>
    <w:rsid w:val="004D0CAA"/>
    <w:rsid w:val="004D18AB"/>
    <w:rsid w:val="004D200B"/>
    <w:rsid w:val="004D2AFA"/>
    <w:rsid w:val="004D2FEA"/>
    <w:rsid w:val="004D365F"/>
    <w:rsid w:val="004D401B"/>
    <w:rsid w:val="004D4515"/>
    <w:rsid w:val="004D4BDC"/>
    <w:rsid w:val="004D4F1F"/>
    <w:rsid w:val="004D5518"/>
    <w:rsid w:val="004D599F"/>
    <w:rsid w:val="004D5BE4"/>
    <w:rsid w:val="004D6069"/>
    <w:rsid w:val="004E148F"/>
    <w:rsid w:val="004E16E4"/>
    <w:rsid w:val="004E2072"/>
    <w:rsid w:val="004E2153"/>
    <w:rsid w:val="004E237D"/>
    <w:rsid w:val="004E2480"/>
    <w:rsid w:val="004E2E9D"/>
    <w:rsid w:val="004E340B"/>
    <w:rsid w:val="004E418A"/>
    <w:rsid w:val="004E4239"/>
    <w:rsid w:val="004E4574"/>
    <w:rsid w:val="004E4B1A"/>
    <w:rsid w:val="004E4B34"/>
    <w:rsid w:val="004E57DD"/>
    <w:rsid w:val="004E7F69"/>
    <w:rsid w:val="004F0BF9"/>
    <w:rsid w:val="004F1621"/>
    <w:rsid w:val="004F3EE8"/>
    <w:rsid w:val="004F6BFF"/>
    <w:rsid w:val="004F6CDF"/>
    <w:rsid w:val="004F6CF6"/>
    <w:rsid w:val="004F7D66"/>
    <w:rsid w:val="0050092A"/>
    <w:rsid w:val="00500954"/>
    <w:rsid w:val="00502F10"/>
    <w:rsid w:val="00503D6F"/>
    <w:rsid w:val="00503E93"/>
    <w:rsid w:val="00504852"/>
    <w:rsid w:val="005049D8"/>
    <w:rsid w:val="00504DC7"/>
    <w:rsid w:val="005056C1"/>
    <w:rsid w:val="005062AF"/>
    <w:rsid w:val="005069F4"/>
    <w:rsid w:val="00506A35"/>
    <w:rsid w:val="00506C4D"/>
    <w:rsid w:val="00507509"/>
    <w:rsid w:val="0051050A"/>
    <w:rsid w:val="0051252A"/>
    <w:rsid w:val="00513018"/>
    <w:rsid w:val="00513778"/>
    <w:rsid w:val="005147A5"/>
    <w:rsid w:val="00514896"/>
    <w:rsid w:val="0051499C"/>
    <w:rsid w:val="00515994"/>
    <w:rsid w:val="00516117"/>
    <w:rsid w:val="00517091"/>
    <w:rsid w:val="00522ED4"/>
    <w:rsid w:val="0052307A"/>
    <w:rsid w:val="00523ADF"/>
    <w:rsid w:val="00524115"/>
    <w:rsid w:val="005259B6"/>
    <w:rsid w:val="0052666B"/>
    <w:rsid w:val="00526C00"/>
    <w:rsid w:val="005277AA"/>
    <w:rsid w:val="00527A62"/>
    <w:rsid w:val="00527F66"/>
    <w:rsid w:val="00531600"/>
    <w:rsid w:val="00532776"/>
    <w:rsid w:val="00533527"/>
    <w:rsid w:val="00533B5F"/>
    <w:rsid w:val="00534C02"/>
    <w:rsid w:val="00534E51"/>
    <w:rsid w:val="00534E58"/>
    <w:rsid w:val="00535CC1"/>
    <w:rsid w:val="00536270"/>
    <w:rsid w:val="00537709"/>
    <w:rsid w:val="005400B8"/>
    <w:rsid w:val="00540727"/>
    <w:rsid w:val="00541145"/>
    <w:rsid w:val="00541576"/>
    <w:rsid w:val="0054175C"/>
    <w:rsid w:val="00541BD9"/>
    <w:rsid w:val="00543F4A"/>
    <w:rsid w:val="00544B5A"/>
    <w:rsid w:val="00544F60"/>
    <w:rsid w:val="005456FC"/>
    <w:rsid w:val="0054594A"/>
    <w:rsid w:val="00546868"/>
    <w:rsid w:val="005471D0"/>
    <w:rsid w:val="00547B64"/>
    <w:rsid w:val="0055048B"/>
    <w:rsid w:val="00552ADA"/>
    <w:rsid w:val="005560B3"/>
    <w:rsid w:val="0055639B"/>
    <w:rsid w:val="00556B76"/>
    <w:rsid w:val="00560568"/>
    <w:rsid w:val="0056218E"/>
    <w:rsid w:val="00562CB2"/>
    <w:rsid w:val="005632C3"/>
    <w:rsid w:val="00564E99"/>
    <w:rsid w:val="0056550E"/>
    <w:rsid w:val="00567E94"/>
    <w:rsid w:val="0057044A"/>
    <w:rsid w:val="005717FA"/>
    <w:rsid w:val="00572383"/>
    <w:rsid w:val="00573BC5"/>
    <w:rsid w:val="00575802"/>
    <w:rsid w:val="00577959"/>
    <w:rsid w:val="00577FC8"/>
    <w:rsid w:val="00580D95"/>
    <w:rsid w:val="00580E66"/>
    <w:rsid w:val="00581489"/>
    <w:rsid w:val="00582C9F"/>
    <w:rsid w:val="0058408C"/>
    <w:rsid w:val="00584F09"/>
    <w:rsid w:val="00585999"/>
    <w:rsid w:val="00586451"/>
    <w:rsid w:val="0058686E"/>
    <w:rsid w:val="0058710B"/>
    <w:rsid w:val="00587BD7"/>
    <w:rsid w:val="005911E4"/>
    <w:rsid w:val="00592B9F"/>
    <w:rsid w:val="0059417B"/>
    <w:rsid w:val="005947BA"/>
    <w:rsid w:val="0059512C"/>
    <w:rsid w:val="0059723C"/>
    <w:rsid w:val="005A01DF"/>
    <w:rsid w:val="005A18E7"/>
    <w:rsid w:val="005A1C18"/>
    <w:rsid w:val="005A1D68"/>
    <w:rsid w:val="005A26EA"/>
    <w:rsid w:val="005A304D"/>
    <w:rsid w:val="005A4556"/>
    <w:rsid w:val="005A745E"/>
    <w:rsid w:val="005A7862"/>
    <w:rsid w:val="005A7D43"/>
    <w:rsid w:val="005B08F2"/>
    <w:rsid w:val="005B189C"/>
    <w:rsid w:val="005B2CA9"/>
    <w:rsid w:val="005B3078"/>
    <w:rsid w:val="005B3E4A"/>
    <w:rsid w:val="005B3F0B"/>
    <w:rsid w:val="005B42C0"/>
    <w:rsid w:val="005B4747"/>
    <w:rsid w:val="005B5523"/>
    <w:rsid w:val="005B56DD"/>
    <w:rsid w:val="005B59F2"/>
    <w:rsid w:val="005B59F7"/>
    <w:rsid w:val="005B5C61"/>
    <w:rsid w:val="005C050D"/>
    <w:rsid w:val="005C226C"/>
    <w:rsid w:val="005C22F0"/>
    <w:rsid w:val="005C244D"/>
    <w:rsid w:val="005C3024"/>
    <w:rsid w:val="005C32A0"/>
    <w:rsid w:val="005C3704"/>
    <w:rsid w:val="005C3A89"/>
    <w:rsid w:val="005C3B9D"/>
    <w:rsid w:val="005C3CCD"/>
    <w:rsid w:val="005C4824"/>
    <w:rsid w:val="005C4CFB"/>
    <w:rsid w:val="005C4ED0"/>
    <w:rsid w:val="005C53E3"/>
    <w:rsid w:val="005C5E8B"/>
    <w:rsid w:val="005D1802"/>
    <w:rsid w:val="005D1B83"/>
    <w:rsid w:val="005D1E5C"/>
    <w:rsid w:val="005D41DC"/>
    <w:rsid w:val="005D563C"/>
    <w:rsid w:val="005D6348"/>
    <w:rsid w:val="005D6A9E"/>
    <w:rsid w:val="005D71C2"/>
    <w:rsid w:val="005D7211"/>
    <w:rsid w:val="005D7E7A"/>
    <w:rsid w:val="005E0C94"/>
    <w:rsid w:val="005E1001"/>
    <w:rsid w:val="005E156C"/>
    <w:rsid w:val="005E1937"/>
    <w:rsid w:val="005E21A2"/>
    <w:rsid w:val="005E2CDF"/>
    <w:rsid w:val="005E342E"/>
    <w:rsid w:val="005E4094"/>
    <w:rsid w:val="005E491A"/>
    <w:rsid w:val="005E49DA"/>
    <w:rsid w:val="005E5137"/>
    <w:rsid w:val="005E5BFD"/>
    <w:rsid w:val="005E7546"/>
    <w:rsid w:val="005E7706"/>
    <w:rsid w:val="005F00DC"/>
    <w:rsid w:val="005F11C8"/>
    <w:rsid w:val="005F3592"/>
    <w:rsid w:val="005F3F77"/>
    <w:rsid w:val="005F4087"/>
    <w:rsid w:val="005F418D"/>
    <w:rsid w:val="005F5124"/>
    <w:rsid w:val="005F6389"/>
    <w:rsid w:val="005F6CED"/>
    <w:rsid w:val="005F6DF5"/>
    <w:rsid w:val="005F7055"/>
    <w:rsid w:val="005F7301"/>
    <w:rsid w:val="005F7572"/>
    <w:rsid w:val="005F7861"/>
    <w:rsid w:val="00600108"/>
    <w:rsid w:val="0060044D"/>
    <w:rsid w:val="00600BC6"/>
    <w:rsid w:val="00600FDC"/>
    <w:rsid w:val="006014E0"/>
    <w:rsid w:val="0060200C"/>
    <w:rsid w:val="0060241C"/>
    <w:rsid w:val="00602432"/>
    <w:rsid w:val="00605604"/>
    <w:rsid w:val="00605DE7"/>
    <w:rsid w:val="0060664E"/>
    <w:rsid w:val="00606C66"/>
    <w:rsid w:val="00610207"/>
    <w:rsid w:val="00611FA3"/>
    <w:rsid w:val="006120C1"/>
    <w:rsid w:val="00612E6D"/>
    <w:rsid w:val="006138FE"/>
    <w:rsid w:val="00613B90"/>
    <w:rsid w:val="00614F3A"/>
    <w:rsid w:val="00616DFD"/>
    <w:rsid w:val="00617092"/>
    <w:rsid w:val="006206A1"/>
    <w:rsid w:val="00620BE5"/>
    <w:rsid w:val="00620FE3"/>
    <w:rsid w:val="00621167"/>
    <w:rsid w:val="00621504"/>
    <w:rsid w:val="0062181E"/>
    <w:rsid w:val="006221DB"/>
    <w:rsid w:val="00622799"/>
    <w:rsid w:val="00622F46"/>
    <w:rsid w:val="0062384D"/>
    <w:rsid w:val="006241D1"/>
    <w:rsid w:val="00624279"/>
    <w:rsid w:val="006265DD"/>
    <w:rsid w:val="00626ABB"/>
    <w:rsid w:val="00627694"/>
    <w:rsid w:val="006324E6"/>
    <w:rsid w:val="0063530D"/>
    <w:rsid w:val="00636405"/>
    <w:rsid w:val="0063790D"/>
    <w:rsid w:val="00640F5C"/>
    <w:rsid w:val="0064191E"/>
    <w:rsid w:val="00641A3E"/>
    <w:rsid w:val="006423FC"/>
    <w:rsid w:val="00642B05"/>
    <w:rsid w:val="006440DF"/>
    <w:rsid w:val="00644D01"/>
    <w:rsid w:val="006451B6"/>
    <w:rsid w:val="00645240"/>
    <w:rsid w:val="00645C44"/>
    <w:rsid w:val="006465C9"/>
    <w:rsid w:val="00646F79"/>
    <w:rsid w:val="00646FD9"/>
    <w:rsid w:val="00647285"/>
    <w:rsid w:val="006502FA"/>
    <w:rsid w:val="006511D4"/>
    <w:rsid w:val="00652312"/>
    <w:rsid w:val="0065248E"/>
    <w:rsid w:val="006532E7"/>
    <w:rsid w:val="0065403C"/>
    <w:rsid w:val="00655721"/>
    <w:rsid w:val="00655B28"/>
    <w:rsid w:val="00655D14"/>
    <w:rsid w:val="00655EDF"/>
    <w:rsid w:val="00656013"/>
    <w:rsid w:val="006562AB"/>
    <w:rsid w:val="006568A1"/>
    <w:rsid w:val="006569E0"/>
    <w:rsid w:val="00657072"/>
    <w:rsid w:val="0065758A"/>
    <w:rsid w:val="0066185C"/>
    <w:rsid w:val="00662292"/>
    <w:rsid w:val="00662498"/>
    <w:rsid w:val="00662670"/>
    <w:rsid w:val="006630D0"/>
    <w:rsid w:val="006647AE"/>
    <w:rsid w:val="00665032"/>
    <w:rsid w:val="00666C96"/>
    <w:rsid w:val="00666E83"/>
    <w:rsid w:val="00667292"/>
    <w:rsid w:val="00667CB3"/>
    <w:rsid w:val="006713C9"/>
    <w:rsid w:val="006720E3"/>
    <w:rsid w:val="006725DE"/>
    <w:rsid w:val="00674380"/>
    <w:rsid w:val="00674F4A"/>
    <w:rsid w:val="00675D98"/>
    <w:rsid w:val="00676BD6"/>
    <w:rsid w:val="00676D34"/>
    <w:rsid w:val="006778B5"/>
    <w:rsid w:val="00680BF7"/>
    <w:rsid w:val="006820CF"/>
    <w:rsid w:val="0068338C"/>
    <w:rsid w:val="0068490C"/>
    <w:rsid w:val="006853E4"/>
    <w:rsid w:val="00685678"/>
    <w:rsid w:val="0068775E"/>
    <w:rsid w:val="00690016"/>
    <w:rsid w:val="00691583"/>
    <w:rsid w:val="00691D58"/>
    <w:rsid w:val="00692107"/>
    <w:rsid w:val="00692843"/>
    <w:rsid w:val="00693329"/>
    <w:rsid w:val="006933E0"/>
    <w:rsid w:val="0069537E"/>
    <w:rsid w:val="00695596"/>
    <w:rsid w:val="006962CE"/>
    <w:rsid w:val="00696D73"/>
    <w:rsid w:val="006978E1"/>
    <w:rsid w:val="00697CC3"/>
    <w:rsid w:val="006A0210"/>
    <w:rsid w:val="006A137A"/>
    <w:rsid w:val="006A16F7"/>
    <w:rsid w:val="006A2B42"/>
    <w:rsid w:val="006A59BC"/>
    <w:rsid w:val="006A6812"/>
    <w:rsid w:val="006A6B00"/>
    <w:rsid w:val="006A6F04"/>
    <w:rsid w:val="006A76C0"/>
    <w:rsid w:val="006B081E"/>
    <w:rsid w:val="006B11C2"/>
    <w:rsid w:val="006B2437"/>
    <w:rsid w:val="006B377C"/>
    <w:rsid w:val="006B411D"/>
    <w:rsid w:val="006B539E"/>
    <w:rsid w:val="006B54A6"/>
    <w:rsid w:val="006B5777"/>
    <w:rsid w:val="006B65B4"/>
    <w:rsid w:val="006B6B47"/>
    <w:rsid w:val="006B78F1"/>
    <w:rsid w:val="006B7B77"/>
    <w:rsid w:val="006C18D3"/>
    <w:rsid w:val="006C1CC7"/>
    <w:rsid w:val="006C257E"/>
    <w:rsid w:val="006C43B5"/>
    <w:rsid w:val="006C4FEF"/>
    <w:rsid w:val="006C589B"/>
    <w:rsid w:val="006C58E4"/>
    <w:rsid w:val="006C6DD0"/>
    <w:rsid w:val="006C7229"/>
    <w:rsid w:val="006D07AB"/>
    <w:rsid w:val="006D0F84"/>
    <w:rsid w:val="006D144A"/>
    <w:rsid w:val="006D154E"/>
    <w:rsid w:val="006D3330"/>
    <w:rsid w:val="006D38F1"/>
    <w:rsid w:val="006D4145"/>
    <w:rsid w:val="006D42D1"/>
    <w:rsid w:val="006D4571"/>
    <w:rsid w:val="006D4CB4"/>
    <w:rsid w:val="006D5ACA"/>
    <w:rsid w:val="006D5B6B"/>
    <w:rsid w:val="006D73A6"/>
    <w:rsid w:val="006D7B7B"/>
    <w:rsid w:val="006D97D6"/>
    <w:rsid w:val="006E007A"/>
    <w:rsid w:val="006E0386"/>
    <w:rsid w:val="006E03C0"/>
    <w:rsid w:val="006E09D0"/>
    <w:rsid w:val="006E1666"/>
    <w:rsid w:val="006E1AFC"/>
    <w:rsid w:val="006E1DCF"/>
    <w:rsid w:val="006E3A86"/>
    <w:rsid w:val="006E5870"/>
    <w:rsid w:val="006E5F9D"/>
    <w:rsid w:val="006E6253"/>
    <w:rsid w:val="006E6DFA"/>
    <w:rsid w:val="006E7369"/>
    <w:rsid w:val="006E74D5"/>
    <w:rsid w:val="006E76AF"/>
    <w:rsid w:val="006E7828"/>
    <w:rsid w:val="006E7C31"/>
    <w:rsid w:val="006F0F14"/>
    <w:rsid w:val="006F0F8B"/>
    <w:rsid w:val="006F1A52"/>
    <w:rsid w:val="006F1BB9"/>
    <w:rsid w:val="006F206E"/>
    <w:rsid w:val="006F55DF"/>
    <w:rsid w:val="006F57D7"/>
    <w:rsid w:val="006F6C55"/>
    <w:rsid w:val="006F71B5"/>
    <w:rsid w:val="006F7926"/>
    <w:rsid w:val="007003CF"/>
    <w:rsid w:val="007027E1"/>
    <w:rsid w:val="00702932"/>
    <w:rsid w:val="007034F2"/>
    <w:rsid w:val="00705231"/>
    <w:rsid w:val="007054A3"/>
    <w:rsid w:val="00705D9D"/>
    <w:rsid w:val="00706076"/>
    <w:rsid w:val="00707FA2"/>
    <w:rsid w:val="00711950"/>
    <w:rsid w:val="00711EE7"/>
    <w:rsid w:val="00712F60"/>
    <w:rsid w:val="0071350B"/>
    <w:rsid w:val="00714405"/>
    <w:rsid w:val="00715341"/>
    <w:rsid w:val="007200E8"/>
    <w:rsid w:val="00720B73"/>
    <w:rsid w:val="00720F09"/>
    <w:rsid w:val="00722DB6"/>
    <w:rsid w:val="00723DC7"/>
    <w:rsid w:val="00723EFD"/>
    <w:rsid w:val="00724188"/>
    <w:rsid w:val="0072478B"/>
    <w:rsid w:val="00725BF7"/>
    <w:rsid w:val="00725E11"/>
    <w:rsid w:val="0072600D"/>
    <w:rsid w:val="00726C8E"/>
    <w:rsid w:val="0072749E"/>
    <w:rsid w:val="007275EC"/>
    <w:rsid w:val="00731872"/>
    <w:rsid w:val="00732BAA"/>
    <w:rsid w:val="007370CF"/>
    <w:rsid w:val="0073725B"/>
    <w:rsid w:val="00740A92"/>
    <w:rsid w:val="00742892"/>
    <w:rsid w:val="00743400"/>
    <w:rsid w:val="00745157"/>
    <w:rsid w:val="007459DC"/>
    <w:rsid w:val="007469D4"/>
    <w:rsid w:val="007469D6"/>
    <w:rsid w:val="00750151"/>
    <w:rsid w:val="00752506"/>
    <w:rsid w:val="00752FEA"/>
    <w:rsid w:val="007533BA"/>
    <w:rsid w:val="00756C0F"/>
    <w:rsid w:val="00757FBC"/>
    <w:rsid w:val="0076015F"/>
    <w:rsid w:val="007626DB"/>
    <w:rsid w:val="00762770"/>
    <w:rsid w:val="00764195"/>
    <w:rsid w:val="00765792"/>
    <w:rsid w:val="0076686D"/>
    <w:rsid w:val="00770808"/>
    <w:rsid w:val="00770EEE"/>
    <w:rsid w:val="00770F5D"/>
    <w:rsid w:val="007717EE"/>
    <w:rsid w:val="00771B40"/>
    <w:rsid w:val="00772468"/>
    <w:rsid w:val="00773010"/>
    <w:rsid w:val="00773712"/>
    <w:rsid w:val="00773830"/>
    <w:rsid w:val="00774068"/>
    <w:rsid w:val="007744B0"/>
    <w:rsid w:val="00775397"/>
    <w:rsid w:val="00775DCC"/>
    <w:rsid w:val="007760F7"/>
    <w:rsid w:val="00777288"/>
    <w:rsid w:val="00777855"/>
    <w:rsid w:val="00780260"/>
    <w:rsid w:val="00780B65"/>
    <w:rsid w:val="00780DAF"/>
    <w:rsid w:val="00782AA0"/>
    <w:rsid w:val="00782B82"/>
    <w:rsid w:val="007830FB"/>
    <w:rsid w:val="007832E6"/>
    <w:rsid w:val="0078399C"/>
    <w:rsid w:val="0078588D"/>
    <w:rsid w:val="0078671D"/>
    <w:rsid w:val="00787112"/>
    <w:rsid w:val="007871BE"/>
    <w:rsid w:val="00787D6C"/>
    <w:rsid w:val="0079039C"/>
    <w:rsid w:val="00790593"/>
    <w:rsid w:val="0079165E"/>
    <w:rsid w:val="00791960"/>
    <w:rsid w:val="00792897"/>
    <w:rsid w:val="007933D6"/>
    <w:rsid w:val="007934C7"/>
    <w:rsid w:val="00793596"/>
    <w:rsid w:val="007941FB"/>
    <w:rsid w:val="00796E47"/>
    <w:rsid w:val="00796F0A"/>
    <w:rsid w:val="00797F00"/>
    <w:rsid w:val="007A0C3F"/>
    <w:rsid w:val="007A15AB"/>
    <w:rsid w:val="007A17EC"/>
    <w:rsid w:val="007A25B4"/>
    <w:rsid w:val="007A2916"/>
    <w:rsid w:val="007A29BA"/>
    <w:rsid w:val="007A2AAC"/>
    <w:rsid w:val="007A3F0E"/>
    <w:rsid w:val="007A5649"/>
    <w:rsid w:val="007A7625"/>
    <w:rsid w:val="007A7B20"/>
    <w:rsid w:val="007B0691"/>
    <w:rsid w:val="007B0D5E"/>
    <w:rsid w:val="007B1633"/>
    <w:rsid w:val="007B16DF"/>
    <w:rsid w:val="007B2C83"/>
    <w:rsid w:val="007B2DDE"/>
    <w:rsid w:val="007B2FE8"/>
    <w:rsid w:val="007B33A1"/>
    <w:rsid w:val="007B340A"/>
    <w:rsid w:val="007B3604"/>
    <w:rsid w:val="007B3A00"/>
    <w:rsid w:val="007B3B72"/>
    <w:rsid w:val="007B3CCF"/>
    <w:rsid w:val="007B417D"/>
    <w:rsid w:val="007B459F"/>
    <w:rsid w:val="007B460C"/>
    <w:rsid w:val="007B46B3"/>
    <w:rsid w:val="007B5B9D"/>
    <w:rsid w:val="007B763A"/>
    <w:rsid w:val="007B770A"/>
    <w:rsid w:val="007C1BA5"/>
    <w:rsid w:val="007C1FC4"/>
    <w:rsid w:val="007C31EF"/>
    <w:rsid w:val="007C3C96"/>
    <w:rsid w:val="007C46DF"/>
    <w:rsid w:val="007C4DEE"/>
    <w:rsid w:val="007C5138"/>
    <w:rsid w:val="007C52D5"/>
    <w:rsid w:val="007C72A6"/>
    <w:rsid w:val="007C7321"/>
    <w:rsid w:val="007D0A44"/>
    <w:rsid w:val="007D0BC6"/>
    <w:rsid w:val="007D1606"/>
    <w:rsid w:val="007D481B"/>
    <w:rsid w:val="007D4BB7"/>
    <w:rsid w:val="007D5E19"/>
    <w:rsid w:val="007D79E7"/>
    <w:rsid w:val="007E04B8"/>
    <w:rsid w:val="007E0BED"/>
    <w:rsid w:val="007E0E3B"/>
    <w:rsid w:val="007E1918"/>
    <w:rsid w:val="007E242E"/>
    <w:rsid w:val="007E2461"/>
    <w:rsid w:val="007E2D96"/>
    <w:rsid w:val="007E2EC3"/>
    <w:rsid w:val="007E3823"/>
    <w:rsid w:val="007E4022"/>
    <w:rsid w:val="007E40C1"/>
    <w:rsid w:val="007E4869"/>
    <w:rsid w:val="007E49C5"/>
    <w:rsid w:val="007E5A9E"/>
    <w:rsid w:val="007E5B94"/>
    <w:rsid w:val="007E5D46"/>
    <w:rsid w:val="007E67CC"/>
    <w:rsid w:val="007E6B31"/>
    <w:rsid w:val="007E7353"/>
    <w:rsid w:val="007E7AE4"/>
    <w:rsid w:val="007F0912"/>
    <w:rsid w:val="007F0DDB"/>
    <w:rsid w:val="007F1567"/>
    <w:rsid w:val="007F1A92"/>
    <w:rsid w:val="007F2836"/>
    <w:rsid w:val="007F28E0"/>
    <w:rsid w:val="007F292D"/>
    <w:rsid w:val="007F2C08"/>
    <w:rsid w:val="007F2D37"/>
    <w:rsid w:val="007F37E2"/>
    <w:rsid w:val="007F3BCD"/>
    <w:rsid w:val="007F4F8A"/>
    <w:rsid w:val="007F50D6"/>
    <w:rsid w:val="007F60F1"/>
    <w:rsid w:val="007F6A9D"/>
    <w:rsid w:val="007F74FC"/>
    <w:rsid w:val="007F7757"/>
    <w:rsid w:val="007F7BF6"/>
    <w:rsid w:val="007F7FBC"/>
    <w:rsid w:val="00801170"/>
    <w:rsid w:val="00801654"/>
    <w:rsid w:val="008027A7"/>
    <w:rsid w:val="00803324"/>
    <w:rsid w:val="00806467"/>
    <w:rsid w:val="0080683E"/>
    <w:rsid w:val="0080726F"/>
    <w:rsid w:val="00810732"/>
    <w:rsid w:val="00810BEC"/>
    <w:rsid w:val="00811A1E"/>
    <w:rsid w:val="008121AB"/>
    <w:rsid w:val="00812A7D"/>
    <w:rsid w:val="00812E28"/>
    <w:rsid w:val="00812F59"/>
    <w:rsid w:val="00816478"/>
    <w:rsid w:val="00817488"/>
    <w:rsid w:val="00817CEF"/>
    <w:rsid w:val="00820941"/>
    <w:rsid w:val="00821EE6"/>
    <w:rsid w:val="008229EB"/>
    <w:rsid w:val="00822F6B"/>
    <w:rsid w:val="00824C5F"/>
    <w:rsid w:val="00825CA2"/>
    <w:rsid w:val="00825CD4"/>
    <w:rsid w:val="00825F85"/>
    <w:rsid w:val="00827121"/>
    <w:rsid w:val="008272A8"/>
    <w:rsid w:val="00832147"/>
    <w:rsid w:val="00832717"/>
    <w:rsid w:val="00835ADF"/>
    <w:rsid w:val="008374EA"/>
    <w:rsid w:val="00841DDE"/>
    <w:rsid w:val="00843F51"/>
    <w:rsid w:val="008440C0"/>
    <w:rsid w:val="00844B07"/>
    <w:rsid w:val="00844B2B"/>
    <w:rsid w:val="00844EB3"/>
    <w:rsid w:val="008450E8"/>
    <w:rsid w:val="008455BD"/>
    <w:rsid w:val="008461B5"/>
    <w:rsid w:val="00851575"/>
    <w:rsid w:val="00851C40"/>
    <w:rsid w:val="00852714"/>
    <w:rsid w:val="00852962"/>
    <w:rsid w:val="00853A25"/>
    <w:rsid w:val="008542D8"/>
    <w:rsid w:val="008543D4"/>
    <w:rsid w:val="00854755"/>
    <w:rsid w:val="008552A0"/>
    <w:rsid w:val="008559AB"/>
    <w:rsid w:val="00855B2C"/>
    <w:rsid w:val="00856EEA"/>
    <w:rsid w:val="008575D7"/>
    <w:rsid w:val="00860468"/>
    <w:rsid w:val="00861501"/>
    <w:rsid w:val="00861C09"/>
    <w:rsid w:val="00862B38"/>
    <w:rsid w:val="0086398B"/>
    <w:rsid w:val="00863DB9"/>
    <w:rsid w:val="008649F5"/>
    <w:rsid w:val="008650EA"/>
    <w:rsid w:val="008659B3"/>
    <w:rsid w:val="00865EF4"/>
    <w:rsid w:val="008665A5"/>
    <w:rsid w:val="008672ED"/>
    <w:rsid w:val="008707E4"/>
    <w:rsid w:val="008727DA"/>
    <w:rsid w:val="00872DE0"/>
    <w:rsid w:val="00873B2D"/>
    <w:rsid w:val="008746D1"/>
    <w:rsid w:val="00875439"/>
    <w:rsid w:val="00875688"/>
    <w:rsid w:val="00875D21"/>
    <w:rsid w:val="00875F85"/>
    <w:rsid w:val="00877341"/>
    <w:rsid w:val="008775D7"/>
    <w:rsid w:val="00877ADE"/>
    <w:rsid w:val="00877F0B"/>
    <w:rsid w:val="008808F7"/>
    <w:rsid w:val="008811A9"/>
    <w:rsid w:val="00881B6D"/>
    <w:rsid w:val="008826BF"/>
    <w:rsid w:val="00884611"/>
    <w:rsid w:val="00884706"/>
    <w:rsid w:val="00885D2A"/>
    <w:rsid w:val="008868DE"/>
    <w:rsid w:val="00887FD8"/>
    <w:rsid w:val="00890472"/>
    <w:rsid w:val="0089114C"/>
    <w:rsid w:val="00891B8F"/>
    <w:rsid w:val="00891D95"/>
    <w:rsid w:val="008925B9"/>
    <w:rsid w:val="00892723"/>
    <w:rsid w:val="00892F9F"/>
    <w:rsid w:val="00894BAA"/>
    <w:rsid w:val="00895DFB"/>
    <w:rsid w:val="008965BA"/>
    <w:rsid w:val="00896909"/>
    <w:rsid w:val="00896B2C"/>
    <w:rsid w:val="008971EB"/>
    <w:rsid w:val="008973BE"/>
    <w:rsid w:val="00897AF1"/>
    <w:rsid w:val="008A100F"/>
    <w:rsid w:val="008A1944"/>
    <w:rsid w:val="008A2359"/>
    <w:rsid w:val="008A64A7"/>
    <w:rsid w:val="008A6C4E"/>
    <w:rsid w:val="008A6DFA"/>
    <w:rsid w:val="008B015E"/>
    <w:rsid w:val="008B04FC"/>
    <w:rsid w:val="008B06F5"/>
    <w:rsid w:val="008B0CD5"/>
    <w:rsid w:val="008B102B"/>
    <w:rsid w:val="008B1540"/>
    <w:rsid w:val="008B1D47"/>
    <w:rsid w:val="008B2382"/>
    <w:rsid w:val="008B4449"/>
    <w:rsid w:val="008C00F6"/>
    <w:rsid w:val="008C04B3"/>
    <w:rsid w:val="008C08D8"/>
    <w:rsid w:val="008C1419"/>
    <w:rsid w:val="008C14A4"/>
    <w:rsid w:val="008C168C"/>
    <w:rsid w:val="008C18AF"/>
    <w:rsid w:val="008C234A"/>
    <w:rsid w:val="008C29F4"/>
    <w:rsid w:val="008C3229"/>
    <w:rsid w:val="008C3574"/>
    <w:rsid w:val="008C3725"/>
    <w:rsid w:val="008C387E"/>
    <w:rsid w:val="008C395E"/>
    <w:rsid w:val="008C67CA"/>
    <w:rsid w:val="008C67E4"/>
    <w:rsid w:val="008C75E4"/>
    <w:rsid w:val="008D0A18"/>
    <w:rsid w:val="008D0B8A"/>
    <w:rsid w:val="008D2021"/>
    <w:rsid w:val="008D2522"/>
    <w:rsid w:val="008D404A"/>
    <w:rsid w:val="008D49BE"/>
    <w:rsid w:val="008D5103"/>
    <w:rsid w:val="008D7A48"/>
    <w:rsid w:val="008E025A"/>
    <w:rsid w:val="008E0A53"/>
    <w:rsid w:val="008E2FAC"/>
    <w:rsid w:val="008E3664"/>
    <w:rsid w:val="008E3EC7"/>
    <w:rsid w:val="008E437D"/>
    <w:rsid w:val="008E44D7"/>
    <w:rsid w:val="008E4D93"/>
    <w:rsid w:val="008E5895"/>
    <w:rsid w:val="008E5A39"/>
    <w:rsid w:val="008E5C7B"/>
    <w:rsid w:val="008E60BF"/>
    <w:rsid w:val="008E639A"/>
    <w:rsid w:val="008E6530"/>
    <w:rsid w:val="008E65F9"/>
    <w:rsid w:val="008E71BA"/>
    <w:rsid w:val="008E7469"/>
    <w:rsid w:val="008E78D7"/>
    <w:rsid w:val="008F1370"/>
    <w:rsid w:val="008F154C"/>
    <w:rsid w:val="008F1954"/>
    <w:rsid w:val="008F223D"/>
    <w:rsid w:val="008F2EDE"/>
    <w:rsid w:val="008F36F4"/>
    <w:rsid w:val="008F395E"/>
    <w:rsid w:val="008F4FB8"/>
    <w:rsid w:val="008F50AD"/>
    <w:rsid w:val="008F54ED"/>
    <w:rsid w:val="008F57B2"/>
    <w:rsid w:val="008F60FD"/>
    <w:rsid w:val="008F61E3"/>
    <w:rsid w:val="008F708A"/>
    <w:rsid w:val="008F75B6"/>
    <w:rsid w:val="008F7764"/>
    <w:rsid w:val="008F7C5C"/>
    <w:rsid w:val="009007DD"/>
    <w:rsid w:val="00901173"/>
    <w:rsid w:val="009014F7"/>
    <w:rsid w:val="0090345A"/>
    <w:rsid w:val="00903888"/>
    <w:rsid w:val="009051A4"/>
    <w:rsid w:val="009054F5"/>
    <w:rsid w:val="00906ACD"/>
    <w:rsid w:val="009110E2"/>
    <w:rsid w:val="0091153E"/>
    <w:rsid w:val="00911FA1"/>
    <w:rsid w:val="00911FB3"/>
    <w:rsid w:val="00912630"/>
    <w:rsid w:val="00912947"/>
    <w:rsid w:val="0091398E"/>
    <w:rsid w:val="00914486"/>
    <w:rsid w:val="009145C5"/>
    <w:rsid w:val="009146EF"/>
    <w:rsid w:val="00914DCD"/>
    <w:rsid w:val="009154DF"/>
    <w:rsid w:val="0091601A"/>
    <w:rsid w:val="0091610B"/>
    <w:rsid w:val="0091630B"/>
    <w:rsid w:val="009223F8"/>
    <w:rsid w:val="00923B60"/>
    <w:rsid w:val="00924094"/>
    <w:rsid w:val="009243C8"/>
    <w:rsid w:val="00924973"/>
    <w:rsid w:val="00924CB6"/>
    <w:rsid w:val="009257AD"/>
    <w:rsid w:val="009264F2"/>
    <w:rsid w:val="00926CF9"/>
    <w:rsid w:val="009272C4"/>
    <w:rsid w:val="00927FA3"/>
    <w:rsid w:val="0093020A"/>
    <w:rsid w:val="00930729"/>
    <w:rsid w:val="009310F8"/>
    <w:rsid w:val="00933FAD"/>
    <w:rsid w:val="00935FC2"/>
    <w:rsid w:val="0093735D"/>
    <w:rsid w:val="00937947"/>
    <w:rsid w:val="00937B9C"/>
    <w:rsid w:val="00942324"/>
    <w:rsid w:val="00943869"/>
    <w:rsid w:val="00943BCD"/>
    <w:rsid w:val="009448AE"/>
    <w:rsid w:val="009448F5"/>
    <w:rsid w:val="0094595C"/>
    <w:rsid w:val="00945CD0"/>
    <w:rsid w:val="0094690B"/>
    <w:rsid w:val="0094697C"/>
    <w:rsid w:val="009521E8"/>
    <w:rsid w:val="00952230"/>
    <w:rsid w:val="00952982"/>
    <w:rsid w:val="00952B2D"/>
    <w:rsid w:val="00953061"/>
    <w:rsid w:val="00954352"/>
    <w:rsid w:val="00954CD9"/>
    <w:rsid w:val="0095504A"/>
    <w:rsid w:val="00955276"/>
    <w:rsid w:val="00955C3F"/>
    <w:rsid w:val="00956469"/>
    <w:rsid w:val="0095662A"/>
    <w:rsid w:val="0095665C"/>
    <w:rsid w:val="00956B3B"/>
    <w:rsid w:val="00956F66"/>
    <w:rsid w:val="00957848"/>
    <w:rsid w:val="0096052A"/>
    <w:rsid w:val="009607E5"/>
    <w:rsid w:val="0096215E"/>
    <w:rsid w:val="00962E55"/>
    <w:rsid w:val="009635E2"/>
    <w:rsid w:val="00963E7E"/>
    <w:rsid w:val="00964454"/>
    <w:rsid w:val="00965B53"/>
    <w:rsid w:val="00966BC8"/>
    <w:rsid w:val="00967096"/>
    <w:rsid w:val="00967DBC"/>
    <w:rsid w:val="009706A5"/>
    <w:rsid w:val="00970768"/>
    <w:rsid w:val="0097162F"/>
    <w:rsid w:val="00972C6C"/>
    <w:rsid w:val="0097339A"/>
    <w:rsid w:val="00974436"/>
    <w:rsid w:val="00974675"/>
    <w:rsid w:val="0097528F"/>
    <w:rsid w:val="009760BE"/>
    <w:rsid w:val="0097750F"/>
    <w:rsid w:val="00981655"/>
    <w:rsid w:val="00981D87"/>
    <w:rsid w:val="00983F9B"/>
    <w:rsid w:val="00984E62"/>
    <w:rsid w:val="0098595D"/>
    <w:rsid w:val="00985A8F"/>
    <w:rsid w:val="00991F0E"/>
    <w:rsid w:val="00991FFF"/>
    <w:rsid w:val="00992552"/>
    <w:rsid w:val="00992C8D"/>
    <w:rsid w:val="009943A9"/>
    <w:rsid w:val="009949C1"/>
    <w:rsid w:val="009965FC"/>
    <w:rsid w:val="00997460"/>
    <w:rsid w:val="009A0469"/>
    <w:rsid w:val="009A0622"/>
    <w:rsid w:val="009A1829"/>
    <w:rsid w:val="009A4336"/>
    <w:rsid w:val="009A44BF"/>
    <w:rsid w:val="009A5C16"/>
    <w:rsid w:val="009A6211"/>
    <w:rsid w:val="009B0004"/>
    <w:rsid w:val="009B211C"/>
    <w:rsid w:val="009B3387"/>
    <w:rsid w:val="009B42E4"/>
    <w:rsid w:val="009B4CC7"/>
    <w:rsid w:val="009B6224"/>
    <w:rsid w:val="009B753F"/>
    <w:rsid w:val="009B755B"/>
    <w:rsid w:val="009B7D64"/>
    <w:rsid w:val="009C1332"/>
    <w:rsid w:val="009C2280"/>
    <w:rsid w:val="009C2ECA"/>
    <w:rsid w:val="009C36E6"/>
    <w:rsid w:val="009C3D0F"/>
    <w:rsid w:val="009C4B28"/>
    <w:rsid w:val="009C4C55"/>
    <w:rsid w:val="009C703D"/>
    <w:rsid w:val="009D0145"/>
    <w:rsid w:val="009D0DCC"/>
    <w:rsid w:val="009D0FD6"/>
    <w:rsid w:val="009D10A3"/>
    <w:rsid w:val="009D1FDB"/>
    <w:rsid w:val="009D25BE"/>
    <w:rsid w:val="009D29B1"/>
    <w:rsid w:val="009D6AF5"/>
    <w:rsid w:val="009D6C97"/>
    <w:rsid w:val="009D7E42"/>
    <w:rsid w:val="009E07DE"/>
    <w:rsid w:val="009E108B"/>
    <w:rsid w:val="009E153C"/>
    <w:rsid w:val="009E6419"/>
    <w:rsid w:val="009E74E1"/>
    <w:rsid w:val="009E783C"/>
    <w:rsid w:val="009F0D3C"/>
    <w:rsid w:val="009F15B8"/>
    <w:rsid w:val="009F1A43"/>
    <w:rsid w:val="009F1B0D"/>
    <w:rsid w:val="009F21B1"/>
    <w:rsid w:val="009F32A7"/>
    <w:rsid w:val="009F34CF"/>
    <w:rsid w:val="009F5204"/>
    <w:rsid w:val="009F57E9"/>
    <w:rsid w:val="009F5BC4"/>
    <w:rsid w:val="009F5E55"/>
    <w:rsid w:val="009F683B"/>
    <w:rsid w:val="009F72C7"/>
    <w:rsid w:val="009F7DF1"/>
    <w:rsid w:val="009F7E08"/>
    <w:rsid w:val="00A0103A"/>
    <w:rsid w:val="00A035D4"/>
    <w:rsid w:val="00A039B1"/>
    <w:rsid w:val="00A042A2"/>
    <w:rsid w:val="00A0432F"/>
    <w:rsid w:val="00A04447"/>
    <w:rsid w:val="00A05127"/>
    <w:rsid w:val="00A051BB"/>
    <w:rsid w:val="00A05B78"/>
    <w:rsid w:val="00A0627D"/>
    <w:rsid w:val="00A06528"/>
    <w:rsid w:val="00A06BC8"/>
    <w:rsid w:val="00A076A8"/>
    <w:rsid w:val="00A07ACA"/>
    <w:rsid w:val="00A07D77"/>
    <w:rsid w:val="00A1029C"/>
    <w:rsid w:val="00A10B3E"/>
    <w:rsid w:val="00A12774"/>
    <w:rsid w:val="00A13881"/>
    <w:rsid w:val="00A145FB"/>
    <w:rsid w:val="00A1482E"/>
    <w:rsid w:val="00A1639C"/>
    <w:rsid w:val="00A16603"/>
    <w:rsid w:val="00A16B5E"/>
    <w:rsid w:val="00A17A5D"/>
    <w:rsid w:val="00A204CB"/>
    <w:rsid w:val="00A21293"/>
    <w:rsid w:val="00A21582"/>
    <w:rsid w:val="00A2179F"/>
    <w:rsid w:val="00A217B0"/>
    <w:rsid w:val="00A22150"/>
    <w:rsid w:val="00A2262F"/>
    <w:rsid w:val="00A239E0"/>
    <w:rsid w:val="00A25A96"/>
    <w:rsid w:val="00A2655A"/>
    <w:rsid w:val="00A268B4"/>
    <w:rsid w:val="00A27B05"/>
    <w:rsid w:val="00A27D0F"/>
    <w:rsid w:val="00A3104F"/>
    <w:rsid w:val="00A310D5"/>
    <w:rsid w:val="00A324AA"/>
    <w:rsid w:val="00A33295"/>
    <w:rsid w:val="00A33A49"/>
    <w:rsid w:val="00A36E26"/>
    <w:rsid w:val="00A37773"/>
    <w:rsid w:val="00A40C43"/>
    <w:rsid w:val="00A4127F"/>
    <w:rsid w:val="00A4295F"/>
    <w:rsid w:val="00A433CF"/>
    <w:rsid w:val="00A43DAD"/>
    <w:rsid w:val="00A43E80"/>
    <w:rsid w:val="00A44292"/>
    <w:rsid w:val="00A44C09"/>
    <w:rsid w:val="00A45388"/>
    <w:rsid w:val="00A4599B"/>
    <w:rsid w:val="00A474F1"/>
    <w:rsid w:val="00A51ACA"/>
    <w:rsid w:val="00A53F11"/>
    <w:rsid w:val="00A54607"/>
    <w:rsid w:val="00A54635"/>
    <w:rsid w:val="00A5507C"/>
    <w:rsid w:val="00A558B4"/>
    <w:rsid w:val="00A55A0D"/>
    <w:rsid w:val="00A56576"/>
    <w:rsid w:val="00A57867"/>
    <w:rsid w:val="00A61CA1"/>
    <w:rsid w:val="00A61DB2"/>
    <w:rsid w:val="00A62FEB"/>
    <w:rsid w:val="00A664D4"/>
    <w:rsid w:val="00A66870"/>
    <w:rsid w:val="00A66AA6"/>
    <w:rsid w:val="00A67AE3"/>
    <w:rsid w:val="00A67E5B"/>
    <w:rsid w:val="00A7053B"/>
    <w:rsid w:val="00A70D8A"/>
    <w:rsid w:val="00A71471"/>
    <w:rsid w:val="00A71C07"/>
    <w:rsid w:val="00A72A0C"/>
    <w:rsid w:val="00A72C7D"/>
    <w:rsid w:val="00A7303A"/>
    <w:rsid w:val="00A73456"/>
    <w:rsid w:val="00A7413B"/>
    <w:rsid w:val="00A747B8"/>
    <w:rsid w:val="00A75D3B"/>
    <w:rsid w:val="00A7709F"/>
    <w:rsid w:val="00A77CDA"/>
    <w:rsid w:val="00A801D0"/>
    <w:rsid w:val="00A81F8A"/>
    <w:rsid w:val="00A83053"/>
    <w:rsid w:val="00A83530"/>
    <w:rsid w:val="00A84314"/>
    <w:rsid w:val="00A84FCD"/>
    <w:rsid w:val="00A8587F"/>
    <w:rsid w:val="00A86030"/>
    <w:rsid w:val="00A871EE"/>
    <w:rsid w:val="00A906BE"/>
    <w:rsid w:val="00A938D7"/>
    <w:rsid w:val="00A94E73"/>
    <w:rsid w:val="00A956AC"/>
    <w:rsid w:val="00A95BD3"/>
    <w:rsid w:val="00A95DBB"/>
    <w:rsid w:val="00A95F85"/>
    <w:rsid w:val="00A9614B"/>
    <w:rsid w:val="00A973AC"/>
    <w:rsid w:val="00A97E37"/>
    <w:rsid w:val="00AA1881"/>
    <w:rsid w:val="00AA1BA1"/>
    <w:rsid w:val="00AA1FBF"/>
    <w:rsid w:val="00AA2026"/>
    <w:rsid w:val="00AA2143"/>
    <w:rsid w:val="00AA25B3"/>
    <w:rsid w:val="00AA3083"/>
    <w:rsid w:val="00AA36FE"/>
    <w:rsid w:val="00AA3799"/>
    <w:rsid w:val="00AA3BB8"/>
    <w:rsid w:val="00AA3ECA"/>
    <w:rsid w:val="00AA4F32"/>
    <w:rsid w:val="00AA61EC"/>
    <w:rsid w:val="00AA73A3"/>
    <w:rsid w:val="00AA766D"/>
    <w:rsid w:val="00AB0319"/>
    <w:rsid w:val="00AB0C82"/>
    <w:rsid w:val="00AB11C6"/>
    <w:rsid w:val="00AB1720"/>
    <w:rsid w:val="00AB196B"/>
    <w:rsid w:val="00AB1D5D"/>
    <w:rsid w:val="00AB1F11"/>
    <w:rsid w:val="00AB2347"/>
    <w:rsid w:val="00AB2387"/>
    <w:rsid w:val="00AB3316"/>
    <w:rsid w:val="00AB3D3D"/>
    <w:rsid w:val="00AB6E55"/>
    <w:rsid w:val="00AB75F0"/>
    <w:rsid w:val="00AC08BB"/>
    <w:rsid w:val="00AC0E3C"/>
    <w:rsid w:val="00AC2250"/>
    <w:rsid w:val="00AC2591"/>
    <w:rsid w:val="00AC2932"/>
    <w:rsid w:val="00AC3392"/>
    <w:rsid w:val="00AC3397"/>
    <w:rsid w:val="00AC3D0E"/>
    <w:rsid w:val="00AC4B61"/>
    <w:rsid w:val="00AC558F"/>
    <w:rsid w:val="00AC6650"/>
    <w:rsid w:val="00AD0592"/>
    <w:rsid w:val="00AD0C8B"/>
    <w:rsid w:val="00AD132B"/>
    <w:rsid w:val="00AD1FC3"/>
    <w:rsid w:val="00AD228F"/>
    <w:rsid w:val="00AD289C"/>
    <w:rsid w:val="00AD35E3"/>
    <w:rsid w:val="00AD4244"/>
    <w:rsid w:val="00AD4302"/>
    <w:rsid w:val="00AD5DB7"/>
    <w:rsid w:val="00AD62BB"/>
    <w:rsid w:val="00AE0E48"/>
    <w:rsid w:val="00AE0F56"/>
    <w:rsid w:val="00AE2A63"/>
    <w:rsid w:val="00AE2AD0"/>
    <w:rsid w:val="00AE2C1A"/>
    <w:rsid w:val="00AE3C50"/>
    <w:rsid w:val="00AE4675"/>
    <w:rsid w:val="00AE4B36"/>
    <w:rsid w:val="00AE5ED6"/>
    <w:rsid w:val="00AE6411"/>
    <w:rsid w:val="00AE67ED"/>
    <w:rsid w:val="00AE735B"/>
    <w:rsid w:val="00AE7BA2"/>
    <w:rsid w:val="00AF0A84"/>
    <w:rsid w:val="00AF0F9C"/>
    <w:rsid w:val="00AF18E9"/>
    <w:rsid w:val="00AF19EE"/>
    <w:rsid w:val="00AF250C"/>
    <w:rsid w:val="00AF29F8"/>
    <w:rsid w:val="00AF2BAA"/>
    <w:rsid w:val="00AF2D7F"/>
    <w:rsid w:val="00AF3363"/>
    <w:rsid w:val="00AF35DD"/>
    <w:rsid w:val="00AF3E98"/>
    <w:rsid w:val="00AF5B48"/>
    <w:rsid w:val="00AF6032"/>
    <w:rsid w:val="00AF66B0"/>
    <w:rsid w:val="00AF6860"/>
    <w:rsid w:val="00AF767D"/>
    <w:rsid w:val="00B00055"/>
    <w:rsid w:val="00B00535"/>
    <w:rsid w:val="00B034CE"/>
    <w:rsid w:val="00B05C04"/>
    <w:rsid w:val="00B06025"/>
    <w:rsid w:val="00B06B3C"/>
    <w:rsid w:val="00B0771B"/>
    <w:rsid w:val="00B077C6"/>
    <w:rsid w:val="00B10BAE"/>
    <w:rsid w:val="00B11359"/>
    <w:rsid w:val="00B113D6"/>
    <w:rsid w:val="00B12BA5"/>
    <w:rsid w:val="00B12EBC"/>
    <w:rsid w:val="00B132EA"/>
    <w:rsid w:val="00B14DE4"/>
    <w:rsid w:val="00B15166"/>
    <w:rsid w:val="00B16481"/>
    <w:rsid w:val="00B16F6F"/>
    <w:rsid w:val="00B17B0D"/>
    <w:rsid w:val="00B17E4A"/>
    <w:rsid w:val="00B17F2A"/>
    <w:rsid w:val="00B2012E"/>
    <w:rsid w:val="00B219C6"/>
    <w:rsid w:val="00B219E8"/>
    <w:rsid w:val="00B21D21"/>
    <w:rsid w:val="00B2326E"/>
    <w:rsid w:val="00B24127"/>
    <w:rsid w:val="00B24E1B"/>
    <w:rsid w:val="00B24E33"/>
    <w:rsid w:val="00B2583A"/>
    <w:rsid w:val="00B3096B"/>
    <w:rsid w:val="00B319E2"/>
    <w:rsid w:val="00B3284A"/>
    <w:rsid w:val="00B32941"/>
    <w:rsid w:val="00B32EF1"/>
    <w:rsid w:val="00B33994"/>
    <w:rsid w:val="00B341FC"/>
    <w:rsid w:val="00B349D1"/>
    <w:rsid w:val="00B34F22"/>
    <w:rsid w:val="00B3562F"/>
    <w:rsid w:val="00B35896"/>
    <w:rsid w:val="00B35A48"/>
    <w:rsid w:val="00B35C30"/>
    <w:rsid w:val="00B365D3"/>
    <w:rsid w:val="00B365FD"/>
    <w:rsid w:val="00B41307"/>
    <w:rsid w:val="00B42993"/>
    <w:rsid w:val="00B4322F"/>
    <w:rsid w:val="00B438E0"/>
    <w:rsid w:val="00B43CFC"/>
    <w:rsid w:val="00B450A4"/>
    <w:rsid w:val="00B4542E"/>
    <w:rsid w:val="00B454B3"/>
    <w:rsid w:val="00B45C39"/>
    <w:rsid w:val="00B45EAE"/>
    <w:rsid w:val="00B46581"/>
    <w:rsid w:val="00B47B57"/>
    <w:rsid w:val="00B50161"/>
    <w:rsid w:val="00B501A0"/>
    <w:rsid w:val="00B50C64"/>
    <w:rsid w:val="00B51A39"/>
    <w:rsid w:val="00B51F01"/>
    <w:rsid w:val="00B52276"/>
    <w:rsid w:val="00B52528"/>
    <w:rsid w:val="00B5494F"/>
    <w:rsid w:val="00B54D52"/>
    <w:rsid w:val="00B56806"/>
    <w:rsid w:val="00B5729C"/>
    <w:rsid w:val="00B5760F"/>
    <w:rsid w:val="00B6030E"/>
    <w:rsid w:val="00B60F7A"/>
    <w:rsid w:val="00B61190"/>
    <w:rsid w:val="00B61853"/>
    <w:rsid w:val="00B61AF2"/>
    <w:rsid w:val="00B61C90"/>
    <w:rsid w:val="00B636A3"/>
    <w:rsid w:val="00B64EB2"/>
    <w:rsid w:val="00B653B7"/>
    <w:rsid w:val="00B65EDC"/>
    <w:rsid w:val="00B666BD"/>
    <w:rsid w:val="00B67068"/>
    <w:rsid w:val="00B70779"/>
    <w:rsid w:val="00B70D47"/>
    <w:rsid w:val="00B70EB1"/>
    <w:rsid w:val="00B71BA0"/>
    <w:rsid w:val="00B72FBD"/>
    <w:rsid w:val="00B74358"/>
    <w:rsid w:val="00B747CE"/>
    <w:rsid w:val="00B75505"/>
    <w:rsid w:val="00B75AB5"/>
    <w:rsid w:val="00B76156"/>
    <w:rsid w:val="00B77597"/>
    <w:rsid w:val="00B80AC5"/>
    <w:rsid w:val="00B812F9"/>
    <w:rsid w:val="00B815D9"/>
    <w:rsid w:val="00B818B6"/>
    <w:rsid w:val="00B81A9B"/>
    <w:rsid w:val="00B822E9"/>
    <w:rsid w:val="00B85A2B"/>
    <w:rsid w:val="00B86196"/>
    <w:rsid w:val="00B866B1"/>
    <w:rsid w:val="00B866DC"/>
    <w:rsid w:val="00B86C49"/>
    <w:rsid w:val="00B87190"/>
    <w:rsid w:val="00B8765F"/>
    <w:rsid w:val="00B87744"/>
    <w:rsid w:val="00B911D1"/>
    <w:rsid w:val="00B92422"/>
    <w:rsid w:val="00B92519"/>
    <w:rsid w:val="00B92653"/>
    <w:rsid w:val="00B929D6"/>
    <w:rsid w:val="00B9506D"/>
    <w:rsid w:val="00B9650F"/>
    <w:rsid w:val="00B96736"/>
    <w:rsid w:val="00B96B90"/>
    <w:rsid w:val="00B976A7"/>
    <w:rsid w:val="00B97C0E"/>
    <w:rsid w:val="00BA14C0"/>
    <w:rsid w:val="00BA1DA0"/>
    <w:rsid w:val="00BA4E26"/>
    <w:rsid w:val="00BA59B1"/>
    <w:rsid w:val="00BB0BAB"/>
    <w:rsid w:val="00BB1053"/>
    <w:rsid w:val="00BB1116"/>
    <w:rsid w:val="00BB1597"/>
    <w:rsid w:val="00BB569E"/>
    <w:rsid w:val="00BB6021"/>
    <w:rsid w:val="00BB6D49"/>
    <w:rsid w:val="00BB7297"/>
    <w:rsid w:val="00BB76D7"/>
    <w:rsid w:val="00BB7754"/>
    <w:rsid w:val="00BC1972"/>
    <w:rsid w:val="00BC1C88"/>
    <w:rsid w:val="00BC2363"/>
    <w:rsid w:val="00BC27F7"/>
    <w:rsid w:val="00BC2CC9"/>
    <w:rsid w:val="00BC3238"/>
    <w:rsid w:val="00BC3E7D"/>
    <w:rsid w:val="00BC41D5"/>
    <w:rsid w:val="00BC4A17"/>
    <w:rsid w:val="00BC5240"/>
    <w:rsid w:val="00BC57D0"/>
    <w:rsid w:val="00BC65A4"/>
    <w:rsid w:val="00BC6ACD"/>
    <w:rsid w:val="00BC6DB9"/>
    <w:rsid w:val="00BC7A94"/>
    <w:rsid w:val="00BC7E3F"/>
    <w:rsid w:val="00BC7F4A"/>
    <w:rsid w:val="00BD34B1"/>
    <w:rsid w:val="00BD383F"/>
    <w:rsid w:val="00BD3CE7"/>
    <w:rsid w:val="00BD4323"/>
    <w:rsid w:val="00BD55F9"/>
    <w:rsid w:val="00BD610F"/>
    <w:rsid w:val="00BD63DD"/>
    <w:rsid w:val="00BD721B"/>
    <w:rsid w:val="00BE0E94"/>
    <w:rsid w:val="00BE3B78"/>
    <w:rsid w:val="00BE3DCD"/>
    <w:rsid w:val="00BE4694"/>
    <w:rsid w:val="00BE4CBC"/>
    <w:rsid w:val="00BE5447"/>
    <w:rsid w:val="00BE5CBA"/>
    <w:rsid w:val="00BE7A42"/>
    <w:rsid w:val="00BF0547"/>
    <w:rsid w:val="00BF0955"/>
    <w:rsid w:val="00BF1444"/>
    <w:rsid w:val="00BF1BEA"/>
    <w:rsid w:val="00BF222B"/>
    <w:rsid w:val="00BF231C"/>
    <w:rsid w:val="00BF3A13"/>
    <w:rsid w:val="00BF4127"/>
    <w:rsid w:val="00BF4F59"/>
    <w:rsid w:val="00BF56BB"/>
    <w:rsid w:val="00BF6135"/>
    <w:rsid w:val="00BF63EA"/>
    <w:rsid w:val="00BF6F2D"/>
    <w:rsid w:val="00C0018C"/>
    <w:rsid w:val="00C014D6"/>
    <w:rsid w:val="00C01F1C"/>
    <w:rsid w:val="00C03B1C"/>
    <w:rsid w:val="00C041E9"/>
    <w:rsid w:val="00C04611"/>
    <w:rsid w:val="00C06D80"/>
    <w:rsid w:val="00C07835"/>
    <w:rsid w:val="00C07EB4"/>
    <w:rsid w:val="00C101A5"/>
    <w:rsid w:val="00C10A69"/>
    <w:rsid w:val="00C10F1C"/>
    <w:rsid w:val="00C10FD5"/>
    <w:rsid w:val="00C11AB4"/>
    <w:rsid w:val="00C139B7"/>
    <w:rsid w:val="00C13E6C"/>
    <w:rsid w:val="00C14542"/>
    <w:rsid w:val="00C15148"/>
    <w:rsid w:val="00C16452"/>
    <w:rsid w:val="00C20237"/>
    <w:rsid w:val="00C215B4"/>
    <w:rsid w:val="00C227D7"/>
    <w:rsid w:val="00C23EAB"/>
    <w:rsid w:val="00C25B9D"/>
    <w:rsid w:val="00C25EC9"/>
    <w:rsid w:val="00C26564"/>
    <w:rsid w:val="00C27945"/>
    <w:rsid w:val="00C27A2E"/>
    <w:rsid w:val="00C3156A"/>
    <w:rsid w:val="00C33D28"/>
    <w:rsid w:val="00C33EFA"/>
    <w:rsid w:val="00C343B8"/>
    <w:rsid w:val="00C36D98"/>
    <w:rsid w:val="00C37035"/>
    <w:rsid w:val="00C37571"/>
    <w:rsid w:val="00C40588"/>
    <w:rsid w:val="00C4088A"/>
    <w:rsid w:val="00C42BA9"/>
    <w:rsid w:val="00C42E43"/>
    <w:rsid w:val="00C43CC5"/>
    <w:rsid w:val="00C43F19"/>
    <w:rsid w:val="00C446B1"/>
    <w:rsid w:val="00C45166"/>
    <w:rsid w:val="00C45D12"/>
    <w:rsid w:val="00C4612A"/>
    <w:rsid w:val="00C46BE5"/>
    <w:rsid w:val="00C47419"/>
    <w:rsid w:val="00C474BB"/>
    <w:rsid w:val="00C479C4"/>
    <w:rsid w:val="00C5053B"/>
    <w:rsid w:val="00C51262"/>
    <w:rsid w:val="00C51B58"/>
    <w:rsid w:val="00C52D8E"/>
    <w:rsid w:val="00C549CC"/>
    <w:rsid w:val="00C54A85"/>
    <w:rsid w:val="00C54BDE"/>
    <w:rsid w:val="00C54EAB"/>
    <w:rsid w:val="00C55804"/>
    <w:rsid w:val="00C55C42"/>
    <w:rsid w:val="00C560B5"/>
    <w:rsid w:val="00C560E4"/>
    <w:rsid w:val="00C56174"/>
    <w:rsid w:val="00C5650D"/>
    <w:rsid w:val="00C56614"/>
    <w:rsid w:val="00C60B9A"/>
    <w:rsid w:val="00C61FEB"/>
    <w:rsid w:val="00C6252E"/>
    <w:rsid w:val="00C62EEC"/>
    <w:rsid w:val="00C63727"/>
    <w:rsid w:val="00C63AF3"/>
    <w:rsid w:val="00C65088"/>
    <w:rsid w:val="00C66E28"/>
    <w:rsid w:val="00C671DC"/>
    <w:rsid w:val="00C67A47"/>
    <w:rsid w:val="00C67D7E"/>
    <w:rsid w:val="00C70BA4"/>
    <w:rsid w:val="00C71227"/>
    <w:rsid w:val="00C74444"/>
    <w:rsid w:val="00C74D8D"/>
    <w:rsid w:val="00C7537D"/>
    <w:rsid w:val="00C76412"/>
    <w:rsid w:val="00C76BDC"/>
    <w:rsid w:val="00C770F0"/>
    <w:rsid w:val="00C779F0"/>
    <w:rsid w:val="00C808A1"/>
    <w:rsid w:val="00C80B43"/>
    <w:rsid w:val="00C812B2"/>
    <w:rsid w:val="00C816FA"/>
    <w:rsid w:val="00C81DEA"/>
    <w:rsid w:val="00C8223B"/>
    <w:rsid w:val="00C8267A"/>
    <w:rsid w:val="00C83357"/>
    <w:rsid w:val="00C83839"/>
    <w:rsid w:val="00C8383E"/>
    <w:rsid w:val="00C84D67"/>
    <w:rsid w:val="00C85014"/>
    <w:rsid w:val="00C85DD0"/>
    <w:rsid w:val="00C86DE9"/>
    <w:rsid w:val="00C8779C"/>
    <w:rsid w:val="00C878B1"/>
    <w:rsid w:val="00C87FB6"/>
    <w:rsid w:val="00C90370"/>
    <w:rsid w:val="00C91325"/>
    <w:rsid w:val="00C91729"/>
    <w:rsid w:val="00C9200E"/>
    <w:rsid w:val="00C92CEB"/>
    <w:rsid w:val="00C93AD1"/>
    <w:rsid w:val="00C93F90"/>
    <w:rsid w:val="00C957AD"/>
    <w:rsid w:val="00C95CAA"/>
    <w:rsid w:val="00C96915"/>
    <w:rsid w:val="00C96C97"/>
    <w:rsid w:val="00CA0070"/>
    <w:rsid w:val="00CA1646"/>
    <w:rsid w:val="00CA2920"/>
    <w:rsid w:val="00CA2A8E"/>
    <w:rsid w:val="00CA337F"/>
    <w:rsid w:val="00CA4B52"/>
    <w:rsid w:val="00CA4D03"/>
    <w:rsid w:val="00CA52E0"/>
    <w:rsid w:val="00CA54DA"/>
    <w:rsid w:val="00CA7339"/>
    <w:rsid w:val="00CA7884"/>
    <w:rsid w:val="00CA7CA3"/>
    <w:rsid w:val="00CB01C3"/>
    <w:rsid w:val="00CB13B9"/>
    <w:rsid w:val="00CB178F"/>
    <w:rsid w:val="00CB2E3F"/>
    <w:rsid w:val="00CB4350"/>
    <w:rsid w:val="00CB4737"/>
    <w:rsid w:val="00CB56EF"/>
    <w:rsid w:val="00CB5D95"/>
    <w:rsid w:val="00CB6037"/>
    <w:rsid w:val="00CB6D7C"/>
    <w:rsid w:val="00CC0DAD"/>
    <w:rsid w:val="00CC1817"/>
    <w:rsid w:val="00CC1F70"/>
    <w:rsid w:val="00CC3650"/>
    <w:rsid w:val="00CC3F88"/>
    <w:rsid w:val="00CC499A"/>
    <w:rsid w:val="00CC72E8"/>
    <w:rsid w:val="00CD1359"/>
    <w:rsid w:val="00CD14F8"/>
    <w:rsid w:val="00CD2D93"/>
    <w:rsid w:val="00CD32D0"/>
    <w:rsid w:val="00CD32F9"/>
    <w:rsid w:val="00CD3792"/>
    <w:rsid w:val="00CD3981"/>
    <w:rsid w:val="00CD4956"/>
    <w:rsid w:val="00CD531A"/>
    <w:rsid w:val="00CD5645"/>
    <w:rsid w:val="00CD6CF6"/>
    <w:rsid w:val="00CD7862"/>
    <w:rsid w:val="00CD7F30"/>
    <w:rsid w:val="00CE059F"/>
    <w:rsid w:val="00CE06F9"/>
    <w:rsid w:val="00CE0BC3"/>
    <w:rsid w:val="00CE0F5A"/>
    <w:rsid w:val="00CE1E4A"/>
    <w:rsid w:val="00CE2150"/>
    <w:rsid w:val="00CE2A51"/>
    <w:rsid w:val="00CE2F1F"/>
    <w:rsid w:val="00CE46D6"/>
    <w:rsid w:val="00CE4D98"/>
    <w:rsid w:val="00CE51C7"/>
    <w:rsid w:val="00CE6B78"/>
    <w:rsid w:val="00CE7608"/>
    <w:rsid w:val="00CF0341"/>
    <w:rsid w:val="00CF26CD"/>
    <w:rsid w:val="00CF2AF6"/>
    <w:rsid w:val="00CF3244"/>
    <w:rsid w:val="00CF331D"/>
    <w:rsid w:val="00CF4A75"/>
    <w:rsid w:val="00CF4BAD"/>
    <w:rsid w:val="00CF5A64"/>
    <w:rsid w:val="00CF5FF7"/>
    <w:rsid w:val="00CF630C"/>
    <w:rsid w:val="00CF696C"/>
    <w:rsid w:val="00CF6B30"/>
    <w:rsid w:val="00CF7071"/>
    <w:rsid w:val="00CF71A8"/>
    <w:rsid w:val="00CF7286"/>
    <w:rsid w:val="00D00182"/>
    <w:rsid w:val="00D00826"/>
    <w:rsid w:val="00D00E3C"/>
    <w:rsid w:val="00D0131B"/>
    <w:rsid w:val="00D0135A"/>
    <w:rsid w:val="00D0186D"/>
    <w:rsid w:val="00D02ACB"/>
    <w:rsid w:val="00D03DC1"/>
    <w:rsid w:val="00D042CA"/>
    <w:rsid w:val="00D04B92"/>
    <w:rsid w:val="00D04EB1"/>
    <w:rsid w:val="00D04F07"/>
    <w:rsid w:val="00D06A55"/>
    <w:rsid w:val="00D071A3"/>
    <w:rsid w:val="00D0790E"/>
    <w:rsid w:val="00D104D7"/>
    <w:rsid w:val="00D104F4"/>
    <w:rsid w:val="00D12CDB"/>
    <w:rsid w:val="00D14370"/>
    <w:rsid w:val="00D14B46"/>
    <w:rsid w:val="00D14D01"/>
    <w:rsid w:val="00D15A48"/>
    <w:rsid w:val="00D17DC6"/>
    <w:rsid w:val="00D205AC"/>
    <w:rsid w:val="00D21070"/>
    <w:rsid w:val="00D21466"/>
    <w:rsid w:val="00D21650"/>
    <w:rsid w:val="00D21890"/>
    <w:rsid w:val="00D218A3"/>
    <w:rsid w:val="00D21E95"/>
    <w:rsid w:val="00D22DCB"/>
    <w:rsid w:val="00D22FC7"/>
    <w:rsid w:val="00D2361A"/>
    <w:rsid w:val="00D23952"/>
    <w:rsid w:val="00D245C4"/>
    <w:rsid w:val="00D2642B"/>
    <w:rsid w:val="00D27F88"/>
    <w:rsid w:val="00D3059C"/>
    <w:rsid w:val="00D309E5"/>
    <w:rsid w:val="00D313EB"/>
    <w:rsid w:val="00D31DDB"/>
    <w:rsid w:val="00D323A1"/>
    <w:rsid w:val="00D3254F"/>
    <w:rsid w:val="00D32B84"/>
    <w:rsid w:val="00D33076"/>
    <w:rsid w:val="00D337DD"/>
    <w:rsid w:val="00D342D6"/>
    <w:rsid w:val="00D343C6"/>
    <w:rsid w:val="00D34817"/>
    <w:rsid w:val="00D3516E"/>
    <w:rsid w:val="00D3590B"/>
    <w:rsid w:val="00D35B17"/>
    <w:rsid w:val="00D36B48"/>
    <w:rsid w:val="00D37899"/>
    <w:rsid w:val="00D37C93"/>
    <w:rsid w:val="00D37CBB"/>
    <w:rsid w:val="00D37CC5"/>
    <w:rsid w:val="00D40455"/>
    <w:rsid w:val="00D40461"/>
    <w:rsid w:val="00D41E0A"/>
    <w:rsid w:val="00D43339"/>
    <w:rsid w:val="00D44C26"/>
    <w:rsid w:val="00D45115"/>
    <w:rsid w:val="00D45C0A"/>
    <w:rsid w:val="00D4662D"/>
    <w:rsid w:val="00D46F70"/>
    <w:rsid w:val="00D4723D"/>
    <w:rsid w:val="00D47ABA"/>
    <w:rsid w:val="00D47F9E"/>
    <w:rsid w:val="00D50BB3"/>
    <w:rsid w:val="00D52072"/>
    <w:rsid w:val="00D546CA"/>
    <w:rsid w:val="00D5594D"/>
    <w:rsid w:val="00D56248"/>
    <w:rsid w:val="00D56BB9"/>
    <w:rsid w:val="00D57656"/>
    <w:rsid w:val="00D57A57"/>
    <w:rsid w:val="00D57C0F"/>
    <w:rsid w:val="00D57CBD"/>
    <w:rsid w:val="00D57D3A"/>
    <w:rsid w:val="00D6121E"/>
    <w:rsid w:val="00D63E54"/>
    <w:rsid w:val="00D64076"/>
    <w:rsid w:val="00D67940"/>
    <w:rsid w:val="00D70153"/>
    <w:rsid w:val="00D704CE"/>
    <w:rsid w:val="00D7227D"/>
    <w:rsid w:val="00D72464"/>
    <w:rsid w:val="00D72695"/>
    <w:rsid w:val="00D72BF0"/>
    <w:rsid w:val="00D72EF5"/>
    <w:rsid w:val="00D730E9"/>
    <w:rsid w:val="00D7338C"/>
    <w:rsid w:val="00D74B18"/>
    <w:rsid w:val="00D763B9"/>
    <w:rsid w:val="00D7669C"/>
    <w:rsid w:val="00D7690B"/>
    <w:rsid w:val="00D76B1F"/>
    <w:rsid w:val="00D776DD"/>
    <w:rsid w:val="00D81423"/>
    <w:rsid w:val="00D8155A"/>
    <w:rsid w:val="00D81A98"/>
    <w:rsid w:val="00D81F5F"/>
    <w:rsid w:val="00D838CF"/>
    <w:rsid w:val="00D8498A"/>
    <w:rsid w:val="00D851E0"/>
    <w:rsid w:val="00D85208"/>
    <w:rsid w:val="00D853B3"/>
    <w:rsid w:val="00D86093"/>
    <w:rsid w:val="00D86684"/>
    <w:rsid w:val="00D900E5"/>
    <w:rsid w:val="00D9059C"/>
    <w:rsid w:val="00D91CE0"/>
    <w:rsid w:val="00D9376C"/>
    <w:rsid w:val="00D93841"/>
    <w:rsid w:val="00D9389C"/>
    <w:rsid w:val="00D93AC2"/>
    <w:rsid w:val="00D95074"/>
    <w:rsid w:val="00D9631E"/>
    <w:rsid w:val="00D96354"/>
    <w:rsid w:val="00D963C0"/>
    <w:rsid w:val="00D97C96"/>
    <w:rsid w:val="00D97D90"/>
    <w:rsid w:val="00D97FF3"/>
    <w:rsid w:val="00DA117B"/>
    <w:rsid w:val="00DA1B88"/>
    <w:rsid w:val="00DA1C87"/>
    <w:rsid w:val="00DA21F8"/>
    <w:rsid w:val="00DA2B09"/>
    <w:rsid w:val="00DA37D9"/>
    <w:rsid w:val="00DA37FC"/>
    <w:rsid w:val="00DA4A11"/>
    <w:rsid w:val="00DA7155"/>
    <w:rsid w:val="00DB03FA"/>
    <w:rsid w:val="00DB1831"/>
    <w:rsid w:val="00DB234C"/>
    <w:rsid w:val="00DB23F0"/>
    <w:rsid w:val="00DB2D33"/>
    <w:rsid w:val="00DB34E8"/>
    <w:rsid w:val="00DB3FB7"/>
    <w:rsid w:val="00DB5AC2"/>
    <w:rsid w:val="00DB62F1"/>
    <w:rsid w:val="00DB65EF"/>
    <w:rsid w:val="00DB699E"/>
    <w:rsid w:val="00DB6D75"/>
    <w:rsid w:val="00DB7F8E"/>
    <w:rsid w:val="00DC0AAF"/>
    <w:rsid w:val="00DC0C68"/>
    <w:rsid w:val="00DC0FA1"/>
    <w:rsid w:val="00DC1118"/>
    <w:rsid w:val="00DC13B0"/>
    <w:rsid w:val="00DC2689"/>
    <w:rsid w:val="00DC2ECC"/>
    <w:rsid w:val="00DC31F1"/>
    <w:rsid w:val="00DC3E6D"/>
    <w:rsid w:val="00DC4041"/>
    <w:rsid w:val="00DC41FC"/>
    <w:rsid w:val="00DC42F7"/>
    <w:rsid w:val="00DC46DE"/>
    <w:rsid w:val="00DC5A8B"/>
    <w:rsid w:val="00DC6614"/>
    <w:rsid w:val="00DC670D"/>
    <w:rsid w:val="00DD0516"/>
    <w:rsid w:val="00DD120B"/>
    <w:rsid w:val="00DD1A54"/>
    <w:rsid w:val="00DD1BF9"/>
    <w:rsid w:val="00DD20A0"/>
    <w:rsid w:val="00DD21AB"/>
    <w:rsid w:val="00DD2521"/>
    <w:rsid w:val="00DD2611"/>
    <w:rsid w:val="00DD33F9"/>
    <w:rsid w:val="00DD371F"/>
    <w:rsid w:val="00DD3D3B"/>
    <w:rsid w:val="00DD3DD3"/>
    <w:rsid w:val="00DD3E70"/>
    <w:rsid w:val="00DD57BF"/>
    <w:rsid w:val="00DD5F29"/>
    <w:rsid w:val="00DD6466"/>
    <w:rsid w:val="00DE0A9C"/>
    <w:rsid w:val="00DE0C77"/>
    <w:rsid w:val="00DE12E7"/>
    <w:rsid w:val="00DE1615"/>
    <w:rsid w:val="00DE17D9"/>
    <w:rsid w:val="00DE2BF2"/>
    <w:rsid w:val="00DE39B0"/>
    <w:rsid w:val="00DE3CDB"/>
    <w:rsid w:val="00DE4A6F"/>
    <w:rsid w:val="00DE6495"/>
    <w:rsid w:val="00DE74C4"/>
    <w:rsid w:val="00DE75FB"/>
    <w:rsid w:val="00DF0261"/>
    <w:rsid w:val="00DF088A"/>
    <w:rsid w:val="00DF0B09"/>
    <w:rsid w:val="00DF1645"/>
    <w:rsid w:val="00DF1A25"/>
    <w:rsid w:val="00DF1F51"/>
    <w:rsid w:val="00DF252D"/>
    <w:rsid w:val="00DF2F80"/>
    <w:rsid w:val="00DF3997"/>
    <w:rsid w:val="00DF4443"/>
    <w:rsid w:val="00DF44E1"/>
    <w:rsid w:val="00DF4842"/>
    <w:rsid w:val="00DF674A"/>
    <w:rsid w:val="00DF6E04"/>
    <w:rsid w:val="00DF7020"/>
    <w:rsid w:val="00E01A3D"/>
    <w:rsid w:val="00E01CB7"/>
    <w:rsid w:val="00E03F02"/>
    <w:rsid w:val="00E0411A"/>
    <w:rsid w:val="00E048EA"/>
    <w:rsid w:val="00E0716C"/>
    <w:rsid w:val="00E07C08"/>
    <w:rsid w:val="00E07C49"/>
    <w:rsid w:val="00E10089"/>
    <w:rsid w:val="00E11B64"/>
    <w:rsid w:val="00E1202F"/>
    <w:rsid w:val="00E12204"/>
    <w:rsid w:val="00E13108"/>
    <w:rsid w:val="00E13B77"/>
    <w:rsid w:val="00E142DB"/>
    <w:rsid w:val="00E1575F"/>
    <w:rsid w:val="00E158B6"/>
    <w:rsid w:val="00E15E7D"/>
    <w:rsid w:val="00E163E2"/>
    <w:rsid w:val="00E16AB6"/>
    <w:rsid w:val="00E16BCC"/>
    <w:rsid w:val="00E17421"/>
    <w:rsid w:val="00E17D85"/>
    <w:rsid w:val="00E200C0"/>
    <w:rsid w:val="00E2013E"/>
    <w:rsid w:val="00E2030A"/>
    <w:rsid w:val="00E2075E"/>
    <w:rsid w:val="00E207AD"/>
    <w:rsid w:val="00E21598"/>
    <w:rsid w:val="00E2173A"/>
    <w:rsid w:val="00E21794"/>
    <w:rsid w:val="00E23228"/>
    <w:rsid w:val="00E2384B"/>
    <w:rsid w:val="00E24350"/>
    <w:rsid w:val="00E24B56"/>
    <w:rsid w:val="00E24FC1"/>
    <w:rsid w:val="00E2512C"/>
    <w:rsid w:val="00E25ABA"/>
    <w:rsid w:val="00E267D6"/>
    <w:rsid w:val="00E273BD"/>
    <w:rsid w:val="00E3044F"/>
    <w:rsid w:val="00E30F7A"/>
    <w:rsid w:val="00E31499"/>
    <w:rsid w:val="00E334EA"/>
    <w:rsid w:val="00E3365F"/>
    <w:rsid w:val="00E35029"/>
    <w:rsid w:val="00E3676A"/>
    <w:rsid w:val="00E36915"/>
    <w:rsid w:val="00E374F0"/>
    <w:rsid w:val="00E379B5"/>
    <w:rsid w:val="00E37C39"/>
    <w:rsid w:val="00E410E4"/>
    <w:rsid w:val="00E41329"/>
    <w:rsid w:val="00E41E48"/>
    <w:rsid w:val="00E42196"/>
    <w:rsid w:val="00E43D2D"/>
    <w:rsid w:val="00E44D13"/>
    <w:rsid w:val="00E45321"/>
    <w:rsid w:val="00E46109"/>
    <w:rsid w:val="00E463F2"/>
    <w:rsid w:val="00E4738A"/>
    <w:rsid w:val="00E47434"/>
    <w:rsid w:val="00E47467"/>
    <w:rsid w:val="00E478E3"/>
    <w:rsid w:val="00E50E24"/>
    <w:rsid w:val="00E510D8"/>
    <w:rsid w:val="00E5188D"/>
    <w:rsid w:val="00E51DF7"/>
    <w:rsid w:val="00E52B74"/>
    <w:rsid w:val="00E54C22"/>
    <w:rsid w:val="00E54DED"/>
    <w:rsid w:val="00E55E5A"/>
    <w:rsid w:val="00E561F5"/>
    <w:rsid w:val="00E565DB"/>
    <w:rsid w:val="00E56986"/>
    <w:rsid w:val="00E604BB"/>
    <w:rsid w:val="00E61A40"/>
    <w:rsid w:val="00E62533"/>
    <w:rsid w:val="00E630E8"/>
    <w:rsid w:val="00E641AE"/>
    <w:rsid w:val="00E64969"/>
    <w:rsid w:val="00E6565E"/>
    <w:rsid w:val="00E65BB4"/>
    <w:rsid w:val="00E65BC1"/>
    <w:rsid w:val="00E6625D"/>
    <w:rsid w:val="00E67647"/>
    <w:rsid w:val="00E709B7"/>
    <w:rsid w:val="00E70B82"/>
    <w:rsid w:val="00E7120E"/>
    <w:rsid w:val="00E725C5"/>
    <w:rsid w:val="00E7298B"/>
    <w:rsid w:val="00E73802"/>
    <w:rsid w:val="00E7422C"/>
    <w:rsid w:val="00E76091"/>
    <w:rsid w:val="00E76BD6"/>
    <w:rsid w:val="00E77AAF"/>
    <w:rsid w:val="00E81FB5"/>
    <w:rsid w:val="00E83163"/>
    <w:rsid w:val="00E836C2"/>
    <w:rsid w:val="00E83B89"/>
    <w:rsid w:val="00E83BD7"/>
    <w:rsid w:val="00E83F22"/>
    <w:rsid w:val="00E843A7"/>
    <w:rsid w:val="00E85058"/>
    <w:rsid w:val="00E85570"/>
    <w:rsid w:val="00E8570E"/>
    <w:rsid w:val="00E863E5"/>
    <w:rsid w:val="00E86715"/>
    <w:rsid w:val="00E86E40"/>
    <w:rsid w:val="00E8725D"/>
    <w:rsid w:val="00E91FC6"/>
    <w:rsid w:val="00E92503"/>
    <w:rsid w:val="00E92DBB"/>
    <w:rsid w:val="00E93075"/>
    <w:rsid w:val="00E94D1C"/>
    <w:rsid w:val="00E94D28"/>
    <w:rsid w:val="00E95554"/>
    <w:rsid w:val="00E96380"/>
    <w:rsid w:val="00E9652C"/>
    <w:rsid w:val="00E96556"/>
    <w:rsid w:val="00E96F96"/>
    <w:rsid w:val="00EA1563"/>
    <w:rsid w:val="00EA1709"/>
    <w:rsid w:val="00EA1D90"/>
    <w:rsid w:val="00EA362F"/>
    <w:rsid w:val="00EA3AA5"/>
    <w:rsid w:val="00EA44A3"/>
    <w:rsid w:val="00EA49ED"/>
    <w:rsid w:val="00EA63DB"/>
    <w:rsid w:val="00EA7D39"/>
    <w:rsid w:val="00EB087C"/>
    <w:rsid w:val="00EB0CC7"/>
    <w:rsid w:val="00EB0F44"/>
    <w:rsid w:val="00EB109D"/>
    <w:rsid w:val="00EB1289"/>
    <w:rsid w:val="00EB1A8E"/>
    <w:rsid w:val="00EB1E09"/>
    <w:rsid w:val="00EB26D7"/>
    <w:rsid w:val="00EB2860"/>
    <w:rsid w:val="00EB384F"/>
    <w:rsid w:val="00EB3D16"/>
    <w:rsid w:val="00EB4BDC"/>
    <w:rsid w:val="00EB4D39"/>
    <w:rsid w:val="00EB4EBC"/>
    <w:rsid w:val="00EB560F"/>
    <w:rsid w:val="00EB6993"/>
    <w:rsid w:val="00EB712D"/>
    <w:rsid w:val="00EC03AE"/>
    <w:rsid w:val="00EC0CC6"/>
    <w:rsid w:val="00EC1591"/>
    <w:rsid w:val="00EC239C"/>
    <w:rsid w:val="00EC30C8"/>
    <w:rsid w:val="00EC4B05"/>
    <w:rsid w:val="00EC4FA7"/>
    <w:rsid w:val="00EC5F83"/>
    <w:rsid w:val="00EC6CDC"/>
    <w:rsid w:val="00EC79BA"/>
    <w:rsid w:val="00EC7EE7"/>
    <w:rsid w:val="00ED0F75"/>
    <w:rsid w:val="00ED118A"/>
    <w:rsid w:val="00ED14A0"/>
    <w:rsid w:val="00ED24FE"/>
    <w:rsid w:val="00ED28A2"/>
    <w:rsid w:val="00ED2ABE"/>
    <w:rsid w:val="00ED2BF7"/>
    <w:rsid w:val="00ED39B5"/>
    <w:rsid w:val="00ED4172"/>
    <w:rsid w:val="00ED5687"/>
    <w:rsid w:val="00ED6339"/>
    <w:rsid w:val="00ED7CE1"/>
    <w:rsid w:val="00EE085E"/>
    <w:rsid w:val="00EE0C2D"/>
    <w:rsid w:val="00EE1256"/>
    <w:rsid w:val="00EE2DD1"/>
    <w:rsid w:val="00EE47FD"/>
    <w:rsid w:val="00EE4975"/>
    <w:rsid w:val="00EE4F84"/>
    <w:rsid w:val="00EE5726"/>
    <w:rsid w:val="00EE5D22"/>
    <w:rsid w:val="00EE5E0A"/>
    <w:rsid w:val="00EE690A"/>
    <w:rsid w:val="00EE6E92"/>
    <w:rsid w:val="00EE713A"/>
    <w:rsid w:val="00EE7530"/>
    <w:rsid w:val="00EF0AA5"/>
    <w:rsid w:val="00EF0DEC"/>
    <w:rsid w:val="00EF1AA7"/>
    <w:rsid w:val="00EF1CF2"/>
    <w:rsid w:val="00EF26BA"/>
    <w:rsid w:val="00EF2CD4"/>
    <w:rsid w:val="00EF2F59"/>
    <w:rsid w:val="00EF3490"/>
    <w:rsid w:val="00EF4867"/>
    <w:rsid w:val="00EF548E"/>
    <w:rsid w:val="00EF59D1"/>
    <w:rsid w:val="00EF6214"/>
    <w:rsid w:val="00EF624F"/>
    <w:rsid w:val="00EF663A"/>
    <w:rsid w:val="00EF7117"/>
    <w:rsid w:val="00EF788E"/>
    <w:rsid w:val="00F00812"/>
    <w:rsid w:val="00F0337D"/>
    <w:rsid w:val="00F03736"/>
    <w:rsid w:val="00F03EA1"/>
    <w:rsid w:val="00F044A7"/>
    <w:rsid w:val="00F04F30"/>
    <w:rsid w:val="00F05E10"/>
    <w:rsid w:val="00F06B0C"/>
    <w:rsid w:val="00F06BF7"/>
    <w:rsid w:val="00F07ABF"/>
    <w:rsid w:val="00F10EE3"/>
    <w:rsid w:val="00F1133C"/>
    <w:rsid w:val="00F15179"/>
    <w:rsid w:val="00F1526D"/>
    <w:rsid w:val="00F1552E"/>
    <w:rsid w:val="00F163D8"/>
    <w:rsid w:val="00F16A48"/>
    <w:rsid w:val="00F17794"/>
    <w:rsid w:val="00F178D1"/>
    <w:rsid w:val="00F2018B"/>
    <w:rsid w:val="00F214B6"/>
    <w:rsid w:val="00F21D64"/>
    <w:rsid w:val="00F22A6A"/>
    <w:rsid w:val="00F23294"/>
    <w:rsid w:val="00F23385"/>
    <w:rsid w:val="00F24782"/>
    <w:rsid w:val="00F26290"/>
    <w:rsid w:val="00F265FC"/>
    <w:rsid w:val="00F26AD6"/>
    <w:rsid w:val="00F27255"/>
    <w:rsid w:val="00F27DCF"/>
    <w:rsid w:val="00F30D59"/>
    <w:rsid w:val="00F318D1"/>
    <w:rsid w:val="00F31F3F"/>
    <w:rsid w:val="00F32D1D"/>
    <w:rsid w:val="00F345E1"/>
    <w:rsid w:val="00F3475A"/>
    <w:rsid w:val="00F347C0"/>
    <w:rsid w:val="00F35047"/>
    <w:rsid w:val="00F35EDF"/>
    <w:rsid w:val="00F365CD"/>
    <w:rsid w:val="00F40C47"/>
    <w:rsid w:val="00F41609"/>
    <w:rsid w:val="00F41B40"/>
    <w:rsid w:val="00F41C45"/>
    <w:rsid w:val="00F42AC8"/>
    <w:rsid w:val="00F43848"/>
    <w:rsid w:val="00F44553"/>
    <w:rsid w:val="00F44A03"/>
    <w:rsid w:val="00F44BC7"/>
    <w:rsid w:val="00F46F7F"/>
    <w:rsid w:val="00F4783C"/>
    <w:rsid w:val="00F501E3"/>
    <w:rsid w:val="00F5065F"/>
    <w:rsid w:val="00F50B8E"/>
    <w:rsid w:val="00F5110B"/>
    <w:rsid w:val="00F51A78"/>
    <w:rsid w:val="00F52D89"/>
    <w:rsid w:val="00F53229"/>
    <w:rsid w:val="00F53374"/>
    <w:rsid w:val="00F54641"/>
    <w:rsid w:val="00F55A08"/>
    <w:rsid w:val="00F55EF1"/>
    <w:rsid w:val="00F560F8"/>
    <w:rsid w:val="00F568FD"/>
    <w:rsid w:val="00F56A12"/>
    <w:rsid w:val="00F56ED0"/>
    <w:rsid w:val="00F57CA2"/>
    <w:rsid w:val="00F6084A"/>
    <w:rsid w:val="00F60B39"/>
    <w:rsid w:val="00F613C8"/>
    <w:rsid w:val="00F62196"/>
    <w:rsid w:val="00F626FA"/>
    <w:rsid w:val="00F62753"/>
    <w:rsid w:val="00F62854"/>
    <w:rsid w:val="00F6327B"/>
    <w:rsid w:val="00F656CA"/>
    <w:rsid w:val="00F65DF1"/>
    <w:rsid w:val="00F66B33"/>
    <w:rsid w:val="00F6739A"/>
    <w:rsid w:val="00F70307"/>
    <w:rsid w:val="00F7033C"/>
    <w:rsid w:val="00F70408"/>
    <w:rsid w:val="00F71671"/>
    <w:rsid w:val="00F72A2D"/>
    <w:rsid w:val="00F73AFC"/>
    <w:rsid w:val="00F74FB6"/>
    <w:rsid w:val="00F75496"/>
    <w:rsid w:val="00F75E1E"/>
    <w:rsid w:val="00F804E0"/>
    <w:rsid w:val="00F8161E"/>
    <w:rsid w:val="00F82ADA"/>
    <w:rsid w:val="00F82AE5"/>
    <w:rsid w:val="00F836EB"/>
    <w:rsid w:val="00F83D48"/>
    <w:rsid w:val="00F8554F"/>
    <w:rsid w:val="00F85C5B"/>
    <w:rsid w:val="00F871DE"/>
    <w:rsid w:val="00F87BF3"/>
    <w:rsid w:val="00F90BFF"/>
    <w:rsid w:val="00F910E4"/>
    <w:rsid w:val="00F9254A"/>
    <w:rsid w:val="00F939E1"/>
    <w:rsid w:val="00F94208"/>
    <w:rsid w:val="00F94954"/>
    <w:rsid w:val="00F94B99"/>
    <w:rsid w:val="00F95BCD"/>
    <w:rsid w:val="00F9735F"/>
    <w:rsid w:val="00FA1BF9"/>
    <w:rsid w:val="00FA253A"/>
    <w:rsid w:val="00FA2C2A"/>
    <w:rsid w:val="00FA2C3D"/>
    <w:rsid w:val="00FA43FB"/>
    <w:rsid w:val="00FA4863"/>
    <w:rsid w:val="00FA4A74"/>
    <w:rsid w:val="00FA4EF8"/>
    <w:rsid w:val="00FA50C2"/>
    <w:rsid w:val="00FA52F6"/>
    <w:rsid w:val="00FA5623"/>
    <w:rsid w:val="00FA6D62"/>
    <w:rsid w:val="00FA70DA"/>
    <w:rsid w:val="00FA71DB"/>
    <w:rsid w:val="00FA7874"/>
    <w:rsid w:val="00FB0749"/>
    <w:rsid w:val="00FB1283"/>
    <w:rsid w:val="00FB1721"/>
    <w:rsid w:val="00FB2043"/>
    <w:rsid w:val="00FB25DE"/>
    <w:rsid w:val="00FB3521"/>
    <w:rsid w:val="00FB43E4"/>
    <w:rsid w:val="00FB4CB7"/>
    <w:rsid w:val="00FB73BE"/>
    <w:rsid w:val="00FB7A95"/>
    <w:rsid w:val="00FC03EF"/>
    <w:rsid w:val="00FC07D7"/>
    <w:rsid w:val="00FC12FA"/>
    <w:rsid w:val="00FC252D"/>
    <w:rsid w:val="00FC3D32"/>
    <w:rsid w:val="00FC536F"/>
    <w:rsid w:val="00FC571C"/>
    <w:rsid w:val="00FC5D8A"/>
    <w:rsid w:val="00FC66A1"/>
    <w:rsid w:val="00FC7E1D"/>
    <w:rsid w:val="00FD001C"/>
    <w:rsid w:val="00FD09DF"/>
    <w:rsid w:val="00FD0B1F"/>
    <w:rsid w:val="00FD0D53"/>
    <w:rsid w:val="00FD1566"/>
    <w:rsid w:val="00FD161C"/>
    <w:rsid w:val="00FD1C49"/>
    <w:rsid w:val="00FD1D0A"/>
    <w:rsid w:val="00FD1F9A"/>
    <w:rsid w:val="00FD3373"/>
    <w:rsid w:val="00FD4B84"/>
    <w:rsid w:val="00FD4F6E"/>
    <w:rsid w:val="00FD6613"/>
    <w:rsid w:val="00FD68E3"/>
    <w:rsid w:val="00FD7488"/>
    <w:rsid w:val="00FD79A6"/>
    <w:rsid w:val="00FE1AA8"/>
    <w:rsid w:val="00FE2CA2"/>
    <w:rsid w:val="00FE309E"/>
    <w:rsid w:val="00FE35A3"/>
    <w:rsid w:val="00FE5B99"/>
    <w:rsid w:val="00FE6407"/>
    <w:rsid w:val="00FE6E88"/>
    <w:rsid w:val="00FF0B42"/>
    <w:rsid w:val="00FF0F21"/>
    <w:rsid w:val="00FF1094"/>
    <w:rsid w:val="00FF2557"/>
    <w:rsid w:val="00FF2B6C"/>
    <w:rsid w:val="00FF397A"/>
    <w:rsid w:val="00FF419E"/>
    <w:rsid w:val="00FF4659"/>
    <w:rsid w:val="00FF4954"/>
    <w:rsid w:val="00FF4CEE"/>
    <w:rsid w:val="00FF5C4A"/>
    <w:rsid w:val="015F2E7A"/>
    <w:rsid w:val="027E29AE"/>
    <w:rsid w:val="02963EDC"/>
    <w:rsid w:val="030457E9"/>
    <w:rsid w:val="030BADD9"/>
    <w:rsid w:val="030DEAB5"/>
    <w:rsid w:val="0319208D"/>
    <w:rsid w:val="04EB54F6"/>
    <w:rsid w:val="054CBFA4"/>
    <w:rsid w:val="059939FA"/>
    <w:rsid w:val="05F3397B"/>
    <w:rsid w:val="06105CEC"/>
    <w:rsid w:val="071DA2D1"/>
    <w:rsid w:val="0874B926"/>
    <w:rsid w:val="09D0BC9C"/>
    <w:rsid w:val="0A319D8D"/>
    <w:rsid w:val="0AD2E4CA"/>
    <w:rsid w:val="0B3EF803"/>
    <w:rsid w:val="0B5F1694"/>
    <w:rsid w:val="0C4B33CB"/>
    <w:rsid w:val="0C4C7ACB"/>
    <w:rsid w:val="0CBE099A"/>
    <w:rsid w:val="0D40DD44"/>
    <w:rsid w:val="0E214424"/>
    <w:rsid w:val="0E4BFA76"/>
    <w:rsid w:val="0F242B5A"/>
    <w:rsid w:val="0F9C619A"/>
    <w:rsid w:val="102504DC"/>
    <w:rsid w:val="10D0DC6A"/>
    <w:rsid w:val="10E83E5F"/>
    <w:rsid w:val="10EFF4E2"/>
    <w:rsid w:val="1165DE1A"/>
    <w:rsid w:val="11B7CDF5"/>
    <w:rsid w:val="12A4406A"/>
    <w:rsid w:val="16365AC7"/>
    <w:rsid w:val="1693171A"/>
    <w:rsid w:val="16DBD8B8"/>
    <w:rsid w:val="17FC5BA4"/>
    <w:rsid w:val="18536A5C"/>
    <w:rsid w:val="18A3AECC"/>
    <w:rsid w:val="19323742"/>
    <w:rsid w:val="194AFC23"/>
    <w:rsid w:val="195DE159"/>
    <w:rsid w:val="19C9584E"/>
    <w:rsid w:val="1ADCCE6E"/>
    <w:rsid w:val="1C399C27"/>
    <w:rsid w:val="1CBBCF50"/>
    <w:rsid w:val="1CCFCCC7"/>
    <w:rsid w:val="1CE7EA9B"/>
    <w:rsid w:val="1D0902FB"/>
    <w:rsid w:val="1FA2B52E"/>
    <w:rsid w:val="1FDD5DAC"/>
    <w:rsid w:val="203B5B77"/>
    <w:rsid w:val="20502C17"/>
    <w:rsid w:val="20F5AB55"/>
    <w:rsid w:val="20F6759E"/>
    <w:rsid w:val="21A3793A"/>
    <w:rsid w:val="21BC70C6"/>
    <w:rsid w:val="22C23B71"/>
    <w:rsid w:val="232AAC2D"/>
    <w:rsid w:val="23DE239E"/>
    <w:rsid w:val="23DFD3C2"/>
    <w:rsid w:val="23E91F71"/>
    <w:rsid w:val="2465F4E3"/>
    <w:rsid w:val="249B11C1"/>
    <w:rsid w:val="255204C9"/>
    <w:rsid w:val="2621FCA0"/>
    <w:rsid w:val="2630608B"/>
    <w:rsid w:val="26CB3B61"/>
    <w:rsid w:val="2739E890"/>
    <w:rsid w:val="27FCD2E6"/>
    <w:rsid w:val="2917DA41"/>
    <w:rsid w:val="291C7566"/>
    <w:rsid w:val="2BDFB4DB"/>
    <w:rsid w:val="2C10F6BF"/>
    <w:rsid w:val="2C86611F"/>
    <w:rsid w:val="2C96973B"/>
    <w:rsid w:val="2FA07136"/>
    <w:rsid w:val="31A72798"/>
    <w:rsid w:val="31FAE1FE"/>
    <w:rsid w:val="327877C5"/>
    <w:rsid w:val="32AA94D2"/>
    <w:rsid w:val="32C0DD26"/>
    <w:rsid w:val="3422493C"/>
    <w:rsid w:val="356E7EBF"/>
    <w:rsid w:val="35FF2735"/>
    <w:rsid w:val="3664CC3D"/>
    <w:rsid w:val="37A96470"/>
    <w:rsid w:val="37D5D5F0"/>
    <w:rsid w:val="3997E638"/>
    <w:rsid w:val="39ADBCB6"/>
    <w:rsid w:val="3A4526BE"/>
    <w:rsid w:val="3AD03A78"/>
    <w:rsid w:val="3C6B5C71"/>
    <w:rsid w:val="3C78B51B"/>
    <w:rsid w:val="3CE6E8EF"/>
    <w:rsid w:val="3D9DA17E"/>
    <w:rsid w:val="3F06DA16"/>
    <w:rsid w:val="3F29DE14"/>
    <w:rsid w:val="3F534B38"/>
    <w:rsid w:val="3FCE8DF2"/>
    <w:rsid w:val="406ED075"/>
    <w:rsid w:val="424CCB11"/>
    <w:rsid w:val="4309139A"/>
    <w:rsid w:val="43E932EA"/>
    <w:rsid w:val="447979BC"/>
    <w:rsid w:val="448309C5"/>
    <w:rsid w:val="44E51539"/>
    <w:rsid w:val="45A226BC"/>
    <w:rsid w:val="46D92F56"/>
    <w:rsid w:val="46E93C48"/>
    <w:rsid w:val="46FB9613"/>
    <w:rsid w:val="470D6DAD"/>
    <w:rsid w:val="4761598E"/>
    <w:rsid w:val="476A2CB5"/>
    <w:rsid w:val="4792C81D"/>
    <w:rsid w:val="47B77571"/>
    <w:rsid w:val="47E15A79"/>
    <w:rsid w:val="49E37C9A"/>
    <w:rsid w:val="4A2B827C"/>
    <w:rsid w:val="4A2F410C"/>
    <w:rsid w:val="4B0E30DE"/>
    <w:rsid w:val="4CB48186"/>
    <w:rsid w:val="4D423AAB"/>
    <w:rsid w:val="4D4EBEB5"/>
    <w:rsid w:val="4E64B725"/>
    <w:rsid w:val="4E95E7C2"/>
    <w:rsid w:val="4F0FC2BD"/>
    <w:rsid w:val="50A4DB84"/>
    <w:rsid w:val="50B62807"/>
    <w:rsid w:val="5111C4B3"/>
    <w:rsid w:val="517BDFAD"/>
    <w:rsid w:val="52083781"/>
    <w:rsid w:val="54A9BC25"/>
    <w:rsid w:val="54D85E95"/>
    <w:rsid w:val="54EAFA4B"/>
    <w:rsid w:val="5504F09C"/>
    <w:rsid w:val="562F0628"/>
    <w:rsid w:val="57320AC2"/>
    <w:rsid w:val="575CCDE8"/>
    <w:rsid w:val="58229B0D"/>
    <w:rsid w:val="58D8BC24"/>
    <w:rsid w:val="5968A22C"/>
    <w:rsid w:val="5A55A2AC"/>
    <w:rsid w:val="5C74707F"/>
    <w:rsid w:val="5CCF06C2"/>
    <w:rsid w:val="5D1CD93F"/>
    <w:rsid w:val="6050B6E8"/>
    <w:rsid w:val="610F38D6"/>
    <w:rsid w:val="614CD285"/>
    <w:rsid w:val="61CEA757"/>
    <w:rsid w:val="61F94F68"/>
    <w:rsid w:val="62019A1E"/>
    <w:rsid w:val="623ADCBB"/>
    <w:rsid w:val="627F39C3"/>
    <w:rsid w:val="631437A3"/>
    <w:rsid w:val="631FBB3E"/>
    <w:rsid w:val="647BEA4B"/>
    <w:rsid w:val="65F16D0A"/>
    <w:rsid w:val="665D545C"/>
    <w:rsid w:val="6697B62B"/>
    <w:rsid w:val="672A3FF0"/>
    <w:rsid w:val="689CB383"/>
    <w:rsid w:val="69242BDA"/>
    <w:rsid w:val="695B51E8"/>
    <w:rsid w:val="69902579"/>
    <w:rsid w:val="69CDA94B"/>
    <w:rsid w:val="6A491ED9"/>
    <w:rsid w:val="6AE2A4B3"/>
    <w:rsid w:val="6CD8E403"/>
    <w:rsid w:val="6D28574C"/>
    <w:rsid w:val="6D964E6B"/>
    <w:rsid w:val="6E29D6E3"/>
    <w:rsid w:val="6E65A49C"/>
    <w:rsid w:val="6EB122CF"/>
    <w:rsid w:val="6FD60A30"/>
    <w:rsid w:val="70AD1C9F"/>
    <w:rsid w:val="714FBE99"/>
    <w:rsid w:val="71F6E0B3"/>
    <w:rsid w:val="71FBC6F5"/>
    <w:rsid w:val="7302C9F1"/>
    <w:rsid w:val="73C98F62"/>
    <w:rsid w:val="7427DFA2"/>
    <w:rsid w:val="743C17F3"/>
    <w:rsid w:val="764E49A1"/>
    <w:rsid w:val="77CA9C22"/>
    <w:rsid w:val="77D76A04"/>
    <w:rsid w:val="78D63127"/>
    <w:rsid w:val="79C644FD"/>
    <w:rsid w:val="79F30FAE"/>
    <w:rsid w:val="7B4867D3"/>
    <w:rsid w:val="7BD24296"/>
    <w:rsid w:val="7C0E565B"/>
    <w:rsid w:val="7D4F8E96"/>
    <w:rsid w:val="7D919BD9"/>
    <w:rsid w:val="7E39CD5C"/>
    <w:rsid w:val="7E4D374D"/>
    <w:rsid w:val="7E9DA0A5"/>
    <w:rsid w:val="7FBCBF1C"/>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06F15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lang w:val="en-N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qFormat="1"/>
    <w:lsdException w:name="toc 2" w:semiHidden="1" w:uiPriority="39" w:qFormat="1"/>
    <w:lsdException w:name="toc 3" w:semiHidden="1" w:uiPriority="39" w:qFormat="1"/>
    <w:lsdException w:name="toc 4" w:semiHidden="1" w:uiPriority="39"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qFormat="1"/>
    <w:lsdException w:name="footer" w:semiHidden="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qFormat="1"/>
    <w:lsdException w:name="List Number" w:semiHidden="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qFormat="1"/>
    <w:lsdException w:name="List Bullet 3" w:semiHidden="1" w:qFormat="1"/>
    <w:lsdException w:name="List Bullet 4" w:semiHidden="1" w:qFormat="1"/>
    <w:lsdException w:name="List Bullet 5" w:semiHidden="1" w:qFormat="1"/>
    <w:lsdException w:name="List Number 2" w:semiHidden="1" w:qFormat="1"/>
    <w:lsdException w:name="List Number 3" w:semiHidden="1" w:qFormat="1"/>
    <w:lsdException w:name="List Number 4" w:semiHidden="1" w:unhideWhenUsed="1"/>
    <w:lsdException w:name="List Number 5" w:semiHidden="1" w:unhideWhenUsed="1"/>
    <w:lsdException w:name="Title" w:semiHidden="1" w:uiPriority="2" w:unhideWhenUsed="1" w:qFormat="1"/>
    <w:lsdException w:name="Closing" w:semiHidden="1" w:unhideWhenUsed="1"/>
    <w:lsdException w:name="Signature" w:semiHidden="1" w:unhideWhenUsed="1"/>
    <w:lsdException w:name="Default Paragraph Font" w:semiHidden="1" w:uiPriority="1" w:unhideWhenUsed="1"/>
    <w:lsdException w:name="Body Text" w:semiHidden="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qFormat="1"/>
    <w:lsdException w:name="Body Text 3" w:semiHidden="1" w:qFormat="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4188"/>
    <w:rPr>
      <w:rFonts w:ascii="Montserrat Light" w:hAnsi="Montserrat Light"/>
      <w:color w:val="1D252C"/>
    </w:rPr>
  </w:style>
  <w:style w:type="paragraph" w:styleId="Heading1">
    <w:name w:val="heading 1"/>
    <w:next w:val="BodyText"/>
    <w:link w:val="Heading1Char"/>
    <w:uiPriority w:val="9"/>
    <w:qFormat/>
    <w:rsid w:val="00667CB3"/>
    <w:pPr>
      <w:keepNext/>
      <w:keepLines/>
      <w:numPr>
        <w:numId w:val="6"/>
      </w:numPr>
      <w:spacing w:before="240" w:after="120" w:line="264" w:lineRule="auto"/>
      <w:outlineLvl w:val="0"/>
    </w:pPr>
    <w:rPr>
      <w:rFonts w:ascii="Montserrat" w:eastAsiaTheme="majorEastAsia" w:hAnsi="Montserrat" w:cstheme="majorBidi"/>
      <w:color w:val="F9423A"/>
      <w:sz w:val="36"/>
      <w:szCs w:val="32"/>
    </w:rPr>
  </w:style>
  <w:style w:type="paragraph" w:styleId="Heading2">
    <w:name w:val="heading 2"/>
    <w:basedOn w:val="Normal"/>
    <w:next w:val="BodyText"/>
    <w:link w:val="Heading2Char"/>
    <w:uiPriority w:val="9"/>
    <w:qFormat/>
    <w:rsid w:val="00667CB3"/>
    <w:pPr>
      <w:keepNext/>
      <w:keepLines/>
      <w:numPr>
        <w:ilvl w:val="1"/>
        <w:numId w:val="6"/>
      </w:numPr>
      <w:spacing w:before="240" w:after="120" w:line="264" w:lineRule="auto"/>
      <w:outlineLvl w:val="1"/>
    </w:pPr>
    <w:rPr>
      <w:rFonts w:ascii="Montserrat" w:eastAsiaTheme="majorEastAsia" w:hAnsi="Montserrat" w:cstheme="majorBidi"/>
      <w:color w:val="F9423A"/>
      <w:sz w:val="24"/>
      <w:szCs w:val="26"/>
    </w:rPr>
  </w:style>
  <w:style w:type="paragraph" w:styleId="Heading3">
    <w:name w:val="heading 3"/>
    <w:basedOn w:val="Normal"/>
    <w:next w:val="BodyText2"/>
    <w:link w:val="Heading3Char"/>
    <w:uiPriority w:val="9"/>
    <w:qFormat/>
    <w:rsid w:val="00667CB3"/>
    <w:pPr>
      <w:keepNext/>
      <w:keepLines/>
      <w:numPr>
        <w:ilvl w:val="2"/>
        <w:numId w:val="6"/>
      </w:numPr>
      <w:spacing w:before="240" w:after="60"/>
      <w:outlineLvl w:val="2"/>
    </w:pPr>
    <w:rPr>
      <w:rFonts w:eastAsiaTheme="majorEastAsia" w:cstheme="majorBidi"/>
      <w:i/>
      <w:color w:val="F9423A"/>
      <w:szCs w:val="24"/>
    </w:rPr>
  </w:style>
  <w:style w:type="paragraph" w:styleId="Heading4">
    <w:name w:val="heading 4"/>
    <w:basedOn w:val="Normal"/>
    <w:next w:val="BodyText3"/>
    <w:link w:val="Heading4Char"/>
    <w:uiPriority w:val="9"/>
    <w:qFormat/>
    <w:rsid w:val="00667CB3"/>
    <w:pPr>
      <w:keepNext/>
      <w:keepLines/>
      <w:numPr>
        <w:ilvl w:val="3"/>
        <w:numId w:val="6"/>
      </w:numPr>
      <w:spacing w:before="240" w:after="60"/>
      <w:outlineLvl w:val="3"/>
    </w:pPr>
    <w:rPr>
      <w:rFonts w:eastAsiaTheme="majorEastAsia" w:cstheme="majorBidi"/>
      <w:iCs/>
      <w:color w:val="F9423A"/>
    </w:rPr>
  </w:style>
  <w:style w:type="paragraph" w:styleId="Heading5">
    <w:name w:val="heading 5"/>
    <w:basedOn w:val="Normal"/>
    <w:next w:val="BodyText3"/>
    <w:link w:val="Heading5Char"/>
    <w:uiPriority w:val="9"/>
    <w:qFormat/>
    <w:rsid w:val="00667CB3"/>
    <w:pPr>
      <w:keepNext/>
      <w:keepLines/>
      <w:numPr>
        <w:ilvl w:val="4"/>
        <w:numId w:val="6"/>
      </w:numPr>
      <w:spacing w:before="240" w:after="60"/>
      <w:outlineLvl w:val="4"/>
    </w:pPr>
    <w:rPr>
      <w:rFonts w:eastAsiaTheme="majorEastAsia" w:cstheme="majorBidi"/>
      <w:i/>
      <w:color w:val="F9423A"/>
    </w:rPr>
  </w:style>
  <w:style w:type="paragraph" w:styleId="Heading6">
    <w:name w:val="heading 6"/>
    <w:basedOn w:val="Normal"/>
    <w:next w:val="Normal"/>
    <w:link w:val="Heading6Char"/>
    <w:uiPriority w:val="9"/>
    <w:unhideWhenUsed/>
    <w:qFormat/>
    <w:rsid w:val="001D6600"/>
    <w:pPr>
      <w:keepNext/>
      <w:keepLines/>
      <w:numPr>
        <w:ilvl w:val="5"/>
        <w:numId w:val="3"/>
      </w:numPr>
      <w:spacing w:before="40"/>
      <w:outlineLvl w:val="5"/>
    </w:pPr>
    <w:rPr>
      <w:rFonts w:eastAsiaTheme="majorEastAsia" w:cstheme="majorBidi"/>
    </w:rPr>
  </w:style>
  <w:style w:type="paragraph" w:styleId="Heading7">
    <w:name w:val="heading 7"/>
    <w:basedOn w:val="Normal"/>
    <w:next w:val="Normal"/>
    <w:link w:val="Heading7Char"/>
    <w:uiPriority w:val="9"/>
    <w:unhideWhenUsed/>
    <w:qFormat/>
    <w:rsid w:val="001D6600"/>
    <w:pPr>
      <w:keepNext/>
      <w:keepLines/>
      <w:numPr>
        <w:ilvl w:val="6"/>
        <w:numId w:val="3"/>
      </w:numPr>
      <w:spacing w:before="40"/>
      <w:outlineLvl w:val="6"/>
    </w:pPr>
    <w:rPr>
      <w:rFonts w:eastAsiaTheme="majorEastAsia" w:cstheme="majorBidi"/>
      <w:i/>
      <w:iCs/>
    </w:rPr>
  </w:style>
  <w:style w:type="paragraph" w:styleId="Heading8">
    <w:name w:val="heading 8"/>
    <w:basedOn w:val="Normal"/>
    <w:next w:val="Normal"/>
    <w:link w:val="Heading8Char"/>
    <w:uiPriority w:val="9"/>
    <w:unhideWhenUsed/>
    <w:qFormat/>
    <w:rsid w:val="001D6600"/>
    <w:pPr>
      <w:keepNext/>
      <w:keepLines/>
      <w:numPr>
        <w:ilvl w:val="7"/>
        <w:numId w:val="3"/>
      </w:numPr>
      <w:spacing w:before="40"/>
      <w:outlineLvl w:val="7"/>
    </w:pPr>
    <w:rPr>
      <w:rFonts w:eastAsiaTheme="majorEastAsia" w:cstheme="majorBidi"/>
      <w:szCs w:val="21"/>
    </w:rPr>
  </w:style>
  <w:style w:type="paragraph" w:styleId="Heading9">
    <w:name w:val="heading 9"/>
    <w:basedOn w:val="Normal"/>
    <w:next w:val="Normal"/>
    <w:link w:val="Heading9Char"/>
    <w:uiPriority w:val="9"/>
    <w:semiHidden/>
    <w:unhideWhenUsed/>
    <w:qFormat/>
    <w:rsid w:val="001D6600"/>
    <w:pPr>
      <w:keepNext/>
      <w:keepLines/>
      <w:numPr>
        <w:ilvl w:val="8"/>
        <w:numId w:val="3"/>
      </w:numPr>
      <w:spacing w:before="40"/>
      <w:outlineLvl w:val="8"/>
    </w:pPr>
    <w:rPr>
      <w:rFonts w:eastAsiaTheme="majorEastAsia" w:cstheme="majorBidi"/>
      <w:i/>
      <w:iCs/>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uiPriority w:val="99"/>
    <w:semiHidden/>
    <w:unhideWhenUsed/>
    <w:rsid w:val="001D6600"/>
    <w:pPr>
      <w:numPr>
        <w:numId w:val="1"/>
      </w:numPr>
    </w:pPr>
  </w:style>
  <w:style w:type="numbering" w:styleId="1ai">
    <w:name w:val="Outline List 1"/>
    <w:basedOn w:val="NoList"/>
    <w:uiPriority w:val="99"/>
    <w:semiHidden/>
    <w:unhideWhenUsed/>
    <w:rsid w:val="001D6600"/>
    <w:pPr>
      <w:numPr>
        <w:numId w:val="2"/>
      </w:numPr>
    </w:pPr>
  </w:style>
  <w:style w:type="character" w:customStyle="1" w:styleId="Heading1Char">
    <w:name w:val="Heading 1 Char"/>
    <w:basedOn w:val="DefaultParagraphFont"/>
    <w:link w:val="Heading1"/>
    <w:uiPriority w:val="9"/>
    <w:rsid w:val="001D6600"/>
    <w:rPr>
      <w:rFonts w:ascii="Montserrat" w:eastAsiaTheme="majorEastAsia" w:hAnsi="Montserrat" w:cstheme="majorBidi"/>
      <w:color w:val="F9423A"/>
      <w:sz w:val="36"/>
      <w:szCs w:val="32"/>
    </w:rPr>
  </w:style>
  <w:style w:type="character" w:customStyle="1" w:styleId="Heading2Char">
    <w:name w:val="Heading 2 Char"/>
    <w:basedOn w:val="DefaultParagraphFont"/>
    <w:link w:val="Heading2"/>
    <w:uiPriority w:val="9"/>
    <w:rsid w:val="001D6600"/>
    <w:rPr>
      <w:rFonts w:ascii="Montserrat" w:eastAsiaTheme="majorEastAsia" w:hAnsi="Montserrat" w:cstheme="majorBidi"/>
      <w:color w:val="F9423A"/>
      <w:sz w:val="24"/>
      <w:szCs w:val="26"/>
    </w:rPr>
  </w:style>
  <w:style w:type="character" w:customStyle="1" w:styleId="Heading3Char">
    <w:name w:val="Heading 3 Char"/>
    <w:basedOn w:val="DefaultParagraphFont"/>
    <w:link w:val="Heading3"/>
    <w:uiPriority w:val="9"/>
    <w:rsid w:val="001D6600"/>
    <w:rPr>
      <w:rFonts w:ascii="Montserrat Light" w:eastAsiaTheme="majorEastAsia" w:hAnsi="Montserrat Light" w:cstheme="majorBidi"/>
      <w:i/>
      <w:color w:val="F9423A"/>
      <w:szCs w:val="24"/>
    </w:rPr>
  </w:style>
  <w:style w:type="character" w:customStyle="1" w:styleId="Heading4Char">
    <w:name w:val="Heading 4 Char"/>
    <w:basedOn w:val="DefaultParagraphFont"/>
    <w:link w:val="Heading4"/>
    <w:uiPriority w:val="9"/>
    <w:rsid w:val="001D6600"/>
    <w:rPr>
      <w:rFonts w:ascii="Montserrat Light" w:eastAsiaTheme="majorEastAsia" w:hAnsi="Montserrat Light" w:cstheme="majorBidi"/>
      <w:iCs/>
      <w:color w:val="F9423A"/>
    </w:rPr>
  </w:style>
  <w:style w:type="character" w:customStyle="1" w:styleId="Heading5Char">
    <w:name w:val="Heading 5 Char"/>
    <w:basedOn w:val="DefaultParagraphFont"/>
    <w:link w:val="Heading5"/>
    <w:uiPriority w:val="9"/>
    <w:rsid w:val="001D6600"/>
    <w:rPr>
      <w:rFonts w:ascii="Montserrat Light" w:eastAsiaTheme="majorEastAsia" w:hAnsi="Montserrat Light" w:cstheme="majorBidi"/>
      <w:i/>
      <w:color w:val="F9423A"/>
    </w:rPr>
  </w:style>
  <w:style w:type="character" w:customStyle="1" w:styleId="Heading6Char">
    <w:name w:val="Heading 6 Char"/>
    <w:basedOn w:val="DefaultParagraphFont"/>
    <w:link w:val="Heading6"/>
    <w:uiPriority w:val="9"/>
    <w:rsid w:val="001D6600"/>
    <w:rPr>
      <w:rFonts w:ascii="Montserrat Light" w:eastAsiaTheme="majorEastAsia" w:hAnsi="Montserrat Light" w:cstheme="majorBidi"/>
      <w:color w:val="1D252C"/>
    </w:rPr>
  </w:style>
  <w:style w:type="character" w:customStyle="1" w:styleId="Heading7Char">
    <w:name w:val="Heading 7 Char"/>
    <w:basedOn w:val="DefaultParagraphFont"/>
    <w:link w:val="Heading7"/>
    <w:uiPriority w:val="9"/>
    <w:rsid w:val="001D6600"/>
    <w:rPr>
      <w:rFonts w:ascii="Montserrat Light" w:eastAsiaTheme="majorEastAsia" w:hAnsi="Montserrat Light" w:cstheme="majorBidi"/>
      <w:i/>
      <w:iCs/>
      <w:color w:val="1D252C"/>
    </w:rPr>
  </w:style>
  <w:style w:type="character" w:customStyle="1" w:styleId="Heading8Char">
    <w:name w:val="Heading 8 Char"/>
    <w:basedOn w:val="DefaultParagraphFont"/>
    <w:link w:val="Heading8"/>
    <w:uiPriority w:val="9"/>
    <w:rsid w:val="001D6600"/>
    <w:rPr>
      <w:rFonts w:ascii="Montserrat Light" w:eastAsiaTheme="majorEastAsia" w:hAnsi="Montserrat Light" w:cstheme="majorBidi"/>
      <w:color w:val="1D252C"/>
      <w:szCs w:val="21"/>
    </w:rPr>
  </w:style>
  <w:style w:type="character" w:customStyle="1" w:styleId="Heading9Char">
    <w:name w:val="Heading 9 Char"/>
    <w:basedOn w:val="DefaultParagraphFont"/>
    <w:link w:val="Heading9"/>
    <w:uiPriority w:val="9"/>
    <w:semiHidden/>
    <w:rsid w:val="001D6600"/>
    <w:rPr>
      <w:rFonts w:ascii="Montserrat Light" w:eastAsiaTheme="majorEastAsia" w:hAnsi="Montserrat Light" w:cstheme="majorBidi"/>
      <w:i/>
      <w:iCs/>
      <w:color w:val="1D252C"/>
      <w:szCs w:val="21"/>
    </w:rPr>
  </w:style>
  <w:style w:type="numbering" w:styleId="ArticleSection">
    <w:name w:val="Outline List 3"/>
    <w:basedOn w:val="NoList"/>
    <w:uiPriority w:val="99"/>
    <w:semiHidden/>
    <w:unhideWhenUsed/>
    <w:rsid w:val="001D6600"/>
    <w:pPr>
      <w:numPr>
        <w:numId w:val="3"/>
      </w:numPr>
    </w:pPr>
  </w:style>
  <w:style w:type="paragraph" w:styleId="BalloonText">
    <w:name w:val="Balloon Text"/>
    <w:basedOn w:val="Normal"/>
    <w:link w:val="BalloonTextChar"/>
    <w:uiPriority w:val="99"/>
    <w:semiHidden/>
    <w:unhideWhenUsed/>
    <w:rsid w:val="001D6600"/>
    <w:rPr>
      <w:rFonts w:cs="Segoe UI"/>
      <w:szCs w:val="18"/>
    </w:rPr>
  </w:style>
  <w:style w:type="character" w:customStyle="1" w:styleId="BalloonTextChar">
    <w:name w:val="Balloon Text Char"/>
    <w:basedOn w:val="DefaultParagraphFont"/>
    <w:link w:val="BalloonText"/>
    <w:uiPriority w:val="99"/>
    <w:semiHidden/>
    <w:rsid w:val="001D6600"/>
    <w:rPr>
      <w:rFonts w:ascii="Montserrat Light" w:hAnsi="Montserrat Light" w:cs="Segoe UI"/>
      <w:color w:val="1D252C"/>
      <w:sz w:val="20"/>
      <w:szCs w:val="18"/>
    </w:rPr>
  </w:style>
  <w:style w:type="paragraph" w:styleId="Bibliography">
    <w:name w:val="Bibliography"/>
    <w:basedOn w:val="Normal"/>
    <w:next w:val="Normal"/>
    <w:uiPriority w:val="37"/>
    <w:semiHidden/>
    <w:unhideWhenUsed/>
    <w:rsid w:val="001D6600"/>
  </w:style>
  <w:style w:type="paragraph" w:styleId="BlockText">
    <w:name w:val="Block Text"/>
    <w:basedOn w:val="Normal"/>
    <w:uiPriority w:val="99"/>
    <w:unhideWhenUsed/>
    <w:rsid w:val="001D6600"/>
    <w:pPr>
      <w:pBdr>
        <w:top w:val="single" w:sz="2" w:space="10" w:color="F9423A" w:themeColor="accent1" w:shadow="1"/>
        <w:left w:val="single" w:sz="2" w:space="10" w:color="F9423A" w:themeColor="accent1" w:shadow="1"/>
        <w:bottom w:val="single" w:sz="2" w:space="10" w:color="F9423A" w:themeColor="accent1" w:shadow="1"/>
        <w:right w:val="single" w:sz="2" w:space="10" w:color="F9423A" w:themeColor="accent1" w:shadow="1"/>
      </w:pBdr>
      <w:ind w:left="1152" w:right="1152"/>
    </w:pPr>
    <w:rPr>
      <w:rFonts w:eastAsiaTheme="minorEastAsia"/>
      <w:i/>
      <w:iCs/>
    </w:rPr>
  </w:style>
  <w:style w:type="paragraph" w:styleId="BodyText">
    <w:name w:val="Body Text"/>
    <w:basedOn w:val="Normal"/>
    <w:link w:val="BodyTextChar"/>
    <w:uiPriority w:val="99"/>
    <w:qFormat/>
    <w:rsid w:val="001D6600"/>
    <w:pPr>
      <w:spacing w:after="180" w:line="264" w:lineRule="auto"/>
    </w:pPr>
  </w:style>
  <w:style w:type="character" w:customStyle="1" w:styleId="BodyTextChar">
    <w:name w:val="Body Text Char"/>
    <w:basedOn w:val="DefaultParagraphFont"/>
    <w:link w:val="BodyText"/>
    <w:uiPriority w:val="99"/>
    <w:rsid w:val="001D6600"/>
    <w:rPr>
      <w:rFonts w:ascii="Montserrat Light" w:hAnsi="Montserrat Light"/>
      <w:color w:val="1D252C"/>
    </w:rPr>
  </w:style>
  <w:style w:type="paragraph" w:styleId="BodyText2">
    <w:name w:val="Body Text 2"/>
    <w:basedOn w:val="BodyText"/>
    <w:link w:val="BodyText2Char"/>
    <w:uiPriority w:val="99"/>
    <w:qFormat/>
    <w:rsid w:val="001D6600"/>
    <w:pPr>
      <w:spacing w:after="120"/>
      <w:ind w:left="567"/>
    </w:pPr>
  </w:style>
  <w:style w:type="character" w:customStyle="1" w:styleId="BodyText2Char">
    <w:name w:val="Body Text 2 Char"/>
    <w:basedOn w:val="DefaultParagraphFont"/>
    <w:link w:val="BodyText2"/>
    <w:uiPriority w:val="99"/>
    <w:rsid w:val="001D6600"/>
    <w:rPr>
      <w:rFonts w:ascii="Montserrat Light" w:hAnsi="Montserrat Light"/>
      <w:color w:val="1D252C"/>
      <w:sz w:val="20"/>
    </w:rPr>
  </w:style>
  <w:style w:type="paragraph" w:styleId="BodyText3">
    <w:name w:val="Body Text 3"/>
    <w:basedOn w:val="BodyText"/>
    <w:link w:val="BodyText3Char"/>
    <w:uiPriority w:val="99"/>
    <w:qFormat/>
    <w:rsid w:val="001D6600"/>
    <w:pPr>
      <w:spacing w:after="120"/>
      <w:ind w:left="1417"/>
    </w:pPr>
    <w:rPr>
      <w:szCs w:val="16"/>
    </w:rPr>
  </w:style>
  <w:style w:type="character" w:customStyle="1" w:styleId="BodyText3Char">
    <w:name w:val="Body Text 3 Char"/>
    <w:basedOn w:val="DefaultParagraphFont"/>
    <w:link w:val="BodyText3"/>
    <w:uiPriority w:val="99"/>
    <w:rsid w:val="001D6600"/>
    <w:rPr>
      <w:rFonts w:ascii="Montserrat Light" w:hAnsi="Montserrat Light"/>
      <w:color w:val="1D252C"/>
      <w:sz w:val="20"/>
      <w:szCs w:val="16"/>
    </w:rPr>
  </w:style>
  <w:style w:type="paragraph" w:styleId="BodyTextFirstIndent">
    <w:name w:val="Body Text First Indent"/>
    <w:basedOn w:val="BodyText"/>
    <w:link w:val="BodyTextFirstIndentChar"/>
    <w:uiPriority w:val="99"/>
    <w:semiHidden/>
    <w:unhideWhenUsed/>
    <w:rsid w:val="001D6600"/>
    <w:pPr>
      <w:spacing w:after="160"/>
      <w:ind w:firstLine="360"/>
    </w:pPr>
  </w:style>
  <w:style w:type="character" w:customStyle="1" w:styleId="BodyTextFirstIndentChar">
    <w:name w:val="Body Text First Indent Char"/>
    <w:basedOn w:val="BodyTextChar"/>
    <w:link w:val="BodyTextFirstIndent"/>
    <w:uiPriority w:val="99"/>
    <w:semiHidden/>
    <w:rsid w:val="001D6600"/>
    <w:rPr>
      <w:rFonts w:ascii="Montserrat Light" w:hAnsi="Montserrat Light"/>
      <w:color w:val="1D252C"/>
      <w:sz w:val="20"/>
    </w:rPr>
  </w:style>
  <w:style w:type="paragraph" w:styleId="BodyTextIndent">
    <w:name w:val="Body Text Indent"/>
    <w:basedOn w:val="Normal"/>
    <w:link w:val="BodyTextIndentChar"/>
    <w:uiPriority w:val="99"/>
    <w:semiHidden/>
    <w:unhideWhenUsed/>
    <w:rsid w:val="001D6600"/>
    <w:pPr>
      <w:spacing w:after="120"/>
      <w:ind w:left="283"/>
    </w:pPr>
  </w:style>
  <w:style w:type="character" w:customStyle="1" w:styleId="BodyTextIndentChar">
    <w:name w:val="Body Text Indent Char"/>
    <w:basedOn w:val="DefaultParagraphFont"/>
    <w:link w:val="BodyTextIndent"/>
    <w:uiPriority w:val="99"/>
    <w:semiHidden/>
    <w:rsid w:val="001D6600"/>
    <w:rPr>
      <w:rFonts w:ascii="Montserrat Light" w:hAnsi="Montserrat Light"/>
      <w:color w:val="1D252C"/>
      <w:sz w:val="20"/>
    </w:rPr>
  </w:style>
  <w:style w:type="paragraph" w:styleId="BodyTextFirstIndent2">
    <w:name w:val="Body Text First Indent 2"/>
    <w:basedOn w:val="BodyTextIndent"/>
    <w:link w:val="BodyTextFirstIndent2Char"/>
    <w:uiPriority w:val="99"/>
    <w:semiHidden/>
    <w:unhideWhenUsed/>
    <w:rsid w:val="001D6600"/>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1D6600"/>
    <w:rPr>
      <w:rFonts w:ascii="Montserrat Light" w:hAnsi="Montserrat Light"/>
      <w:color w:val="1D252C"/>
      <w:sz w:val="20"/>
    </w:rPr>
  </w:style>
  <w:style w:type="paragraph" w:styleId="BodyTextIndent2">
    <w:name w:val="Body Text Indent 2"/>
    <w:basedOn w:val="Normal"/>
    <w:link w:val="BodyTextIndent2Char"/>
    <w:uiPriority w:val="99"/>
    <w:semiHidden/>
    <w:unhideWhenUsed/>
    <w:rsid w:val="001D6600"/>
    <w:pPr>
      <w:spacing w:after="120" w:line="480" w:lineRule="auto"/>
      <w:ind w:left="283"/>
    </w:pPr>
  </w:style>
  <w:style w:type="character" w:customStyle="1" w:styleId="BodyTextIndent2Char">
    <w:name w:val="Body Text Indent 2 Char"/>
    <w:basedOn w:val="DefaultParagraphFont"/>
    <w:link w:val="BodyTextIndent2"/>
    <w:uiPriority w:val="99"/>
    <w:semiHidden/>
    <w:rsid w:val="001D6600"/>
    <w:rPr>
      <w:rFonts w:ascii="Montserrat Light" w:hAnsi="Montserrat Light"/>
      <w:color w:val="1D252C"/>
      <w:sz w:val="20"/>
    </w:rPr>
  </w:style>
  <w:style w:type="paragraph" w:styleId="BodyTextIndent3">
    <w:name w:val="Body Text Indent 3"/>
    <w:basedOn w:val="Normal"/>
    <w:link w:val="BodyTextIndent3Char"/>
    <w:uiPriority w:val="99"/>
    <w:semiHidden/>
    <w:unhideWhenUsed/>
    <w:rsid w:val="001D6600"/>
    <w:pPr>
      <w:spacing w:after="120"/>
      <w:ind w:left="283"/>
    </w:pPr>
    <w:rPr>
      <w:szCs w:val="16"/>
    </w:rPr>
  </w:style>
  <w:style w:type="character" w:customStyle="1" w:styleId="BodyTextIndent3Char">
    <w:name w:val="Body Text Indent 3 Char"/>
    <w:basedOn w:val="DefaultParagraphFont"/>
    <w:link w:val="BodyTextIndent3"/>
    <w:uiPriority w:val="99"/>
    <w:semiHidden/>
    <w:rsid w:val="001D6600"/>
    <w:rPr>
      <w:rFonts w:ascii="Montserrat Light" w:hAnsi="Montserrat Light"/>
      <w:color w:val="1D252C"/>
      <w:sz w:val="20"/>
      <w:szCs w:val="16"/>
    </w:rPr>
  </w:style>
  <w:style w:type="character" w:styleId="BookTitle">
    <w:name w:val="Book Title"/>
    <w:basedOn w:val="DefaultParagraphFont"/>
    <w:uiPriority w:val="99"/>
    <w:semiHidden/>
    <w:rsid w:val="00FB43E4"/>
    <w:rPr>
      <w:rFonts w:ascii="Montserrat Light" w:hAnsi="Montserrat Light"/>
      <w:b/>
      <w:bCs/>
      <w:i/>
      <w:iCs/>
      <w:color w:val="1D252C"/>
      <w:spacing w:val="5"/>
      <w:sz w:val="20"/>
    </w:rPr>
  </w:style>
  <w:style w:type="paragraph" w:styleId="Caption">
    <w:name w:val="caption"/>
    <w:basedOn w:val="Normal"/>
    <w:next w:val="Normal"/>
    <w:uiPriority w:val="35"/>
    <w:qFormat/>
    <w:rsid w:val="00435BEF"/>
    <w:pPr>
      <w:spacing w:after="180"/>
    </w:pPr>
    <w:rPr>
      <w:i/>
      <w:iCs/>
      <w:szCs w:val="18"/>
    </w:rPr>
  </w:style>
  <w:style w:type="paragraph" w:styleId="Closing">
    <w:name w:val="Closing"/>
    <w:basedOn w:val="Normal"/>
    <w:link w:val="ClosingChar"/>
    <w:uiPriority w:val="99"/>
    <w:semiHidden/>
    <w:unhideWhenUsed/>
    <w:rsid w:val="001D6600"/>
    <w:pPr>
      <w:ind w:left="4252"/>
    </w:pPr>
  </w:style>
  <w:style w:type="character" w:customStyle="1" w:styleId="ClosingChar">
    <w:name w:val="Closing Char"/>
    <w:basedOn w:val="DefaultParagraphFont"/>
    <w:link w:val="Closing"/>
    <w:uiPriority w:val="99"/>
    <w:semiHidden/>
    <w:rsid w:val="001D6600"/>
    <w:rPr>
      <w:rFonts w:ascii="Montserrat Light" w:hAnsi="Montserrat Light"/>
      <w:color w:val="1D252C"/>
      <w:sz w:val="20"/>
    </w:rPr>
  </w:style>
  <w:style w:type="table" w:styleId="ColorfulGrid">
    <w:name w:val="Colorful Grid"/>
    <w:basedOn w:val="TableNormal"/>
    <w:uiPriority w:val="73"/>
    <w:semiHidden/>
    <w:unhideWhenUsed/>
    <w:rsid w:val="001D6600"/>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1D6600"/>
    <w:tblPr>
      <w:tblStyleRowBandSize w:val="1"/>
      <w:tblStyleColBandSize w:val="1"/>
      <w:tblBorders>
        <w:insideH w:val="single" w:sz="4" w:space="0" w:color="FFFFFF" w:themeColor="background1"/>
      </w:tblBorders>
    </w:tblPr>
    <w:tcPr>
      <w:shd w:val="clear" w:color="auto" w:fill="FDD9D7" w:themeFill="accent1" w:themeFillTint="33"/>
    </w:tcPr>
    <w:tblStylePr w:type="firstRow">
      <w:rPr>
        <w:b/>
        <w:bCs/>
      </w:rPr>
      <w:tblPr/>
      <w:tcPr>
        <w:shd w:val="clear" w:color="auto" w:fill="FCB3B0" w:themeFill="accent1" w:themeFillTint="66"/>
      </w:tcPr>
    </w:tblStylePr>
    <w:tblStylePr w:type="lastRow">
      <w:rPr>
        <w:b/>
        <w:bCs/>
        <w:color w:val="000000" w:themeColor="text1"/>
      </w:rPr>
      <w:tblPr/>
      <w:tcPr>
        <w:shd w:val="clear" w:color="auto" w:fill="FCB3B0" w:themeFill="accent1" w:themeFillTint="66"/>
      </w:tcPr>
    </w:tblStylePr>
    <w:tblStylePr w:type="firstCol">
      <w:rPr>
        <w:color w:val="FFFFFF" w:themeColor="background1"/>
      </w:rPr>
      <w:tblPr/>
      <w:tcPr>
        <w:shd w:val="clear" w:color="auto" w:fill="DE0F06" w:themeFill="accent1" w:themeFillShade="BF"/>
      </w:tcPr>
    </w:tblStylePr>
    <w:tblStylePr w:type="lastCol">
      <w:rPr>
        <w:color w:val="FFFFFF" w:themeColor="background1"/>
      </w:rPr>
      <w:tblPr/>
      <w:tcPr>
        <w:shd w:val="clear" w:color="auto" w:fill="DE0F06" w:themeFill="accent1" w:themeFillShade="BF"/>
      </w:tcPr>
    </w:tblStylePr>
    <w:tblStylePr w:type="band1Vert">
      <w:tblPr/>
      <w:tcPr>
        <w:shd w:val="clear" w:color="auto" w:fill="FCA09C" w:themeFill="accent1" w:themeFillTint="7F"/>
      </w:tcPr>
    </w:tblStylePr>
    <w:tblStylePr w:type="band1Horz">
      <w:tblPr/>
      <w:tcPr>
        <w:shd w:val="clear" w:color="auto" w:fill="FCA09C" w:themeFill="accent1" w:themeFillTint="7F"/>
      </w:tcPr>
    </w:tblStylePr>
  </w:style>
  <w:style w:type="table" w:styleId="ColorfulGrid-Accent2">
    <w:name w:val="Colorful Grid Accent 2"/>
    <w:basedOn w:val="TableNormal"/>
    <w:uiPriority w:val="73"/>
    <w:semiHidden/>
    <w:unhideWhenUsed/>
    <w:rsid w:val="001D6600"/>
    <w:tblPr>
      <w:tblStyleRowBandSize w:val="1"/>
      <w:tblStyleColBandSize w:val="1"/>
      <w:tblBorders>
        <w:insideH w:val="single" w:sz="4" w:space="0" w:color="FFFFFF" w:themeColor="background1"/>
      </w:tblBorders>
    </w:tblPr>
    <w:tcPr>
      <w:shd w:val="clear" w:color="auto" w:fill="F7F9FC" w:themeFill="accent2" w:themeFillTint="33"/>
    </w:tcPr>
    <w:tblStylePr w:type="firstRow">
      <w:rPr>
        <w:b/>
        <w:bCs/>
      </w:rPr>
      <w:tblPr/>
      <w:tcPr>
        <w:shd w:val="clear" w:color="auto" w:fill="EFF4F9" w:themeFill="accent2" w:themeFillTint="66"/>
      </w:tcPr>
    </w:tblStylePr>
    <w:tblStylePr w:type="lastRow">
      <w:rPr>
        <w:b/>
        <w:bCs/>
        <w:color w:val="000000" w:themeColor="text1"/>
      </w:rPr>
      <w:tblPr/>
      <w:tcPr>
        <w:shd w:val="clear" w:color="auto" w:fill="EFF4F9" w:themeFill="accent2" w:themeFillTint="66"/>
      </w:tcPr>
    </w:tblStylePr>
    <w:tblStylePr w:type="firstCol">
      <w:rPr>
        <w:color w:val="FFFFFF" w:themeColor="background1"/>
      </w:rPr>
      <w:tblPr/>
      <w:tcPr>
        <w:shd w:val="clear" w:color="auto" w:fill="85B0D0" w:themeFill="accent2" w:themeFillShade="BF"/>
      </w:tcPr>
    </w:tblStylePr>
    <w:tblStylePr w:type="lastCol">
      <w:rPr>
        <w:color w:val="FFFFFF" w:themeColor="background1"/>
      </w:rPr>
      <w:tblPr/>
      <w:tcPr>
        <w:shd w:val="clear" w:color="auto" w:fill="85B0D0" w:themeFill="accent2" w:themeFillShade="BF"/>
      </w:tcPr>
    </w:tblStylePr>
    <w:tblStylePr w:type="band1Vert">
      <w:tblPr/>
      <w:tcPr>
        <w:shd w:val="clear" w:color="auto" w:fill="EBF2F7" w:themeFill="accent2" w:themeFillTint="7F"/>
      </w:tcPr>
    </w:tblStylePr>
    <w:tblStylePr w:type="band1Horz">
      <w:tblPr/>
      <w:tcPr>
        <w:shd w:val="clear" w:color="auto" w:fill="EBF2F7" w:themeFill="accent2" w:themeFillTint="7F"/>
      </w:tcPr>
    </w:tblStylePr>
  </w:style>
  <w:style w:type="table" w:styleId="ColorfulGrid-Accent3">
    <w:name w:val="Colorful Grid Accent 3"/>
    <w:basedOn w:val="TableNormal"/>
    <w:uiPriority w:val="73"/>
    <w:semiHidden/>
    <w:unhideWhenUsed/>
    <w:rsid w:val="001D6600"/>
    <w:tblPr>
      <w:tblStyleRowBandSize w:val="1"/>
      <w:tblStyleColBandSize w:val="1"/>
      <w:tblBorders>
        <w:insideH w:val="single" w:sz="4" w:space="0" w:color="FFFFFF" w:themeColor="background1"/>
      </w:tblBorders>
    </w:tblPr>
    <w:tcPr>
      <w:shd w:val="clear" w:color="auto" w:fill="CBD3DB" w:themeFill="accent3" w:themeFillTint="33"/>
    </w:tcPr>
    <w:tblStylePr w:type="firstRow">
      <w:rPr>
        <w:b/>
        <w:bCs/>
      </w:rPr>
      <w:tblPr/>
      <w:tcPr>
        <w:shd w:val="clear" w:color="auto" w:fill="97A8B7" w:themeFill="accent3" w:themeFillTint="66"/>
      </w:tcPr>
    </w:tblStylePr>
    <w:tblStylePr w:type="lastRow">
      <w:rPr>
        <w:b/>
        <w:bCs/>
        <w:color w:val="000000" w:themeColor="text1"/>
      </w:rPr>
      <w:tblPr/>
      <w:tcPr>
        <w:shd w:val="clear" w:color="auto" w:fill="97A8B7" w:themeFill="accent3" w:themeFillTint="66"/>
      </w:tcPr>
    </w:tblStylePr>
    <w:tblStylePr w:type="firstCol">
      <w:rPr>
        <w:color w:val="FFFFFF" w:themeColor="background1"/>
      </w:rPr>
      <w:tblPr/>
      <w:tcPr>
        <w:shd w:val="clear" w:color="auto" w:fill="161B20" w:themeFill="accent3" w:themeFillShade="BF"/>
      </w:tcPr>
    </w:tblStylePr>
    <w:tblStylePr w:type="lastCol">
      <w:rPr>
        <w:color w:val="FFFFFF" w:themeColor="background1"/>
      </w:rPr>
      <w:tblPr/>
      <w:tcPr>
        <w:shd w:val="clear" w:color="auto" w:fill="161B20" w:themeFill="accent3" w:themeFillShade="BF"/>
      </w:tcPr>
    </w:tblStylePr>
    <w:tblStylePr w:type="band1Vert">
      <w:tblPr/>
      <w:tcPr>
        <w:shd w:val="clear" w:color="auto" w:fill="7E93A5" w:themeFill="accent3" w:themeFillTint="7F"/>
      </w:tcPr>
    </w:tblStylePr>
    <w:tblStylePr w:type="band1Horz">
      <w:tblPr/>
      <w:tcPr>
        <w:shd w:val="clear" w:color="auto" w:fill="7E93A5" w:themeFill="accent3" w:themeFillTint="7F"/>
      </w:tcPr>
    </w:tblStylePr>
  </w:style>
  <w:style w:type="table" w:styleId="ColorfulGrid-Accent4">
    <w:name w:val="Colorful Grid Accent 4"/>
    <w:basedOn w:val="TableNormal"/>
    <w:uiPriority w:val="73"/>
    <w:semiHidden/>
    <w:unhideWhenUsed/>
    <w:rsid w:val="001D6600"/>
    <w:tblPr>
      <w:tblStyleRowBandSize w:val="1"/>
      <w:tblStyleColBandSize w:val="1"/>
      <w:tblBorders>
        <w:insideH w:val="single" w:sz="4" w:space="0" w:color="FFFFFF" w:themeColor="background1"/>
      </w:tblBorders>
    </w:tblPr>
    <w:tcPr>
      <w:shd w:val="clear" w:color="auto" w:fill="D1D8DE" w:themeFill="accent4" w:themeFillTint="33"/>
    </w:tcPr>
    <w:tblStylePr w:type="firstRow">
      <w:rPr>
        <w:b/>
        <w:bCs/>
      </w:rPr>
      <w:tblPr/>
      <w:tcPr>
        <w:shd w:val="clear" w:color="auto" w:fill="A4B2BE" w:themeFill="accent4" w:themeFillTint="66"/>
      </w:tcPr>
    </w:tblStylePr>
    <w:tblStylePr w:type="lastRow">
      <w:rPr>
        <w:b/>
        <w:bCs/>
        <w:color w:val="000000" w:themeColor="text1"/>
      </w:rPr>
      <w:tblPr/>
      <w:tcPr>
        <w:shd w:val="clear" w:color="auto" w:fill="A4B2BE" w:themeFill="accent4" w:themeFillTint="66"/>
      </w:tcPr>
    </w:tblStylePr>
    <w:tblStylePr w:type="firstCol">
      <w:rPr>
        <w:color w:val="FFFFFF" w:themeColor="background1"/>
      </w:rPr>
      <w:tblPr/>
      <w:tcPr>
        <w:shd w:val="clear" w:color="auto" w:fill="262E35" w:themeFill="accent4" w:themeFillShade="BF"/>
      </w:tcPr>
    </w:tblStylePr>
    <w:tblStylePr w:type="lastCol">
      <w:rPr>
        <w:color w:val="FFFFFF" w:themeColor="background1"/>
      </w:rPr>
      <w:tblPr/>
      <w:tcPr>
        <w:shd w:val="clear" w:color="auto" w:fill="262E35" w:themeFill="accent4" w:themeFillShade="BF"/>
      </w:tcPr>
    </w:tblStylePr>
    <w:tblStylePr w:type="band1Vert">
      <w:tblPr/>
      <w:tcPr>
        <w:shd w:val="clear" w:color="auto" w:fill="8E9FAF" w:themeFill="accent4" w:themeFillTint="7F"/>
      </w:tcPr>
    </w:tblStylePr>
    <w:tblStylePr w:type="band1Horz">
      <w:tblPr/>
      <w:tcPr>
        <w:shd w:val="clear" w:color="auto" w:fill="8E9FAF" w:themeFill="accent4" w:themeFillTint="7F"/>
      </w:tcPr>
    </w:tblStylePr>
  </w:style>
  <w:style w:type="table" w:styleId="ColorfulGrid-Accent5">
    <w:name w:val="Colorful Grid Accent 5"/>
    <w:basedOn w:val="TableNormal"/>
    <w:uiPriority w:val="73"/>
    <w:semiHidden/>
    <w:unhideWhenUsed/>
    <w:rsid w:val="001D6600"/>
    <w:tblPr>
      <w:tblStyleRowBandSize w:val="1"/>
      <w:tblStyleColBandSize w:val="1"/>
      <w:tblBorders>
        <w:insideH w:val="single" w:sz="4" w:space="0" w:color="FFFFFF" w:themeColor="background1"/>
      </w:tblBorders>
    </w:tblPr>
    <w:tcPr>
      <w:shd w:val="clear" w:color="auto" w:fill="F7F7F6" w:themeFill="accent5" w:themeFillTint="33"/>
    </w:tcPr>
    <w:tblStylePr w:type="firstRow">
      <w:rPr>
        <w:b/>
        <w:bCs/>
      </w:rPr>
      <w:tblPr/>
      <w:tcPr>
        <w:shd w:val="clear" w:color="auto" w:fill="EFEFEE" w:themeFill="accent5" w:themeFillTint="66"/>
      </w:tcPr>
    </w:tblStylePr>
    <w:tblStylePr w:type="lastRow">
      <w:rPr>
        <w:b/>
        <w:bCs/>
        <w:color w:val="000000" w:themeColor="text1"/>
      </w:rPr>
      <w:tblPr/>
      <w:tcPr>
        <w:shd w:val="clear" w:color="auto" w:fill="EFEFEE" w:themeFill="accent5" w:themeFillTint="66"/>
      </w:tcPr>
    </w:tblStylePr>
    <w:tblStylePr w:type="firstCol">
      <w:rPr>
        <w:color w:val="FFFFFF" w:themeColor="background1"/>
      </w:rPr>
      <w:tblPr/>
      <w:tcPr>
        <w:shd w:val="clear" w:color="auto" w:fill="A5A59D" w:themeFill="accent5" w:themeFillShade="BF"/>
      </w:tcPr>
    </w:tblStylePr>
    <w:tblStylePr w:type="lastCol">
      <w:rPr>
        <w:color w:val="FFFFFF" w:themeColor="background1"/>
      </w:rPr>
      <w:tblPr/>
      <w:tcPr>
        <w:shd w:val="clear" w:color="auto" w:fill="A5A59D" w:themeFill="accent5" w:themeFillShade="BF"/>
      </w:tcPr>
    </w:tblStylePr>
    <w:tblStylePr w:type="band1Vert">
      <w:tblPr/>
      <w:tcPr>
        <w:shd w:val="clear" w:color="auto" w:fill="ECECEA" w:themeFill="accent5" w:themeFillTint="7F"/>
      </w:tcPr>
    </w:tblStylePr>
    <w:tblStylePr w:type="band1Horz">
      <w:tblPr/>
      <w:tcPr>
        <w:shd w:val="clear" w:color="auto" w:fill="ECECEA" w:themeFill="accent5" w:themeFillTint="7F"/>
      </w:tcPr>
    </w:tblStylePr>
  </w:style>
  <w:style w:type="table" w:styleId="ColorfulGrid-Accent6">
    <w:name w:val="Colorful Grid Accent 6"/>
    <w:basedOn w:val="TableNormal"/>
    <w:uiPriority w:val="73"/>
    <w:semiHidden/>
    <w:unhideWhenUsed/>
    <w:rsid w:val="001D6600"/>
    <w:tblPr>
      <w:tblStyleRowBandSize w:val="1"/>
      <w:tblStyleColBandSize w:val="1"/>
      <w:tblBorders>
        <w:insideH w:val="single" w:sz="4" w:space="0" w:color="FFFFFF" w:themeColor="background1"/>
      </w:tblBorders>
    </w:tblPr>
    <w:tcPr>
      <w:shd w:val="clear" w:color="auto" w:fill="FBFBFA" w:themeFill="accent6" w:themeFillTint="33"/>
    </w:tcPr>
    <w:tblStylePr w:type="firstRow">
      <w:rPr>
        <w:b/>
        <w:bCs/>
      </w:rPr>
      <w:tblPr/>
      <w:tcPr>
        <w:shd w:val="clear" w:color="auto" w:fill="F8F7F6" w:themeFill="accent6" w:themeFillTint="66"/>
      </w:tcPr>
    </w:tblStylePr>
    <w:tblStylePr w:type="lastRow">
      <w:rPr>
        <w:b/>
        <w:bCs/>
        <w:color w:val="000000" w:themeColor="text1"/>
      </w:rPr>
      <w:tblPr/>
      <w:tcPr>
        <w:shd w:val="clear" w:color="auto" w:fill="F8F7F6" w:themeFill="accent6" w:themeFillTint="66"/>
      </w:tcPr>
    </w:tblStylePr>
    <w:tblStylePr w:type="firstCol">
      <w:rPr>
        <w:color w:val="FFFFFF" w:themeColor="background1"/>
      </w:rPr>
      <w:tblPr/>
      <w:tcPr>
        <w:shd w:val="clear" w:color="auto" w:fill="BBAEA6" w:themeFill="accent6" w:themeFillShade="BF"/>
      </w:tcPr>
    </w:tblStylePr>
    <w:tblStylePr w:type="lastCol">
      <w:rPr>
        <w:color w:val="FFFFFF" w:themeColor="background1"/>
      </w:rPr>
      <w:tblPr/>
      <w:tcPr>
        <w:shd w:val="clear" w:color="auto" w:fill="BBAEA6" w:themeFill="accent6" w:themeFillShade="BF"/>
      </w:tcPr>
    </w:tblStylePr>
    <w:tblStylePr w:type="band1Vert">
      <w:tblPr/>
      <w:tcPr>
        <w:shd w:val="clear" w:color="auto" w:fill="F7F5F4" w:themeFill="accent6" w:themeFillTint="7F"/>
      </w:tcPr>
    </w:tblStylePr>
    <w:tblStylePr w:type="band1Horz">
      <w:tblPr/>
      <w:tcPr>
        <w:shd w:val="clear" w:color="auto" w:fill="F7F5F4" w:themeFill="accent6" w:themeFillTint="7F"/>
      </w:tcPr>
    </w:tblStylePr>
  </w:style>
  <w:style w:type="table" w:styleId="ColorfulList">
    <w:name w:val="Colorful List"/>
    <w:basedOn w:val="TableNormal"/>
    <w:uiPriority w:val="72"/>
    <w:semiHidden/>
    <w:unhideWhenUsed/>
    <w:rsid w:val="001D6600"/>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6BBD6" w:themeFill="accent2" w:themeFillShade="CC"/>
      </w:tcPr>
    </w:tblStylePr>
    <w:tblStylePr w:type="lastRow">
      <w:rPr>
        <w:b/>
        <w:bCs/>
        <w:color w:val="96BBD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1D6600"/>
    <w:tblPr>
      <w:tblStyleRowBandSize w:val="1"/>
      <w:tblStyleColBandSize w:val="1"/>
    </w:tblPr>
    <w:tcPr>
      <w:shd w:val="clear" w:color="auto" w:fill="FEECEB" w:themeFill="accent1" w:themeFillTint="19"/>
    </w:tcPr>
    <w:tblStylePr w:type="firstRow">
      <w:rPr>
        <w:b/>
        <w:bCs/>
        <w:color w:val="FFFFFF" w:themeColor="background1"/>
      </w:rPr>
      <w:tblPr/>
      <w:tcPr>
        <w:tcBorders>
          <w:bottom w:val="single" w:sz="12" w:space="0" w:color="FFFFFF" w:themeColor="background1"/>
        </w:tcBorders>
        <w:shd w:val="clear" w:color="auto" w:fill="96BBD6" w:themeFill="accent2" w:themeFillShade="CC"/>
      </w:tcPr>
    </w:tblStylePr>
    <w:tblStylePr w:type="lastRow">
      <w:rPr>
        <w:b/>
        <w:bCs/>
        <w:color w:val="96BBD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CFCE" w:themeFill="accent1" w:themeFillTint="3F"/>
      </w:tcPr>
    </w:tblStylePr>
    <w:tblStylePr w:type="band1Horz">
      <w:tblPr/>
      <w:tcPr>
        <w:shd w:val="clear" w:color="auto" w:fill="FDD9D7" w:themeFill="accent1" w:themeFillTint="33"/>
      </w:tcPr>
    </w:tblStylePr>
  </w:style>
  <w:style w:type="table" w:styleId="ColorfulList-Accent2">
    <w:name w:val="Colorful List Accent 2"/>
    <w:basedOn w:val="TableNormal"/>
    <w:uiPriority w:val="72"/>
    <w:semiHidden/>
    <w:unhideWhenUsed/>
    <w:rsid w:val="001D6600"/>
    <w:tblPr>
      <w:tblStyleRowBandSize w:val="1"/>
      <w:tblStyleColBandSize w:val="1"/>
    </w:tblPr>
    <w:tcPr>
      <w:shd w:val="clear" w:color="auto" w:fill="FBFCFD" w:themeFill="accent2" w:themeFillTint="19"/>
    </w:tcPr>
    <w:tblStylePr w:type="firstRow">
      <w:rPr>
        <w:b/>
        <w:bCs/>
        <w:color w:val="FFFFFF" w:themeColor="background1"/>
      </w:rPr>
      <w:tblPr/>
      <w:tcPr>
        <w:tcBorders>
          <w:bottom w:val="single" w:sz="12" w:space="0" w:color="FFFFFF" w:themeColor="background1"/>
        </w:tcBorders>
        <w:shd w:val="clear" w:color="auto" w:fill="96BBD6" w:themeFill="accent2" w:themeFillShade="CC"/>
      </w:tcPr>
    </w:tblStylePr>
    <w:tblStylePr w:type="lastRow">
      <w:rPr>
        <w:b/>
        <w:bCs/>
        <w:color w:val="96BBD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F8FB" w:themeFill="accent2" w:themeFillTint="3F"/>
      </w:tcPr>
    </w:tblStylePr>
    <w:tblStylePr w:type="band1Horz">
      <w:tblPr/>
      <w:tcPr>
        <w:shd w:val="clear" w:color="auto" w:fill="F7F9FC" w:themeFill="accent2" w:themeFillTint="33"/>
      </w:tcPr>
    </w:tblStylePr>
  </w:style>
  <w:style w:type="table" w:styleId="ColorfulList-Accent3">
    <w:name w:val="Colorful List Accent 3"/>
    <w:basedOn w:val="TableNormal"/>
    <w:uiPriority w:val="72"/>
    <w:semiHidden/>
    <w:unhideWhenUsed/>
    <w:rsid w:val="001D6600"/>
    <w:tblPr>
      <w:tblStyleRowBandSize w:val="1"/>
      <w:tblStyleColBandSize w:val="1"/>
    </w:tblPr>
    <w:tcPr>
      <w:shd w:val="clear" w:color="auto" w:fill="E5E9ED" w:themeFill="accent3" w:themeFillTint="19"/>
    </w:tcPr>
    <w:tblStylePr w:type="firstRow">
      <w:rPr>
        <w:b/>
        <w:bCs/>
        <w:color w:val="FFFFFF" w:themeColor="background1"/>
      </w:rPr>
      <w:tblPr/>
      <w:tcPr>
        <w:tcBorders>
          <w:bottom w:val="single" w:sz="12" w:space="0" w:color="FFFFFF" w:themeColor="background1"/>
        </w:tcBorders>
        <w:shd w:val="clear" w:color="auto" w:fill="283139" w:themeFill="accent4" w:themeFillShade="CC"/>
      </w:tcPr>
    </w:tblStylePr>
    <w:tblStylePr w:type="lastRow">
      <w:rPr>
        <w:b/>
        <w:bCs/>
        <w:color w:val="283139"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C9D2" w:themeFill="accent3" w:themeFillTint="3F"/>
      </w:tcPr>
    </w:tblStylePr>
    <w:tblStylePr w:type="band1Horz">
      <w:tblPr/>
      <w:tcPr>
        <w:shd w:val="clear" w:color="auto" w:fill="CBD3DB" w:themeFill="accent3" w:themeFillTint="33"/>
      </w:tcPr>
    </w:tblStylePr>
  </w:style>
  <w:style w:type="table" w:styleId="ColorfulList-Accent4">
    <w:name w:val="Colorful List Accent 4"/>
    <w:basedOn w:val="TableNormal"/>
    <w:uiPriority w:val="72"/>
    <w:semiHidden/>
    <w:unhideWhenUsed/>
    <w:rsid w:val="001D6600"/>
    <w:tblPr>
      <w:tblStyleRowBandSize w:val="1"/>
      <w:tblStyleColBandSize w:val="1"/>
    </w:tblPr>
    <w:tcPr>
      <w:shd w:val="clear" w:color="auto" w:fill="E8ECEF" w:themeFill="accent4" w:themeFillTint="19"/>
    </w:tcPr>
    <w:tblStylePr w:type="firstRow">
      <w:rPr>
        <w:b/>
        <w:bCs/>
        <w:color w:val="FFFFFF" w:themeColor="background1"/>
      </w:rPr>
      <w:tblPr/>
      <w:tcPr>
        <w:tcBorders>
          <w:bottom w:val="single" w:sz="12" w:space="0" w:color="FFFFFF" w:themeColor="background1"/>
        </w:tcBorders>
        <w:shd w:val="clear" w:color="auto" w:fill="181D22" w:themeFill="accent3" w:themeFillShade="CC"/>
      </w:tcPr>
    </w:tblStylePr>
    <w:tblStylePr w:type="lastRow">
      <w:rPr>
        <w:b/>
        <w:bCs/>
        <w:color w:val="181D22"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7CFD7" w:themeFill="accent4" w:themeFillTint="3F"/>
      </w:tcPr>
    </w:tblStylePr>
    <w:tblStylePr w:type="band1Horz">
      <w:tblPr/>
      <w:tcPr>
        <w:shd w:val="clear" w:color="auto" w:fill="D1D8DE" w:themeFill="accent4" w:themeFillTint="33"/>
      </w:tcPr>
    </w:tblStylePr>
  </w:style>
  <w:style w:type="table" w:styleId="ColorfulList-Accent5">
    <w:name w:val="Colorful List Accent 5"/>
    <w:basedOn w:val="TableNormal"/>
    <w:uiPriority w:val="72"/>
    <w:semiHidden/>
    <w:unhideWhenUsed/>
    <w:rsid w:val="001D6600"/>
    <w:tblPr>
      <w:tblStyleRowBandSize w:val="1"/>
      <w:tblStyleColBandSize w:val="1"/>
    </w:tblPr>
    <w:tcPr>
      <w:shd w:val="clear" w:color="auto" w:fill="FBFBFA" w:themeFill="accent5" w:themeFillTint="19"/>
    </w:tcPr>
    <w:tblStylePr w:type="firstRow">
      <w:rPr>
        <w:b/>
        <w:bCs/>
        <w:color w:val="FFFFFF" w:themeColor="background1"/>
      </w:rPr>
      <w:tblPr/>
      <w:tcPr>
        <w:tcBorders>
          <w:bottom w:val="single" w:sz="12" w:space="0" w:color="FFFFFF" w:themeColor="background1"/>
        </w:tcBorders>
        <w:shd w:val="clear" w:color="auto" w:fill="C6BBB4" w:themeFill="accent6" w:themeFillShade="CC"/>
      </w:tcPr>
    </w:tblStylePr>
    <w:tblStylePr w:type="lastRow">
      <w:rPr>
        <w:b/>
        <w:bCs/>
        <w:color w:val="C6BBB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F5F4" w:themeFill="accent5" w:themeFillTint="3F"/>
      </w:tcPr>
    </w:tblStylePr>
    <w:tblStylePr w:type="band1Horz">
      <w:tblPr/>
      <w:tcPr>
        <w:shd w:val="clear" w:color="auto" w:fill="F7F7F6" w:themeFill="accent5" w:themeFillTint="33"/>
      </w:tcPr>
    </w:tblStylePr>
  </w:style>
  <w:style w:type="table" w:styleId="ColorfulList-Accent6">
    <w:name w:val="Colorful List Accent 6"/>
    <w:basedOn w:val="TableNormal"/>
    <w:uiPriority w:val="72"/>
    <w:semiHidden/>
    <w:unhideWhenUsed/>
    <w:rsid w:val="001D6600"/>
    <w:tblPr>
      <w:tblStyleRowBandSize w:val="1"/>
      <w:tblStyleColBandSize w:val="1"/>
    </w:tblPr>
    <w:tcPr>
      <w:shd w:val="clear" w:color="auto" w:fill="FDFDFC" w:themeFill="accent6" w:themeFillTint="19"/>
    </w:tcPr>
    <w:tblStylePr w:type="firstRow">
      <w:rPr>
        <w:b/>
        <w:bCs/>
        <w:color w:val="FFFFFF" w:themeColor="background1"/>
      </w:rPr>
      <w:tblPr/>
      <w:tcPr>
        <w:tcBorders>
          <w:bottom w:val="single" w:sz="12" w:space="0" w:color="FFFFFF" w:themeColor="background1"/>
        </w:tcBorders>
        <w:shd w:val="clear" w:color="auto" w:fill="AFAFA9" w:themeFill="accent5" w:themeFillShade="CC"/>
      </w:tcPr>
    </w:tblStylePr>
    <w:tblStylePr w:type="lastRow">
      <w:rPr>
        <w:b/>
        <w:bCs/>
        <w:color w:val="AFAFA9"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FAF9" w:themeFill="accent6" w:themeFillTint="3F"/>
      </w:tcPr>
    </w:tblStylePr>
    <w:tblStylePr w:type="band1Horz">
      <w:tblPr/>
      <w:tcPr>
        <w:shd w:val="clear" w:color="auto" w:fill="FBFBFA" w:themeFill="accent6" w:themeFillTint="33"/>
      </w:tcPr>
    </w:tblStylePr>
  </w:style>
  <w:style w:type="table" w:styleId="ColorfulShading">
    <w:name w:val="Colorful Shading"/>
    <w:basedOn w:val="TableNormal"/>
    <w:uiPriority w:val="71"/>
    <w:semiHidden/>
    <w:unhideWhenUsed/>
    <w:rsid w:val="001D6600"/>
    <w:tblPr>
      <w:tblStyleRowBandSize w:val="1"/>
      <w:tblStyleColBandSize w:val="1"/>
      <w:tblBorders>
        <w:top w:val="single" w:sz="24" w:space="0" w:color="D8E6F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D8E6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1D6600"/>
    <w:tblPr>
      <w:tblStyleRowBandSize w:val="1"/>
      <w:tblStyleColBandSize w:val="1"/>
      <w:tblBorders>
        <w:top w:val="single" w:sz="24" w:space="0" w:color="D8E6F0" w:themeColor="accent2"/>
        <w:left w:val="single" w:sz="4" w:space="0" w:color="F9423A" w:themeColor="accent1"/>
        <w:bottom w:val="single" w:sz="4" w:space="0" w:color="F9423A" w:themeColor="accent1"/>
        <w:right w:val="single" w:sz="4" w:space="0" w:color="F9423A" w:themeColor="accent1"/>
        <w:insideH w:val="single" w:sz="4" w:space="0" w:color="FFFFFF" w:themeColor="background1"/>
        <w:insideV w:val="single" w:sz="4" w:space="0" w:color="FFFFFF" w:themeColor="background1"/>
      </w:tblBorders>
    </w:tblPr>
    <w:tcPr>
      <w:shd w:val="clear" w:color="auto" w:fill="FEECEB" w:themeFill="accent1" w:themeFillTint="19"/>
    </w:tcPr>
    <w:tblStylePr w:type="firstRow">
      <w:rPr>
        <w:b/>
        <w:bCs/>
      </w:rPr>
      <w:tblPr/>
      <w:tcPr>
        <w:tcBorders>
          <w:top w:val="nil"/>
          <w:left w:val="nil"/>
          <w:bottom w:val="single" w:sz="24" w:space="0" w:color="D8E6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20C05" w:themeFill="accent1" w:themeFillShade="99"/>
      </w:tcPr>
    </w:tblStylePr>
    <w:tblStylePr w:type="firstCol">
      <w:rPr>
        <w:color w:val="FFFFFF" w:themeColor="background1"/>
      </w:rPr>
      <w:tblPr/>
      <w:tcPr>
        <w:tcBorders>
          <w:top w:val="nil"/>
          <w:left w:val="nil"/>
          <w:bottom w:val="nil"/>
          <w:right w:val="nil"/>
          <w:insideH w:val="single" w:sz="4" w:space="0" w:color="B20C05" w:themeColor="accent1" w:themeShade="99"/>
          <w:insideV w:val="nil"/>
        </w:tcBorders>
        <w:shd w:val="clear" w:color="auto" w:fill="B20C0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B20C05" w:themeFill="accent1" w:themeFillShade="99"/>
      </w:tcPr>
    </w:tblStylePr>
    <w:tblStylePr w:type="band1Vert">
      <w:tblPr/>
      <w:tcPr>
        <w:shd w:val="clear" w:color="auto" w:fill="FCB3B0" w:themeFill="accent1" w:themeFillTint="66"/>
      </w:tcPr>
    </w:tblStylePr>
    <w:tblStylePr w:type="band1Horz">
      <w:tblPr/>
      <w:tcPr>
        <w:shd w:val="clear" w:color="auto" w:fill="FCA09C"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1D6600"/>
    <w:tblPr>
      <w:tblStyleRowBandSize w:val="1"/>
      <w:tblStyleColBandSize w:val="1"/>
      <w:tblBorders>
        <w:top w:val="single" w:sz="24" w:space="0" w:color="D8E6F0" w:themeColor="accent2"/>
        <w:left w:val="single" w:sz="4" w:space="0" w:color="D8E6F0" w:themeColor="accent2"/>
        <w:bottom w:val="single" w:sz="4" w:space="0" w:color="D8E6F0" w:themeColor="accent2"/>
        <w:right w:val="single" w:sz="4" w:space="0" w:color="D8E6F0" w:themeColor="accent2"/>
        <w:insideH w:val="single" w:sz="4" w:space="0" w:color="FFFFFF" w:themeColor="background1"/>
        <w:insideV w:val="single" w:sz="4" w:space="0" w:color="FFFFFF" w:themeColor="background1"/>
      </w:tblBorders>
    </w:tblPr>
    <w:tcPr>
      <w:shd w:val="clear" w:color="auto" w:fill="FBFCFD" w:themeFill="accent2" w:themeFillTint="19"/>
    </w:tcPr>
    <w:tblStylePr w:type="firstRow">
      <w:rPr>
        <w:b/>
        <w:bCs/>
      </w:rPr>
      <w:tblPr/>
      <w:tcPr>
        <w:tcBorders>
          <w:top w:val="nil"/>
          <w:left w:val="nil"/>
          <w:bottom w:val="single" w:sz="24" w:space="0" w:color="D8E6F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491BD" w:themeFill="accent2" w:themeFillShade="99"/>
      </w:tcPr>
    </w:tblStylePr>
    <w:tblStylePr w:type="firstCol">
      <w:rPr>
        <w:color w:val="FFFFFF" w:themeColor="background1"/>
      </w:rPr>
      <w:tblPr/>
      <w:tcPr>
        <w:tcBorders>
          <w:top w:val="nil"/>
          <w:left w:val="nil"/>
          <w:bottom w:val="nil"/>
          <w:right w:val="nil"/>
          <w:insideH w:val="single" w:sz="4" w:space="0" w:color="5491BD" w:themeColor="accent2" w:themeShade="99"/>
          <w:insideV w:val="nil"/>
        </w:tcBorders>
        <w:shd w:val="clear" w:color="auto" w:fill="5491B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491BD" w:themeFill="accent2" w:themeFillShade="99"/>
      </w:tcPr>
    </w:tblStylePr>
    <w:tblStylePr w:type="band1Vert">
      <w:tblPr/>
      <w:tcPr>
        <w:shd w:val="clear" w:color="auto" w:fill="EFF4F9" w:themeFill="accent2" w:themeFillTint="66"/>
      </w:tcPr>
    </w:tblStylePr>
    <w:tblStylePr w:type="band1Horz">
      <w:tblPr/>
      <w:tcPr>
        <w:shd w:val="clear" w:color="auto" w:fill="EBF2F7"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1D6600"/>
    <w:tblPr>
      <w:tblStyleRowBandSize w:val="1"/>
      <w:tblStyleColBandSize w:val="1"/>
      <w:tblBorders>
        <w:top w:val="single" w:sz="24" w:space="0" w:color="333E48" w:themeColor="accent4"/>
        <w:left w:val="single" w:sz="4" w:space="0" w:color="1E252B" w:themeColor="accent3"/>
        <w:bottom w:val="single" w:sz="4" w:space="0" w:color="1E252B" w:themeColor="accent3"/>
        <w:right w:val="single" w:sz="4" w:space="0" w:color="1E252B" w:themeColor="accent3"/>
        <w:insideH w:val="single" w:sz="4" w:space="0" w:color="FFFFFF" w:themeColor="background1"/>
        <w:insideV w:val="single" w:sz="4" w:space="0" w:color="FFFFFF" w:themeColor="background1"/>
      </w:tblBorders>
    </w:tblPr>
    <w:tcPr>
      <w:shd w:val="clear" w:color="auto" w:fill="E5E9ED" w:themeFill="accent3" w:themeFillTint="19"/>
    </w:tcPr>
    <w:tblStylePr w:type="firstRow">
      <w:rPr>
        <w:b/>
        <w:bCs/>
      </w:rPr>
      <w:tblPr/>
      <w:tcPr>
        <w:tcBorders>
          <w:top w:val="nil"/>
          <w:left w:val="nil"/>
          <w:bottom w:val="single" w:sz="24" w:space="0" w:color="333E48"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1619" w:themeFill="accent3" w:themeFillShade="99"/>
      </w:tcPr>
    </w:tblStylePr>
    <w:tblStylePr w:type="firstCol">
      <w:rPr>
        <w:color w:val="FFFFFF" w:themeColor="background1"/>
      </w:rPr>
      <w:tblPr/>
      <w:tcPr>
        <w:tcBorders>
          <w:top w:val="nil"/>
          <w:left w:val="nil"/>
          <w:bottom w:val="nil"/>
          <w:right w:val="nil"/>
          <w:insideH w:val="single" w:sz="4" w:space="0" w:color="121619" w:themeColor="accent3" w:themeShade="99"/>
          <w:insideV w:val="nil"/>
        </w:tcBorders>
        <w:shd w:val="clear" w:color="auto" w:fill="12161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21619" w:themeFill="accent3" w:themeFillShade="99"/>
      </w:tcPr>
    </w:tblStylePr>
    <w:tblStylePr w:type="band1Vert">
      <w:tblPr/>
      <w:tcPr>
        <w:shd w:val="clear" w:color="auto" w:fill="97A8B7" w:themeFill="accent3" w:themeFillTint="66"/>
      </w:tcPr>
    </w:tblStylePr>
    <w:tblStylePr w:type="band1Horz">
      <w:tblPr/>
      <w:tcPr>
        <w:shd w:val="clear" w:color="auto" w:fill="7E93A5" w:themeFill="accent3" w:themeFillTint="7F"/>
      </w:tcPr>
    </w:tblStylePr>
  </w:style>
  <w:style w:type="table" w:styleId="ColorfulShading-Accent4">
    <w:name w:val="Colorful Shading Accent 4"/>
    <w:basedOn w:val="TableNormal"/>
    <w:uiPriority w:val="71"/>
    <w:semiHidden/>
    <w:unhideWhenUsed/>
    <w:rsid w:val="001D6600"/>
    <w:tblPr>
      <w:tblStyleRowBandSize w:val="1"/>
      <w:tblStyleColBandSize w:val="1"/>
      <w:tblBorders>
        <w:top w:val="single" w:sz="24" w:space="0" w:color="1E252B" w:themeColor="accent3"/>
        <w:left w:val="single" w:sz="4" w:space="0" w:color="333E48" w:themeColor="accent4"/>
        <w:bottom w:val="single" w:sz="4" w:space="0" w:color="333E48" w:themeColor="accent4"/>
        <w:right w:val="single" w:sz="4" w:space="0" w:color="333E48" w:themeColor="accent4"/>
        <w:insideH w:val="single" w:sz="4" w:space="0" w:color="FFFFFF" w:themeColor="background1"/>
        <w:insideV w:val="single" w:sz="4" w:space="0" w:color="FFFFFF" w:themeColor="background1"/>
      </w:tblBorders>
    </w:tblPr>
    <w:tcPr>
      <w:shd w:val="clear" w:color="auto" w:fill="E8ECEF" w:themeFill="accent4" w:themeFillTint="19"/>
    </w:tcPr>
    <w:tblStylePr w:type="firstRow">
      <w:rPr>
        <w:b/>
        <w:bCs/>
      </w:rPr>
      <w:tblPr/>
      <w:tcPr>
        <w:tcBorders>
          <w:top w:val="nil"/>
          <w:left w:val="nil"/>
          <w:bottom w:val="single" w:sz="24" w:space="0" w:color="1E252B"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252B" w:themeFill="accent4" w:themeFillShade="99"/>
      </w:tcPr>
    </w:tblStylePr>
    <w:tblStylePr w:type="firstCol">
      <w:rPr>
        <w:color w:val="FFFFFF" w:themeColor="background1"/>
      </w:rPr>
      <w:tblPr/>
      <w:tcPr>
        <w:tcBorders>
          <w:top w:val="nil"/>
          <w:left w:val="nil"/>
          <w:bottom w:val="nil"/>
          <w:right w:val="nil"/>
          <w:insideH w:val="single" w:sz="4" w:space="0" w:color="1E252B" w:themeColor="accent4" w:themeShade="99"/>
          <w:insideV w:val="nil"/>
        </w:tcBorders>
        <w:shd w:val="clear" w:color="auto" w:fill="1E252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E252B" w:themeFill="accent4" w:themeFillShade="99"/>
      </w:tcPr>
    </w:tblStylePr>
    <w:tblStylePr w:type="band1Vert">
      <w:tblPr/>
      <w:tcPr>
        <w:shd w:val="clear" w:color="auto" w:fill="A4B2BE" w:themeFill="accent4" w:themeFillTint="66"/>
      </w:tcPr>
    </w:tblStylePr>
    <w:tblStylePr w:type="band1Horz">
      <w:tblPr/>
      <w:tcPr>
        <w:shd w:val="clear" w:color="auto" w:fill="8E9FA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1D6600"/>
    <w:tblPr>
      <w:tblStyleRowBandSize w:val="1"/>
      <w:tblStyleColBandSize w:val="1"/>
      <w:tblBorders>
        <w:top w:val="single" w:sz="24" w:space="0" w:color="EFECEA" w:themeColor="accent6"/>
        <w:left w:val="single" w:sz="4" w:space="0" w:color="D9D9D6" w:themeColor="accent5"/>
        <w:bottom w:val="single" w:sz="4" w:space="0" w:color="D9D9D6" w:themeColor="accent5"/>
        <w:right w:val="single" w:sz="4" w:space="0" w:color="D9D9D6" w:themeColor="accent5"/>
        <w:insideH w:val="single" w:sz="4" w:space="0" w:color="FFFFFF" w:themeColor="background1"/>
        <w:insideV w:val="single" w:sz="4" w:space="0" w:color="FFFFFF" w:themeColor="background1"/>
      </w:tblBorders>
    </w:tblPr>
    <w:tcPr>
      <w:shd w:val="clear" w:color="auto" w:fill="FBFBFA" w:themeFill="accent5" w:themeFillTint="19"/>
    </w:tcPr>
    <w:tblStylePr w:type="firstRow">
      <w:rPr>
        <w:b/>
        <w:bCs/>
      </w:rPr>
      <w:tblPr/>
      <w:tcPr>
        <w:tcBorders>
          <w:top w:val="nil"/>
          <w:left w:val="nil"/>
          <w:bottom w:val="single" w:sz="24" w:space="0" w:color="EFECEA"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6867C" w:themeFill="accent5" w:themeFillShade="99"/>
      </w:tcPr>
    </w:tblStylePr>
    <w:tblStylePr w:type="firstCol">
      <w:rPr>
        <w:color w:val="FFFFFF" w:themeColor="background1"/>
      </w:rPr>
      <w:tblPr/>
      <w:tcPr>
        <w:tcBorders>
          <w:top w:val="nil"/>
          <w:left w:val="nil"/>
          <w:bottom w:val="nil"/>
          <w:right w:val="nil"/>
          <w:insideH w:val="single" w:sz="4" w:space="0" w:color="86867C" w:themeColor="accent5" w:themeShade="99"/>
          <w:insideV w:val="nil"/>
        </w:tcBorders>
        <w:shd w:val="clear" w:color="auto" w:fill="8686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6867C" w:themeFill="accent5" w:themeFillShade="99"/>
      </w:tcPr>
    </w:tblStylePr>
    <w:tblStylePr w:type="band1Vert">
      <w:tblPr/>
      <w:tcPr>
        <w:shd w:val="clear" w:color="auto" w:fill="EFEFEE" w:themeFill="accent5" w:themeFillTint="66"/>
      </w:tcPr>
    </w:tblStylePr>
    <w:tblStylePr w:type="band1Horz">
      <w:tblPr/>
      <w:tcPr>
        <w:shd w:val="clear" w:color="auto" w:fill="ECE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1D6600"/>
    <w:tblPr>
      <w:tblStyleRowBandSize w:val="1"/>
      <w:tblStyleColBandSize w:val="1"/>
      <w:tblBorders>
        <w:top w:val="single" w:sz="24" w:space="0" w:color="D9D9D6" w:themeColor="accent5"/>
        <w:left w:val="single" w:sz="4" w:space="0" w:color="EFECEA" w:themeColor="accent6"/>
        <w:bottom w:val="single" w:sz="4" w:space="0" w:color="EFECEA" w:themeColor="accent6"/>
        <w:right w:val="single" w:sz="4" w:space="0" w:color="EFECEA" w:themeColor="accent6"/>
        <w:insideH w:val="single" w:sz="4" w:space="0" w:color="FFFFFF" w:themeColor="background1"/>
        <w:insideV w:val="single" w:sz="4" w:space="0" w:color="FFFFFF" w:themeColor="background1"/>
      </w:tblBorders>
    </w:tblPr>
    <w:tcPr>
      <w:shd w:val="clear" w:color="auto" w:fill="FDFDFC" w:themeFill="accent6" w:themeFillTint="19"/>
    </w:tcPr>
    <w:tblStylePr w:type="firstRow">
      <w:rPr>
        <w:b/>
        <w:bCs/>
      </w:rPr>
      <w:tblPr/>
      <w:tcPr>
        <w:tcBorders>
          <w:top w:val="nil"/>
          <w:left w:val="nil"/>
          <w:bottom w:val="single" w:sz="24" w:space="0" w:color="D9D9D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8A7E" w:themeFill="accent6" w:themeFillShade="99"/>
      </w:tcPr>
    </w:tblStylePr>
    <w:tblStylePr w:type="firstCol">
      <w:rPr>
        <w:color w:val="FFFFFF" w:themeColor="background1"/>
      </w:rPr>
      <w:tblPr/>
      <w:tcPr>
        <w:tcBorders>
          <w:top w:val="nil"/>
          <w:left w:val="nil"/>
          <w:bottom w:val="nil"/>
          <w:right w:val="nil"/>
          <w:insideH w:val="single" w:sz="4" w:space="0" w:color="9D8A7E" w:themeColor="accent6" w:themeShade="99"/>
          <w:insideV w:val="nil"/>
        </w:tcBorders>
        <w:shd w:val="clear" w:color="auto" w:fill="9D8A7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D8A7E" w:themeFill="accent6" w:themeFillShade="99"/>
      </w:tcPr>
    </w:tblStylePr>
    <w:tblStylePr w:type="band1Vert">
      <w:tblPr/>
      <w:tcPr>
        <w:shd w:val="clear" w:color="auto" w:fill="F8F7F6" w:themeFill="accent6" w:themeFillTint="66"/>
      </w:tcPr>
    </w:tblStylePr>
    <w:tblStylePr w:type="band1Horz">
      <w:tblPr/>
      <w:tcPr>
        <w:shd w:val="clear" w:color="auto" w:fill="F7F5F4"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1D6600"/>
    <w:rPr>
      <w:rFonts w:ascii="Montserrat Light" w:hAnsi="Montserrat Light"/>
      <w:color w:val="1D252C"/>
      <w:sz w:val="20"/>
      <w:szCs w:val="16"/>
    </w:rPr>
  </w:style>
  <w:style w:type="paragraph" w:styleId="CommentText">
    <w:name w:val="annotation text"/>
    <w:basedOn w:val="Normal"/>
    <w:link w:val="CommentTextChar"/>
    <w:uiPriority w:val="99"/>
    <w:unhideWhenUsed/>
    <w:rsid w:val="001D6600"/>
  </w:style>
  <w:style w:type="character" w:customStyle="1" w:styleId="CommentTextChar">
    <w:name w:val="Comment Text Char"/>
    <w:basedOn w:val="DefaultParagraphFont"/>
    <w:link w:val="CommentText"/>
    <w:uiPriority w:val="99"/>
    <w:rsid w:val="001D6600"/>
    <w:rPr>
      <w:rFonts w:ascii="Montserrat Light" w:hAnsi="Montserrat Light"/>
      <w:color w:val="1D252C"/>
      <w:sz w:val="20"/>
    </w:rPr>
  </w:style>
  <w:style w:type="paragraph" w:styleId="CommentSubject">
    <w:name w:val="annotation subject"/>
    <w:basedOn w:val="CommentText"/>
    <w:next w:val="CommentText"/>
    <w:link w:val="CommentSubjectChar"/>
    <w:uiPriority w:val="99"/>
    <w:semiHidden/>
    <w:unhideWhenUsed/>
    <w:rsid w:val="001D6600"/>
    <w:rPr>
      <w:b/>
      <w:bCs/>
    </w:rPr>
  </w:style>
  <w:style w:type="character" w:customStyle="1" w:styleId="CommentSubjectChar">
    <w:name w:val="Comment Subject Char"/>
    <w:basedOn w:val="CommentTextChar"/>
    <w:link w:val="CommentSubject"/>
    <w:uiPriority w:val="99"/>
    <w:semiHidden/>
    <w:rsid w:val="001D6600"/>
    <w:rPr>
      <w:rFonts w:ascii="Montserrat Light" w:hAnsi="Montserrat Light"/>
      <w:b/>
      <w:bCs/>
      <w:color w:val="1D252C"/>
      <w:sz w:val="20"/>
    </w:rPr>
  </w:style>
  <w:style w:type="table" w:styleId="DarkList">
    <w:name w:val="Dark List"/>
    <w:basedOn w:val="TableNormal"/>
    <w:uiPriority w:val="70"/>
    <w:semiHidden/>
    <w:unhideWhenUsed/>
    <w:rsid w:val="001D6600"/>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1D6600"/>
    <w:tblPr>
      <w:tblStyleRowBandSize w:val="1"/>
      <w:tblStyleColBandSize w:val="1"/>
    </w:tblPr>
    <w:tcPr>
      <w:shd w:val="clear" w:color="auto" w:fill="F9423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40A0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DE0F0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DE0F06" w:themeFill="accent1" w:themeFillShade="BF"/>
      </w:tcPr>
    </w:tblStylePr>
    <w:tblStylePr w:type="band1Vert">
      <w:tblPr/>
      <w:tcPr>
        <w:tcBorders>
          <w:top w:val="nil"/>
          <w:left w:val="nil"/>
          <w:bottom w:val="nil"/>
          <w:right w:val="nil"/>
          <w:insideH w:val="nil"/>
          <w:insideV w:val="nil"/>
        </w:tcBorders>
        <w:shd w:val="clear" w:color="auto" w:fill="DE0F06" w:themeFill="accent1" w:themeFillShade="BF"/>
      </w:tcPr>
    </w:tblStylePr>
    <w:tblStylePr w:type="band1Horz">
      <w:tblPr/>
      <w:tcPr>
        <w:tcBorders>
          <w:top w:val="nil"/>
          <w:left w:val="nil"/>
          <w:bottom w:val="nil"/>
          <w:right w:val="nil"/>
          <w:insideH w:val="nil"/>
          <w:insideV w:val="nil"/>
        </w:tcBorders>
        <w:shd w:val="clear" w:color="auto" w:fill="DE0F06" w:themeFill="accent1" w:themeFillShade="BF"/>
      </w:tcPr>
    </w:tblStylePr>
  </w:style>
  <w:style w:type="table" w:styleId="DarkList-Accent2">
    <w:name w:val="Dark List Accent 2"/>
    <w:basedOn w:val="TableNormal"/>
    <w:uiPriority w:val="70"/>
    <w:semiHidden/>
    <w:unhideWhenUsed/>
    <w:rsid w:val="001D6600"/>
    <w:tblPr>
      <w:tblStyleRowBandSize w:val="1"/>
      <w:tblStyleColBandSize w:val="1"/>
    </w:tblPr>
    <w:tcPr>
      <w:shd w:val="clear" w:color="auto" w:fill="D8E6F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79A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B0D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B0D0" w:themeFill="accent2" w:themeFillShade="BF"/>
      </w:tcPr>
    </w:tblStylePr>
    <w:tblStylePr w:type="band1Vert">
      <w:tblPr/>
      <w:tcPr>
        <w:tcBorders>
          <w:top w:val="nil"/>
          <w:left w:val="nil"/>
          <w:bottom w:val="nil"/>
          <w:right w:val="nil"/>
          <w:insideH w:val="nil"/>
          <w:insideV w:val="nil"/>
        </w:tcBorders>
        <w:shd w:val="clear" w:color="auto" w:fill="85B0D0" w:themeFill="accent2" w:themeFillShade="BF"/>
      </w:tcPr>
    </w:tblStylePr>
    <w:tblStylePr w:type="band1Horz">
      <w:tblPr/>
      <w:tcPr>
        <w:tcBorders>
          <w:top w:val="nil"/>
          <w:left w:val="nil"/>
          <w:bottom w:val="nil"/>
          <w:right w:val="nil"/>
          <w:insideH w:val="nil"/>
          <w:insideV w:val="nil"/>
        </w:tcBorders>
        <w:shd w:val="clear" w:color="auto" w:fill="85B0D0" w:themeFill="accent2" w:themeFillShade="BF"/>
      </w:tcPr>
    </w:tblStylePr>
  </w:style>
  <w:style w:type="table" w:styleId="DarkList-Accent3">
    <w:name w:val="Dark List Accent 3"/>
    <w:basedOn w:val="TableNormal"/>
    <w:uiPriority w:val="70"/>
    <w:semiHidden/>
    <w:unhideWhenUsed/>
    <w:rsid w:val="001D6600"/>
    <w:tblPr>
      <w:tblStyleRowBandSize w:val="1"/>
      <w:tblStyleColBandSize w:val="1"/>
    </w:tblPr>
    <w:tcPr>
      <w:shd w:val="clear" w:color="auto" w:fill="1E252B"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1215"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61B2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61B20" w:themeFill="accent3" w:themeFillShade="BF"/>
      </w:tcPr>
    </w:tblStylePr>
    <w:tblStylePr w:type="band1Vert">
      <w:tblPr/>
      <w:tcPr>
        <w:tcBorders>
          <w:top w:val="nil"/>
          <w:left w:val="nil"/>
          <w:bottom w:val="nil"/>
          <w:right w:val="nil"/>
          <w:insideH w:val="nil"/>
          <w:insideV w:val="nil"/>
        </w:tcBorders>
        <w:shd w:val="clear" w:color="auto" w:fill="161B20" w:themeFill="accent3" w:themeFillShade="BF"/>
      </w:tcPr>
    </w:tblStylePr>
    <w:tblStylePr w:type="band1Horz">
      <w:tblPr/>
      <w:tcPr>
        <w:tcBorders>
          <w:top w:val="nil"/>
          <w:left w:val="nil"/>
          <w:bottom w:val="nil"/>
          <w:right w:val="nil"/>
          <w:insideH w:val="nil"/>
          <w:insideV w:val="nil"/>
        </w:tcBorders>
        <w:shd w:val="clear" w:color="auto" w:fill="161B20" w:themeFill="accent3" w:themeFillShade="BF"/>
      </w:tcPr>
    </w:tblStylePr>
  </w:style>
  <w:style w:type="table" w:styleId="DarkList-Accent4">
    <w:name w:val="Dark List Accent 4"/>
    <w:basedOn w:val="TableNormal"/>
    <w:uiPriority w:val="70"/>
    <w:semiHidden/>
    <w:unhideWhenUsed/>
    <w:rsid w:val="001D6600"/>
    <w:tblPr>
      <w:tblStyleRowBandSize w:val="1"/>
      <w:tblStyleColBandSize w:val="1"/>
    </w:tblPr>
    <w:tcPr>
      <w:shd w:val="clear" w:color="auto" w:fill="333E48"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91E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262E35"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262E35" w:themeFill="accent4" w:themeFillShade="BF"/>
      </w:tcPr>
    </w:tblStylePr>
    <w:tblStylePr w:type="band1Vert">
      <w:tblPr/>
      <w:tcPr>
        <w:tcBorders>
          <w:top w:val="nil"/>
          <w:left w:val="nil"/>
          <w:bottom w:val="nil"/>
          <w:right w:val="nil"/>
          <w:insideH w:val="nil"/>
          <w:insideV w:val="nil"/>
        </w:tcBorders>
        <w:shd w:val="clear" w:color="auto" w:fill="262E35" w:themeFill="accent4" w:themeFillShade="BF"/>
      </w:tcPr>
    </w:tblStylePr>
    <w:tblStylePr w:type="band1Horz">
      <w:tblPr/>
      <w:tcPr>
        <w:tcBorders>
          <w:top w:val="nil"/>
          <w:left w:val="nil"/>
          <w:bottom w:val="nil"/>
          <w:right w:val="nil"/>
          <w:insideH w:val="nil"/>
          <w:insideV w:val="nil"/>
        </w:tcBorders>
        <w:shd w:val="clear" w:color="auto" w:fill="262E35" w:themeFill="accent4" w:themeFillShade="BF"/>
      </w:tcPr>
    </w:tblStylePr>
  </w:style>
  <w:style w:type="table" w:styleId="DarkList-Accent5">
    <w:name w:val="Dark List Accent 5"/>
    <w:basedOn w:val="TableNormal"/>
    <w:uiPriority w:val="70"/>
    <w:semiHidden/>
    <w:unhideWhenUsed/>
    <w:rsid w:val="001D6600"/>
    <w:tblPr>
      <w:tblStyleRowBandSize w:val="1"/>
      <w:tblStyleColBandSize w:val="1"/>
    </w:tblPr>
    <w:tcPr>
      <w:shd w:val="clear" w:color="auto" w:fill="D9D9D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F6F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A5A59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A5A59D" w:themeFill="accent5" w:themeFillShade="BF"/>
      </w:tcPr>
    </w:tblStylePr>
    <w:tblStylePr w:type="band1Vert">
      <w:tblPr/>
      <w:tcPr>
        <w:tcBorders>
          <w:top w:val="nil"/>
          <w:left w:val="nil"/>
          <w:bottom w:val="nil"/>
          <w:right w:val="nil"/>
          <w:insideH w:val="nil"/>
          <w:insideV w:val="nil"/>
        </w:tcBorders>
        <w:shd w:val="clear" w:color="auto" w:fill="A5A59D" w:themeFill="accent5" w:themeFillShade="BF"/>
      </w:tcPr>
    </w:tblStylePr>
    <w:tblStylePr w:type="band1Horz">
      <w:tblPr/>
      <w:tcPr>
        <w:tcBorders>
          <w:top w:val="nil"/>
          <w:left w:val="nil"/>
          <w:bottom w:val="nil"/>
          <w:right w:val="nil"/>
          <w:insideH w:val="nil"/>
          <w:insideV w:val="nil"/>
        </w:tcBorders>
        <w:shd w:val="clear" w:color="auto" w:fill="A5A59D" w:themeFill="accent5" w:themeFillShade="BF"/>
      </w:tcPr>
    </w:tblStylePr>
  </w:style>
  <w:style w:type="table" w:styleId="DarkList-Accent6">
    <w:name w:val="Dark List Accent 6"/>
    <w:basedOn w:val="TableNormal"/>
    <w:uiPriority w:val="70"/>
    <w:semiHidden/>
    <w:unhideWhenUsed/>
    <w:rsid w:val="001D6600"/>
    <w:tblPr>
      <w:tblStyleRowBandSize w:val="1"/>
      <w:tblStyleColBandSize w:val="1"/>
    </w:tblPr>
    <w:tcPr>
      <w:shd w:val="clear" w:color="auto" w:fill="EFECEA"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5726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BAEA6"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BAEA6" w:themeFill="accent6" w:themeFillShade="BF"/>
      </w:tcPr>
    </w:tblStylePr>
    <w:tblStylePr w:type="band1Vert">
      <w:tblPr/>
      <w:tcPr>
        <w:tcBorders>
          <w:top w:val="nil"/>
          <w:left w:val="nil"/>
          <w:bottom w:val="nil"/>
          <w:right w:val="nil"/>
          <w:insideH w:val="nil"/>
          <w:insideV w:val="nil"/>
        </w:tcBorders>
        <w:shd w:val="clear" w:color="auto" w:fill="BBAEA6" w:themeFill="accent6" w:themeFillShade="BF"/>
      </w:tcPr>
    </w:tblStylePr>
    <w:tblStylePr w:type="band1Horz">
      <w:tblPr/>
      <w:tcPr>
        <w:tcBorders>
          <w:top w:val="nil"/>
          <w:left w:val="nil"/>
          <w:bottom w:val="nil"/>
          <w:right w:val="nil"/>
          <w:insideH w:val="nil"/>
          <w:insideV w:val="nil"/>
        </w:tcBorders>
        <w:shd w:val="clear" w:color="auto" w:fill="BBAEA6" w:themeFill="accent6" w:themeFillShade="BF"/>
      </w:tcPr>
    </w:tblStylePr>
  </w:style>
  <w:style w:type="paragraph" w:styleId="Date">
    <w:name w:val="Date"/>
    <w:basedOn w:val="Normal"/>
    <w:next w:val="Normal"/>
    <w:link w:val="DateChar"/>
    <w:uiPriority w:val="99"/>
    <w:semiHidden/>
    <w:unhideWhenUsed/>
    <w:rsid w:val="001D6600"/>
  </w:style>
  <w:style w:type="character" w:customStyle="1" w:styleId="DateChar">
    <w:name w:val="Date Char"/>
    <w:basedOn w:val="DefaultParagraphFont"/>
    <w:link w:val="Date"/>
    <w:uiPriority w:val="99"/>
    <w:semiHidden/>
    <w:rsid w:val="001D6600"/>
    <w:rPr>
      <w:rFonts w:ascii="Montserrat Light" w:hAnsi="Montserrat Light"/>
      <w:color w:val="1D252C"/>
      <w:sz w:val="20"/>
    </w:rPr>
  </w:style>
  <w:style w:type="paragraph" w:styleId="DocumentMap">
    <w:name w:val="Document Map"/>
    <w:basedOn w:val="Normal"/>
    <w:link w:val="DocumentMapChar"/>
    <w:uiPriority w:val="99"/>
    <w:semiHidden/>
    <w:unhideWhenUsed/>
    <w:rsid w:val="001D6600"/>
    <w:rPr>
      <w:rFonts w:cs="Segoe UI"/>
      <w:szCs w:val="16"/>
    </w:rPr>
  </w:style>
  <w:style w:type="character" w:customStyle="1" w:styleId="DocumentMapChar">
    <w:name w:val="Document Map Char"/>
    <w:basedOn w:val="DefaultParagraphFont"/>
    <w:link w:val="DocumentMap"/>
    <w:uiPriority w:val="99"/>
    <w:semiHidden/>
    <w:rsid w:val="001D6600"/>
    <w:rPr>
      <w:rFonts w:ascii="Montserrat Light" w:hAnsi="Montserrat Light" w:cs="Segoe UI"/>
      <w:color w:val="1D252C"/>
      <w:sz w:val="20"/>
      <w:szCs w:val="16"/>
    </w:rPr>
  </w:style>
  <w:style w:type="paragraph" w:styleId="E-mailSignature">
    <w:name w:val="E-mail Signature"/>
    <w:basedOn w:val="Normal"/>
    <w:link w:val="E-mailSignatureChar"/>
    <w:uiPriority w:val="99"/>
    <w:semiHidden/>
    <w:unhideWhenUsed/>
    <w:rsid w:val="001D6600"/>
  </w:style>
  <w:style w:type="character" w:customStyle="1" w:styleId="E-mailSignatureChar">
    <w:name w:val="E-mail Signature Char"/>
    <w:basedOn w:val="DefaultParagraphFont"/>
    <w:link w:val="E-mailSignature"/>
    <w:uiPriority w:val="99"/>
    <w:semiHidden/>
    <w:rsid w:val="001D6600"/>
    <w:rPr>
      <w:rFonts w:ascii="Montserrat Light" w:hAnsi="Montserrat Light"/>
      <w:color w:val="1D252C"/>
      <w:sz w:val="20"/>
    </w:rPr>
  </w:style>
  <w:style w:type="character" w:styleId="Emphasis">
    <w:name w:val="Emphasis"/>
    <w:basedOn w:val="DefaultParagraphFont"/>
    <w:uiPriority w:val="20"/>
    <w:qFormat/>
    <w:rsid w:val="001D6600"/>
    <w:rPr>
      <w:rFonts w:ascii="Montserrat Light" w:hAnsi="Montserrat Light"/>
      <w:i/>
      <w:iCs/>
      <w:color w:val="1D252C"/>
      <w:sz w:val="20"/>
    </w:rPr>
  </w:style>
  <w:style w:type="character" w:styleId="EndnoteReference">
    <w:name w:val="endnote reference"/>
    <w:basedOn w:val="DefaultParagraphFont"/>
    <w:uiPriority w:val="99"/>
    <w:semiHidden/>
    <w:unhideWhenUsed/>
    <w:rsid w:val="001D6600"/>
    <w:rPr>
      <w:rFonts w:ascii="Montserrat Light" w:hAnsi="Montserrat Light"/>
      <w:color w:val="1D252C"/>
      <w:sz w:val="20"/>
      <w:vertAlign w:val="superscript"/>
    </w:rPr>
  </w:style>
  <w:style w:type="paragraph" w:styleId="EndnoteText">
    <w:name w:val="endnote text"/>
    <w:basedOn w:val="Normal"/>
    <w:link w:val="EndnoteTextChar"/>
    <w:uiPriority w:val="99"/>
    <w:semiHidden/>
    <w:unhideWhenUsed/>
    <w:rsid w:val="001D6600"/>
  </w:style>
  <w:style w:type="character" w:customStyle="1" w:styleId="EndnoteTextChar">
    <w:name w:val="Endnote Text Char"/>
    <w:basedOn w:val="DefaultParagraphFont"/>
    <w:link w:val="EndnoteText"/>
    <w:uiPriority w:val="99"/>
    <w:semiHidden/>
    <w:rsid w:val="001D6600"/>
    <w:rPr>
      <w:rFonts w:ascii="Montserrat Light" w:hAnsi="Montserrat Light"/>
      <w:color w:val="1D252C"/>
      <w:sz w:val="20"/>
    </w:rPr>
  </w:style>
  <w:style w:type="paragraph" w:styleId="EnvelopeAddress">
    <w:name w:val="envelope address"/>
    <w:basedOn w:val="Normal"/>
    <w:uiPriority w:val="99"/>
    <w:semiHidden/>
    <w:unhideWhenUsed/>
    <w:rsid w:val="001D6600"/>
    <w:pPr>
      <w:framePr w:w="7920" w:h="1980" w:hRule="exact" w:hSpace="180" w:wrap="auto" w:hAnchor="page" w:xAlign="center" w:yAlign="bottom"/>
      <w:ind w:left="2880"/>
    </w:pPr>
    <w:rPr>
      <w:rFonts w:eastAsiaTheme="majorEastAsia" w:cstheme="majorBidi"/>
      <w:szCs w:val="24"/>
    </w:rPr>
  </w:style>
  <w:style w:type="paragraph" w:styleId="EnvelopeReturn">
    <w:name w:val="envelope return"/>
    <w:basedOn w:val="Normal"/>
    <w:uiPriority w:val="99"/>
    <w:semiHidden/>
    <w:unhideWhenUsed/>
    <w:rsid w:val="001D6600"/>
    <w:rPr>
      <w:rFonts w:eastAsiaTheme="majorEastAsia" w:cstheme="majorBidi"/>
    </w:rPr>
  </w:style>
  <w:style w:type="character" w:styleId="FollowedHyperlink">
    <w:name w:val="FollowedHyperlink"/>
    <w:basedOn w:val="DefaultParagraphFont"/>
    <w:uiPriority w:val="99"/>
    <w:semiHidden/>
    <w:unhideWhenUsed/>
    <w:rsid w:val="001D6600"/>
    <w:rPr>
      <w:rFonts w:ascii="Montserrat Light" w:hAnsi="Montserrat Light"/>
      <w:color w:val="A6A6A6"/>
      <w:sz w:val="20"/>
      <w:u w:val="single"/>
    </w:rPr>
  </w:style>
  <w:style w:type="paragraph" w:styleId="Footer">
    <w:name w:val="footer"/>
    <w:basedOn w:val="Normal"/>
    <w:link w:val="FooterChar"/>
    <w:uiPriority w:val="99"/>
    <w:qFormat/>
    <w:rsid w:val="00C014D6"/>
    <w:rPr>
      <w:sz w:val="12"/>
    </w:rPr>
  </w:style>
  <w:style w:type="character" w:customStyle="1" w:styleId="FooterChar">
    <w:name w:val="Footer Char"/>
    <w:basedOn w:val="DefaultParagraphFont"/>
    <w:link w:val="Footer"/>
    <w:uiPriority w:val="99"/>
    <w:rsid w:val="00C014D6"/>
    <w:rPr>
      <w:rFonts w:ascii="Montserrat Light" w:hAnsi="Montserrat Light"/>
      <w:color w:val="1D252C"/>
      <w:sz w:val="12"/>
    </w:rPr>
  </w:style>
  <w:style w:type="character" w:styleId="FootnoteReference">
    <w:name w:val="footnote reference"/>
    <w:basedOn w:val="DefaultParagraphFont"/>
    <w:uiPriority w:val="99"/>
    <w:unhideWhenUsed/>
    <w:rsid w:val="001D6600"/>
    <w:rPr>
      <w:rFonts w:ascii="Montserrat Light" w:hAnsi="Montserrat Light"/>
      <w:color w:val="1D252C"/>
      <w:sz w:val="20"/>
      <w:vertAlign w:val="superscript"/>
    </w:rPr>
  </w:style>
  <w:style w:type="paragraph" w:styleId="FootnoteText">
    <w:name w:val="footnote text"/>
    <w:basedOn w:val="Normal"/>
    <w:link w:val="FootnoteTextChar"/>
    <w:uiPriority w:val="99"/>
    <w:unhideWhenUsed/>
    <w:rsid w:val="001D6600"/>
  </w:style>
  <w:style w:type="character" w:customStyle="1" w:styleId="FootnoteTextChar">
    <w:name w:val="Footnote Text Char"/>
    <w:basedOn w:val="DefaultParagraphFont"/>
    <w:link w:val="FootnoteText"/>
    <w:uiPriority w:val="99"/>
    <w:rsid w:val="001D6600"/>
    <w:rPr>
      <w:rFonts w:ascii="Montserrat Light" w:hAnsi="Montserrat Light"/>
      <w:color w:val="1D252C"/>
      <w:sz w:val="20"/>
    </w:rPr>
  </w:style>
  <w:style w:type="table" w:styleId="GridTable1Light">
    <w:name w:val="Grid Table 1 Light"/>
    <w:basedOn w:val="TableNormal"/>
    <w:uiPriority w:val="46"/>
    <w:rsid w:val="001D660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D6600"/>
    <w:tblPr>
      <w:tblStyleRowBandSize w:val="1"/>
      <w:tblStyleColBandSize w:val="1"/>
      <w:tblBorders>
        <w:top w:val="single" w:sz="4" w:space="0" w:color="FCB3B0" w:themeColor="accent1" w:themeTint="66"/>
        <w:left w:val="single" w:sz="4" w:space="0" w:color="FCB3B0" w:themeColor="accent1" w:themeTint="66"/>
        <w:bottom w:val="single" w:sz="4" w:space="0" w:color="FCB3B0" w:themeColor="accent1" w:themeTint="66"/>
        <w:right w:val="single" w:sz="4" w:space="0" w:color="FCB3B0" w:themeColor="accent1" w:themeTint="66"/>
        <w:insideH w:val="single" w:sz="4" w:space="0" w:color="FCB3B0" w:themeColor="accent1" w:themeTint="66"/>
        <w:insideV w:val="single" w:sz="4" w:space="0" w:color="FCB3B0" w:themeColor="accent1" w:themeTint="66"/>
      </w:tblBorders>
    </w:tblPr>
    <w:tblStylePr w:type="firstRow">
      <w:rPr>
        <w:b/>
        <w:bCs/>
      </w:rPr>
      <w:tblPr/>
      <w:tcPr>
        <w:tcBorders>
          <w:bottom w:val="single" w:sz="12" w:space="0" w:color="FB8D88" w:themeColor="accent1" w:themeTint="99"/>
        </w:tcBorders>
      </w:tcPr>
    </w:tblStylePr>
    <w:tblStylePr w:type="lastRow">
      <w:rPr>
        <w:b/>
        <w:bCs/>
      </w:rPr>
      <w:tblPr/>
      <w:tcPr>
        <w:tcBorders>
          <w:top w:val="double" w:sz="2" w:space="0" w:color="FB8D8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1D6600"/>
    <w:tblPr>
      <w:tblStyleRowBandSize w:val="1"/>
      <w:tblStyleColBandSize w:val="1"/>
      <w:tblBorders>
        <w:top w:val="single" w:sz="4" w:space="0" w:color="EFF4F9" w:themeColor="accent2" w:themeTint="66"/>
        <w:left w:val="single" w:sz="4" w:space="0" w:color="EFF4F9" w:themeColor="accent2" w:themeTint="66"/>
        <w:bottom w:val="single" w:sz="4" w:space="0" w:color="EFF4F9" w:themeColor="accent2" w:themeTint="66"/>
        <w:right w:val="single" w:sz="4" w:space="0" w:color="EFF4F9" w:themeColor="accent2" w:themeTint="66"/>
        <w:insideH w:val="single" w:sz="4" w:space="0" w:color="EFF4F9" w:themeColor="accent2" w:themeTint="66"/>
        <w:insideV w:val="single" w:sz="4" w:space="0" w:color="EFF4F9" w:themeColor="accent2" w:themeTint="66"/>
      </w:tblBorders>
    </w:tblPr>
    <w:tblStylePr w:type="firstRow">
      <w:rPr>
        <w:b/>
        <w:bCs/>
      </w:rPr>
      <w:tblPr/>
      <w:tcPr>
        <w:tcBorders>
          <w:bottom w:val="single" w:sz="12" w:space="0" w:color="E7EFF6" w:themeColor="accent2" w:themeTint="99"/>
        </w:tcBorders>
      </w:tcPr>
    </w:tblStylePr>
    <w:tblStylePr w:type="lastRow">
      <w:rPr>
        <w:b/>
        <w:bCs/>
      </w:rPr>
      <w:tblPr/>
      <w:tcPr>
        <w:tcBorders>
          <w:top w:val="double" w:sz="2" w:space="0" w:color="E7EFF6"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1D6600"/>
    <w:tblPr>
      <w:tblStyleRowBandSize w:val="1"/>
      <w:tblStyleColBandSize w:val="1"/>
      <w:tblBorders>
        <w:top w:val="single" w:sz="4" w:space="0" w:color="97A8B7" w:themeColor="accent3" w:themeTint="66"/>
        <w:left w:val="single" w:sz="4" w:space="0" w:color="97A8B7" w:themeColor="accent3" w:themeTint="66"/>
        <w:bottom w:val="single" w:sz="4" w:space="0" w:color="97A8B7" w:themeColor="accent3" w:themeTint="66"/>
        <w:right w:val="single" w:sz="4" w:space="0" w:color="97A8B7" w:themeColor="accent3" w:themeTint="66"/>
        <w:insideH w:val="single" w:sz="4" w:space="0" w:color="97A8B7" w:themeColor="accent3" w:themeTint="66"/>
        <w:insideV w:val="single" w:sz="4" w:space="0" w:color="97A8B7" w:themeColor="accent3" w:themeTint="66"/>
      </w:tblBorders>
    </w:tblPr>
    <w:tblStylePr w:type="firstRow">
      <w:rPr>
        <w:b/>
        <w:bCs/>
      </w:rPr>
      <w:tblPr/>
      <w:tcPr>
        <w:tcBorders>
          <w:bottom w:val="single" w:sz="12" w:space="0" w:color="657D91" w:themeColor="accent3" w:themeTint="99"/>
        </w:tcBorders>
      </w:tcPr>
    </w:tblStylePr>
    <w:tblStylePr w:type="lastRow">
      <w:rPr>
        <w:b/>
        <w:bCs/>
      </w:rPr>
      <w:tblPr/>
      <w:tcPr>
        <w:tcBorders>
          <w:top w:val="double" w:sz="2" w:space="0" w:color="657D91"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1D6600"/>
    <w:tblPr>
      <w:tblStyleRowBandSize w:val="1"/>
      <w:tblStyleColBandSize w:val="1"/>
      <w:tblBorders>
        <w:top w:val="single" w:sz="4" w:space="0" w:color="A4B2BE" w:themeColor="accent4" w:themeTint="66"/>
        <w:left w:val="single" w:sz="4" w:space="0" w:color="A4B2BE" w:themeColor="accent4" w:themeTint="66"/>
        <w:bottom w:val="single" w:sz="4" w:space="0" w:color="A4B2BE" w:themeColor="accent4" w:themeTint="66"/>
        <w:right w:val="single" w:sz="4" w:space="0" w:color="A4B2BE" w:themeColor="accent4" w:themeTint="66"/>
        <w:insideH w:val="single" w:sz="4" w:space="0" w:color="A4B2BE" w:themeColor="accent4" w:themeTint="66"/>
        <w:insideV w:val="single" w:sz="4" w:space="0" w:color="A4B2BE" w:themeColor="accent4" w:themeTint="66"/>
      </w:tblBorders>
    </w:tblPr>
    <w:tblStylePr w:type="firstRow">
      <w:rPr>
        <w:b/>
        <w:bCs/>
      </w:rPr>
      <w:tblPr/>
      <w:tcPr>
        <w:tcBorders>
          <w:bottom w:val="single" w:sz="12" w:space="0" w:color="778B9E" w:themeColor="accent4" w:themeTint="99"/>
        </w:tcBorders>
      </w:tcPr>
    </w:tblStylePr>
    <w:tblStylePr w:type="lastRow">
      <w:rPr>
        <w:b/>
        <w:bCs/>
      </w:rPr>
      <w:tblPr/>
      <w:tcPr>
        <w:tcBorders>
          <w:top w:val="double" w:sz="2" w:space="0" w:color="778B9E"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1D6600"/>
    <w:tblPr>
      <w:tblStyleRowBandSize w:val="1"/>
      <w:tblStyleColBandSize w:val="1"/>
      <w:tblBorders>
        <w:top w:val="single" w:sz="4" w:space="0" w:color="EFEFEE" w:themeColor="accent5" w:themeTint="66"/>
        <w:left w:val="single" w:sz="4" w:space="0" w:color="EFEFEE" w:themeColor="accent5" w:themeTint="66"/>
        <w:bottom w:val="single" w:sz="4" w:space="0" w:color="EFEFEE" w:themeColor="accent5" w:themeTint="66"/>
        <w:right w:val="single" w:sz="4" w:space="0" w:color="EFEFEE" w:themeColor="accent5" w:themeTint="66"/>
        <w:insideH w:val="single" w:sz="4" w:space="0" w:color="EFEFEE" w:themeColor="accent5" w:themeTint="66"/>
        <w:insideV w:val="single" w:sz="4" w:space="0" w:color="EFEFEE" w:themeColor="accent5" w:themeTint="66"/>
      </w:tblBorders>
    </w:tblPr>
    <w:tblStylePr w:type="firstRow">
      <w:rPr>
        <w:b/>
        <w:bCs/>
      </w:rPr>
      <w:tblPr/>
      <w:tcPr>
        <w:tcBorders>
          <w:bottom w:val="single" w:sz="12" w:space="0" w:color="E8E8E6" w:themeColor="accent5" w:themeTint="99"/>
        </w:tcBorders>
      </w:tcPr>
    </w:tblStylePr>
    <w:tblStylePr w:type="lastRow">
      <w:rPr>
        <w:b/>
        <w:bCs/>
      </w:rPr>
      <w:tblPr/>
      <w:tcPr>
        <w:tcBorders>
          <w:top w:val="double" w:sz="2" w:space="0" w:color="E8E8E6"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1D6600"/>
    <w:tblPr>
      <w:tblStyleRowBandSize w:val="1"/>
      <w:tblStyleColBandSize w:val="1"/>
      <w:tblBorders>
        <w:top w:val="single" w:sz="4" w:space="0" w:color="F8F7F6" w:themeColor="accent6" w:themeTint="66"/>
        <w:left w:val="single" w:sz="4" w:space="0" w:color="F8F7F6" w:themeColor="accent6" w:themeTint="66"/>
        <w:bottom w:val="single" w:sz="4" w:space="0" w:color="F8F7F6" w:themeColor="accent6" w:themeTint="66"/>
        <w:right w:val="single" w:sz="4" w:space="0" w:color="F8F7F6" w:themeColor="accent6" w:themeTint="66"/>
        <w:insideH w:val="single" w:sz="4" w:space="0" w:color="F8F7F6" w:themeColor="accent6" w:themeTint="66"/>
        <w:insideV w:val="single" w:sz="4" w:space="0" w:color="F8F7F6" w:themeColor="accent6" w:themeTint="66"/>
      </w:tblBorders>
    </w:tblPr>
    <w:tblStylePr w:type="firstRow">
      <w:rPr>
        <w:b/>
        <w:bCs/>
      </w:rPr>
      <w:tblPr/>
      <w:tcPr>
        <w:tcBorders>
          <w:bottom w:val="single" w:sz="12" w:space="0" w:color="F5F3F2" w:themeColor="accent6" w:themeTint="99"/>
        </w:tcBorders>
      </w:tcPr>
    </w:tblStylePr>
    <w:tblStylePr w:type="lastRow">
      <w:rPr>
        <w:b/>
        <w:bCs/>
      </w:rPr>
      <w:tblPr/>
      <w:tcPr>
        <w:tcBorders>
          <w:top w:val="double" w:sz="2" w:space="0" w:color="F5F3F2"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1D6600"/>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1D6600"/>
    <w:tblPr>
      <w:tblStyleRowBandSize w:val="1"/>
      <w:tblStyleColBandSize w:val="1"/>
      <w:tblBorders>
        <w:top w:val="single" w:sz="2" w:space="0" w:color="FB8D88" w:themeColor="accent1" w:themeTint="99"/>
        <w:bottom w:val="single" w:sz="2" w:space="0" w:color="FB8D88" w:themeColor="accent1" w:themeTint="99"/>
        <w:insideH w:val="single" w:sz="2" w:space="0" w:color="FB8D88" w:themeColor="accent1" w:themeTint="99"/>
        <w:insideV w:val="single" w:sz="2" w:space="0" w:color="FB8D88" w:themeColor="accent1" w:themeTint="99"/>
      </w:tblBorders>
    </w:tblPr>
    <w:tblStylePr w:type="firstRow">
      <w:rPr>
        <w:b/>
        <w:bCs/>
      </w:rPr>
      <w:tblPr/>
      <w:tcPr>
        <w:tcBorders>
          <w:top w:val="nil"/>
          <w:bottom w:val="single" w:sz="12" w:space="0" w:color="FB8D88" w:themeColor="accent1" w:themeTint="99"/>
          <w:insideH w:val="nil"/>
          <w:insideV w:val="nil"/>
        </w:tcBorders>
        <w:shd w:val="clear" w:color="auto" w:fill="FFFFFF" w:themeFill="background1"/>
      </w:tcPr>
    </w:tblStylePr>
    <w:tblStylePr w:type="lastRow">
      <w:rPr>
        <w:b/>
        <w:bCs/>
      </w:rPr>
      <w:tblPr/>
      <w:tcPr>
        <w:tcBorders>
          <w:top w:val="double" w:sz="2" w:space="0" w:color="FB8D8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D9D7" w:themeFill="accent1" w:themeFillTint="33"/>
      </w:tcPr>
    </w:tblStylePr>
    <w:tblStylePr w:type="band1Horz">
      <w:tblPr/>
      <w:tcPr>
        <w:shd w:val="clear" w:color="auto" w:fill="FDD9D7" w:themeFill="accent1" w:themeFillTint="33"/>
      </w:tcPr>
    </w:tblStylePr>
  </w:style>
  <w:style w:type="table" w:styleId="GridTable2-Accent2">
    <w:name w:val="Grid Table 2 Accent 2"/>
    <w:basedOn w:val="TableNormal"/>
    <w:uiPriority w:val="47"/>
    <w:rsid w:val="001D6600"/>
    <w:tblPr>
      <w:tblStyleRowBandSize w:val="1"/>
      <w:tblStyleColBandSize w:val="1"/>
      <w:tblBorders>
        <w:top w:val="single" w:sz="2" w:space="0" w:color="E7EFF6" w:themeColor="accent2" w:themeTint="99"/>
        <w:bottom w:val="single" w:sz="2" w:space="0" w:color="E7EFF6" w:themeColor="accent2" w:themeTint="99"/>
        <w:insideH w:val="single" w:sz="2" w:space="0" w:color="E7EFF6" w:themeColor="accent2" w:themeTint="99"/>
        <w:insideV w:val="single" w:sz="2" w:space="0" w:color="E7EFF6" w:themeColor="accent2" w:themeTint="99"/>
      </w:tblBorders>
    </w:tblPr>
    <w:tblStylePr w:type="firstRow">
      <w:rPr>
        <w:b/>
        <w:bCs/>
      </w:rPr>
      <w:tblPr/>
      <w:tcPr>
        <w:tcBorders>
          <w:top w:val="nil"/>
          <w:bottom w:val="single" w:sz="12" w:space="0" w:color="E7EFF6" w:themeColor="accent2" w:themeTint="99"/>
          <w:insideH w:val="nil"/>
          <w:insideV w:val="nil"/>
        </w:tcBorders>
        <w:shd w:val="clear" w:color="auto" w:fill="FFFFFF" w:themeFill="background1"/>
      </w:tcPr>
    </w:tblStylePr>
    <w:tblStylePr w:type="lastRow">
      <w:rPr>
        <w:b/>
        <w:bCs/>
      </w:rPr>
      <w:tblPr/>
      <w:tcPr>
        <w:tcBorders>
          <w:top w:val="double" w:sz="2" w:space="0" w:color="E7EFF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F9FC" w:themeFill="accent2" w:themeFillTint="33"/>
      </w:tcPr>
    </w:tblStylePr>
    <w:tblStylePr w:type="band1Horz">
      <w:tblPr/>
      <w:tcPr>
        <w:shd w:val="clear" w:color="auto" w:fill="F7F9FC" w:themeFill="accent2" w:themeFillTint="33"/>
      </w:tcPr>
    </w:tblStylePr>
  </w:style>
  <w:style w:type="table" w:styleId="GridTable2-Accent3">
    <w:name w:val="Grid Table 2 Accent 3"/>
    <w:basedOn w:val="TableNormal"/>
    <w:uiPriority w:val="47"/>
    <w:rsid w:val="001D6600"/>
    <w:tblPr>
      <w:tblStyleRowBandSize w:val="1"/>
      <w:tblStyleColBandSize w:val="1"/>
      <w:tblBorders>
        <w:top w:val="single" w:sz="2" w:space="0" w:color="657D91" w:themeColor="accent3" w:themeTint="99"/>
        <w:bottom w:val="single" w:sz="2" w:space="0" w:color="657D91" w:themeColor="accent3" w:themeTint="99"/>
        <w:insideH w:val="single" w:sz="2" w:space="0" w:color="657D91" w:themeColor="accent3" w:themeTint="99"/>
        <w:insideV w:val="single" w:sz="2" w:space="0" w:color="657D91" w:themeColor="accent3" w:themeTint="99"/>
      </w:tblBorders>
    </w:tblPr>
    <w:tblStylePr w:type="firstRow">
      <w:rPr>
        <w:b/>
        <w:bCs/>
      </w:rPr>
      <w:tblPr/>
      <w:tcPr>
        <w:tcBorders>
          <w:top w:val="nil"/>
          <w:bottom w:val="single" w:sz="12" w:space="0" w:color="657D91" w:themeColor="accent3" w:themeTint="99"/>
          <w:insideH w:val="nil"/>
          <w:insideV w:val="nil"/>
        </w:tcBorders>
        <w:shd w:val="clear" w:color="auto" w:fill="FFFFFF" w:themeFill="background1"/>
      </w:tcPr>
    </w:tblStylePr>
    <w:tblStylePr w:type="lastRow">
      <w:rPr>
        <w:b/>
        <w:bCs/>
      </w:rPr>
      <w:tblPr/>
      <w:tcPr>
        <w:tcBorders>
          <w:top w:val="double" w:sz="2" w:space="0" w:color="657D91"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BD3DB" w:themeFill="accent3" w:themeFillTint="33"/>
      </w:tcPr>
    </w:tblStylePr>
    <w:tblStylePr w:type="band1Horz">
      <w:tblPr/>
      <w:tcPr>
        <w:shd w:val="clear" w:color="auto" w:fill="CBD3DB" w:themeFill="accent3" w:themeFillTint="33"/>
      </w:tcPr>
    </w:tblStylePr>
  </w:style>
  <w:style w:type="table" w:styleId="GridTable2-Accent4">
    <w:name w:val="Grid Table 2 Accent 4"/>
    <w:basedOn w:val="TableNormal"/>
    <w:uiPriority w:val="47"/>
    <w:rsid w:val="001D6600"/>
    <w:tblPr>
      <w:tblStyleRowBandSize w:val="1"/>
      <w:tblStyleColBandSize w:val="1"/>
      <w:tblBorders>
        <w:top w:val="single" w:sz="2" w:space="0" w:color="778B9E" w:themeColor="accent4" w:themeTint="99"/>
        <w:bottom w:val="single" w:sz="2" w:space="0" w:color="778B9E" w:themeColor="accent4" w:themeTint="99"/>
        <w:insideH w:val="single" w:sz="2" w:space="0" w:color="778B9E" w:themeColor="accent4" w:themeTint="99"/>
        <w:insideV w:val="single" w:sz="2" w:space="0" w:color="778B9E" w:themeColor="accent4" w:themeTint="99"/>
      </w:tblBorders>
    </w:tblPr>
    <w:tblStylePr w:type="firstRow">
      <w:rPr>
        <w:b/>
        <w:bCs/>
      </w:rPr>
      <w:tblPr/>
      <w:tcPr>
        <w:tcBorders>
          <w:top w:val="nil"/>
          <w:bottom w:val="single" w:sz="12" w:space="0" w:color="778B9E" w:themeColor="accent4" w:themeTint="99"/>
          <w:insideH w:val="nil"/>
          <w:insideV w:val="nil"/>
        </w:tcBorders>
        <w:shd w:val="clear" w:color="auto" w:fill="FFFFFF" w:themeFill="background1"/>
      </w:tcPr>
    </w:tblStylePr>
    <w:tblStylePr w:type="lastRow">
      <w:rPr>
        <w:b/>
        <w:bCs/>
      </w:rPr>
      <w:tblPr/>
      <w:tcPr>
        <w:tcBorders>
          <w:top w:val="double" w:sz="2" w:space="0" w:color="778B9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D8DE" w:themeFill="accent4" w:themeFillTint="33"/>
      </w:tcPr>
    </w:tblStylePr>
    <w:tblStylePr w:type="band1Horz">
      <w:tblPr/>
      <w:tcPr>
        <w:shd w:val="clear" w:color="auto" w:fill="D1D8DE" w:themeFill="accent4" w:themeFillTint="33"/>
      </w:tcPr>
    </w:tblStylePr>
  </w:style>
  <w:style w:type="table" w:styleId="GridTable2-Accent5">
    <w:name w:val="Grid Table 2 Accent 5"/>
    <w:basedOn w:val="TableNormal"/>
    <w:uiPriority w:val="47"/>
    <w:rsid w:val="001D6600"/>
    <w:tblPr>
      <w:tblStyleRowBandSize w:val="1"/>
      <w:tblStyleColBandSize w:val="1"/>
      <w:tblBorders>
        <w:top w:val="single" w:sz="2" w:space="0" w:color="E8E8E6" w:themeColor="accent5" w:themeTint="99"/>
        <w:bottom w:val="single" w:sz="2" w:space="0" w:color="E8E8E6" w:themeColor="accent5" w:themeTint="99"/>
        <w:insideH w:val="single" w:sz="2" w:space="0" w:color="E8E8E6" w:themeColor="accent5" w:themeTint="99"/>
        <w:insideV w:val="single" w:sz="2" w:space="0" w:color="E8E8E6" w:themeColor="accent5" w:themeTint="99"/>
      </w:tblBorders>
    </w:tblPr>
    <w:tblStylePr w:type="firstRow">
      <w:rPr>
        <w:b/>
        <w:bCs/>
      </w:rPr>
      <w:tblPr/>
      <w:tcPr>
        <w:tcBorders>
          <w:top w:val="nil"/>
          <w:bottom w:val="single" w:sz="12" w:space="0" w:color="E8E8E6" w:themeColor="accent5" w:themeTint="99"/>
          <w:insideH w:val="nil"/>
          <w:insideV w:val="nil"/>
        </w:tcBorders>
        <w:shd w:val="clear" w:color="auto" w:fill="FFFFFF" w:themeFill="background1"/>
      </w:tcPr>
    </w:tblStylePr>
    <w:tblStylePr w:type="lastRow">
      <w:rPr>
        <w:b/>
        <w:bCs/>
      </w:rPr>
      <w:tblPr/>
      <w:tcPr>
        <w:tcBorders>
          <w:top w:val="double" w:sz="2" w:space="0" w:color="E8E8E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F7F6" w:themeFill="accent5" w:themeFillTint="33"/>
      </w:tcPr>
    </w:tblStylePr>
    <w:tblStylePr w:type="band1Horz">
      <w:tblPr/>
      <w:tcPr>
        <w:shd w:val="clear" w:color="auto" w:fill="F7F7F6" w:themeFill="accent5" w:themeFillTint="33"/>
      </w:tcPr>
    </w:tblStylePr>
  </w:style>
  <w:style w:type="table" w:styleId="GridTable2-Accent6">
    <w:name w:val="Grid Table 2 Accent 6"/>
    <w:basedOn w:val="TableNormal"/>
    <w:uiPriority w:val="47"/>
    <w:rsid w:val="001D6600"/>
    <w:tblPr>
      <w:tblStyleRowBandSize w:val="1"/>
      <w:tblStyleColBandSize w:val="1"/>
      <w:tblBorders>
        <w:top w:val="single" w:sz="2" w:space="0" w:color="F5F3F2" w:themeColor="accent6" w:themeTint="99"/>
        <w:bottom w:val="single" w:sz="2" w:space="0" w:color="F5F3F2" w:themeColor="accent6" w:themeTint="99"/>
        <w:insideH w:val="single" w:sz="2" w:space="0" w:color="F5F3F2" w:themeColor="accent6" w:themeTint="99"/>
        <w:insideV w:val="single" w:sz="2" w:space="0" w:color="F5F3F2" w:themeColor="accent6" w:themeTint="99"/>
      </w:tblBorders>
    </w:tblPr>
    <w:tblStylePr w:type="firstRow">
      <w:rPr>
        <w:b/>
        <w:bCs/>
      </w:rPr>
      <w:tblPr/>
      <w:tcPr>
        <w:tcBorders>
          <w:top w:val="nil"/>
          <w:bottom w:val="single" w:sz="12" w:space="0" w:color="F5F3F2" w:themeColor="accent6" w:themeTint="99"/>
          <w:insideH w:val="nil"/>
          <w:insideV w:val="nil"/>
        </w:tcBorders>
        <w:shd w:val="clear" w:color="auto" w:fill="FFFFFF" w:themeFill="background1"/>
      </w:tcPr>
    </w:tblStylePr>
    <w:tblStylePr w:type="lastRow">
      <w:rPr>
        <w:b/>
        <w:bCs/>
      </w:rPr>
      <w:tblPr/>
      <w:tcPr>
        <w:tcBorders>
          <w:top w:val="double" w:sz="2" w:space="0" w:color="F5F3F2"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FBFA" w:themeFill="accent6" w:themeFillTint="33"/>
      </w:tcPr>
    </w:tblStylePr>
    <w:tblStylePr w:type="band1Horz">
      <w:tblPr/>
      <w:tcPr>
        <w:shd w:val="clear" w:color="auto" w:fill="FBFBFA" w:themeFill="accent6" w:themeFillTint="33"/>
      </w:tcPr>
    </w:tblStylePr>
  </w:style>
  <w:style w:type="table" w:styleId="GridTable3">
    <w:name w:val="Grid Table 3"/>
    <w:basedOn w:val="TableNormal"/>
    <w:uiPriority w:val="48"/>
    <w:rsid w:val="001D6600"/>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1D6600"/>
    <w:tblPr>
      <w:tblStyleRowBandSize w:val="1"/>
      <w:tblStyleColBandSize w:val="1"/>
      <w:tblBorders>
        <w:top w:val="single" w:sz="4" w:space="0" w:color="FB8D88" w:themeColor="accent1" w:themeTint="99"/>
        <w:left w:val="single" w:sz="4" w:space="0" w:color="FB8D88" w:themeColor="accent1" w:themeTint="99"/>
        <w:bottom w:val="single" w:sz="4" w:space="0" w:color="FB8D88" w:themeColor="accent1" w:themeTint="99"/>
        <w:right w:val="single" w:sz="4" w:space="0" w:color="FB8D88" w:themeColor="accent1" w:themeTint="99"/>
        <w:insideH w:val="single" w:sz="4" w:space="0" w:color="FB8D88" w:themeColor="accent1" w:themeTint="99"/>
        <w:insideV w:val="single" w:sz="4" w:space="0" w:color="FB8D8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D9D7" w:themeFill="accent1" w:themeFillTint="33"/>
      </w:tcPr>
    </w:tblStylePr>
    <w:tblStylePr w:type="band1Horz">
      <w:tblPr/>
      <w:tcPr>
        <w:shd w:val="clear" w:color="auto" w:fill="FDD9D7" w:themeFill="accent1" w:themeFillTint="33"/>
      </w:tcPr>
    </w:tblStylePr>
    <w:tblStylePr w:type="neCell">
      <w:tblPr/>
      <w:tcPr>
        <w:tcBorders>
          <w:bottom w:val="single" w:sz="4" w:space="0" w:color="FB8D88" w:themeColor="accent1" w:themeTint="99"/>
        </w:tcBorders>
      </w:tcPr>
    </w:tblStylePr>
    <w:tblStylePr w:type="nwCell">
      <w:tblPr/>
      <w:tcPr>
        <w:tcBorders>
          <w:bottom w:val="single" w:sz="4" w:space="0" w:color="FB8D88" w:themeColor="accent1" w:themeTint="99"/>
        </w:tcBorders>
      </w:tcPr>
    </w:tblStylePr>
    <w:tblStylePr w:type="seCell">
      <w:tblPr/>
      <w:tcPr>
        <w:tcBorders>
          <w:top w:val="single" w:sz="4" w:space="0" w:color="FB8D88" w:themeColor="accent1" w:themeTint="99"/>
        </w:tcBorders>
      </w:tcPr>
    </w:tblStylePr>
    <w:tblStylePr w:type="swCell">
      <w:tblPr/>
      <w:tcPr>
        <w:tcBorders>
          <w:top w:val="single" w:sz="4" w:space="0" w:color="FB8D88" w:themeColor="accent1" w:themeTint="99"/>
        </w:tcBorders>
      </w:tcPr>
    </w:tblStylePr>
  </w:style>
  <w:style w:type="table" w:styleId="GridTable3-Accent2">
    <w:name w:val="Grid Table 3 Accent 2"/>
    <w:basedOn w:val="TableNormal"/>
    <w:uiPriority w:val="48"/>
    <w:rsid w:val="001D6600"/>
    <w:tblPr>
      <w:tblStyleRowBandSize w:val="1"/>
      <w:tblStyleColBandSize w:val="1"/>
      <w:tblBorders>
        <w:top w:val="single" w:sz="4" w:space="0" w:color="E7EFF6" w:themeColor="accent2" w:themeTint="99"/>
        <w:left w:val="single" w:sz="4" w:space="0" w:color="E7EFF6" w:themeColor="accent2" w:themeTint="99"/>
        <w:bottom w:val="single" w:sz="4" w:space="0" w:color="E7EFF6" w:themeColor="accent2" w:themeTint="99"/>
        <w:right w:val="single" w:sz="4" w:space="0" w:color="E7EFF6" w:themeColor="accent2" w:themeTint="99"/>
        <w:insideH w:val="single" w:sz="4" w:space="0" w:color="E7EFF6" w:themeColor="accent2" w:themeTint="99"/>
        <w:insideV w:val="single" w:sz="4" w:space="0" w:color="E7EFF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F9FC" w:themeFill="accent2" w:themeFillTint="33"/>
      </w:tcPr>
    </w:tblStylePr>
    <w:tblStylePr w:type="band1Horz">
      <w:tblPr/>
      <w:tcPr>
        <w:shd w:val="clear" w:color="auto" w:fill="F7F9FC" w:themeFill="accent2" w:themeFillTint="33"/>
      </w:tcPr>
    </w:tblStylePr>
    <w:tblStylePr w:type="neCell">
      <w:tblPr/>
      <w:tcPr>
        <w:tcBorders>
          <w:bottom w:val="single" w:sz="4" w:space="0" w:color="E7EFF6" w:themeColor="accent2" w:themeTint="99"/>
        </w:tcBorders>
      </w:tcPr>
    </w:tblStylePr>
    <w:tblStylePr w:type="nwCell">
      <w:tblPr/>
      <w:tcPr>
        <w:tcBorders>
          <w:bottom w:val="single" w:sz="4" w:space="0" w:color="E7EFF6" w:themeColor="accent2" w:themeTint="99"/>
        </w:tcBorders>
      </w:tcPr>
    </w:tblStylePr>
    <w:tblStylePr w:type="seCell">
      <w:tblPr/>
      <w:tcPr>
        <w:tcBorders>
          <w:top w:val="single" w:sz="4" w:space="0" w:color="E7EFF6" w:themeColor="accent2" w:themeTint="99"/>
        </w:tcBorders>
      </w:tcPr>
    </w:tblStylePr>
    <w:tblStylePr w:type="swCell">
      <w:tblPr/>
      <w:tcPr>
        <w:tcBorders>
          <w:top w:val="single" w:sz="4" w:space="0" w:color="E7EFF6" w:themeColor="accent2" w:themeTint="99"/>
        </w:tcBorders>
      </w:tcPr>
    </w:tblStylePr>
  </w:style>
  <w:style w:type="table" w:styleId="GridTable3-Accent3">
    <w:name w:val="Grid Table 3 Accent 3"/>
    <w:basedOn w:val="TableNormal"/>
    <w:uiPriority w:val="48"/>
    <w:rsid w:val="001D6600"/>
    <w:tblPr>
      <w:tblStyleRowBandSize w:val="1"/>
      <w:tblStyleColBandSize w:val="1"/>
      <w:tblBorders>
        <w:top w:val="single" w:sz="4" w:space="0" w:color="657D91" w:themeColor="accent3" w:themeTint="99"/>
        <w:left w:val="single" w:sz="4" w:space="0" w:color="657D91" w:themeColor="accent3" w:themeTint="99"/>
        <w:bottom w:val="single" w:sz="4" w:space="0" w:color="657D91" w:themeColor="accent3" w:themeTint="99"/>
        <w:right w:val="single" w:sz="4" w:space="0" w:color="657D91" w:themeColor="accent3" w:themeTint="99"/>
        <w:insideH w:val="single" w:sz="4" w:space="0" w:color="657D91" w:themeColor="accent3" w:themeTint="99"/>
        <w:insideV w:val="single" w:sz="4" w:space="0" w:color="657D9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BD3DB" w:themeFill="accent3" w:themeFillTint="33"/>
      </w:tcPr>
    </w:tblStylePr>
    <w:tblStylePr w:type="band1Horz">
      <w:tblPr/>
      <w:tcPr>
        <w:shd w:val="clear" w:color="auto" w:fill="CBD3DB" w:themeFill="accent3" w:themeFillTint="33"/>
      </w:tcPr>
    </w:tblStylePr>
    <w:tblStylePr w:type="neCell">
      <w:tblPr/>
      <w:tcPr>
        <w:tcBorders>
          <w:bottom w:val="single" w:sz="4" w:space="0" w:color="657D91" w:themeColor="accent3" w:themeTint="99"/>
        </w:tcBorders>
      </w:tcPr>
    </w:tblStylePr>
    <w:tblStylePr w:type="nwCell">
      <w:tblPr/>
      <w:tcPr>
        <w:tcBorders>
          <w:bottom w:val="single" w:sz="4" w:space="0" w:color="657D91" w:themeColor="accent3" w:themeTint="99"/>
        </w:tcBorders>
      </w:tcPr>
    </w:tblStylePr>
    <w:tblStylePr w:type="seCell">
      <w:tblPr/>
      <w:tcPr>
        <w:tcBorders>
          <w:top w:val="single" w:sz="4" w:space="0" w:color="657D91" w:themeColor="accent3" w:themeTint="99"/>
        </w:tcBorders>
      </w:tcPr>
    </w:tblStylePr>
    <w:tblStylePr w:type="swCell">
      <w:tblPr/>
      <w:tcPr>
        <w:tcBorders>
          <w:top w:val="single" w:sz="4" w:space="0" w:color="657D91" w:themeColor="accent3" w:themeTint="99"/>
        </w:tcBorders>
      </w:tcPr>
    </w:tblStylePr>
  </w:style>
  <w:style w:type="table" w:styleId="GridTable3-Accent4">
    <w:name w:val="Grid Table 3 Accent 4"/>
    <w:basedOn w:val="TableNormal"/>
    <w:uiPriority w:val="48"/>
    <w:rsid w:val="001D6600"/>
    <w:tblPr>
      <w:tblStyleRowBandSize w:val="1"/>
      <w:tblStyleColBandSize w:val="1"/>
      <w:tblBorders>
        <w:top w:val="single" w:sz="4" w:space="0" w:color="778B9E" w:themeColor="accent4" w:themeTint="99"/>
        <w:left w:val="single" w:sz="4" w:space="0" w:color="778B9E" w:themeColor="accent4" w:themeTint="99"/>
        <w:bottom w:val="single" w:sz="4" w:space="0" w:color="778B9E" w:themeColor="accent4" w:themeTint="99"/>
        <w:right w:val="single" w:sz="4" w:space="0" w:color="778B9E" w:themeColor="accent4" w:themeTint="99"/>
        <w:insideH w:val="single" w:sz="4" w:space="0" w:color="778B9E" w:themeColor="accent4" w:themeTint="99"/>
        <w:insideV w:val="single" w:sz="4" w:space="0" w:color="778B9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D8DE" w:themeFill="accent4" w:themeFillTint="33"/>
      </w:tcPr>
    </w:tblStylePr>
    <w:tblStylePr w:type="band1Horz">
      <w:tblPr/>
      <w:tcPr>
        <w:shd w:val="clear" w:color="auto" w:fill="D1D8DE" w:themeFill="accent4" w:themeFillTint="33"/>
      </w:tcPr>
    </w:tblStylePr>
    <w:tblStylePr w:type="neCell">
      <w:tblPr/>
      <w:tcPr>
        <w:tcBorders>
          <w:bottom w:val="single" w:sz="4" w:space="0" w:color="778B9E" w:themeColor="accent4" w:themeTint="99"/>
        </w:tcBorders>
      </w:tcPr>
    </w:tblStylePr>
    <w:tblStylePr w:type="nwCell">
      <w:tblPr/>
      <w:tcPr>
        <w:tcBorders>
          <w:bottom w:val="single" w:sz="4" w:space="0" w:color="778B9E" w:themeColor="accent4" w:themeTint="99"/>
        </w:tcBorders>
      </w:tcPr>
    </w:tblStylePr>
    <w:tblStylePr w:type="seCell">
      <w:tblPr/>
      <w:tcPr>
        <w:tcBorders>
          <w:top w:val="single" w:sz="4" w:space="0" w:color="778B9E" w:themeColor="accent4" w:themeTint="99"/>
        </w:tcBorders>
      </w:tcPr>
    </w:tblStylePr>
    <w:tblStylePr w:type="swCell">
      <w:tblPr/>
      <w:tcPr>
        <w:tcBorders>
          <w:top w:val="single" w:sz="4" w:space="0" w:color="778B9E" w:themeColor="accent4" w:themeTint="99"/>
        </w:tcBorders>
      </w:tcPr>
    </w:tblStylePr>
  </w:style>
  <w:style w:type="table" w:styleId="GridTable3-Accent5">
    <w:name w:val="Grid Table 3 Accent 5"/>
    <w:basedOn w:val="TableNormal"/>
    <w:uiPriority w:val="48"/>
    <w:rsid w:val="001D6600"/>
    <w:tblPr>
      <w:tblStyleRowBandSize w:val="1"/>
      <w:tblStyleColBandSize w:val="1"/>
      <w:tblBorders>
        <w:top w:val="single" w:sz="4" w:space="0" w:color="E8E8E6" w:themeColor="accent5" w:themeTint="99"/>
        <w:left w:val="single" w:sz="4" w:space="0" w:color="E8E8E6" w:themeColor="accent5" w:themeTint="99"/>
        <w:bottom w:val="single" w:sz="4" w:space="0" w:color="E8E8E6" w:themeColor="accent5" w:themeTint="99"/>
        <w:right w:val="single" w:sz="4" w:space="0" w:color="E8E8E6" w:themeColor="accent5" w:themeTint="99"/>
        <w:insideH w:val="single" w:sz="4" w:space="0" w:color="E8E8E6" w:themeColor="accent5" w:themeTint="99"/>
        <w:insideV w:val="single" w:sz="4" w:space="0" w:color="E8E8E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F7F6" w:themeFill="accent5" w:themeFillTint="33"/>
      </w:tcPr>
    </w:tblStylePr>
    <w:tblStylePr w:type="band1Horz">
      <w:tblPr/>
      <w:tcPr>
        <w:shd w:val="clear" w:color="auto" w:fill="F7F7F6" w:themeFill="accent5" w:themeFillTint="33"/>
      </w:tcPr>
    </w:tblStylePr>
    <w:tblStylePr w:type="neCell">
      <w:tblPr/>
      <w:tcPr>
        <w:tcBorders>
          <w:bottom w:val="single" w:sz="4" w:space="0" w:color="E8E8E6" w:themeColor="accent5" w:themeTint="99"/>
        </w:tcBorders>
      </w:tcPr>
    </w:tblStylePr>
    <w:tblStylePr w:type="nwCell">
      <w:tblPr/>
      <w:tcPr>
        <w:tcBorders>
          <w:bottom w:val="single" w:sz="4" w:space="0" w:color="E8E8E6" w:themeColor="accent5" w:themeTint="99"/>
        </w:tcBorders>
      </w:tcPr>
    </w:tblStylePr>
    <w:tblStylePr w:type="seCell">
      <w:tblPr/>
      <w:tcPr>
        <w:tcBorders>
          <w:top w:val="single" w:sz="4" w:space="0" w:color="E8E8E6" w:themeColor="accent5" w:themeTint="99"/>
        </w:tcBorders>
      </w:tcPr>
    </w:tblStylePr>
    <w:tblStylePr w:type="swCell">
      <w:tblPr/>
      <w:tcPr>
        <w:tcBorders>
          <w:top w:val="single" w:sz="4" w:space="0" w:color="E8E8E6" w:themeColor="accent5" w:themeTint="99"/>
        </w:tcBorders>
      </w:tcPr>
    </w:tblStylePr>
  </w:style>
  <w:style w:type="table" w:styleId="GridTable3-Accent6">
    <w:name w:val="Grid Table 3 Accent 6"/>
    <w:basedOn w:val="TableNormal"/>
    <w:uiPriority w:val="48"/>
    <w:rsid w:val="001D6600"/>
    <w:tblPr>
      <w:tblStyleRowBandSize w:val="1"/>
      <w:tblStyleColBandSize w:val="1"/>
      <w:tblBorders>
        <w:top w:val="single" w:sz="4" w:space="0" w:color="F5F3F2" w:themeColor="accent6" w:themeTint="99"/>
        <w:left w:val="single" w:sz="4" w:space="0" w:color="F5F3F2" w:themeColor="accent6" w:themeTint="99"/>
        <w:bottom w:val="single" w:sz="4" w:space="0" w:color="F5F3F2" w:themeColor="accent6" w:themeTint="99"/>
        <w:right w:val="single" w:sz="4" w:space="0" w:color="F5F3F2" w:themeColor="accent6" w:themeTint="99"/>
        <w:insideH w:val="single" w:sz="4" w:space="0" w:color="F5F3F2" w:themeColor="accent6" w:themeTint="99"/>
        <w:insideV w:val="single" w:sz="4" w:space="0" w:color="F5F3F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BFA" w:themeFill="accent6" w:themeFillTint="33"/>
      </w:tcPr>
    </w:tblStylePr>
    <w:tblStylePr w:type="band1Horz">
      <w:tblPr/>
      <w:tcPr>
        <w:shd w:val="clear" w:color="auto" w:fill="FBFBFA" w:themeFill="accent6" w:themeFillTint="33"/>
      </w:tcPr>
    </w:tblStylePr>
    <w:tblStylePr w:type="neCell">
      <w:tblPr/>
      <w:tcPr>
        <w:tcBorders>
          <w:bottom w:val="single" w:sz="4" w:space="0" w:color="F5F3F2" w:themeColor="accent6" w:themeTint="99"/>
        </w:tcBorders>
      </w:tcPr>
    </w:tblStylePr>
    <w:tblStylePr w:type="nwCell">
      <w:tblPr/>
      <w:tcPr>
        <w:tcBorders>
          <w:bottom w:val="single" w:sz="4" w:space="0" w:color="F5F3F2" w:themeColor="accent6" w:themeTint="99"/>
        </w:tcBorders>
      </w:tcPr>
    </w:tblStylePr>
    <w:tblStylePr w:type="seCell">
      <w:tblPr/>
      <w:tcPr>
        <w:tcBorders>
          <w:top w:val="single" w:sz="4" w:space="0" w:color="F5F3F2" w:themeColor="accent6" w:themeTint="99"/>
        </w:tcBorders>
      </w:tcPr>
    </w:tblStylePr>
    <w:tblStylePr w:type="swCell">
      <w:tblPr/>
      <w:tcPr>
        <w:tcBorders>
          <w:top w:val="single" w:sz="4" w:space="0" w:color="F5F3F2" w:themeColor="accent6" w:themeTint="99"/>
        </w:tcBorders>
      </w:tcPr>
    </w:tblStylePr>
  </w:style>
  <w:style w:type="table" w:styleId="GridTable4">
    <w:name w:val="Grid Table 4"/>
    <w:basedOn w:val="TableNormal"/>
    <w:uiPriority w:val="49"/>
    <w:rsid w:val="001D6600"/>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1D6600"/>
    <w:tblPr>
      <w:tblStyleRowBandSize w:val="1"/>
      <w:tblStyleColBandSize w:val="1"/>
      <w:tblBorders>
        <w:top w:val="single" w:sz="4" w:space="0" w:color="FB8D88" w:themeColor="accent1" w:themeTint="99"/>
        <w:left w:val="single" w:sz="4" w:space="0" w:color="FB8D88" w:themeColor="accent1" w:themeTint="99"/>
        <w:bottom w:val="single" w:sz="4" w:space="0" w:color="FB8D88" w:themeColor="accent1" w:themeTint="99"/>
        <w:right w:val="single" w:sz="4" w:space="0" w:color="FB8D88" w:themeColor="accent1" w:themeTint="99"/>
        <w:insideH w:val="single" w:sz="4" w:space="0" w:color="FB8D88" w:themeColor="accent1" w:themeTint="99"/>
        <w:insideV w:val="single" w:sz="4" w:space="0" w:color="FB8D88" w:themeColor="accent1" w:themeTint="99"/>
      </w:tblBorders>
    </w:tblPr>
    <w:tblStylePr w:type="firstRow">
      <w:rPr>
        <w:b/>
        <w:bCs/>
        <w:color w:val="FFFFFF" w:themeColor="background1"/>
      </w:rPr>
      <w:tblPr/>
      <w:tcPr>
        <w:tcBorders>
          <w:top w:val="single" w:sz="4" w:space="0" w:color="F9423A" w:themeColor="accent1"/>
          <w:left w:val="single" w:sz="4" w:space="0" w:color="F9423A" w:themeColor="accent1"/>
          <w:bottom w:val="single" w:sz="4" w:space="0" w:color="F9423A" w:themeColor="accent1"/>
          <w:right w:val="single" w:sz="4" w:space="0" w:color="F9423A" w:themeColor="accent1"/>
          <w:insideH w:val="nil"/>
          <w:insideV w:val="nil"/>
        </w:tcBorders>
        <w:shd w:val="clear" w:color="auto" w:fill="F9423A" w:themeFill="accent1"/>
      </w:tcPr>
    </w:tblStylePr>
    <w:tblStylePr w:type="lastRow">
      <w:rPr>
        <w:b/>
        <w:bCs/>
      </w:rPr>
      <w:tblPr/>
      <w:tcPr>
        <w:tcBorders>
          <w:top w:val="double" w:sz="4" w:space="0" w:color="F9423A" w:themeColor="accent1"/>
        </w:tcBorders>
      </w:tcPr>
    </w:tblStylePr>
    <w:tblStylePr w:type="firstCol">
      <w:rPr>
        <w:b/>
        <w:bCs/>
      </w:rPr>
    </w:tblStylePr>
    <w:tblStylePr w:type="lastCol">
      <w:rPr>
        <w:b/>
        <w:bCs/>
      </w:rPr>
    </w:tblStylePr>
    <w:tblStylePr w:type="band1Vert">
      <w:tblPr/>
      <w:tcPr>
        <w:shd w:val="clear" w:color="auto" w:fill="FDD9D7" w:themeFill="accent1" w:themeFillTint="33"/>
      </w:tcPr>
    </w:tblStylePr>
    <w:tblStylePr w:type="band1Horz">
      <w:tblPr/>
      <w:tcPr>
        <w:shd w:val="clear" w:color="auto" w:fill="FDD9D7" w:themeFill="accent1" w:themeFillTint="33"/>
      </w:tcPr>
    </w:tblStylePr>
  </w:style>
  <w:style w:type="table" w:styleId="GridTable4-Accent2">
    <w:name w:val="Grid Table 4 Accent 2"/>
    <w:basedOn w:val="TableNormal"/>
    <w:uiPriority w:val="49"/>
    <w:rsid w:val="001D6600"/>
    <w:tblPr>
      <w:tblStyleRowBandSize w:val="1"/>
      <w:tblStyleColBandSize w:val="1"/>
      <w:tblBorders>
        <w:top w:val="single" w:sz="4" w:space="0" w:color="E7EFF6" w:themeColor="accent2" w:themeTint="99"/>
        <w:left w:val="single" w:sz="4" w:space="0" w:color="E7EFF6" w:themeColor="accent2" w:themeTint="99"/>
        <w:bottom w:val="single" w:sz="4" w:space="0" w:color="E7EFF6" w:themeColor="accent2" w:themeTint="99"/>
        <w:right w:val="single" w:sz="4" w:space="0" w:color="E7EFF6" w:themeColor="accent2" w:themeTint="99"/>
        <w:insideH w:val="single" w:sz="4" w:space="0" w:color="E7EFF6" w:themeColor="accent2" w:themeTint="99"/>
        <w:insideV w:val="single" w:sz="4" w:space="0" w:color="E7EFF6" w:themeColor="accent2" w:themeTint="99"/>
      </w:tblBorders>
    </w:tblPr>
    <w:tblStylePr w:type="firstRow">
      <w:rPr>
        <w:b/>
        <w:bCs/>
        <w:color w:val="FFFFFF" w:themeColor="background1"/>
      </w:rPr>
      <w:tblPr/>
      <w:tcPr>
        <w:tcBorders>
          <w:top w:val="single" w:sz="4" w:space="0" w:color="D8E6F0" w:themeColor="accent2"/>
          <w:left w:val="single" w:sz="4" w:space="0" w:color="D8E6F0" w:themeColor="accent2"/>
          <w:bottom w:val="single" w:sz="4" w:space="0" w:color="D8E6F0" w:themeColor="accent2"/>
          <w:right w:val="single" w:sz="4" w:space="0" w:color="D8E6F0" w:themeColor="accent2"/>
          <w:insideH w:val="nil"/>
          <w:insideV w:val="nil"/>
        </w:tcBorders>
        <w:shd w:val="clear" w:color="auto" w:fill="D8E6F0" w:themeFill="accent2"/>
      </w:tcPr>
    </w:tblStylePr>
    <w:tblStylePr w:type="lastRow">
      <w:rPr>
        <w:b/>
        <w:bCs/>
      </w:rPr>
      <w:tblPr/>
      <w:tcPr>
        <w:tcBorders>
          <w:top w:val="double" w:sz="4" w:space="0" w:color="D8E6F0" w:themeColor="accent2"/>
        </w:tcBorders>
      </w:tcPr>
    </w:tblStylePr>
    <w:tblStylePr w:type="firstCol">
      <w:rPr>
        <w:b/>
        <w:bCs/>
      </w:rPr>
    </w:tblStylePr>
    <w:tblStylePr w:type="lastCol">
      <w:rPr>
        <w:b/>
        <w:bCs/>
      </w:rPr>
    </w:tblStylePr>
    <w:tblStylePr w:type="band1Vert">
      <w:tblPr/>
      <w:tcPr>
        <w:shd w:val="clear" w:color="auto" w:fill="F7F9FC" w:themeFill="accent2" w:themeFillTint="33"/>
      </w:tcPr>
    </w:tblStylePr>
    <w:tblStylePr w:type="band1Horz">
      <w:tblPr/>
      <w:tcPr>
        <w:shd w:val="clear" w:color="auto" w:fill="F7F9FC" w:themeFill="accent2" w:themeFillTint="33"/>
      </w:tcPr>
    </w:tblStylePr>
  </w:style>
  <w:style w:type="table" w:styleId="GridTable4-Accent3">
    <w:name w:val="Grid Table 4 Accent 3"/>
    <w:basedOn w:val="TableNormal"/>
    <w:uiPriority w:val="49"/>
    <w:rsid w:val="001D6600"/>
    <w:tblPr>
      <w:tblStyleRowBandSize w:val="1"/>
      <w:tblStyleColBandSize w:val="1"/>
      <w:tblBorders>
        <w:top w:val="single" w:sz="4" w:space="0" w:color="657D91" w:themeColor="accent3" w:themeTint="99"/>
        <w:left w:val="single" w:sz="4" w:space="0" w:color="657D91" w:themeColor="accent3" w:themeTint="99"/>
        <w:bottom w:val="single" w:sz="4" w:space="0" w:color="657D91" w:themeColor="accent3" w:themeTint="99"/>
        <w:right w:val="single" w:sz="4" w:space="0" w:color="657D91" w:themeColor="accent3" w:themeTint="99"/>
        <w:insideH w:val="single" w:sz="4" w:space="0" w:color="657D91" w:themeColor="accent3" w:themeTint="99"/>
        <w:insideV w:val="single" w:sz="4" w:space="0" w:color="657D91" w:themeColor="accent3" w:themeTint="99"/>
      </w:tblBorders>
    </w:tblPr>
    <w:tblStylePr w:type="firstRow">
      <w:rPr>
        <w:b/>
        <w:bCs/>
        <w:color w:val="FFFFFF" w:themeColor="background1"/>
      </w:rPr>
      <w:tblPr/>
      <w:tcPr>
        <w:tcBorders>
          <w:top w:val="single" w:sz="4" w:space="0" w:color="1E252B" w:themeColor="accent3"/>
          <w:left w:val="single" w:sz="4" w:space="0" w:color="1E252B" w:themeColor="accent3"/>
          <w:bottom w:val="single" w:sz="4" w:space="0" w:color="1E252B" w:themeColor="accent3"/>
          <w:right w:val="single" w:sz="4" w:space="0" w:color="1E252B" w:themeColor="accent3"/>
          <w:insideH w:val="nil"/>
          <w:insideV w:val="nil"/>
        </w:tcBorders>
        <w:shd w:val="clear" w:color="auto" w:fill="1E252B" w:themeFill="accent3"/>
      </w:tcPr>
    </w:tblStylePr>
    <w:tblStylePr w:type="lastRow">
      <w:rPr>
        <w:b/>
        <w:bCs/>
      </w:rPr>
      <w:tblPr/>
      <w:tcPr>
        <w:tcBorders>
          <w:top w:val="double" w:sz="4" w:space="0" w:color="1E252B" w:themeColor="accent3"/>
        </w:tcBorders>
      </w:tcPr>
    </w:tblStylePr>
    <w:tblStylePr w:type="firstCol">
      <w:rPr>
        <w:b/>
        <w:bCs/>
      </w:rPr>
    </w:tblStylePr>
    <w:tblStylePr w:type="lastCol">
      <w:rPr>
        <w:b/>
        <w:bCs/>
      </w:rPr>
    </w:tblStylePr>
    <w:tblStylePr w:type="band1Vert">
      <w:tblPr/>
      <w:tcPr>
        <w:shd w:val="clear" w:color="auto" w:fill="CBD3DB" w:themeFill="accent3" w:themeFillTint="33"/>
      </w:tcPr>
    </w:tblStylePr>
    <w:tblStylePr w:type="band1Horz">
      <w:tblPr/>
      <w:tcPr>
        <w:shd w:val="clear" w:color="auto" w:fill="CBD3DB" w:themeFill="accent3" w:themeFillTint="33"/>
      </w:tcPr>
    </w:tblStylePr>
  </w:style>
  <w:style w:type="table" w:styleId="GridTable4-Accent4">
    <w:name w:val="Grid Table 4 Accent 4"/>
    <w:basedOn w:val="TableNormal"/>
    <w:uiPriority w:val="49"/>
    <w:rsid w:val="001D6600"/>
    <w:tblPr>
      <w:tblStyleRowBandSize w:val="1"/>
      <w:tblStyleColBandSize w:val="1"/>
      <w:tblBorders>
        <w:top w:val="single" w:sz="4" w:space="0" w:color="778B9E" w:themeColor="accent4" w:themeTint="99"/>
        <w:left w:val="single" w:sz="4" w:space="0" w:color="778B9E" w:themeColor="accent4" w:themeTint="99"/>
        <w:bottom w:val="single" w:sz="4" w:space="0" w:color="778B9E" w:themeColor="accent4" w:themeTint="99"/>
        <w:right w:val="single" w:sz="4" w:space="0" w:color="778B9E" w:themeColor="accent4" w:themeTint="99"/>
        <w:insideH w:val="single" w:sz="4" w:space="0" w:color="778B9E" w:themeColor="accent4" w:themeTint="99"/>
        <w:insideV w:val="single" w:sz="4" w:space="0" w:color="778B9E" w:themeColor="accent4" w:themeTint="99"/>
      </w:tblBorders>
    </w:tblPr>
    <w:tblStylePr w:type="firstRow">
      <w:rPr>
        <w:b/>
        <w:bCs/>
        <w:color w:val="FFFFFF" w:themeColor="background1"/>
      </w:rPr>
      <w:tblPr/>
      <w:tcPr>
        <w:tcBorders>
          <w:top w:val="single" w:sz="4" w:space="0" w:color="333E48" w:themeColor="accent4"/>
          <w:left w:val="single" w:sz="4" w:space="0" w:color="333E48" w:themeColor="accent4"/>
          <w:bottom w:val="single" w:sz="4" w:space="0" w:color="333E48" w:themeColor="accent4"/>
          <w:right w:val="single" w:sz="4" w:space="0" w:color="333E48" w:themeColor="accent4"/>
          <w:insideH w:val="nil"/>
          <w:insideV w:val="nil"/>
        </w:tcBorders>
        <w:shd w:val="clear" w:color="auto" w:fill="333E48" w:themeFill="accent4"/>
      </w:tcPr>
    </w:tblStylePr>
    <w:tblStylePr w:type="lastRow">
      <w:rPr>
        <w:b/>
        <w:bCs/>
      </w:rPr>
      <w:tblPr/>
      <w:tcPr>
        <w:tcBorders>
          <w:top w:val="double" w:sz="4" w:space="0" w:color="333E48" w:themeColor="accent4"/>
        </w:tcBorders>
      </w:tcPr>
    </w:tblStylePr>
    <w:tblStylePr w:type="firstCol">
      <w:rPr>
        <w:b/>
        <w:bCs/>
      </w:rPr>
    </w:tblStylePr>
    <w:tblStylePr w:type="lastCol">
      <w:rPr>
        <w:b/>
        <w:bCs/>
      </w:rPr>
    </w:tblStylePr>
    <w:tblStylePr w:type="band1Vert">
      <w:tblPr/>
      <w:tcPr>
        <w:shd w:val="clear" w:color="auto" w:fill="D1D8DE" w:themeFill="accent4" w:themeFillTint="33"/>
      </w:tcPr>
    </w:tblStylePr>
    <w:tblStylePr w:type="band1Horz">
      <w:tblPr/>
      <w:tcPr>
        <w:shd w:val="clear" w:color="auto" w:fill="D1D8DE" w:themeFill="accent4" w:themeFillTint="33"/>
      </w:tcPr>
    </w:tblStylePr>
  </w:style>
  <w:style w:type="table" w:styleId="GridTable4-Accent5">
    <w:name w:val="Grid Table 4 Accent 5"/>
    <w:basedOn w:val="TableNormal"/>
    <w:uiPriority w:val="49"/>
    <w:rsid w:val="001D6600"/>
    <w:tblPr>
      <w:tblStyleRowBandSize w:val="1"/>
      <w:tblStyleColBandSize w:val="1"/>
      <w:tblBorders>
        <w:top w:val="single" w:sz="4" w:space="0" w:color="E8E8E6" w:themeColor="accent5" w:themeTint="99"/>
        <w:left w:val="single" w:sz="4" w:space="0" w:color="E8E8E6" w:themeColor="accent5" w:themeTint="99"/>
        <w:bottom w:val="single" w:sz="4" w:space="0" w:color="E8E8E6" w:themeColor="accent5" w:themeTint="99"/>
        <w:right w:val="single" w:sz="4" w:space="0" w:color="E8E8E6" w:themeColor="accent5" w:themeTint="99"/>
        <w:insideH w:val="single" w:sz="4" w:space="0" w:color="E8E8E6" w:themeColor="accent5" w:themeTint="99"/>
        <w:insideV w:val="single" w:sz="4" w:space="0" w:color="E8E8E6" w:themeColor="accent5" w:themeTint="99"/>
      </w:tblBorders>
    </w:tblPr>
    <w:tblStylePr w:type="firstRow">
      <w:rPr>
        <w:b/>
        <w:bCs/>
        <w:color w:val="FFFFFF" w:themeColor="background1"/>
      </w:rPr>
      <w:tblPr/>
      <w:tcPr>
        <w:tcBorders>
          <w:top w:val="single" w:sz="4" w:space="0" w:color="D9D9D6" w:themeColor="accent5"/>
          <w:left w:val="single" w:sz="4" w:space="0" w:color="D9D9D6" w:themeColor="accent5"/>
          <w:bottom w:val="single" w:sz="4" w:space="0" w:color="D9D9D6" w:themeColor="accent5"/>
          <w:right w:val="single" w:sz="4" w:space="0" w:color="D9D9D6" w:themeColor="accent5"/>
          <w:insideH w:val="nil"/>
          <w:insideV w:val="nil"/>
        </w:tcBorders>
        <w:shd w:val="clear" w:color="auto" w:fill="D9D9D6" w:themeFill="accent5"/>
      </w:tcPr>
    </w:tblStylePr>
    <w:tblStylePr w:type="lastRow">
      <w:rPr>
        <w:b/>
        <w:bCs/>
      </w:rPr>
      <w:tblPr/>
      <w:tcPr>
        <w:tcBorders>
          <w:top w:val="double" w:sz="4" w:space="0" w:color="D9D9D6" w:themeColor="accent5"/>
        </w:tcBorders>
      </w:tcPr>
    </w:tblStylePr>
    <w:tblStylePr w:type="firstCol">
      <w:rPr>
        <w:b/>
        <w:bCs/>
      </w:rPr>
    </w:tblStylePr>
    <w:tblStylePr w:type="lastCol">
      <w:rPr>
        <w:b/>
        <w:bCs/>
      </w:rPr>
    </w:tblStylePr>
    <w:tblStylePr w:type="band1Vert">
      <w:tblPr/>
      <w:tcPr>
        <w:shd w:val="clear" w:color="auto" w:fill="F7F7F6" w:themeFill="accent5" w:themeFillTint="33"/>
      </w:tcPr>
    </w:tblStylePr>
    <w:tblStylePr w:type="band1Horz">
      <w:tblPr/>
      <w:tcPr>
        <w:shd w:val="clear" w:color="auto" w:fill="F7F7F6" w:themeFill="accent5" w:themeFillTint="33"/>
      </w:tcPr>
    </w:tblStylePr>
  </w:style>
  <w:style w:type="table" w:styleId="GridTable4-Accent6">
    <w:name w:val="Grid Table 4 Accent 6"/>
    <w:basedOn w:val="TableNormal"/>
    <w:uiPriority w:val="49"/>
    <w:rsid w:val="001D6600"/>
    <w:tblPr>
      <w:tblStyleRowBandSize w:val="1"/>
      <w:tblStyleColBandSize w:val="1"/>
      <w:tblBorders>
        <w:top w:val="single" w:sz="4" w:space="0" w:color="F5F3F2" w:themeColor="accent6" w:themeTint="99"/>
        <w:left w:val="single" w:sz="4" w:space="0" w:color="F5F3F2" w:themeColor="accent6" w:themeTint="99"/>
        <w:bottom w:val="single" w:sz="4" w:space="0" w:color="F5F3F2" w:themeColor="accent6" w:themeTint="99"/>
        <w:right w:val="single" w:sz="4" w:space="0" w:color="F5F3F2" w:themeColor="accent6" w:themeTint="99"/>
        <w:insideH w:val="single" w:sz="4" w:space="0" w:color="F5F3F2" w:themeColor="accent6" w:themeTint="99"/>
        <w:insideV w:val="single" w:sz="4" w:space="0" w:color="F5F3F2" w:themeColor="accent6" w:themeTint="99"/>
      </w:tblBorders>
    </w:tblPr>
    <w:tblStylePr w:type="firstRow">
      <w:rPr>
        <w:b/>
        <w:bCs/>
        <w:color w:val="FFFFFF" w:themeColor="background1"/>
      </w:rPr>
      <w:tblPr/>
      <w:tcPr>
        <w:tcBorders>
          <w:top w:val="single" w:sz="4" w:space="0" w:color="EFECEA" w:themeColor="accent6"/>
          <w:left w:val="single" w:sz="4" w:space="0" w:color="EFECEA" w:themeColor="accent6"/>
          <w:bottom w:val="single" w:sz="4" w:space="0" w:color="EFECEA" w:themeColor="accent6"/>
          <w:right w:val="single" w:sz="4" w:space="0" w:color="EFECEA" w:themeColor="accent6"/>
          <w:insideH w:val="nil"/>
          <w:insideV w:val="nil"/>
        </w:tcBorders>
        <w:shd w:val="clear" w:color="auto" w:fill="EFECEA" w:themeFill="accent6"/>
      </w:tcPr>
    </w:tblStylePr>
    <w:tblStylePr w:type="lastRow">
      <w:rPr>
        <w:b/>
        <w:bCs/>
      </w:rPr>
      <w:tblPr/>
      <w:tcPr>
        <w:tcBorders>
          <w:top w:val="double" w:sz="4" w:space="0" w:color="EFECEA" w:themeColor="accent6"/>
        </w:tcBorders>
      </w:tcPr>
    </w:tblStylePr>
    <w:tblStylePr w:type="firstCol">
      <w:rPr>
        <w:b/>
        <w:bCs/>
      </w:rPr>
    </w:tblStylePr>
    <w:tblStylePr w:type="lastCol">
      <w:rPr>
        <w:b/>
        <w:bCs/>
      </w:rPr>
    </w:tblStylePr>
    <w:tblStylePr w:type="band1Vert">
      <w:tblPr/>
      <w:tcPr>
        <w:shd w:val="clear" w:color="auto" w:fill="FBFBFA" w:themeFill="accent6" w:themeFillTint="33"/>
      </w:tcPr>
    </w:tblStylePr>
    <w:tblStylePr w:type="band1Horz">
      <w:tblPr/>
      <w:tcPr>
        <w:shd w:val="clear" w:color="auto" w:fill="FBFBFA" w:themeFill="accent6" w:themeFillTint="33"/>
      </w:tcPr>
    </w:tblStylePr>
  </w:style>
  <w:style w:type="table" w:styleId="GridTable5Dark">
    <w:name w:val="Grid Table 5 Dark"/>
    <w:basedOn w:val="TableNormal"/>
    <w:uiPriority w:val="50"/>
    <w:rsid w:val="001D660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1D660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D9D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9423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9423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9423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9423A" w:themeFill="accent1"/>
      </w:tcPr>
    </w:tblStylePr>
    <w:tblStylePr w:type="band1Vert">
      <w:tblPr/>
      <w:tcPr>
        <w:shd w:val="clear" w:color="auto" w:fill="FCB3B0" w:themeFill="accent1" w:themeFillTint="66"/>
      </w:tcPr>
    </w:tblStylePr>
    <w:tblStylePr w:type="band1Horz">
      <w:tblPr/>
      <w:tcPr>
        <w:shd w:val="clear" w:color="auto" w:fill="FCB3B0" w:themeFill="accent1" w:themeFillTint="66"/>
      </w:tcPr>
    </w:tblStylePr>
  </w:style>
  <w:style w:type="table" w:styleId="GridTable5Dark-Accent2">
    <w:name w:val="Grid Table 5 Dark Accent 2"/>
    <w:basedOn w:val="TableNormal"/>
    <w:uiPriority w:val="50"/>
    <w:rsid w:val="001D660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F9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8E6F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8E6F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8E6F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8E6F0" w:themeFill="accent2"/>
      </w:tcPr>
    </w:tblStylePr>
    <w:tblStylePr w:type="band1Vert">
      <w:tblPr/>
      <w:tcPr>
        <w:shd w:val="clear" w:color="auto" w:fill="EFF4F9" w:themeFill="accent2" w:themeFillTint="66"/>
      </w:tcPr>
    </w:tblStylePr>
    <w:tblStylePr w:type="band1Horz">
      <w:tblPr/>
      <w:tcPr>
        <w:shd w:val="clear" w:color="auto" w:fill="EFF4F9" w:themeFill="accent2" w:themeFillTint="66"/>
      </w:tcPr>
    </w:tblStylePr>
  </w:style>
  <w:style w:type="table" w:styleId="GridTable5Dark-Accent3">
    <w:name w:val="Grid Table 5 Dark Accent 3"/>
    <w:basedOn w:val="TableNormal"/>
    <w:uiPriority w:val="50"/>
    <w:rsid w:val="001D660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BD3D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252B"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252B"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252B"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252B" w:themeFill="accent3"/>
      </w:tcPr>
    </w:tblStylePr>
    <w:tblStylePr w:type="band1Vert">
      <w:tblPr/>
      <w:tcPr>
        <w:shd w:val="clear" w:color="auto" w:fill="97A8B7" w:themeFill="accent3" w:themeFillTint="66"/>
      </w:tcPr>
    </w:tblStylePr>
    <w:tblStylePr w:type="band1Horz">
      <w:tblPr/>
      <w:tcPr>
        <w:shd w:val="clear" w:color="auto" w:fill="97A8B7" w:themeFill="accent3" w:themeFillTint="66"/>
      </w:tcPr>
    </w:tblStylePr>
  </w:style>
  <w:style w:type="table" w:styleId="GridTable5Dark-Accent4">
    <w:name w:val="Grid Table 5 Dark Accent 4"/>
    <w:basedOn w:val="TableNormal"/>
    <w:uiPriority w:val="50"/>
    <w:rsid w:val="001D660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D8D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33E4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33E4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33E4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33E48" w:themeFill="accent4"/>
      </w:tcPr>
    </w:tblStylePr>
    <w:tblStylePr w:type="band1Vert">
      <w:tblPr/>
      <w:tcPr>
        <w:shd w:val="clear" w:color="auto" w:fill="A4B2BE" w:themeFill="accent4" w:themeFillTint="66"/>
      </w:tcPr>
    </w:tblStylePr>
    <w:tblStylePr w:type="band1Horz">
      <w:tblPr/>
      <w:tcPr>
        <w:shd w:val="clear" w:color="auto" w:fill="A4B2BE" w:themeFill="accent4" w:themeFillTint="66"/>
      </w:tcPr>
    </w:tblStylePr>
  </w:style>
  <w:style w:type="table" w:styleId="GridTable5Dark-Accent5">
    <w:name w:val="Grid Table 5 Dark Accent 5"/>
    <w:basedOn w:val="TableNormal"/>
    <w:uiPriority w:val="50"/>
    <w:rsid w:val="001D660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F7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9D9D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9D9D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9D9D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9D9D6" w:themeFill="accent5"/>
      </w:tcPr>
    </w:tblStylePr>
    <w:tblStylePr w:type="band1Vert">
      <w:tblPr/>
      <w:tcPr>
        <w:shd w:val="clear" w:color="auto" w:fill="EFEFEE" w:themeFill="accent5" w:themeFillTint="66"/>
      </w:tcPr>
    </w:tblStylePr>
    <w:tblStylePr w:type="band1Horz">
      <w:tblPr/>
      <w:tcPr>
        <w:shd w:val="clear" w:color="auto" w:fill="EFEFEE" w:themeFill="accent5" w:themeFillTint="66"/>
      </w:tcPr>
    </w:tblStylePr>
  </w:style>
  <w:style w:type="table" w:styleId="GridTable5Dark-Accent6">
    <w:name w:val="Grid Table 5 Dark Accent 6"/>
    <w:basedOn w:val="TableNormal"/>
    <w:uiPriority w:val="50"/>
    <w:rsid w:val="001D660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FBF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FECEA"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FECEA"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FECEA"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FECEA" w:themeFill="accent6"/>
      </w:tcPr>
    </w:tblStylePr>
    <w:tblStylePr w:type="band1Vert">
      <w:tblPr/>
      <w:tcPr>
        <w:shd w:val="clear" w:color="auto" w:fill="F8F7F6" w:themeFill="accent6" w:themeFillTint="66"/>
      </w:tcPr>
    </w:tblStylePr>
    <w:tblStylePr w:type="band1Horz">
      <w:tblPr/>
      <w:tcPr>
        <w:shd w:val="clear" w:color="auto" w:fill="F8F7F6" w:themeFill="accent6" w:themeFillTint="66"/>
      </w:tcPr>
    </w:tblStylePr>
  </w:style>
  <w:style w:type="table" w:styleId="GridTable6Colorful">
    <w:name w:val="Grid Table 6 Colorful"/>
    <w:basedOn w:val="TableNormal"/>
    <w:uiPriority w:val="51"/>
    <w:rsid w:val="001D6600"/>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1D6600"/>
    <w:tblPr>
      <w:tblStyleRowBandSize w:val="1"/>
      <w:tblStyleColBandSize w:val="1"/>
      <w:tblBorders>
        <w:top w:val="single" w:sz="4" w:space="0" w:color="FB8D88" w:themeColor="accent1" w:themeTint="99"/>
        <w:left w:val="single" w:sz="4" w:space="0" w:color="FB8D88" w:themeColor="accent1" w:themeTint="99"/>
        <w:bottom w:val="single" w:sz="4" w:space="0" w:color="FB8D88" w:themeColor="accent1" w:themeTint="99"/>
        <w:right w:val="single" w:sz="4" w:space="0" w:color="FB8D88" w:themeColor="accent1" w:themeTint="99"/>
        <w:insideH w:val="single" w:sz="4" w:space="0" w:color="FB8D88" w:themeColor="accent1" w:themeTint="99"/>
        <w:insideV w:val="single" w:sz="4" w:space="0" w:color="FB8D88" w:themeColor="accent1" w:themeTint="99"/>
      </w:tblBorders>
    </w:tblPr>
    <w:tblStylePr w:type="firstRow">
      <w:rPr>
        <w:b/>
        <w:bCs/>
      </w:rPr>
      <w:tblPr/>
      <w:tcPr>
        <w:tcBorders>
          <w:bottom w:val="single" w:sz="12" w:space="0" w:color="FB8D88" w:themeColor="accent1" w:themeTint="99"/>
        </w:tcBorders>
      </w:tcPr>
    </w:tblStylePr>
    <w:tblStylePr w:type="lastRow">
      <w:rPr>
        <w:b/>
        <w:bCs/>
      </w:rPr>
      <w:tblPr/>
      <w:tcPr>
        <w:tcBorders>
          <w:top w:val="double" w:sz="4" w:space="0" w:color="FB8D88" w:themeColor="accent1" w:themeTint="99"/>
        </w:tcBorders>
      </w:tcPr>
    </w:tblStylePr>
    <w:tblStylePr w:type="firstCol">
      <w:rPr>
        <w:b/>
        <w:bCs/>
      </w:rPr>
    </w:tblStylePr>
    <w:tblStylePr w:type="lastCol">
      <w:rPr>
        <w:b/>
        <w:bCs/>
      </w:rPr>
    </w:tblStylePr>
    <w:tblStylePr w:type="band1Vert">
      <w:tblPr/>
      <w:tcPr>
        <w:shd w:val="clear" w:color="auto" w:fill="FDD9D7" w:themeFill="accent1" w:themeFillTint="33"/>
      </w:tcPr>
    </w:tblStylePr>
    <w:tblStylePr w:type="band1Horz">
      <w:tblPr/>
      <w:tcPr>
        <w:shd w:val="clear" w:color="auto" w:fill="FDD9D7" w:themeFill="accent1" w:themeFillTint="33"/>
      </w:tcPr>
    </w:tblStylePr>
  </w:style>
  <w:style w:type="table" w:styleId="GridTable6Colorful-Accent2">
    <w:name w:val="Grid Table 6 Colorful Accent 2"/>
    <w:basedOn w:val="TableNormal"/>
    <w:uiPriority w:val="51"/>
    <w:rsid w:val="001D6600"/>
    <w:tblPr>
      <w:tblStyleRowBandSize w:val="1"/>
      <w:tblStyleColBandSize w:val="1"/>
      <w:tblBorders>
        <w:top w:val="single" w:sz="4" w:space="0" w:color="E7EFF6" w:themeColor="accent2" w:themeTint="99"/>
        <w:left w:val="single" w:sz="4" w:space="0" w:color="E7EFF6" w:themeColor="accent2" w:themeTint="99"/>
        <w:bottom w:val="single" w:sz="4" w:space="0" w:color="E7EFF6" w:themeColor="accent2" w:themeTint="99"/>
        <w:right w:val="single" w:sz="4" w:space="0" w:color="E7EFF6" w:themeColor="accent2" w:themeTint="99"/>
        <w:insideH w:val="single" w:sz="4" w:space="0" w:color="E7EFF6" w:themeColor="accent2" w:themeTint="99"/>
        <w:insideV w:val="single" w:sz="4" w:space="0" w:color="E7EFF6" w:themeColor="accent2" w:themeTint="99"/>
      </w:tblBorders>
    </w:tblPr>
    <w:tblStylePr w:type="firstRow">
      <w:rPr>
        <w:b/>
        <w:bCs/>
      </w:rPr>
      <w:tblPr/>
      <w:tcPr>
        <w:tcBorders>
          <w:bottom w:val="single" w:sz="12" w:space="0" w:color="E7EFF6" w:themeColor="accent2" w:themeTint="99"/>
        </w:tcBorders>
      </w:tcPr>
    </w:tblStylePr>
    <w:tblStylePr w:type="lastRow">
      <w:rPr>
        <w:b/>
        <w:bCs/>
      </w:rPr>
      <w:tblPr/>
      <w:tcPr>
        <w:tcBorders>
          <w:top w:val="double" w:sz="4" w:space="0" w:color="E7EFF6" w:themeColor="accent2" w:themeTint="99"/>
        </w:tcBorders>
      </w:tcPr>
    </w:tblStylePr>
    <w:tblStylePr w:type="firstCol">
      <w:rPr>
        <w:b/>
        <w:bCs/>
      </w:rPr>
    </w:tblStylePr>
    <w:tblStylePr w:type="lastCol">
      <w:rPr>
        <w:b/>
        <w:bCs/>
      </w:rPr>
    </w:tblStylePr>
    <w:tblStylePr w:type="band1Vert">
      <w:tblPr/>
      <w:tcPr>
        <w:shd w:val="clear" w:color="auto" w:fill="F7F9FC" w:themeFill="accent2" w:themeFillTint="33"/>
      </w:tcPr>
    </w:tblStylePr>
    <w:tblStylePr w:type="band1Horz">
      <w:tblPr/>
      <w:tcPr>
        <w:shd w:val="clear" w:color="auto" w:fill="F7F9FC" w:themeFill="accent2" w:themeFillTint="33"/>
      </w:tcPr>
    </w:tblStylePr>
  </w:style>
  <w:style w:type="table" w:styleId="GridTable6Colorful-Accent3">
    <w:name w:val="Grid Table 6 Colorful Accent 3"/>
    <w:basedOn w:val="TableNormal"/>
    <w:uiPriority w:val="51"/>
    <w:rsid w:val="001D6600"/>
    <w:tblPr>
      <w:tblStyleRowBandSize w:val="1"/>
      <w:tblStyleColBandSize w:val="1"/>
      <w:tblBorders>
        <w:top w:val="single" w:sz="4" w:space="0" w:color="657D91" w:themeColor="accent3" w:themeTint="99"/>
        <w:left w:val="single" w:sz="4" w:space="0" w:color="657D91" w:themeColor="accent3" w:themeTint="99"/>
        <w:bottom w:val="single" w:sz="4" w:space="0" w:color="657D91" w:themeColor="accent3" w:themeTint="99"/>
        <w:right w:val="single" w:sz="4" w:space="0" w:color="657D91" w:themeColor="accent3" w:themeTint="99"/>
        <w:insideH w:val="single" w:sz="4" w:space="0" w:color="657D91" w:themeColor="accent3" w:themeTint="99"/>
        <w:insideV w:val="single" w:sz="4" w:space="0" w:color="657D91" w:themeColor="accent3" w:themeTint="99"/>
      </w:tblBorders>
    </w:tblPr>
    <w:tblStylePr w:type="firstRow">
      <w:rPr>
        <w:b/>
        <w:bCs/>
      </w:rPr>
      <w:tblPr/>
      <w:tcPr>
        <w:tcBorders>
          <w:bottom w:val="single" w:sz="12" w:space="0" w:color="657D91" w:themeColor="accent3" w:themeTint="99"/>
        </w:tcBorders>
      </w:tcPr>
    </w:tblStylePr>
    <w:tblStylePr w:type="lastRow">
      <w:rPr>
        <w:b/>
        <w:bCs/>
      </w:rPr>
      <w:tblPr/>
      <w:tcPr>
        <w:tcBorders>
          <w:top w:val="double" w:sz="4" w:space="0" w:color="657D91" w:themeColor="accent3" w:themeTint="99"/>
        </w:tcBorders>
      </w:tcPr>
    </w:tblStylePr>
    <w:tblStylePr w:type="firstCol">
      <w:rPr>
        <w:b/>
        <w:bCs/>
      </w:rPr>
    </w:tblStylePr>
    <w:tblStylePr w:type="lastCol">
      <w:rPr>
        <w:b/>
        <w:bCs/>
      </w:rPr>
    </w:tblStylePr>
    <w:tblStylePr w:type="band1Vert">
      <w:tblPr/>
      <w:tcPr>
        <w:shd w:val="clear" w:color="auto" w:fill="CBD3DB" w:themeFill="accent3" w:themeFillTint="33"/>
      </w:tcPr>
    </w:tblStylePr>
    <w:tblStylePr w:type="band1Horz">
      <w:tblPr/>
      <w:tcPr>
        <w:shd w:val="clear" w:color="auto" w:fill="CBD3DB" w:themeFill="accent3" w:themeFillTint="33"/>
      </w:tcPr>
    </w:tblStylePr>
  </w:style>
  <w:style w:type="table" w:styleId="GridTable6Colorful-Accent4">
    <w:name w:val="Grid Table 6 Colorful Accent 4"/>
    <w:basedOn w:val="TableNormal"/>
    <w:uiPriority w:val="51"/>
    <w:rsid w:val="001D6600"/>
    <w:tblPr>
      <w:tblStyleRowBandSize w:val="1"/>
      <w:tblStyleColBandSize w:val="1"/>
      <w:tblBorders>
        <w:top w:val="single" w:sz="4" w:space="0" w:color="778B9E" w:themeColor="accent4" w:themeTint="99"/>
        <w:left w:val="single" w:sz="4" w:space="0" w:color="778B9E" w:themeColor="accent4" w:themeTint="99"/>
        <w:bottom w:val="single" w:sz="4" w:space="0" w:color="778B9E" w:themeColor="accent4" w:themeTint="99"/>
        <w:right w:val="single" w:sz="4" w:space="0" w:color="778B9E" w:themeColor="accent4" w:themeTint="99"/>
        <w:insideH w:val="single" w:sz="4" w:space="0" w:color="778B9E" w:themeColor="accent4" w:themeTint="99"/>
        <w:insideV w:val="single" w:sz="4" w:space="0" w:color="778B9E" w:themeColor="accent4" w:themeTint="99"/>
      </w:tblBorders>
    </w:tblPr>
    <w:tblStylePr w:type="firstRow">
      <w:rPr>
        <w:b/>
        <w:bCs/>
      </w:rPr>
      <w:tblPr/>
      <w:tcPr>
        <w:tcBorders>
          <w:bottom w:val="single" w:sz="12" w:space="0" w:color="778B9E" w:themeColor="accent4" w:themeTint="99"/>
        </w:tcBorders>
      </w:tcPr>
    </w:tblStylePr>
    <w:tblStylePr w:type="lastRow">
      <w:rPr>
        <w:b/>
        <w:bCs/>
      </w:rPr>
      <w:tblPr/>
      <w:tcPr>
        <w:tcBorders>
          <w:top w:val="double" w:sz="4" w:space="0" w:color="778B9E" w:themeColor="accent4" w:themeTint="99"/>
        </w:tcBorders>
      </w:tcPr>
    </w:tblStylePr>
    <w:tblStylePr w:type="firstCol">
      <w:rPr>
        <w:b/>
        <w:bCs/>
      </w:rPr>
    </w:tblStylePr>
    <w:tblStylePr w:type="lastCol">
      <w:rPr>
        <w:b/>
        <w:bCs/>
      </w:rPr>
    </w:tblStylePr>
    <w:tblStylePr w:type="band1Vert">
      <w:tblPr/>
      <w:tcPr>
        <w:shd w:val="clear" w:color="auto" w:fill="D1D8DE" w:themeFill="accent4" w:themeFillTint="33"/>
      </w:tcPr>
    </w:tblStylePr>
    <w:tblStylePr w:type="band1Horz">
      <w:tblPr/>
      <w:tcPr>
        <w:shd w:val="clear" w:color="auto" w:fill="D1D8DE" w:themeFill="accent4" w:themeFillTint="33"/>
      </w:tcPr>
    </w:tblStylePr>
  </w:style>
  <w:style w:type="table" w:styleId="GridTable6Colorful-Accent5">
    <w:name w:val="Grid Table 6 Colorful Accent 5"/>
    <w:basedOn w:val="TableNormal"/>
    <w:uiPriority w:val="51"/>
    <w:rsid w:val="001D6600"/>
    <w:tblPr>
      <w:tblStyleRowBandSize w:val="1"/>
      <w:tblStyleColBandSize w:val="1"/>
      <w:tblBorders>
        <w:top w:val="single" w:sz="4" w:space="0" w:color="E8E8E6" w:themeColor="accent5" w:themeTint="99"/>
        <w:left w:val="single" w:sz="4" w:space="0" w:color="E8E8E6" w:themeColor="accent5" w:themeTint="99"/>
        <w:bottom w:val="single" w:sz="4" w:space="0" w:color="E8E8E6" w:themeColor="accent5" w:themeTint="99"/>
        <w:right w:val="single" w:sz="4" w:space="0" w:color="E8E8E6" w:themeColor="accent5" w:themeTint="99"/>
        <w:insideH w:val="single" w:sz="4" w:space="0" w:color="E8E8E6" w:themeColor="accent5" w:themeTint="99"/>
        <w:insideV w:val="single" w:sz="4" w:space="0" w:color="E8E8E6" w:themeColor="accent5" w:themeTint="99"/>
      </w:tblBorders>
    </w:tblPr>
    <w:tblStylePr w:type="firstRow">
      <w:rPr>
        <w:b/>
        <w:bCs/>
      </w:rPr>
      <w:tblPr/>
      <w:tcPr>
        <w:tcBorders>
          <w:bottom w:val="single" w:sz="12" w:space="0" w:color="E8E8E6" w:themeColor="accent5" w:themeTint="99"/>
        </w:tcBorders>
      </w:tcPr>
    </w:tblStylePr>
    <w:tblStylePr w:type="lastRow">
      <w:rPr>
        <w:b/>
        <w:bCs/>
      </w:rPr>
      <w:tblPr/>
      <w:tcPr>
        <w:tcBorders>
          <w:top w:val="double" w:sz="4" w:space="0" w:color="E8E8E6" w:themeColor="accent5" w:themeTint="99"/>
        </w:tcBorders>
      </w:tcPr>
    </w:tblStylePr>
    <w:tblStylePr w:type="firstCol">
      <w:rPr>
        <w:b/>
        <w:bCs/>
      </w:rPr>
    </w:tblStylePr>
    <w:tblStylePr w:type="lastCol">
      <w:rPr>
        <w:b/>
        <w:bCs/>
      </w:rPr>
    </w:tblStylePr>
    <w:tblStylePr w:type="band1Vert">
      <w:tblPr/>
      <w:tcPr>
        <w:shd w:val="clear" w:color="auto" w:fill="F7F7F6" w:themeFill="accent5" w:themeFillTint="33"/>
      </w:tcPr>
    </w:tblStylePr>
    <w:tblStylePr w:type="band1Horz">
      <w:tblPr/>
      <w:tcPr>
        <w:shd w:val="clear" w:color="auto" w:fill="F7F7F6" w:themeFill="accent5" w:themeFillTint="33"/>
      </w:tcPr>
    </w:tblStylePr>
  </w:style>
  <w:style w:type="table" w:styleId="GridTable6Colorful-Accent6">
    <w:name w:val="Grid Table 6 Colorful Accent 6"/>
    <w:basedOn w:val="TableNormal"/>
    <w:uiPriority w:val="51"/>
    <w:rsid w:val="001D6600"/>
    <w:tblPr>
      <w:tblStyleRowBandSize w:val="1"/>
      <w:tblStyleColBandSize w:val="1"/>
      <w:tblBorders>
        <w:top w:val="single" w:sz="4" w:space="0" w:color="F5F3F2" w:themeColor="accent6" w:themeTint="99"/>
        <w:left w:val="single" w:sz="4" w:space="0" w:color="F5F3F2" w:themeColor="accent6" w:themeTint="99"/>
        <w:bottom w:val="single" w:sz="4" w:space="0" w:color="F5F3F2" w:themeColor="accent6" w:themeTint="99"/>
        <w:right w:val="single" w:sz="4" w:space="0" w:color="F5F3F2" w:themeColor="accent6" w:themeTint="99"/>
        <w:insideH w:val="single" w:sz="4" w:space="0" w:color="F5F3F2" w:themeColor="accent6" w:themeTint="99"/>
        <w:insideV w:val="single" w:sz="4" w:space="0" w:color="F5F3F2" w:themeColor="accent6" w:themeTint="99"/>
      </w:tblBorders>
    </w:tblPr>
    <w:tblStylePr w:type="firstRow">
      <w:rPr>
        <w:b/>
        <w:bCs/>
      </w:rPr>
      <w:tblPr/>
      <w:tcPr>
        <w:tcBorders>
          <w:bottom w:val="single" w:sz="12" w:space="0" w:color="F5F3F2" w:themeColor="accent6" w:themeTint="99"/>
        </w:tcBorders>
      </w:tcPr>
    </w:tblStylePr>
    <w:tblStylePr w:type="lastRow">
      <w:rPr>
        <w:b/>
        <w:bCs/>
      </w:rPr>
      <w:tblPr/>
      <w:tcPr>
        <w:tcBorders>
          <w:top w:val="double" w:sz="4" w:space="0" w:color="F5F3F2" w:themeColor="accent6" w:themeTint="99"/>
        </w:tcBorders>
      </w:tcPr>
    </w:tblStylePr>
    <w:tblStylePr w:type="firstCol">
      <w:rPr>
        <w:b/>
        <w:bCs/>
      </w:rPr>
    </w:tblStylePr>
    <w:tblStylePr w:type="lastCol">
      <w:rPr>
        <w:b/>
        <w:bCs/>
      </w:rPr>
    </w:tblStylePr>
    <w:tblStylePr w:type="band1Vert">
      <w:tblPr/>
      <w:tcPr>
        <w:shd w:val="clear" w:color="auto" w:fill="FBFBFA" w:themeFill="accent6" w:themeFillTint="33"/>
      </w:tcPr>
    </w:tblStylePr>
    <w:tblStylePr w:type="band1Horz">
      <w:tblPr/>
      <w:tcPr>
        <w:shd w:val="clear" w:color="auto" w:fill="FBFBFA" w:themeFill="accent6" w:themeFillTint="33"/>
      </w:tcPr>
    </w:tblStylePr>
  </w:style>
  <w:style w:type="table" w:styleId="GridTable7Colorful">
    <w:name w:val="Grid Table 7 Colorful"/>
    <w:basedOn w:val="TableNormal"/>
    <w:uiPriority w:val="52"/>
    <w:rsid w:val="001D6600"/>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1D6600"/>
    <w:tblPr>
      <w:tblStyleRowBandSize w:val="1"/>
      <w:tblStyleColBandSize w:val="1"/>
      <w:tblBorders>
        <w:top w:val="single" w:sz="4" w:space="0" w:color="FB8D88" w:themeColor="accent1" w:themeTint="99"/>
        <w:left w:val="single" w:sz="4" w:space="0" w:color="FB8D88" w:themeColor="accent1" w:themeTint="99"/>
        <w:bottom w:val="single" w:sz="4" w:space="0" w:color="FB8D88" w:themeColor="accent1" w:themeTint="99"/>
        <w:right w:val="single" w:sz="4" w:space="0" w:color="FB8D88" w:themeColor="accent1" w:themeTint="99"/>
        <w:insideH w:val="single" w:sz="4" w:space="0" w:color="FB8D88" w:themeColor="accent1" w:themeTint="99"/>
        <w:insideV w:val="single" w:sz="4" w:space="0" w:color="FB8D8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D9D7" w:themeFill="accent1" w:themeFillTint="33"/>
      </w:tcPr>
    </w:tblStylePr>
    <w:tblStylePr w:type="band1Horz">
      <w:tblPr/>
      <w:tcPr>
        <w:shd w:val="clear" w:color="auto" w:fill="FDD9D7" w:themeFill="accent1" w:themeFillTint="33"/>
      </w:tcPr>
    </w:tblStylePr>
    <w:tblStylePr w:type="neCell">
      <w:tblPr/>
      <w:tcPr>
        <w:tcBorders>
          <w:bottom w:val="single" w:sz="4" w:space="0" w:color="FB8D88" w:themeColor="accent1" w:themeTint="99"/>
        </w:tcBorders>
      </w:tcPr>
    </w:tblStylePr>
    <w:tblStylePr w:type="nwCell">
      <w:tblPr/>
      <w:tcPr>
        <w:tcBorders>
          <w:bottom w:val="single" w:sz="4" w:space="0" w:color="FB8D88" w:themeColor="accent1" w:themeTint="99"/>
        </w:tcBorders>
      </w:tcPr>
    </w:tblStylePr>
    <w:tblStylePr w:type="seCell">
      <w:tblPr/>
      <w:tcPr>
        <w:tcBorders>
          <w:top w:val="single" w:sz="4" w:space="0" w:color="FB8D88" w:themeColor="accent1" w:themeTint="99"/>
        </w:tcBorders>
      </w:tcPr>
    </w:tblStylePr>
    <w:tblStylePr w:type="swCell">
      <w:tblPr/>
      <w:tcPr>
        <w:tcBorders>
          <w:top w:val="single" w:sz="4" w:space="0" w:color="FB8D88" w:themeColor="accent1" w:themeTint="99"/>
        </w:tcBorders>
      </w:tcPr>
    </w:tblStylePr>
  </w:style>
  <w:style w:type="table" w:styleId="GridTable7Colorful-Accent2">
    <w:name w:val="Grid Table 7 Colorful Accent 2"/>
    <w:basedOn w:val="TableNormal"/>
    <w:uiPriority w:val="52"/>
    <w:rsid w:val="001D6600"/>
    <w:tblPr>
      <w:tblStyleRowBandSize w:val="1"/>
      <w:tblStyleColBandSize w:val="1"/>
      <w:tblBorders>
        <w:top w:val="single" w:sz="4" w:space="0" w:color="E7EFF6" w:themeColor="accent2" w:themeTint="99"/>
        <w:left w:val="single" w:sz="4" w:space="0" w:color="E7EFF6" w:themeColor="accent2" w:themeTint="99"/>
        <w:bottom w:val="single" w:sz="4" w:space="0" w:color="E7EFF6" w:themeColor="accent2" w:themeTint="99"/>
        <w:right w:val="single" w:sz="4" w:space="0" w:color="E7EFF6" w:themeColor="accent2" w:themeTint="99"/>
        <w:insideH w:val="single" w:sz="4" w:space="0" w:color="E7EFF6" w:themeColor="accent2" w:themeTint="99"/>
        <w:insideV w:val="single" w:sz="4" w:space="0" w:color="E7EFF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F9FC" w:themeFill="accent2" w:themeFillTint="33"/>
      </w:tcPr>
    </w:tblStylePr>
    <w:tblStylePr w:type="band1Horz">
      <w:tblPr/>
      <w:tcPr>
        <w:shd w:val="clear" w:color="auto" w:fill="F7F9FC" w:themeFill="accent2" w:themeFillTint="33"/>
      </w:tcPr>
    </w:tblStylePr>
    <w:tblStylePr w:type="neCell">
      <w:tblPr/>
      <w:tcPr>
        <w:tcBorders>
          <w:bottom w:val="single" w:sz="4" w:space="0" w:color="E7EFF6" w:themeColor="accent2" w:themeTint="99"/>
        </w:tcBorders>
      </w:tcPr>
    </w:tblStylePr>
    <w:tblStylePr w:type="nwCell">
      <w:tblPr/>
      <w:tcPr>
        <w:tcBorders>
          <w:bottom w:val="single" w:sz="4" w:space="0" w:color="E7EFF6" w:themeColor="accent2" w:themeTint="99"/>
        </w:tcBorders>
      </w:tcPr>
    </w:tblStylePr>
    <w:tblStylePr w:type="seCell">
      <w:tblPr/>
      <w:tcPr>
        <w:tcBorders>
          <w:top w:val="single" w:sz="4" w:space="0" w:color="E7EFF6" w:themeColor="accent2" w:themeTint="99"/>
        </w:tcBorders>
      </w:tcPr>
    </w:tblStylePr>
    <w:tblStylePr w:type="swCell">
      <w:tblPr/>
      <w:tcPr>
        <w:tcBorders>
          <w:top w:val="single" w:sz="4" w:space="0" w:color="E7EFF6" w:themeColor="accent2" w:themeTint="99"/>
        </w:tcBorders>
      </w:tcPr>
    </w:tblStylePr>
  </w:style>
  <w:style w:type="table" w:styleId="GridTable7Colorful-Accent3">
    <w:name w:val="Grid Table 7 Colorful Accent 3"/>
    <w:basedOn w:val="TableNormal"/>
    <w:uiPriority w:val="52"/>
    <w:rsid w:val="001D6600"/>
    <w:tblPr>
      <w:tblStyleRowBandSize w:val="1"/>
      <w:tblStyleColBandSize w:val="1"/>
      <w:tblBorders>
        <w:top w:val="single" w:sz="4" w:space="0" w:color="657D91" w:themeColor="accent3" w:themeTint="99"/>
        <w:left w:val="single" w:sz="4" w:space="0" w:color="657D91" w:themeColor="accent3" w:themeTint="99"/>
        <w:bottom w:val="single" w:sz="4" w:space="0" w:color="657D91" w:themeColor="accent3" w:themeTint="99"/>
        <w:right w:val="single" w:sz="4" w:space="0" w:color="657D91" w:themeColor="accent3" w:themeTint="99"/>
        <w:insideH w:val="single" w:sz="4" w:space="0" w:color="657D91" w:themeColor="accent3" w:themeTint="99"/>
        <w:insideV w:val="single" w:sz="4" w:space="0" w:color="657D9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BD3DB" w:themeFill="accent3" w:themeFillTint="33"/>
      </w:tcPr>
    </w:tblStylePr>
    <w:tblStylePr w:type="band1Horz">
      <w:tblPr/>
      <w:tcPr>
        <w:shd w:val="clear" w:color="auto" w:fill="CBD3DB" w:themeFill="accent3" w:themeFillTint="33"/>
      </w:tcPr>
    </w:tblStylePr>
    <w:tblStylePr w:type="neCell">
      <w:tblPr/>
      <w:tcPr>
        <w:tcBorders>
          <w:bottom w:val="single" w:sz="4" w:space="0" w:color="657D91" w:themeColor="accent3" w:themeTint="99"/>
        </w:tcBorders>
      </w:tcPr>
    </w:tblStylePr>
    <w:tblStylePr w:type="nwCell">
      <w:tblPr/>
      <w:tcPr>
        <w:tcBorders>
          <w:bottom w:val="single" w:sz="4" w:space="0" w:color="657D91" w:themeColor="accent3" w:themeTint="99"/>
        </w:tcBorders>
      </w:tcPr>
    </w:tblStylePr>
    <w:tblStylePr w:type="seCell">
      <w:tblPr/>
      <w:tcPr>
        <w:tcBorders>
          <w:top w:val="single" w:sz="4" w:space="0" w:color="657D91" w:themeColor="accent3" w:themeTint="99"/>
        </w:tcBorders>
      </w:tcPr>
    </w:tblStylePr>
    <w:tblStylePr w:type="swCell">
      <w:tblPr/>
      <w:tcPr>
        <w:tcBorders>
          <w:top w:val="single" w:sz="4" w:space="0" w:color="657D91" w:themeColor="accent3" w:themeTint="99"/>
        </w:tcBorders>
      </w:tcPr>
    </w:tblStylePr>
  </w:style>
  <w:style w:type="table" w:styleId="GridTable7Colorful-Accent4">
    <w:name w:val="Grid Table 7 Colorful Accent 4"/>
    <w:basedOn w:val="TableNormal"/>
    <w:uiPriority w:val="52"/>
    <w:rsid w:val="001D6600"/>
    <w:tblPr>
      <w:tblStyleRowBandSize w:val="1"/>
      <w:tblStyleColBandSize w:val="1"/>
      <w:tblBorders>
        <w:top w:val="single" w:sz="4" w:space="0" w:color="778B9E" w:themeColor="accent4" w:themeTint="99"/>
        <w:left w:val="single" w:sz="4" w:space="0" w:color="778B9E" w:themeColor="accent4" w:themeTint="99"/>
        <w:bottom w:val="single" w:sz="4" w:space="0" w:color="778B9E" w:themeColor="accent4" w:themeTint="99"/>
        <w:right w:val="single" w:sz="4" w:space="0" w:color="778B9E" w:themeColor="accent4" w:themeTint="99"/>
        <w:insideH w:val="single" w:sz="4" w:space="0" w:color="778B9E" w:themeColor="accent4" w:themeTint="99"/>
        <w:insideV w:val="single" w:sz="4" w:space="0" w:color="778B9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D8DE" w:themeFill="accent4" w:themeFillTint="33"/>
      </w:tcPr>
    </w:tblStylePr>
    <w:tblStylePr w:type="band1Horz">
      <w:tblPr/>
      <w:tcPr>
        <w:shd w:val="clear" w:color="auto" w:fill="D1D8DE" w:themeFill="accent4" w:themeFillTint="33"/>
      </w:tcPr>
    </w:tblStylePr>
    <w:tblStylePr w:type="neCell">
      <w:tblPr/>
      <w:tcPr>
        <w:tcBorders>
          <w:bottom w:val="single" w:sz="4" w:space="0" w:color="778B9E" w:themeColor="accent4" w:themeTint="99"/>
        </w:tcBorders>
      </w:tcPr>
    </w:tblStylePr>
    <w:tblStylePr w:type="nwCell">
      <w:tblPr/>
      <w:tcPr>
        <w:tcBorders>
          <w:bottom w:val="single" w:sz="4" w:space="0" w:color="778B9E" w:themeColor="accent4" w:themeTint="99"/>
        </w:tcBorders>
      </w:tcPr>
    </w:tblStylePr>
    <w:tblStylePr w:type="seCell">
      <w:tblPr/>
      <w:tcPr>
        <w:tcBorders>
          <w:top w:val="single" w:sz="4" w:space="0" w:color="778B9E" w:themeColor="accent4" w:themeTint="99"/>
        </w:tcBorders>
      </w:tcPr>
    </w:tblStylePr>
    <w:tblStylePr w:type="swCell">
      <w:tblPr/>
      <w:tcPr>
        <w:tcBorders>
          <w:top w:val="single" w:sz="4" w:space="0" w:color="778B9E" w:themeColor="accent4" w:themeTint="99"/>
        </w:tcBorders>
      </w:tcPr>
    </w:tblStylePr>
  </w:style>
  <w:style w:type="table" w:styleId="GridTable7Colorful-Accent5">
    <w:name w:val="Grid Table 7 Colorful Accent 5"/>
    <w:basedOn w:val="TableNormal"/>
    <w:uiPriority w:val="52"/>
    <w:rsid w:val="001D6600"/>
    <w:tblPr>
      <w:tblStyleRowBandSize w:val="1"/>
      <w:tblStyleColBandSize w:val="1"/>
      <w:tblBorders>
        <w:top w:val="single" w:sz="4" w:space="0" w:color="E8E8E6" w:themeColor="accent5" w:themeTint="99"/>
        <w:left w:val="single" w:sz="4" w:space="0" w:color="E8E8E6" w:themeColor="accent5" w:themeTint="99"/>
        <w:bottom w:val="single" w:sz="4" w:space="0" w:color="E8E8E6" w:themeColor="accent5" w:themeTint="99"/>
        <w:right w:val="single" w:sz="4" w:space="0" w:color="E8E8E6" w:themeColor="accent5" w:themeTint="99"/>
        <w:insideH w:val="single" w:sz="4" w:space="0" w:color="E8E8E6" w:themeColor="accent5" w:themeTint="99"/>
        <w:insideV w:val="single" w:sz="4" w:space="0" w:color="E8E8E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F7F6" w:themeFill="accent5" w:themeFillTint="33"/>
      </w:tcPr>
    </w:tblStylePr>
    <w:tblStylePr w:type="band1Horz">
      <w:tblPr/>
      <w:tcPr>
        <w:shd w:val="clear" w:color="auto" w:fill="F7F7F6" w:themeFill="accent5" w:themeFillTint="33"/>
      </w:tcPr>
    </w:tblStylePr>
    <w:tblStylePr w:type="neCell">
      <w:tblPr/>
      <w:tcPr>
        <w:tcBorders>
          <w:bottom w:val="single" w:sz="4" w:space="0" w:color="E8E8E6" w:themeColor="accent5" w:themeTint="99"/>
        </w:tcBorders>
      </w:tcPr>
    </w:tblStylePr>
    <w:tblStylePr w:type="nwCell">
      <w:tblPr/>
      <w:tcPr>
        <w:tcBorders>
          <w:bottom w:val="single" w:sz="4" w:space="0" w:color="E8E8E6" w:themeColor="accent5" w:themeTint="99"/>
        </w:tcBorders>
      </w:tcPr>
    </w:tblStylePr>
    <w:tblStylePr w:type="seCell">
      <w:tblPr/>
      <w:tcPr>
        <w:tcBorders>
          <w:top w:val="single" w:sz="4" w:space="0" w:color="E8E8E6" w:themeColor="accent5" w:themeTint="99"/>
        </w:tcBorders>
      </w:tcPr>
    </w:tblStylePr>
    <w:tblStylePr w:type="swCell">
      <w:tblPr/>
      <w:tcPr>
        <w:tcBorders>
          <w:top w:val="single" w:sz="4" w:space="0" w:color="E8E8E6" w:themeColor="accent5" w:themeTint="99"/>
        </w:tcBorders>
      </w:tcPr>
    </w:tblStylePr>
  </w:style>
  <w:style w:type="table" w:styleId="GridTable7Colorful-Accent6">
    <w:name w:val="Grid Table 7 Colorful Accent 6"/>
    <w:basedOn w:val="TableNormal"/>
    <w:uiPriority w:val="52"/>
    <w:rsid w:val="001D6600"/>
    <w:tblPr>
      <w:tblStyleRowBandSize w:val="1"/>
      <w:tblStyleColBandSize w:val="1"/>
      <w:tblBorders>
        <w:top w:val="single" w:sz="4" w:space="0" w:color="F5F3F2" w:themeColor="accent6" w:themeTint="99"/>
        <w:left w:val="single" w:sz="4" w:space="0" w:color="F5F3F2" w:themeColor="accent6" w:themeTint="99"/>
        <w:bottom w:val="single" w:sz="4" w:space="0" w:color="F5F3F2" w:themeColor="accent6" w:themeTint="99"/>
        <w:right w:val="single" w:sz="4" w:space="0" w:color="F5F3F2" w:themeColor="accent6" w:themeTint="99"/>
        <w:insideH w:val="single" w:sz="4" w:space="0" w:color="F5F3F2" w:themeColor="accent6" w:themeTint="99"/>
        <w:insideV w:val="single" w:sz="4" w:space="0" w:color="F5F3F2"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FBFA" w:themeFill="accent6" w:themeFillTint="33"/>
      </w:tcPr>
    </w:tblStylePr>
    <w:tblStylePr w:type="band1Horz">
      <w:tblPr/>
      <w:tcPr>
        <w:shd w:val="clear" w:color="auto" w:fill="FBFBFA" w:themeFill="accent6" w:themeFillTint="33"/>
      </w:tcPr>
    </w:tblStylePr>
    <w:tblStylePr w:type="neCell">
      <w:tblPr/>
      <w:tcPr>
        <w:tcBorders>
          <w:bottom w:val="single" w:sz="4" w:space="0" w:color="F5F3F2" w:themeColor="accent6" w:themeTint="99"/>
        </w:tcBorders>
      </w:tcPr>
    </w:tblStylePr>
    <w:tblStylePr w:type="nwCell">
      <w:tblPr/>
      <w:tcPr>
        <w:tcBorders>
          <w:bottom w:val="single" w:sz="4" w:space="0" w:color="F5F3F2" w:themeColor="accent6" w:themeTint="99"/>
        </w:tcBorders>
      </w:tcPr>
    </w:tblStylePr>
    <w:tblStylePr w:type="seCell">
      <w:tblPr/>
      <w:tcPr>
        <w:tcBorders>
          <w:top w:val="single" w:sz="4" w:space="0" w:color="F5F3F2" w:themeColor="accent6" w:themeTint="99"/>
        </w:tcBorders>
      </w:tcPr>
    </w:tblStylePr>
    <w:tblStylePr w:type="swCell">
      <w:tblPr/>
      <w:tcPr>
        <w:tcBorders>
          <w:top w:val="single" w:sz="4" w:space="0" w:color="F5F3F2" w:themeColor="accent6" w:themeTint="99"/>
        </w:tcBorders>
      </w:tcPr>
    </w:tblStylePr>
  </w:style>
  <w:style w:type="paragraph" w:styleId="Header">
    <w:name w:val="header"/>
    <w:basedOn w:val="Normal"/>
    <w:link w:val="HeaderChar"/>
    <w:uiPriority w:val="99"/>
    <w:qFormat/>
    <w:rsid w:val="001D6600"/>
    <w:pPr>
      <w:tabs>
        <w:tab w:val="center" w:pos="4513"/>
        <w:tab w:val="right" w:pos="9026"/>
      </w:tabs>
      <w:jc w:val="right"/>
    </w:pPr>
    <w:rPr>
      <w:sz w:val="12"/>
    </w:rPr>
  </w:style>
  <w:style w:type="character" w:customStyle="1" w:styleId="HeaderChar">
    <w:name w:val="Header Char"/>
    <w:basedOn w:val="DefaultParagraphFont"/>
    <w:link w:val="Header"/>
    <w:uiPriority w:val="99"/>
    <w:rsid w:val="00FB43E4"/>
    <w:rPr>
      <w:rFonts w:ascii="Montserrat Light" w:hAnsi="Montserrat Light"/>
      <w:color w:val="1D252C"/>
      <w:sz w:val="12"/>
    </w:rPr>
  </w:style>
  <w:style w:type="character" w:styleId="HTMLAcronym">
    <w:name w:val="HTML Acronym"/>
    <w:basedOn w:val="DefaultParagraphFont"/>
    <w:uiPriority w:val="99"/>
    <w:semiHidden/>
    <w:unhideWhenUsed/>
    <w:rsid w:val="001D6600"/>
    <w:rPr>
      <w:rFonts w:ascii="Montserrat Light" w:hAnsi="Montserrat Light"/>
      <w:color w:val="1D252C"/>
      <w:sz w:val="20"/>
    </w:rPr>
  </w:style>
  <w:style w:type="paragraph" w:styleId="HTMLAddress">
    <w:name w:val="HTML Address"/>
    <w:basedOn w:val="Normal"/>
    <w:link w:val="HTMLAddressChar"/>
    <w:uiPriority w:val="99"/>
    <w:semiHidden/>
    <w:unhideWhenUsed/>
    <w:rsid w:val="001D6600"/>
    <w:rPr>
      <w:i/>
      <w:iCs/>
    </w:rPr>
  </w:style>
  <w:style w:type="character" w:customStyle="1" w:styleId="HTMLAddressChar">
    <w:name w:val="HTML Address Char"/>
    <w:basedOn w:val="DefaultParagraphFont"/>
    <w:link w:val="HTMLAddress"/>
    <w:uiPriority w:val="99"/>
    <w:semiHidden/>
    <w:rsid w:val="001D6600"/>
    <w:rPr>
      <w:rFonts w:ascii="Montserrat Light" w:hAnsi="Montserrat Light"/>
      <w:i/>
      <w:iCs/>
      <w:color w:val="1D252C"/>
      <w:sz w:val="20"/>
    </w:rPr>
  </w:style>
  <w:style w:type="character" w:styleId="HTMLCite">
    <w:name w:val="HTML Cite"/>
    <w:basedOn w:val="DefaultParagraphFont"/>
    <w:uiPriority w:val="99"/>
    <w:semiHidden/>
    <w:unhideWhenUsed/>
    <w:rsid w:val="001D6600"/>
    <w:rPr>
      <w:rFonts w:ascii="Montserrat Light" w:hAnsi="Montserrat Light"/>
      <w:i/>
      <w:iCs/>
      <w:color w:val="1D252C"/>
      <w:sz w:val="20"/>
    </w:rPr>
  </w:style>
  <w:style w:type="character" w:styleId="HTMLCode">
    <w:name w:val="HTML Code"/>
    <w:basedOn w:val="DefaultParagraphFont"/>
    <w:uiPriority w:val="99"/>
    <w:semiHidden/>
    <w:unhideWhenUsed/>
    <w:rsid w:val="001D6600"/>
    <w:rPr>
      <w:rFonts w:ascii="Montserrat Light" w:hAnsi="Montserrat Light" w:cs="Consolas"/>
      <w:color w:val="1D252C"/>
      <w:sz w:val="20"/>
      <w:szCs w:val="20"/>
    </w:rPr>
  </w:style>
  <w:style w:type="character" w:styleId="HTMLDefinition">
    <w:name w:val="HTML Definition"/>
    <w:basedOn w:val="DefaultParagraphFont"/>
    <w:uiPriority w:val="99"/>
    <w:semiHidden/>
    <w:unhideWhenUsed/>
    <w:rsid w:val="001D6600"/>
    <w:rPr>
      <w:rFonts w:ascii="Montserrat Light" w:hAnsi="Montserrat Light"/>
      <w:i/>
      <w:iCs/>
      <w:color w:val="1D252C"/>
      <w:sz w:val="20"/>
    </w:rPr>
  </w:style>
  <w:style w:type="character" w:styleId="HTMLKeyboard">
    <w:name w:val="HTML Keyboard"/>
    <w:basedOn w:val="DefaultParagraphFont"/>
    <w:uiPriority w:val="99"/>
    <w:semiHidden/>
    <w:unhideWhenUsed/>
    <w:rsid w:val="001D6600"/>
    <w:rPr>
      <w:rFonts w:ascii="Montserrat Light" w:hAnsi="Montserrat Light" w:cs="Consolas"/>
      <w:color w:val="1D252C"/>
      <w:sz w:val="20"/>
      <w:szCs w:val="20"/>
    </w:rPr>
  </w:style>
  <w:style w:type="paragraph" w:styleId="HTMLPreformatted">
    <w:name w:val="HTML Preformatted"/>
    <w:basedOn w:val="Normal"/>
    <w:link w:val="HTMLPreformattedChar"/>
    <w:uiPriority w:val="99"/>
    <w:semiHidden/>
    <w:unhideWhenUsed/>
    <w:rsid w:val="001D6600"/>
    <w:rPr>
      <w:rFonts w:cs="Consolas"/>
    </w:rPr>
  </w:style>
  <w:style w:type="character" w:customStyle="1" w:styleId="HTMLPreformattedChar">
    <w:name w:val="HTML Preformatted Char"/>
    <w:basedOn w:val="DefaultParagraphFont"/>
    <w:link w:val="HTMLPreformatted"/>
    <w:uiPriority w:val="99"/>
    <w:semiHidden/>
    <w:rsid w:val="001D6600"/>
    <w:rPr>
      <w:rFonts w:ascii="Montserrat Light" w:hAnsi="Montserrat Light" w:cs="Consolas"/>
      <w:color w:val="1D252C"/>
      <w:sz w:val="20"/>
    </w:rPr>
  </w:style>
  <w:style w:type="character" w:styleId="HTMLSample">
    <w:name w:val="HTML Sample"/>
    <w:basedOn w:val="DefaultParagraphFont"/>
    <w:uiPriority w:val="99"/>
    <w:semiHidden/>
    <w:unhideWhenUsed/>
    <w:rsid w:val="001D6600"/>
    <w:rPr>
      <w:rFonts w:ascii="Montserrat Light" w:hAnsi="Montserrat Light" w:cs="Consolas"/>
      <w:color w:val="1D252C"/>
      <w:sz w:val="20"/>
      <w:szCs w:val="24"/>
    </w:rPr>
  </w:style>
  <w:style w:type="character" w:styleId="HTMLTypewriter">
    <w:name w:val="HTML Typewriter"/>
    <w:basedOn w:val="DefaultParagraphFont"/>
    <w:uiPriority w:val="99"/>
    <w:semiHidden/>
    <w:unhideWhenUsed/>
    <w:rsid w:val="001D6600"/>
    <w:rPr>
      <w:rFonts w:ascii="Montserrat Light" w:hAnsi="Montserrat Light" w:cs="Consolas"/>
      <w:color w:val="1D252C"/>
      <w:sz w:val="20"/>
      <w:szCs w:val="20"/>
    </w:rPr>
  </w:style>
  <w:style w:type="character" w:styleId="HTMLVariable">
    <w:name w:val="HTML Variable"/>
    <w:basedOn w:val="DefaultParagraphFont"/>
    <w:uiPriority w:val="99"/>
    <w:semiHidden/>
    <w:unhideWhenUsed/>
    <w:rsid w:val="001D6600"/>
    <w:rPr>
      <w:rFonts w:ascii="Montserrat Light" w:hAnsi="Montserrat Light"/>
      <w:i/>
      <w:iCs/>
      <w:color w:val="1D252C"/>
      <w:sz w:val="20"/>
    </w:rPr>
  </w:style>
  <w:style w:type="character" w:styleId="Hyperlink">
    <w:name w:val="Hyperlink"/>
    <w:basedOn w:val="DefaultParagraphFont"/>
    <w:uiPriority w:val="99"/>
    <w:unhideWhenUsed/>
    <w:rsid w:val="001D6600"/>
    <w:rPr>
      <w:rFonts w:ascii="Montserrat Light" w:hAnsi="Montserrat Light"/>
      <w:color w:val="4F81BD"/>
      <w:sz w:val="20"/>
      <w:u w:val="single"/>
    </w:rPr>
  </w:style>
  <w:style w:type="paragraph" w:styleId="Index1">
    <w:name w:val="index 1"/>
    <w:basedOn w:val="Normal"/>
    <w:next w:val="Normal"/>
    <w:autoRedefine/>
    <w:uiPriority w:val="99"/>
    <w:semiHidden/>
    <w:unhideWhenUsed/>
    <w:rsid w:val="001D6600"/>
    <w:pPr>
      <w:ind w:left="220" w:hanging="220"/>
    </w:pPr>
  </w:style>
  <w:style w:type="paragraph" w:styleId="Index2">
    <w:name w:val="index 2"/>
    <w:basedOn w:val="Normal"/>
    <w:next w:val="Normal"/>
    <w:autoRedefine/>
    <w:uiPriority w:val="99"/>
    <w:semiHidden/>
    <w:unhideWhenUsed/>
    <w:rsid w:val="001D6600"/>
    <w:pPr>
      <w:ind w:left="440" w:hanging="220"/>
    </w:pPr>
  </w:style>
  <w:style w:type="paragraph" w:styleId="Index3">
    <w:name w:val="index 3"/>
    <w:basedOn w:val="Normal"/>
    <w:next w:val="Normal"/>
    <w:autoRedefine/>
    <w:uiPriority w:val="99"/>
    <w:semiHidden/>
    <w:unhideWhenUsed/>
    <w:rsid w:val="001D6600"/>
    <w:pPr>
      <w:ind w:left="660" w:hanging="220"/>
    </w:pPr>
  </w:style>
  <w:style w:type="paragraph" w:styleId="Index4">
    <w:name w:val="index 4"/>
    <w:basedOn w:val="Normal"/>
    <w:next w:val="Normal"/>
    <w:autoRedefine/>
    <w:uiPriority w:val="99"/>
    <w:semiHidden/>
    <w:unhideWhenUsed/>
    <w:rsid w:val="001D6600"/>
    <w:pPr>
      <w:ind w:left="880" w:hanging="220"/>
    </w:pPr>
  </w:style>
  <w:style w:type="paragraph" w:styleId="Index5">
    <w:name w:val="index 5"/>
    <w:basedOn w:val="Normal"/>
    <w:next w:val="Normal"/>
    <w:autoRedefine/>
    <w:uiPriority w:val="99"/>
    <w:semiHidden/>
    <w:unhideWhenUsed/>
    <w:rsid w:val="001D6600"/>
    <w:pPr>
      <w:ind w:left="1100" w:hanging="220"/>
    </w:pPr>
  </w:style>
  <w:style w:type="paragraph" w:styleId="Index6">
    <w:name w:val="index 6"/>
    <w:basedOn w:val="Normal"/>
    <w:next w:val="Normal"/>
    <w:autoRedefine/>
    <w:uiPriority w:val="99"/>
    <w:semiHidden/>
    <w:unhideWhenUsed/>
    <w:rsid w:val="001D6600"/>
    <w:pPr>
      <w:ind w:left="1320" w:hanging="220"/>
    </w:pPr>
  </w:style>
  <w:style w:type="paragraph" w:styleId="Index7">
    <w:name w:val="index 7"/>
    <w:basedOn w:val="Normal"/>
    <w:next w:val="Normal"/>
    <w:autoRedefine/>
    <w:uiPriority w:val="99"/>
    <w:semiHidden/>
    <w:unhideWhenUsed/>
    <w:rsid w:val="001D6600"/>
    <w:pPr>
      <w:ind w:left="1540" w:hanging="220"/>
    </w:pPr>
  </w:style>
  <w:style w:type="paragraph" w:styleId="Index8">
    <w:name w:val="index 8"/>
    <w:basedOn w:val="Normal"/>
    <w:next w:val="Normal"/>
    <w:autoRedefine/>
    <w:uiPriority w:val="99"/>
    <w:semiHidden/>
    <w:unhideWhenUsed/>
    <w:rsid w:val="001D6600"/>
    <w:pPr>
      <w:ind w:left="1760" w:hanging="220"/>
    </w:pPr>
  </w:style>
  <w:style w:type="paragraph" w:styleId="Index9">
    <w:name w:val="index 9"/>
    <w:basedOn w:val="Normal"/>
    <w:next w:val="Normal"/>
    <w:autoRedefine/>
    <w:uiPriority w:val="99"/>
    <w:semiHidden/>
    <w:unhideWhenUsed/>
    <w:rsid w:val="001D6600"/>
    <w:pPr>
      <w:ind w:left="1980" w:hanging="220"/>
    </w:pPr>
  </w:style>
  <w:style w:type="paragraph" w:styleId="IndexHeading">
    <w:name w:val="index heading"/>
    <w:basedOn w:val="Normal"/>
    <w:next w:val="Index1"/>
    <w:uiPriority w:val="99"/>
    <w:semiHidden/>
    <w:unhideWhenUsed/>
    <w:rsid w:val="001D6600"/>
    <w:rPr>
      <w:rFonts w:eastAsiaTheme="majorEastAsia" w:cstheme="majorBidi"/>
      <w:b/>
      <w:bCs/>
    </w:rPr>
  </w:style>
  <w:style w:type="character" w:styleId="IntenseEmphasis">
    <w:name w:val="Intense Emphasis"/>
    <w:basedOn w:val="DefaultParagraphFont"/>
    <w:uiPriority w:val="21"/>
    <w:qFormat/>
    <w:rsid w:val="001D6600"/>
    <w:rPr>
      <w:rFonts w:ascii="Montserrat Light" w:hAnsi="Montserrat Light"/>
      <w:i/>
      <w:iCs/>
      <w:color w:val="1D252C"/>
      <w:sz w:val="20"/>
    </w:rPr>
  </w:style>
  <w:style w:type="paragraph" w:styleId="IntenseQuote">
    <w:name w:val="Intense Quote"/>
    <w:basedOn w:val="Normal"/>
    <w:next w:val="Normal"/>
    <w:link w:val="IntenseQuoteChar"/>
    <w:uiPriority w:val="30"/>
    <w:qFormat/>
    <w:rsid w:val="001D6600"/>
    <w:pPr>
      <w:pBdr>
        <w:top w:val="single" w:sz="4" w:space="10" w:color="F9423A" w:themeColor="accent1"/>
        <w:bottom w:val="single" w:sz="4" w:space="10" w:color="F9423A"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1D6600"/>
    <w:rPr>
      <w:rFonts w:ascii="Montserrat Light" w:hAnsi="Montserrat Light"/>
      <w:i/>
      <w:iCs/>
      <w:color w:val="1D252C"/>
      <w:sz w:val="20"/>
    </w:rPr>
  </w:style>
  <w:style w:type="character" w:styleId="IntenseReference">
    <w:name w:val="Intense Reference"/>
    <w:basedOn w:val="DefaultParagraphFont"/>
    <w:uiPriority w:val="32"/>
    <w:qFormat/>
    <w:rsid w:val="001D6600"/>
    <w:rPr>
      <w:rFonts w:ascii="Montserrat Light" w:hAnsi="Montserrat Light"/>
      <w:b/>
      <w:bCs/>
      <w:smallCaps/>
      <w:color w:val="1D252C"/>
      <w:spacing w:val="5"/>
      <w:sz w:val="20"/>
    </w:rPr>
  </w:style>
  <w:style w:type="table" w:styleId="LightGrid">
    <w:name w:val="Light Grid"/>
    <w:basedOn w:val="TableNormal"/>
    <w:uiPriority w:val="62"/>
    <w:semiHidden/>
    <w:unhideWhenUsed/>
    <w:rsid w:val="001D6600"/>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1D6600"/>
    <w:tblPr>
      <w:tblStyleRowBandSize w:val="1"/>
      <w:tblStyleColBandSize w:val="1"/>
      <w:tblBorders>
        <w:top w:val="single" w:sz="8" w:space="0" w:color="F9423A" w:themeColor="accent1"/>
        <w:left w:val="single" w:sz="8" w:space="0" w:color="F9423A" w:themeColor="accent1"/>
        <w:bottom w:val="single" w:sz="8" w:space="0" w:color="F9423A" w:themeColor="accent1"/>
        <w:right w:val="single" w:sz="8" w:space="0" w:color="F9423A" w:themeColor="accent1"/>
        <w:insideH w:val="single" w:sz="8" w:space="0" w:color="F9423A" w:themeColor="accent1"/>
        <w:insideV w:val="single" w:sz="8" w:space="0" w:color="F9423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9423A" w:themeColor="accent1"/>
          <w:left w:val="single" w:sz="8" w:space="0" w:color="F9423A" w:themeColor="accent1"/>
          <w:bottom w:val="single" w:sz="18" w:space="0" w:color="F9423A" w:themeColor="accent1"/>
          <w:right w:val="single" w:sz="8" w:space="0" w:color="F9423A" w:themeColor="accent1"/>
          <w:insideH w:val="nil"/>
          <w:insideV w:val="single" w:sz="8" w:space="0" w:color="F9423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423A" w:themeColor="accent1"/>
          <w:left w:val="single" w:sz="8" w:space="0" w:color="F9423A" w:themeColor="accent1"/>
          <w:bottom w:val="single" w:sz="8" w:space="0" w:color="F9423A" w:themeColor="accent1"/>
          <w:right w:val="single" w:sz="8" w:space="0" w:color="F9423A" w:themeColor="accent1"/>
          <w:insideH w:val="nil"/>
          <w:insideV w:val="single" w:sz="8" w:space="0" w:color="F9423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423A" w:themeColor="accent1"/>
          <w:left w:val="single" w:sz="8" w:space="0" w:color="F9423A" w:themeColor="accent1"/>
          <w:bottom w:val="single" w:sz="8" w:space="0" w:color="F9423A" w:themeColor="accent1"/>
          <w:right w:val="single" w:sz="8" w:space="0" w:color="F9423A" w:themeColor="accent1"/>
        </w:tcBorders>
      </w:tcPr>
    </w:tblStylePr>
    <w:tblStylePr w:type="band1Vert">
      <w:tblPr/>
      <w:tcPr>
        <w:tcBorders>
          <w:top w:val="single" w:sz="8" w:space="0" w:color="F9423A" w:themeColor="accent1"/>
          <w:left w:val="single" w:sz="8" w:space="0" w:color="F9423A" w:themeColor="accent1"/>
          <w:bottom w:val="single" w:sz="8" w:space="0" w:color="F9423A" w:themeColor="accent1"/>
          <w:right w:val="single" w:sz="8" w:space="0" w:color="F9423A" w:themeColor="accent1"/>
        </w:tcBorders>
        <w:shd w:val="clear" w:color="auto" w:fill="FDCFCE" w:themeFill="accent1" w:themeFillTint="3F"/>
      </w:tcPr>
    </w:tblStylePr>
    <w:tblStylePr w:type="band1Horz">
      <w:tblPr/>
      <w:tcPr>
        <w:tcBorders>
          <w:top w:val="single" w:sz="8" w:space="0" w:color="F9423A" w:themeColor="accent1"/>
          <w:left w:val="single" w:sz="8" w:space="0" w:color="F9423A" w:themeColor="accent1"/>
          <w:bottom w:val="single" w:sz="8" w:space="0" w:color="F9423A" w:themeColor="accent1"/>
          <w:right w:val="single" w:sz="8" w:space="0" w:color="F9423A" w:themeColor="accent1"/>
          <w:insideV w:val="single" w:sz="8" w:space="0" w:color="F9423A" w:themeColor="accent1"/>
        </w:tcBorders>
        <w:shd w:val="clear" w:color="auto" w:fill="FDCFCE" w:themeFill="accent1" w:themeFillTint="3F"/>
      </w:tcPr>
    </w:tblStylePr>
    <w:tblStylePr w:type="band2Horz">
      <w:tblPr/>
      <w:tcPr>
        <w:tcBorders>
          <w:top w:val="single" w:sz="8" w:space="0" w:color="F9423A" w:themeColor="accent1"/>
          <w:left w:val="single" w:sz="8" w:space="0" w:color="F9423A" w:themeColor="accent1"/>
          <w:bottom w:val="single" w:sz="8" w:space="0" w:color="F9423A" w:themeColor="accent1"/>
          <w:right w:val="single" w:sz="8" w:space="0" w:color="F9423A" w:themeColor="accent1"/>
          <w:insideV w:val="single" w:sz="8" w:space="0" w:color="F9423A" w:themeColor="accent1"/>
        </w:tcBorders>
      </w:tcPr>
    </w:tblStylePr>
  </w:style>
  <w:style w:type="table" w:styleId="LightGrid-Accent2">
    <w:name w:val="Light Grid Accent 2"/>
    <w:basedOn w:val="TableNormal"/>
    <w:uiPriority w:val="62"/>
    <w:semiHidden/>
    <w:unhideWhenUsed/>
    <w:rsid w:val="001D6600"/>
    <w:tblPr>
      <w:tblStyleRowBandSize w:val="1"/>
      <w:tblStyleColBandSize w:val="1"/>
      <w:tblBorders>
        <w:top w:val="single" w:sz="8" w:space="0" w:color="D8E6F0" w:themeColor="accent2"/>
        <w:left w:val="single" w:sz="8" w:space="0" w:color="D8E6F0" w:themeColor="accent2"/>
        <w:bottom w:val="single" w:sz="8" w:space="0" w:color="D8E6F0" w:themeColor="accent2"/>
        <w:right w:val="single" w:sz="8" w:space="0" w:color="D8E6F0" w:themeColor="accent2"/>
        <w:insideH w:val="single" w:sz="8" w:space="0" w:color="D8E6F0" w:themeColor="accent2"/>
        <w:insideV w:val="single" w:sz="8" w:space="0" w:color="D8E6F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8E6F0" w:themeColor="accent2"/>
          <w:left w:val="single" w:sz="8" w:space="0" w:color="D8E6F0" w:themeColor="accent2"/>
          <w:bottom w:val="single" w:sz="18" w:space="0" w:color="D8E6F0" w:themeColor="accent2"/>
          <w:right w:val="single" w:sz="8" w:space="0" w:color="D8E6F0" w:themeColor="accent2"/>
          <w:insideH w:val="nil"/>
          <w:insideV w:val="single" w:sz="8" w:space="0" w:color="D8E6F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8E6F0" w:themeColor="accent2"/>
          <w:left w:val="single" w:sz="8" w:space="0" w:color="D8E6F0" w:themeColor="accent2"/>
          <w:bottom w:val="single" w:sz="8" w:space="0" w:color="D8E6F0" w:themeColor="accent2"/>
          <w:right w:val="single" w:sz="8" w:space="0" w:color="D8E6F0" w:themeColor="accent2"/>
          <w:insideH w:val="nil"/>
          <w:insideV w:val="single" w:sz="8" w:space="0" w:color="D8E6F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8E6F0" w:themeColor="accent2"/>
          <w:left w:val="single" w:sz="8" w:space="0" w:color="D8E6F0" w:themeColor="accent2"/>
          <w:bottom w:val="single" w:sz="8" w:space="0" w:color="D8E6F0" w:themeColor="accent2"/>
          <w:right w:val="single" w:sz="8" w:space="0" w:color="D8E6F0" w:themeColor="accent2"/>
        </w:tcBorders>
      </w:tcPr>
    </w:tblStylePr>
    <w:tblStylePr w:type="band1Vert">
      <w:tblPr/>
      <w:tcPr>
        <w:tcBorders>
          <w:top w:val="single" w:sz="8" w:space="0" w:color="D8E6F0" w:themeColor="accent2"/>
          <w:left w:val="single" w:sz="8" w:space="0" w:color="D8E6F0" w:themeColor="accent2"/>
          <w:bottom w:val="single" w:sz="8" w:space="0" w:color="D8E6F0" w:themeColor="accent2"/>
          <w:right w:val="single" w:sz="8" w:space="0" w:color="D8E6F0" w:themeColor="accent2"/>
        </w:tcBorders>
        <w:shd w:val="clear" w:color="auto" w:fill="F5F8FB" w:themeFill="accent2" w:themeFillTint="3F"/>
      </w:tcPr>
    </w:tblStylePr>
    <w:tblStylePr w:type="band1Horz">
      <w:tblPr/>
      <w:tcPr>
        <w:tcBorders>
          <w:top w:val="single" w:sz="8" w:space="0" w:color="D8E6F0" w:themeColor="accent2"/>
          <w:left w:val="single" w:sz="8" w:space="0" w:color="D8E6F0" w:themeColor="accent2"/>
          <w:bottom w:val="single" w:sz="8" w:space="0" w:color="D8E6F0" w:themeColor="accent2"/>
          <w:right w:val="single" w:sz="8" w:space="0" w:color="D8E6F0" w:themeColor="accent2"/>
          <w:insideV w:val="single" w:sz="8" w:space="0" w:color="D8E6F0" w:themeColor="accent2"/>
        </w:tcBorders>
        <w:shd w:val="clear" w:color="auto" w:fill="F5F8FB" w:themeFill="accent2" w:themeFillTint="3F"/>
      </w:tcPr>
    </w:tblStylePr>
    <w:tblStylePr w:type="band2Horz">
      <w:tblPr/>
      <w:tcPr>
        <w:tcBorders>
          <w:top w:val="single" w:sz="8" w:space="0" w:color="D8E6F0" w:themeColor="accent2"/>
          <w:left w:val="single" w:sz="8" w:space="0" w:color="D8E6F0" w:themeColor="accent2"/>
          <w:bottom w:val="single" w:sz="8" w:space="0" w:color="D8E6F0" w:themeColor="accent2"/>
          <w:right w:val="single" w:sz="8" w:space="0" w:color="D8E6F0" w:themeColor="accent2"/>
          <w:insideV w:val="single" w:sz="8" w:space="0" w:color="D8E6F0" w:themeColor="accent2"/>
        </w:tcBorders>
      </w:tcPr>
    </w:tblStylePr>
  </w:style>
  <w:style w:type="table" w:styleId="LightGrid-Accent3">
    <w:name w:val="Light Grid Accent 3"/>
    <w:basedOn w:val="TableNormal"/>
    <w:uiPriority w:val="62"/>
    <w:semiHidden/>
    <w:unhideWhenUsed/>
    <w:rsid w:val="001D6600"/>
    <w:tblPr>
      <w:tblStyleRowBandSize w:val="1"/>
      <w:tblStyleColBandSize w:val="1"/>
      <w:tblBorders>
        <w:top w:val="single" w:sz="8" w:space="0" w:color="1E252B" w:themeColor="accent3"/>
        <w:left w:val="single" w:sz="8" w:space="0" w:color="1E252B" w:themeColor="accent3"/>
        <w:bottom w:val="single" w:sz="8" w:space="0" w:color="1E252B" w:themeColor="accent3"/>
        <w:right w:val="single" w:sz="8" w:space="0" w:color="1E252B" w:themeColor="accent3"/>
        <w:insideH w:val="single" w:sz="8" w:space="0" w:color="1E252B" w:themeColor="accent3"/>
        <w:insideV w:val="single" w:sz="8" w:space="0" w:color="1E252B"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252B" w:themeColor="accent3"/>
          <w:left w:val="single" w:sz="8" w:space="0" w:color="1E252B" w:themeColor="accent3"/>
          <w:bottom w:val="single" w:sz="18" w:space="0" w:color="1E252B" w:themeColor="accent3"/>
          <w:right w:val="single" w:sz="8" w:space="0" w:color="1E252B" w:themeColor="accent3"/>
          <w:insideH w:val="nil"/>
          <w:insideV w:val="single" w:sz="8" w:space="0" w:color="1E252B"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252B" w:themeColor="accent3"/>
          <w:left w:val="single" w:sz="8" w:space="0" w:color="1E252B" w:themeColor="accent3"/>
          <w:bottom w:val="single" w:sz="8" w:space="0" w:color="1E252B" w:themeColor="accent3"/>
          <w:right w:val="single" w:sz="8" w:space="0" w:color="1E252B" w:themeColor="accent3"/>
          <w:insideH w:val="nil"/>
          <w:insideV w:val="single" w:sz="8" w:space="0" w:color="1E252B"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252B" w:themeColor="accent3"/>
          <w:left w:val="single" w:sz="8" w:space="0" w:color="1E252B" w:themeColor="accent3"/>
          <w:bottom w:val="single" w:sz="8" w:space="0" w:color="1E252B" w:themeColor="accent3"/>
          <w:right w:val="single" w:sz="8" w:space="0" w:color="1E252B" w:themeColor="accent3"/>
        </w:tcBorders>
      </w:tcPr>
    </w:tblStylePr>
    <w:tblStylePr w:type="band1Vert">
      <w:tblPr/>
      <w:tcPr>
        <w:tcBorders>
          <w:top w:val="single" w:sz="8" w:space="0" w:color="1E252B" w:themeColor="accent3"/>
          <w:left w:val="single" w:sz="8" w:space="0" w:color="1E252B" w:themeColor="accent3"/>
          <w:bottom w:val="single" w:sz="8" w:space="0" w:color="1E252B" w:themeColor="accent3"/>
          <w:right w:val="single" w:sz="8" w:space="0" w:color="1E252B" w:themeColor="accent3"/>
        </w:tcBorders>
        <w:shd w:val="clear" w:color="auto" w:fill="BFC9D2" w:themeFill="accent3" w:themeFillTint="3F"/>
      </w:tcPr>
    </w:tblStylePr>
    <w:tblStylePr w:type="band1Horz">
      <w:tblPr/>
      <w:tcPr>
        <w:tcBorders>
          <w:top w:val="single" w:sz="8" w:space="0" w:color="1E252B" w:themeColor="accent3"/>
          <w:left w:val="single" w:sz="8" w:space="0" w:color="1E252B" w:themeColor="accent3"/>
          <w:bottom w:val="single" w:sz="8" w:space="0" w:color="1E252B" w:themeColor="accent3"/>
          <w:right w:val="single" w:sz="8" w:space="0" w:color="1E252B" w:themeColor="accent3"/>
          <w:insideV w:val="single" w:sz="8" w:space="0" w:color="1E252B" w:themeColor="accent3"/>
        </w:tcBorders>
        <w:shd w:val="clear" w:color="auto" w:fill="BFC9D2" w:themeFill="accent3" w:themeFillTint="3F"/>
      </w:tcPr>
    </w:tblStylePr>
    <w:tblStylePr w:type="band2Horz">
      <w:tblPr/>
      <w:tcPr>
        <w:tcBorders>
          <w:top w:val="single" w:sz="8" w:space="0" w:color="1E252B" w:themeColor="accent3"/>
          <w:left w:val="single" w:sz="8" w:space="0" w:color="1E252B" w:themeColor="accent3"/>
          <w:bottom w:val="single" w:sz="8" w:space="0" w:color="1E252B" w:themeColor="accent3"/>
          <w:right w:val="single" w:sz="8" w:space="0" w:color="1E252B" w:themeColor="accent3"/>
          <w:insideV w:val="single" w:sz="8" w:space="0" w:color="1E252B" w:themeColor="accent3"/>
        </w:tcBorders>
      </w:tcPr>
    </w:tblStylePr>
  </w:style>
  <w:style w:type="table" w:styleId="LightGrid-Accent4">
    <w:name w:val="Light Grid Accent 4"/>
    <w:basedOn w:val="TableNormal"/>
    <w:uiPriority w:val="62"/>
    <w:semiHidden/>
    <w:unhideWhenUsed/>
    <w:rsid w:val="001D6600"/>
    <w:tblPr>
      <w:tblStyleRowBandSize w:val="1"/>
      <w:tblStyleColBandSize w:val="1"/>
      <w:tblBorders>
        <w:top w:val="single" w:sz="8" w:space="0" w:color="333E48" w:themeColor="accent4"/>
        <w:left w:val="single" w:sz="8" w:space="0" w:color="333E48" w:themeColor="accent4"/>
        <w:bottom w:val="single" w:sz="8" w:space="0" w:color="333E48" w:themeColor="accent4"/>
        <w:right w:val="single" w:sz="8" w:space="0" w:color="333E48" w:themeColor="accent4"/>
        <w:insideH w:val="single" w:sz="8" w:space="0" w:color="333E48" w:themeColor="accent4"/>
        <w:insideV w:val="single" w:sz="8" w:space="0" w:color="333E48"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33E48" w:themeColor="accent4"/>
          <w:left w:val="single" w:sz="8" w:space="0" w:color="333E48" w:themeColor="accent4"/>
          <w:bottom w:val="single" w:sz="18" w:space="0" w:color="333E48" w:themeColor="accent4"/>
          <w:right w:val="single" w:sz="8" w:space="0" w:color="333E48" w:themeColor="accent4"/>
          <w:insideH w:val="nil"/>
          <w:insideV w:val="single" w:sz="8" w:space="0" w:color="333E48"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33E48" w:themeColor="accent4"/>
          <w:left w:val="single" w:sz="8" w:space="0" w:color="333E48" w:themeColor="accent4"/>
          <w:bottom w:val="single" w:sz="8" w:space="0" w:color="333E48" w:themeColor="accent4"/>
          <w:right w:val="single" w:sz="8" w:space="0" w:color="333E48" w:themeColor="accent4"/>
          <w:insideH w:val="nil"/>
          <w:insideV w:val="single" w:sz="8" w:space="0" w:color="333E48"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33E48" w:themeColor="accent4"/>
          <w:left w:val="single" w:sz="8" w:space="0" w:color="333E48" w:themeColor="accent4"/>
          <w:bottom w:val="single" w:sz="8" w:space="0" w:color="333E48" w:themeColor="accent4"/>
          <w:right w:val="single" w:sz="8" w:space="0" w:color="333E48" w:themeColor="accent4"/>
        </w:tcBorders>
      </w:tcPr>
    </w:tblStylePr>
    <w:tblStylePr w:type="band1Vert">
      <w:tblPr/>
      <w:tcPr>
        <w:tcBorders>
          <w:top w:val="single" w:sz="8" w:space="0" w:color="333E48" w:themeColor="accent4"/>
          <w:left w:val="single" w:sz="8" w:space="0" w:color="333E48" w:themeColor="accent4"/>
          <w:bottom w:val="single" w:sz="8" w:space="0" w:color="333E48" w:themeColor="accent4"/>
          <w:right w:val="single" w:sz="8" w:space="0" w:color="333E48" w:themeColor="accent4"/>
        </w:tcBorders>
        <w:shd w:val="clear" w:color="auto" w:fill="C7CFD7" w:themeFill="accent4" w:themeFillTint="3F"/>
      </w:tcPr>
    </w:tblStylePr>
    <w:tblStylePr w:type="band1Horz">
      <w:tblPr/>
      <w:tcPr>
        <w:tcBorders>
          <w:top w:val="single" w:sz="8" w:space="0" w:color="333E48" w:themeColor="accent4"/>
          <w:left w:val="single" w:sz="8" w:space="0" w:color="333E48" w:themeColor="accent4"/>
          <w:bottom w:val="single" w:sz="8" w:space="0" w:color="333E48" w:themeColor="accent4"/>
          <w:right w:val="single" w:sz="8" w:space="0" w:color="333E48" w:themeColor="accent4"/>
          <w:insideV w:val="single" w:sz="8" w:space="0" w:color="333E48" w:themeColor="accent4"/>
        </w:tcBorders>
        <w:shd w:val="clear" w:color="auto" w:fill="C7CFD7" w:themeFill="accent4" w:themeFillTint="3F"/>
      </w:tcPr>
    </w:tblStylePr>
    <w:tblStylePr w:type="band2Horz">
      <w:tblPr/>
      <w:tcPr>
        <w:tcBorders>
          <w:top w:val="single" w:sz="8" w:space="0" w:color="333E48" w:themeColor="accent4"/>
          <w:left w:val="single" w:sz="8" w:space="0" w:color="333E48" w:themeColor="accent4"/>
          <w:bottom w:val="single" w:sz="8" w:space="0" w:color="333E48" w:themeColor="accent4"/>
          <w:right w:val="single" w:sz="8" w:space="0" w:color="333E48" w:themeColor="accent4"/>
          <w:insideV w:val="single" w:sz="8" w:space="0" w:color="333E48" w:themeColor="accent4"/>
        </w:tcBorders>
      </w:tcPr>
    </w:tblStylePr>
  </w:style>
  <w:style w:type="table" w:styleId="LightGrid-Accent5">
    <w:name w:val="Light Grid Accent 5"/>
    <w:basedOn w:val="TableNormal"/>
    <w:uiPriority w:val="62"/>
    <w:semiHidden/>
    <w:unhideWhenUsed/>
    <w:rsid w:val="001D6600"/>
    <w:tblPr>
      <w:tblStyleRowBandSize w:val="1"/>
      <w:tblStyleColBandSize w:val="1"/>
      <w:tblBorders>
        <w:top w:val="single" w:sz="8" w:space="0" w:color="D9D9D6" w:themeColor="accent5"/>
        <w:left w:val="single" w:sz="8" w:space="0" w:color="D9D9D6" w:themeColor="accent5"/>
        <w:bottom w:val="single" w:sz="8" w:space="0" w:color="D9D9D6" w:themeColor="accent5"/>
        <w:right w:val="single" w:sz="8" w:space="0" w:color="D9D9D6" w:themeColor="accent5"/>
        <w:insideH w:val="single" w:sz="8" w:space="0" w:color="D9D9D6" w:themeColor="accent5"/>
        <w:insideV w:val="single" w:sz="8" w:space="0" w:color="D9D9D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9D9D6" w:themeColor="accent5"/>
          <w:left w:val="single" w:sz="8" w:space="0" w:color="D9D9D6" w:themeColor="accent5"/>
          <w:bottom w:val="single" w:sz="18" w:space="0" w:color="D9D9D6" w:themeColor="accent5"/>
          <w:right w:val="single" w:sz="8" w:space="0" w:color="D9D9D6" w:themeColor="accent5"/>
          <w:insideH w:val="nil"/>
          <w:insideV w:val="single" w:sz="8" w:space="0" w:color="D9D9D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9D9D6" w:themeColor="accent5"/>
          <w:left w:val="single" w:sz="8" w:space="0" w:color="D9D9D6" w:themeColor="accent5"/>
          <w:bottom w:val="single" w:sz="8" w:space="0" w:color="D9D9D6" w:themeColor="accent5"/>
          <w:right w:val="single" w:sz="8" w:space="0" w:color="D9D9D6" w:themeColor="accent5"/>
          <w:insideH w:val="nil"/>
          <w:insideV w:val="single" w:sz="8" w:space="0" w:color="D9D9D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9D9D6" w:themeColor="accent5"/>
          <w:left w:val="single" w:sz="8" w:space="0" w:color="D9D9D6" w:themeColor="accent5"/>
          <w:bottom w:val="single" w:sz="8" w:space="0" w:color="D9D9D6" w:themeColor="accent5"/>
          <w:right w:val="single" w:sz="8" w:space="0" w:color="D9D9D6" w:themeColor="accent5"/>
        </w:tcBorders>
      </w:tcPr>
    </w:tblStylePr>
    <w:tblStylePr w:type="band1Vert">
      <w:tblPr/>
      <w:tcPr>
        <w:tcBorders>
          <w:top w:val="single" w:sz="8" w:space="0" w:color="D9D9D6" w:themeColor="accent5"/>
          <w:left w:val="single" w:sz="8" w:space="0" w:color="D9D9D6" w:themeColor="accent5"/>
          <w:bottom w:val="single" w:sz="8" w:space="0" w:color="D9D9D6" w:themeColor="accent5"/>
          <w:right w:val="single" w:sz="8" w:space="0" w:color="D9D9D6" w:themeColor="accent5"/>
        </w:tcBorders>
        <w:shd w:val="clear" w:color="auto" w:fill="F5F5F4" w:themeFill="accent5" w:themeFillTint="3F"/>
      </w:tcPr>
    </w:tblStylePr>
    <w:tblStylePr w:type="band1Horz">
      <w:tblPr/>
      <w:tcPr>
        <w:tcBorders>
          <w:top w:val="single" w:sz="8" w:space="0" w:color="D9D9D6" w:themeColor="accent5"/>
          <w:left w:val="single" w:sz="8" w:space="0" w:color="D9D9D6" w:themeColor="accent5"/>
          <w:bottom w:val="single" w:sz="8" w:space="0" w:color="D9D9D6" w:themeColor="accent5"/>
          <w:right w:val="single" w:sz="8" w:space="0" w:color="D9D9D6" w:themeColor="accent5"/>
          <w:insideV w:val="single" w:sz="8" w:space="0" w:color="D9D9D6" w:themeColor="accent5"/>
        </w:tcBorders>
        <w:shd w:val="clear" w:color="auto" w:fill="F5F5F4" w:themeFill="accent5" w:themeFillTint="3F"/>
      </w:tcPr>
    </w:tblStylePr>
    <w:tblStylePr w:type="band2Horz">
      <w:tblPr/>
      <w:tcPr>
        <w:tcBorders>
          <w:top w:val="single" w:sz="8" w:space="0" w:color="D9D9D6" w:themeColor="accent5"/>
          <w:left w:val="single" w:sz="8" w:space="0" w:color="D9D9D6" w:themeColor="accent5"/>
          <w:bottom w:val="single" w:sz="8" w:space="0" w:color="D9D9D6" w:themeColor="accent5"/>
          <w:right w:val="single" w:sz="8" w:space="0" w:color="D9D9D6" w:themeColor="accent5"/>
          <w:insideV w:val="single" w:sz="8" w:space="0" w:color="D9D9D6" w:themeColor="accent5"/>
        </w:tcBorders>
      </w:tcPr>
    </w:tblStylePr>
  </w:style>
  <w:style w:type="table" w:styleId="LightGrid-Accent6">
    <w:name w:val="Light Grid Accent 6"/>
    <w:basedOn w:val="TableNormal"/>
    <w:uiPriority w:val="62"/>
    <w:semiHidden/>
    <w:unhideWhenUsed/>
    <w:rsid w:val="001D6600"/>
    <w:tblPr>
      <w:tblStyleRowBandSize w:val="1"/>
      <w:tblStyleColBandSize w:val="1"/>
      <w:tblBorders>
        <w:top w:val="single" w:sz="8" w:space="0" w:color="EFECEA" w:themeColor="accent6"/>
        <w:left w:val="single" w:sz="8" w:space="0" w:color="EFECEA" w:themeColor="accent6"/>
        <w:bottom w:val="single" w:sz="8" w:space="0" w:color="EFECEA" w:themeColor="accent6"/>
        <w:right w:val="single" w:sz="8" w:space="0" w:color="EFECEA" w:themeColor="accent6"/>
        <w:insideH w:val="single" w:sz="8" w:space="0" w:color="EFECEA" w:themeColor="accent6"/>
        <w:insideV w:val="single" w:sz="8" w:space="0" w:color="EFECEA"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FECEA" w:themeColor="accent6"/>
          <w:left w:val="single" w:sz="8" w:space="0" w:color="EFECEA" w:themeColor="accent6"/>
          <w:bottom w:val="single" w:sz="18" w:space="0" w:color="EFECEA" w:themeColor="accent6"/>
          <w:right w:val="single" w:sz="8" w:space="0" w:color="EFECEA" w:themeColor="accent6"/>
          <w:insideH w:val="nil"/>
          <w:insideV w:val="single" w:sz="8" w:space="0" w:color="EFECEA"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FECEA" w:themeColor="accent6"/>
          <w:left w:val="single" w:sz="8" w:space="0" w:color="EFECEA" w:themeColor="accent6"/>
          <w:bottom w:val="single" w:sz="8" w:space="0" w:color="EFECEA" w:themeColor="accent6"/>
          <w:right w:val="single" w:sz="8" w:space="0" w:color="EFECEA" w:themeColor="accent6"/>
          <w:insideH w:val="nil"/>
          <w:insideV w:val="single" w:sz="8" w:space="0" w:color="EFECEA"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FECEA" w:themeColor="accent6"/>
          <w:left w:val="single" w:sz="8" w:space="0" w:color="EFECEA" w:themeColor="accent6"/>
          <w:bottom w:val="single" w:sz="8" w:space="0" w:color="EFECEA" w:themeColor="accent6"/>
          <w:right w:val="single" w:sz="8" w:space="0" w:color="EFECEA" w:themeColor="accent6"/>
        </w:tcBorders>
      </w:tcPr>
    </w:tblStylePr>
    <w:tblStylePr w:type="band1Vert">
      <w:tblPr/>
      <w:tcPr>
        <w:tcBorders>
          <w:top w:val="single" w:sz="8" w:space="0" w:color="EFECEA" w:themeColor="accent6"/>
          <w:left w:val="single" w:sz="8" w:space="0" w:color="EFECEA" w:themeColor="accent6"/>
          <w:bottom w:val="single" w:sz="8" w:space="0" w:color="EFECEA" w:themeColor="accent6"/>
          <w:right w:val="single" w:sz="8" w:space="0" w:color="EFECEA" w:themeColor="accent6"/>
        </w:tcBorders>
        <w:shd w:val="clear" w:color="auto" w:fill="FBFAF9" w:themeFill="accent6" w:themeFillTint="3F"/>
      </w:tcPr>
    </w:tblStylePr>
    <w:tblStylePr w:type="band1Horz">
      <w:tblPr/>
      <w:tcPr>
        <w:tcBorders>
          <w:top w:val="single" w:sz="8" w:space="0" w:color="EFECEA" w:themeColor="accent6"/>
          <w:left w:val="single" w:sz="8" w:space="0" w:color="EFECEA" w:themeColor="accent6"/>
          <w:bottom w:val="single" w:sz="8" w:space="0" w:color="EFECEA" w:themeColor="accent6"/>
          <w:right w:val="single" w:sz="8" w:space="0" w:color="EFECEA" w:themeColor="accent6"/>
          <w:insideV w:val="single" w:sz="8" w:space="0" w:color="EFECEA" w:themeColor="accent6"/>
        </w:tcBorders>
        <w:shd w:val="clear" w:color="auto" w:fill="FBFAF9" w:themeFill="accent6" w:themeFillTint="3F"/>
      </w:tcPr>
    </w:tblStylePr>
    <w:tblStylePr w:type="band2Horz">
      <w:tblPr/>
      <w:tcPr>
        <w:tcBorders>
          <w:top w:val="single" w:sz="8" w:space="0" w:color="EFECEA" w:themeColor="accent6"/>
          <w:left w:val="single" w:sz="8" w:space="0" w:color="EFECEA" w:themeColor="accent6"/>
          <w:bottom w:val="single" w:sz="8" w:space="0" w:color="EFECEA" w:themeColor="accent6"/>
          <w:right w:val="single" w:sz="8" w:space="0" w:color="EFECEA" w:themeColor="accent6"/>
          <w:insideV w:val="single" w:sz="8" w:space="0" w:color="EFECEA" w:themeColor="accent6"/>
        </w:tcBorders>
      </w:tcPr>
    </w:tblStylePr>
  </w:style>
  <w:style w:type="table" w:styleId="LightList">
    <w:name w:val="Light List"/>
    <w:basedOn w:val="TableNormal"/>
    <w:uiPriority w:val="61"/>
    <w:semiHidden/>
    <w:unhideWhenUsed/>
    <w:rsid w:val="001D6600"/>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1D6600"/>
    <w:tblPr>
      <w:tblStyleRowBandSize w:val="1"/>
      <w:tblStyleColBandSize w:val="1"/>
      <w:tblBorders>
        <w:top w:val="single" w:sz="8" w:space="0" w:color="F9423A" w:themeColor="accent1"/>
        <w:left w:val="single" w:sz="8" w:space="0" w:color="F9423A" w:themeColor="accent1"/>
        <w:bottom w:val="single" w:sz="8" w:space="0" w:color="F9423A" w:themeColor="accent1"/>
        <w:right w:val="single" w:sz="8" w:space="0" w:color="F9423A" w:themeColor="accent1"/>
      </w:tblBorders>
    </w:tblPr>
    <w:tblStylePr w:type="firstRow">
      <w:pPr>
        <w:spacing w:before="0" w:after="0" w:line="240" w:lineRule="auto"/>
      </w:pPr>
      <w:rPr>
        <w:b/>
        <w:bCs/>
        <w:color w:val="FFFFFF" w:themeColor="background1"/>
      </w:rPr>
      <w:tblPr/>
      <w:tcPr>
        <w:shd w:val="clear" w:color="auto" w:fill="F9423A" w:themeFill="accent1"/>
      </w:tcPr>
    </w:tblStylePr>
    <w:tblStylePr w:type="lastRow">
      <w:pPr>
        <w:spacing w:before="0" w:after="0" w:line="240" w:lineRule="auto"/>
      </w:pPr>
      <w:rPr>
        <w:b/>
        <w:bCs/>
      </w:rPr>
      <w:tblPr/>
      <w:tcPr>
        <w:tcBorders>
          <w:top w:val="double" w:sz="6" w:space="0" w:color="F9423A" w:themeColor="accent1"/>
          <w:left w:val="single" w:sz="8" w:space="0" w:color="F9423A" w:themeColor="accent1"/>
          <w:bottom w:val="single" w:sz="8" w:space="0" w:color="F9423A" w:themeColor="accent1"/>
          <w:right w:val="single" w:sz="8" w:space="0" w:color="F9423A" w:themeColor="accent1"/>
        </w:tcBorders>
      </w:tcPr>
    </w:tblStylePr>
    <w:tblStylePr w:type="firstCol">
      <w:rPr>
        <w:b/>
        <w:bCs/>
      </w:rPr>
    </w:tblStylePr>
    <w:tblStylePr w:type="lastCol">
      <w:rPr>
        <w:b/>
        <w:bCs/>
      </w:rPr>
    </w:tblStylePr>
    <w:tblStylePr w:type="band1Vert">
      <w:tblPr/>
      <w:tcPr>
        <w:tcBorders>
          <w:top w:val="single" w:sz="8" w:space="0" w:color="F9423A" w:themeColor="accent1"/>
          <w:left w:val="single" w:sz="8" w:space="0" w:color="F9423A" w:themeColor="accent1"/>
          <w:bottom w:val="single" w:sz="8" w:space="0" w:color="F9423A" w:themeColor="accent1"/>
          <w:right w:val="single" w:sz="8" w:space="0" w:color="F9423A" w:themeColor="accent1"/>
        </w:tcBorders>
      </w:tcPr>
    </w:tblStylePr>
    <w:tblStylePr w:type="band1Horz">
      <w:tblPr/>
      <w:tcPr>
        <w:tcBorders>
          <w:top w:val="single" w:sz="8" w:space="0" w:color="F9423A" w:themeColor="accent1"/>
          <w:left w:val="single" w:sz="8" w:space="0" w:color="F9423A" w:themeColor="accent1"/>
          <w:bottom w:val="single" w:sz="8" w:space="0" w:color="F9423A" w:themeColor="accent1"/>
          <w:right w:val="single" w:sz="8" w:space="0" w:color="F9423A" w:themeColor="accent1"/>
        </w:tcBorders>
      </w:tcPr>
    </w:tblStylePr>
  </w:style>
  <w:style w:type="table" w:styleId="LightList-Accent2">
    <w:name w:val="Light List Accent 2"/>
    <w:basedOn w:val="TableNormal"/>
    <w:uiPriority w:val="61"/>
    <w:semiHidden/>
    <w:unhideWhenUsed/>
    <w:rsid w:val="001D6600"/>
    <w:tblPr>
      <w:tblStyleRowBandSize w:val="1"/>
      <w:tblStyleColBandSize w:val="1"/>
      <w:tblBorders>
        <w:top w:val="single" w:sz="8" w:space="0" w:color="D8E6F0" w:themeColor="accent2"/>
        <w:left w:val="single" w:sz="8" w:space="0" w:color="D8E6F0" w:themeColor="accent2"/>
        <w:bottom w:val="single" w:sz="8" w:space="0" w:color="D8E6F0" w:themeColor="accent2"/>
        <w:right w:val="single" w:sz="8" w:space="0" w:color="D8E6F0" w:themeColor="accent2"/>
      </w:tblBorders>
    </w:tblPr>
    <w:tblStylePr w:type="firstRow">
      <w:pPr>
        <w:spacing w:before="0" w:after="0" w:line="240" w:lineRule="auto"/>
      </w:pPr>
      <w:rPr>
        <w:b/>
        <w:bCs/>
        <w:color w:val="FFFFFF" w:themeColor="background1"/>
      </w:rPr>
      <w:tblPr/>
      <w:tcPr>
        <w:shd w:val="clear" w:color="auto" w:fill="D8E6F0" w:themeFill="accent2"/>
      </w:tcPr>
    </w:tblStylePr>
    <w:tblStylePr w:type="lastRow">
      <w:pPr>
        <w:spacing w:before="0" w:after="0" w:line="240" w:lineRule="auto"/>
      </w:pPr>
      <w:rPr>
        <w:b/>
        <w:bCs/>
      </w:rPr>
      <w:tblPr/>
      <w:tcPr>
        <w:tcBorders>
          <w:top w:val="double" w:sz="6" w:space="0" w:color="D8E6F0" w:themeColor="accent2"/>
          <w:left w:val="single" w:sz="8" w:space="0" w:color="D8E6F0" w:themeColor="accent2"/>
          <w:bottom w:val="single" w:sz="8" w:space="0" w:color="D8E6F0" w:themeColor="accent2"/>
          <w:right w:val="single" w:sz="8" w:space="0" w:color="D8E6F0" w:themeColor="accent2"/>
        </w:tcBorders>
      </w:tcPr>
    </w:tblStylePr>
    <w:tblStylePr w:type="firstCol">
      <w:rPr>
        <w:b/>
        <w:bCs/>
      </w:rPr>
    </w:tblStylePr>
    <w:tblStylePr w:type="lastCol">
      <w:rPr>
        <w:b/>
        <w:bCs/>
      </w:rPr>
    </w:tblStylePr>
    <w:tblStylePr w:type="band1Vert">
      <w:tblPr/>
      <w:tcPr>
        <w:tcBorders>
          <w:top w:val="single" w:sz="8" w:space="0" w:color="D8E6F0" w:themeColor="accent2"/>
          <w:left w:val="single" w:sz="8" w:space="0" w:color="D8E6F0" w:themeColor="accent2"/>
          <w:bottom w:val="single" w:sz="8" w:space="0" w:color="D8E6F0" w:themeColor="accent2"/>
          <w:right w:val="single" w:sz="8" w:space="0" w:color="D8E6F0" w:themeColor="accent2"/>
        </w:tcBorders>
      </w:tcPr>
    </w:tblStylePr>
    <w:tblStylePr w:type="band1Horz">
      <w:tblPr/>
      <w:tcPr>
        <w:tcBorders>
          <w:top w:val="single" w:sz="8" w:space="0" w:color="D8E6F0" w:themeColor="accent2"/>
          <w:left w:val="single" w:sz="8" w:space="0" w:color="D8E6F0" w:themeColor="accent2"/>
          <w:bottom w:val="single" w:sz="8" w:space="0" w:color="D8E6F0" w:themeColor="accent2"/>
          <w:right w:val="single" w:sz="8" w:space="0" w:color="D8E6F0" w:themeColor="accent2"/>
        </w:tcBorders>
      </w:tcPr>
    </w:tblStylePr>
  </w:style>
  <w:style w:type="table" w:styleId="LightList-Accent3">
    <w:name w:val="Light List Accent 3"/>
    <w:basedOn w:val="TableNormal"/>
    <w:uiPriority w:val="61"/>
    <w:semiHidden/>
    <w:unhideWhenUsed/>
    <w:rsid w:val="001D6600"/>
    <w:tblPr>
      <w:tblStyleRowBandSize w:val="1"/>
      <w:tblStyleColBandSize w:val="1"/>
      <w:tblBorders>
        <w:top w:val="single" w:sz="8" w:space="0" w:color="1E252B" w:themeColor="accent3"/>
        <w:left w:val="single" w:sz="8" w:space="0" w:color="1E252B" w:themeColor="accent3"/>
        <w:bottom w:val="single" w:sz="8" w:space="0" w:color="1E252B" w:themeColor="accent3"/>
        <w:right w:val="single" w:sz="8" w:space="0" w:color="1E252B" w:themeColor="accent3"/>
      </w:tblBorders>
    </w:tblPr>
    <w:tblStylePr w:type="firstRow">
      <w:pPr>
        <w:spacing w:before="0" w:after="0" w:line="240" w:lineRule="auto"/>
      </w:pPr>
      <w:rPr>
        <w:b/>
        <w:bCs/>
        <w:color w:val="FFFFFF" w:themeColor="background1"/>
      </w:rPr>
      <w:tblPr/>
      <w:tcPr>
        <w:shd w:val="clear" w:color="auto" w:fill="1E252B" w:themeFill="accent3"/>
      </w:tcPr>
    </w:tblStylePr>
    <w:tblStylePr w:type="lastRow">
      <w:pPr>
        <w:spacing w:before="0" w:after="0" w:line="240" w:lineRule="auto"/>
      </w:pPr>
      <w:rPr>
        <w:b/>
        <w:bCs/>
      </w:rPr>
      <w:tblPr/>
      <w:tcPr>
        <w:tcBorders>
          <w:top w:val="double" w:sz="6" w:space="0" w:color="1E252B" w:themeColor="accent3"/>
          <w:left w:val="single" w:sz="8" w:space="0" w:color="1E252B" w:themeColor="accent3"/>
          <w:bottom w:val="single" w:sz="8" w:space="0" w:color="1E252B" w:themeColor="accent3"/>
          <w:right w:val="single" w:sz="8" w:space="0" w:color="1E252B" w:themeColor="accent3"/>
        </w:tcBorders>
      </w:tcPr>
    </w:tblStylePr>
    <w:tblStylePr w:type="firstCol">
      <w:rPr>
        <w:b/>
        <w:bCs/>
      </w:rPr>
    </w:tblStylePr>
    <w:tblStylePr w:type="lastCol">
      <w:rPr>
        <w:b/>
        <w:bCs/>
      </w:rPr>
    </w:tblStylePr>
    <w:tblStylePr w:type="band1Vert">
      <w:tblPr/>
      <w:tcPr>
        <w:tcBorders>
          <w:top w:val="single" w:sz="8" w:space="0" w:color="1E252B" w:themeColor="accent3"/>
          <w:left w:val="single" w:sz="8" w:space="0" w:color="1E252B" w:themeColor="accent3"/>
          <w:bottom w:val="single" w:sz="8" w:space="0" w:color="1E252B" w:themeColor="accent3"/>
          <w:right w:val="single" w:sz="8" w:space="0" w:color="1E252B" w:themeColor="accent3"/>
        </w:tcBorders>
      </w:tcPr>
    </w:tblStylePr>
    <w:tblStylePr w:type="band1Horz">
      <w:tblPr/>
      <w:tcPr>
        <w:tcBorders>
          <w:top w:val="single" w:sz="8" w:space="0" w:color="1E252B" w:themeColor="accent3"/>
          <w:left w:val="single" w:sz="8" w:space="0" w:color="1E252B" w:themeColor="accent3"/>
          <w:bottom w:val="single" w:sz="8" w:space="0" w:color="1E252B" w:themeColor="accent3"/>
          <w:right w:val="single" w:sz="8" w:space="0" w:color="1E252B" w:themeColor="accent3"/>
        </w:tcBorders>
      </w:tcPr>
    </w:tblStylePr>
  </w:style>
  <w:style w:type="table" w:styleId="LightList-Accent4">
    <w:name w:val="Light List Accent 4"/>
    <w:basedOn w:val="TableNormal"/>
    <w:uiPriority w:val="61"/>
    <w:semiHidden/>
    <w:unhideWhenUsed/>
    <w:rsid w:val="001D6600"/>
    <w:tblPr>
      <w:tblStyleRowBandSize w:val="1"/>
      <w:tblStyleColBandSize w:val="1"/>
      <w:tblBorders>
        <w:top w:val="single" w:sz="8" w:space="0" w:color="333E48" w:themeColor="accent4"/>
        <w:left w:val="single" w:sz="8" w:space="0" w:color="333E48" w:themeColor="accent4"/>
        <w:bottom w:val="single" w:sz="8" w:space="0" w:color="333E48" w:themeColor="accent4"/>
        <w:right w:val="single" w:sz="8" w:space="0" w:color="333E48" w:themeColor="accent4"/>
      </w:tblBorders>
    </w:tblPr>
    <w:tblStylePr w:type="firstRow">
      <w:pPr>
        <w:spacing w:before="0" w:after="0" w:line="240" w:lineRule="auto"/>
      </w:pPr>
      <w:rPr>
        <w:b/>
        <w:bCs/>
        <w:color w:val="FFFFFF" w:themeColor="background1"/>
      </w:rPr>
      <w:tblPr/>
      <w:tcPr>
        <w:shd w:val="clear" w:color="auto" w:fill="333E48" w:themeFill="accent4"/>
      </w:tcPr>
    </w:tblStylePr>
    <w:tblStylePr w:type="lastRow">
      <w:pPr>
        <w:spacing w:before="0" w:after="0" w:line="240" w:lineRule="auto"/>
      </w:pPr>
      <w:rPr>
        <w:b/>
        <w:bCs/>
      </w:rPr>
      <w:tblPr/>
      <w:tcPr>
        <w:tcBorders>
          <w:top w:val="double" w:sz="6" w:space="0" w:color="333E48" w:themeColor="accent4"/>
          <w:left w:val="single" w:sz="8" w:space="0" w:color="333E48" w:themeColor="accent4"/>
          <w:bottom w:val="single" w:sz="8" w:space="0" w:color="333E48" w:themeColor="accent4"/>
          <w:right w:val="single" w:sz="8" w:space="0" w:color="333E48" w:themeColor="accent4"/>
        </w:tcBorders>
      </w:tcPr>
    </w:tblStylePr>
    <w:tblStylePr w:type="firstCol">
      <w:rPr>
        <w:b/>
        <w:bCs/>
      </w:rPr>
    </w:tblStylePr>
    <w:tblStylePr w:type="lastCol">
      <w:rPr>
        <w:b/>
        <w:bCs/>
      </w:rPr>
    </w:tblStylePr>
    <w:tblStylePr w:type="band1Vert">
      <w:tblPr/>
      <w:tcPr>
        <w:tcBorders>
          <w:top w:val="single" w:sz="8" w:space="0" w:color="333E48" w:themeColor="accent4"/>
          <w:left w:val="single" w:sz="8" w:space="0" w:color="333E48" w:themeColor="accent4"/>
          <w:bottom w:val="single" w:sz="8" w:space="0" w:color="333E48" w:themeColor="accent4"/>
          <w:right w:val="single" w:sz="8" w:space="0" w:color="333E48" w:themeColor="accent4"/>
        </w:tcBorders>
      </w:tcPr>
    </w:tblStylePr>
    <w:tblStylePr w:type="band1Horz">
      <w:tblPr/>
      <w:tcPr>
        <w:tcBorders>
          <w:top w:val="single" w:sz="8" w:space="0" w:color="333E48" w:themeColor="accent4"/>
          <w:left w:val="single" w:sz="8" w:space="0" w:color="333E48" w:themeColor="accent4"/>
          <w:bottom w:val="single" w:sz="8" w:space="0" w:color="333E48" w:themeColor="accent4"/>
          <w:right w:val="single" w:sz="8" w:space="0" w:color="333E48" w:themeColor="accent4"/>
        </w:tcBorders>
      </w:tcPr>
    </w:tblStylePr>
  </w:style>
  <w:style w:type="table" w:styleId="LightList-Accent5">
    <w:name w:val="Light List Accent 5"/>
    <w:basedOn w:val="TableNormal"/>
    <w:uiPriority w:val="61"/>
    <w:semiHidden/>
    <w:unhideWhenUsed/>
    <w:rsid w:val="001D6600"/>
    <w:tblPr>
      <w:tblStyleRowBandSize w:val="1"/>
      <w:tblStyleColBandSize w:val="1"/>
      <w:tblBorders>
        <w:top w:val="single" w:sz="8" w:space="0" w:color="D9D9D6" w:themeColor="accent5"/>
        <w:left w:val="single" w:sz="8" w:space="0" w:color="D9D9D6" w:themeColor="accent5"/>
        <w:bottom w:val="single" w:sz="8" w:space="0" w:color="D9D9D6" w:themeColor="accent5"/>
        <w:right w:val="single" w:sz="8" w:space="0" w:color="D9D9D6" w:themeColor="accent5"/>
      </w:tblBorders>
    </w:tblPr>
    <w:tblStylePr w:type="firstRow">
      <w:pPr>
        <w:spacing w:before="0" w:after="0" w:line="240" w:lineRule="auto"/>
      </w:pPr>
      <w:rPr>
        <w:b/>
        <w:bCs/>
        <w:color w:val="FFFFFF" w:themeColor="background1"/>
      </w:rPr>
      <w:tblPr/>
      <w:tcPr>
        <w:shd w:val="clear" w:color="auto" w:fill="D9D9D6" w:themeFill="accent5"/>
      </w:tcPr>
    </w:tblStylePr>
    <w:tblStylePr w:type="lastRow">
      <w:pPr>
        <w:spacing w:before="0" w:after="0" w:line="240" w:lineRule="auto"/>
      </w:pPr>
      <w:rPr>
        <w:b/>
        <w:bCs/>
      </w:rPr>
      <w:tblPr/>
      <w:tcPr>
        <w:tcBorders>
          <w:top w:val="double" w:sz="6" w:space="0" w:color="D9D9D6" w:themeColor="accent5"/>
          <w:left w:val="single" w:sz="8" w:space="0" w:color="D9D9D6" w:themeColor="accent5"/>
          <w:bottom w:val="single" w:sz="8" w:space="0" w:color="D9D9D6" w:themeColor="accent5"/>
          <w:right w:val="single" w:sz="8" w:space="0" w:color="D9D9D6" w:themeColor="accent5"/>
        </w:tcBorders>
      </w:tcPr>
    </w:tblStylePr>
    <w:tblStylePr w:type="firstCol">
      <w:rPr>
        <w:b/>
        <w:bCs/>
      </w:rPr>
    </w:tblStylePr>
    <w:tblStylePr w:type="lastCol">
      <w:rPr>
        <w:b/>
        <w:bCs/>
      </w:rPr>
    </w:tblStylePr>
    <w:tblStylePr w:type="band1Vert">
      <w:tblPr/>
      <w:tcPr>
        <w:tcBorders>
          <w:top w:val="single" w:sz="8" w:space="0" w:color="D9D9D6" w:themeColor="accent5"/>
          <w:left w:val="single" w:sz="8" w:space="0" w:color="D9D9D6" w:themeColor="accent5"/>
          <w:bottom w:val="single" w:sz="8" w:space="0" w:color="D9D9D6" w:themeColor="accent5"/>
          <w:right w:val="single" w:sz="8" w:space="0" w:color="D9D9D6" w:themeColor="accent5"/>
        </w:tcBorders>
      </w:tcPr>
    </w:tblStylePr>
    <w:tblStylePr w:type="band1Horz">
      <w:tblPr/>
      <w:tcPr>
        <w:tcBorders>
          <w:top w:val="single" w:sz="8" w:space="0" w:color="D9D9D6" w:themeColor="accent5"/>
          <w:left w:val="single" w:sz="8" w:space="0" w:color="D9D9D6" w:themeColor="accent5"/>
          <w:bottom w:val="single" w:sz="8" w:space="0" w:color="D9D9D6" w:themeColor="accent5"/>
          <w:right w:val="single" w:sz="8" w:space="0" w:color="D9D9D6" w:themeColor="accent5"/>
        </w:tcBorders>
      </w:tcPr>
    </w:tblStylePr>
  </w:style>
  <w:style w:type="table" w:styleId="LightList-Accent6">
    <w:name w:val="Light List Accent 6"/>
    <w:basedOn w:val="TableNormal"/>
    <w:uiPriority w:val="61"/>
    <w:semiHidden/>
    <w:unhideWhenUsed/>
    <w:rsid w:val="001D6600"/>
    <w:tblPr>
      <w:tblStyleRowBandSize w:val="1"/>
      <w:tblStyleColBandSize w:val="1"/>
      <w:tblBorders>
        <w:top w:val="single" w:sz="8" w:space="0" w:color="EFECEA" w:themeColor="accent6"/>
        <w:left w:val="single" w:sz="8" w:space="0" w:color="EFECEA" w:themeColor="accent6"/>
        <w:bottom w:val="single" w:sz="8" w:space="0" w:color="EFECEA" w:themeColor="accent6"/>
        <w:right w:val="single" w:sz="8" w:space="0" w:color="EFECEA" w:themeColor="accent6"/>
      </w:tblBorders>
    </w:tblPr>
    <w:tblStylePr w:type="firstRow">
      <w:pPr>
        <w:spacing w:before="0" w:after="0" w:line="240" w:lineRule="auto"/>
      </w:pPr>
      <w:rPr>
        <w:b/>
        <w:bCs/>
        <w:color w:val="FFFFFF" w:themeColor="background1"/>
      </w:rPr>
      <w:tblPr/>
      <w:tcPr>
        <w:shd w:val="clear" w:color="auto" w:fill="EFECEA" w:themeFill="accent6"/>
      </w:tcPr>
    </w:tblStylePr>
    <w:tblStylePr w:type="lastRow">
      <w:pPr>
        <w:spacing w:before="0" w:after="0" w:line="240" w:lineRule="auto"/>
      </w:pPr>
      <w:rPr>
        <w:b/>
        <w:bCs/>
      </w:rPr>
      <w:tblPr/>
      <w:tcPr>
        <w:tcBorders>
          <w:top w:val="double" w:sz="6" w:space="0" w:color="EFECEA" w:themeColor="accent6"/>
          <w:left w:val="single" w:sz="8" w:space="0" w:color="EFECEA" w:themeColor="accent6"/>
          <w:bottom w:val="single" w:sz="8" w:space="0" w:color="EFECEA" w:themeColor="accent6"/>
          <w:right w:val="single" w:sz="8" w:space="0" w:color="EFECEA" w:themeColor="accent6"/>
        </w:tcBorders>
      </w:tcPr>
    </w:tblStylePr>
    <w:tblStylePr w:type="firstCol">
      <w:rPr>
        <w:b/>
        <w:bCs/>
      </w:rPr>
    </w:tblStylePr>
    <w:tblStylePr w:type="lastCol">
      <w:rPr>
        <w:b/>
        <w:bCs/>
      </w:rPr>
    </w:tblStylePr>
    <w:tblStylePr w:type="band1Vert">
      <w:tblPr/>
      <w:tcPr>
        <w:tcBorders>
          <w:top w:val="single" w:sz="8" w:space="0" w:color="EFECEA" w:themeColor="accent6"/>
          <w:left w:val="single" w:sz="8" w:space="0" w:color="EFECEA" w:themeColor="accent6"/>
          <w:bottom w:val="single" w:sz="8" w:space="0" w:color="EFECEA" w:themeColor="accent6"/>
          <w:right w:val="single" w:sz="8" w:space="0" w:color="EFECEA" w:themeColor="accent6"/>
        </w:tcBorders>
      </w:tcPr>
    </w:tblStylePr>
    <w:tblStylePr w:type="band1Horz">
      <w:tblPr/>
      <w:tcPr>
        <w:tcBorders>
          <w:top w:val="single" w:sz="8" w:space="0" w:color="EFECEA" w:themeColor="accent6"/>
          <w:left w:val="single" w:sz="8" w:space="0" w:color="EFECEA" w:themeColor="accent6"/>
          <w:bottom w:val="single" w:sz="8" w:space="0" w:color="EFECEA" w:themeColor="accent6"/>
          <w:right w:val="single" w:sz="8" w:space="0" w:color="EFECEA" w:themeColor="accent6"/>
        </w:tcBorders>
      </w:tcPr>
    </w:tblStylePr>
  </w:style>
  <w:style w:type="table" w:styleId="LightShading">
    <w:name w:val="Light Shading"/>
    <w:basedOn w:val="TableNormal"/>
    <w:uiPriority w:val="60"/>
    <w:semiHidden/>
    <w:unhideWhenUsed/>
    <w:rsid w:val="001D6600"/>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1D6600"/>
    <w:tblPr>
      <w:tblStyleRowBandSize w:val="1"/>
      <w:tblStyleColBandSize w:val="1"/>
      <w:tblBorders>
        <w:top w:val="single" w:sz="8" w:space="0" w:color="F9423A" w:themeColor="accent1"/>
        <w:bottom w:val="single" w:sz="8" w:space="0" w:color="F9423A" w:themeColor="accent1"/>
      </w:tblBorders>
    </w:tblPr>
    <w:tblStylePr w:type="firstRow">
      <w:pPr>
        <w:spacing w:before="0" w:after="0" w:line="240" w:lineRule="auto"/>
      </w:pPr>
      <w:rPr>
        <w:b/>
        <w:bCs/>
      </w:rPr>
      <w:tblPr/>
      <w:tcPr>
        <w:tcBorders>
          <w:top w:val="single" w:sz="8" w:space="0" w:color="F9423A" w:themeColor="accent1"/>
          <w:left w:val="nil"/>
          <w:bottom w:val="single" w:sz="8" w:space="0" w:color="F9423A" w:themeColor="accent1"/>
          <w:right w:val="nil"/>
          <w:insideH w:val="nil"/>
          <w:insideV w:val="nil"/>
        </w:tcBorders>
      </w:tcPr>
    </w:tblStylePr>
    <w:tblStylePr w:type="lastRow">
      <w:pPr>
        <w:spacing w:before="0" w:after="0" w:line="240" w:lineRule="auto"/>
      </w:pPr>
      <w:rPr>
        <w:b/>
        <w:bCs/>
      </w:rPr>
      <w:tblPr/>
      <w:tcPr>
        <w:tcBorders>
          <w:top w:val="single" w:sz="8" w:space="0" w:color="F9423A" w:themeColor="accent1"/>
          <w:left w:val="nil"/>
          <w:bottom w:val="single" w:sz="8" w:space="0" w:color="F9423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CFCE" w:themeFill="accent1" w:themeFillTint="3F"/>
      </w:tcPr>
    </w:tblStylePr>
    <w:tblStylePr w:type="band1Horz">
      <w:tblPr/>
      <w:tcPr>
        <w:tcBorders>
          <w:left w:val="nil"/>
          <w:right w:val="nil"/>
          <w:insideH w:val="nil"/>
          <w:insideV w:val="nil"/>
        </w:tcBorders>
        <w:shd w:val="clear" w:color="auto" w:fill="FDCFCE" w:themeFill="accent1" w:themeFillTint="3F"/>
      </w:tcPr>
    </w:tblStylePr>
  </w:style>
  <w:style w:type="table" w:styleId="LightShading-Accent2">
    <w:name w:val="Light Shading Accent 2"/>
    <w:basedOn w:val="TableNormal"/>
    <w:uiPriority w:val="60"/>
    <w:semiHidden/>
    <w:unhideWhenUsed/>
    <w:rsid w:val="001D6600"/>
    <w:tblPr>
      <w:tblStyleRowBandSize w:val="1"/>
      <w:tblStyleColBandSize w:val="1"/>
      <w:tblBorders>
        <w:top w:val="single" w:sz="8" w:space="0" w:color="D8E6F0" w:themeColor="accent2"/>
        <w:bottom w:val="single" w:sz="8" w:space="0" w:color="D8E6F0" w:themeColor="accent2"/>
      </w:tblBorders>
    </w:tblPr>
    <w:tblStylePr w:type="firstRow">
      <w:pPr>
        <w:spacing w:before="0" w:after="0" w:line="240" w:lineRule="auto"/>
      </w:pPr>
      <w:rPr>
        <w:b/>
        <w:bCs/>
      </w:rPr>
      <w:tblPr/>
      <w:tcPr>
        <w:tcBorders>
          <w:top w:val="single" w:sz="8" w:space="0" w:color="D8E6F0" w:themeColor="accent2"/>
          <w:left w:val="nil"/>
          <w:bottom w:val="single" w:sz="8" w:space="0" w:color="D8E6F0" w:themeColor="accent2"/>
          <w:right w:val="nil"/>
          <w:insideH w:val="nil"/>
          <w:insideV w:val="nil"/>
        </w:tcBorders>
      </w:tcPr>
    </w:tblStylePr>
    <w:tblStylePr w:type="lastRow">
      <w:pPr>
        <w:spacing w:before="0" w:after="0" w:line="240" w:lineRule="auto"/>
      </w:pPr>
      <w:rPr>
        <w:b/>
        <w:bCs/>
      </w:rPr>
      <w:tblPr/>
      <w:tcPr>
        <w:tcBorders>
          <w:top w:val="single" w:sz="8" w:space="0" w:color="D8E6F0" w:themeColor="accent2"/>
          <w:left w:val="nil"/>
          <w:bottom w:val="single" w:sz="8" w:space="0" w:color="D8E6F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F8FB" w:themeFill="accent2" w:themeFillTint="3F"/>
      </w:tcPr>
    </w:tblStylePr>
    <w:tblStylePr w:type="band1Horz">
      <w:tblPr/>
      <w:tcPr>
        <w:tcBorders>
          <w:left w:val="nil"/>
          <w:right w:val="nil"/>
          <w:insideH w:val="nil"/>
          <w:insideV w:val="nil"/>
        </w:tcBorders>
        <w:shd w:val="clear" w:color="auto" w:fill="F5F8FB" w:themeFill="accent2" w:themeFillTint="3F"/>
      </w:tcPr>
    </w:tblStylePr>
  </w:style>
  <w:style w:type="table" w:styleId="LightShading-Accent3">
    <w:name w:val="Light Shading Accent 3"/>
    <w:basedOn w:val="TableNormal"/>
    <w:uiPriority w:val="60"/>
    <w:semiHidden/>
    <w:unhideWhenUsed/>
    <w:rsid w:val="001D6600"/>
    <w:tblPr>
      <w:tblStyleRowBandSize w:val="1"/>
      <w:tblStyleColBandSize w:val="1"/>
      <w:tblBorders>
        <w:top w:val="single" w:sz="8" w:space="0" w:color="1E252B" w:themeColor="accent3"/>
        <w:bottom w:val="single" w:sz="8" w:space="0" w:color="1E252B" w:themeColor="accent3"/>
      </w:tblBorders>
    </w:tblPr>
    <w:tblStylePr w:type="firstRow">
      <w:pPr>
        <w:spacing w:before="0" w:after="0" w:line="240" w:lineRule="auto"/>
      </w:pPr>
      <w:rPr>
        <w:b/>
        <w:bCs/>
      </w:rPr>
      <w:tblPr/>
      <w:tcPr>
        <w:tcBorders>
          <w:top w:val="single" w:sz="8" w:space="0" w:color="1E252B" w:themeColor="accent3"/>
          <w:left w:val="nil"/>
          <w:bottom w:val="single" w:sz="8" w:space="0" w:color="1E252B" w:themeColor="accent3"/>
          <w:right w:val="nil"/>
          <w:insideH w:val="nil"/>
          <w:insideV w:val="nil"/>
        </w:tcBorders>
      </w:tcPr>
    </w:tblStylePr>
    <w:tblStylePr w:type="lastRow">
      <w:pPr>
        <w:spacing w:before="0" w:after="0" w:line="240" w:lineRule="auto"/>
      </w:pPr>
      <w:rPr>
        <w:b/>
        <w:bCs/>
      </w:rPr>
      <w:tblPr/>
      <w:tcPr>
        <w:tcBorders>
          <w:top w:val="single" w:sz="8" w:space="0" w:color="1E252B" w:themeColor="accent3"/>
          <w:left w:val="nil"/>
          <w:bottom w:val="single" w:sz="8" w:space="0" w:color="1E252B"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C9D2" w:themeFill="accent3" w:themeFillTint="3F"/>
      </w:tcPr>
    </w:tblStylePr>
    <w:tblStylePr w:type="band1Horz">
      <w:tblPr/>
      <w:tcPr>
        <w:tcBorders>
          <w:left w:val="nil"/>
          <w:right w:val="nil"/>
          <w:insideH w:val="nil"/>
          <w:insideV w:val="nil"/>
        </w:tcBorders>
        <w:shd w:val="clear" w:color="auto" w:fill="BFC9D2" w:themeFill="accent3" w:themeFillTint="3F"/>
      </w:tcPr>
    </w:tblStylePr>
  </w:style>
  <w:style w:type="table" w:styleId="LightShading-Accent4">
    <w:name w:val="Light Shading Accent 4"/>
    <w:basedOn w:val="TableNormal"/>
    <w:uiPriority w:val="60"/>
    <w:semiHidden/>
    <w:unhideWhenUsed/>
    <w:rsid w:val="001D6600"/>
    <w:tblPr>
      <w:tblStyleRowBandSize w:val="1"/>
      <w:tblStyleColBandSize w:val="1"/>
      <w:tblBorders>
        <w:top w:val="single" w:sz="8" w:space="0" w:color="333E48" w:themeColor="accent4"/>
        <w:bottom w:val="single" w:sz="8" w:space="0" w:color="333E48" w:themeColor="accent4"/>
      </w:tblBorders>
    </w:tblPr>
    <w:tblStylePr w:type="firstRow">
      <w:pPr>
        <w:spacing w:before="0" w:after="0" w:line="240" w:lineRule="auto"/>
      </w:pPr>
      <w:rPr>
        <w:b/>
        <w:bCs/>
      </w:rPr>
      <w:tblPr/>
      <w:tcPr>
        <w:tcBorders>
          <w:top w:val="single" w:sz="8" w:space="0" w:color="333E48" w:themeColor="accent4"/>
          <w:left w:val="nil"/>
          <w:bottom w:val="single" w:sz="8" w:space="0" w:color="333E48" w:themeColor="accent4"/>
          <w:right w:val="nil"/>
          <w:insideH w:val="nil"/>
          <w:insideV w:val="nil"/>
        </w:tcBorders>
      </w:tcPr>
    </w:tblStylePr>
    <w:tblStylePr w:type="lastRow">
      <w:pPr>
        <w:spacing w:before="0" w:after="0" w:line="240" w:lineRule="auto"/>
      </w:pPr>
      <w:rPr>
        <w:b/>
        <w:bCs/>
      </w:rPr>
      <w:tblPr/>
      <w:tcPr>
        <w:tcBorders>
          <w:top w:val="single" w:sz="8" w:space="0" w:color="333E48" w:themeColor="accent4"/>
          <w:left w:val="nil"/>
          <w:bottom w:val="single" w:sz="8" w:space="0" w:color="333E4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7CFD7" w:themeFill="accent4" w:themeFillTint="3F"/>
      </w:tcPr>
    </w:tblStylePr>
    <w:tblStylePr w:type="band1Horz">
      <w:tblPr/>
      <w:tcPr>
        <w:tcBorders>
          <w:left w:val="nil"/>
          <w:right w:val="nil"/>
          <w:insideH w:val="nil"/>
          <w:insideV w:val="nil"/>
        </w:tcBorders>
        <w:shd w:val="clear" w:color="auto" w:fill="C7CFD7" w:themeFill="accent4" w:themeFillTint="3F"/>
      </w:tcPr>
    </w:tblStylePr>
  </w:style>
  <w:style w:type="table" w:styleId="LightShading-Accent5">
    <w:name w:val="Light Shading Accent 5"/>
    <w:basedOn w:val="TableNormal"/>
    <w:uiPriority w:val="60"/>
    <w:semiHidden/>
    <w:unhideWhenUsed/>
    <w:rsid w:val="001D6600"/>
    <w:tblPr>
      <w:tblStyleRowBandSize w:val="1"/>
      <w:tblStyleColBandSize w:val="1"/>
      <w:tblBorders>
        <w:top w:val="single" w:sz="8" w:space="0" w:color="D9D9D6" w:themeColor="accent5"/>
        <w:bottom w:val="single" w:sz="8" w:space="0" w:color="D9D9D6" w:themeColor="accent5"/>
      </w:tblBorders>
    </w:tblPr>
    <w:tblStylePr w:type="firstRow">
      <w:pPr>
        <w:spacing w:before="0" w:after="0" w:line="240" w:lineRule="auto"/>
      </w:pPr>
      <w:rPr>
        <w:b/>
        <w:bCs/>
      </w:rPr>
      <w:tblPr/>
      <w:tcPr>
        <w:tcBorders>
          <w:top w:val="single" w:sz="8" w:space="0" w:color="D9D9D6" w:themeColor="accent5"/>
          <w:left w:val="nil"/>
          <w:bottom w:val="single" w:sz="8" w:space="0" w:color="D9D9D6" w:themeColor="accent5"/>
          <w:right w:val="nil"/>
          <w:insideH w:val="nil"/>
          <w:insideV w:val="nil"/>
        </w:tcBorders>
      </w:tcPr>
    </w:tblStylePr>
    <w:tblStylePr w:type="lastRow">
      <w:pPr>
        <w:spacing w:before="0" w:after="0" w:line="240" w:lineRule="auto"/>
      </w:pPr>
      <w:rPr>
        <w:b/>
        <w:bCs/>
      </w:rPr>
      <w:tblPr/>
      <w:tcPr>
        <w:tcBorders>
          <w:top w:val="single" w:sz="8" w:space="0" w:color="D9D9D6" w:themeColor="accent5"/>
          <w:left w:val="nil"/>
          <w:bottom w:val="single" w:sz="8" w:space="0" w:color="D9D9D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F5F4" w:themeFill="accent5" w:themeFillTint="3F"/>
      </w:tcPr>
    </w:tblStylePr>
    <w:tblStylePr w:type="band1Horz">
      <w:tblPr/>
      <w:tcPr>
        <w:tcBorders>
          <w:left w:val="nil"/>
          <w:right w:val="nil"/>
          <w:insideH w:val="nil"/>
          <w:insideV w:val="nil"/>
        </w:tcBorders>
        <w:shd w:val="clear" w:color="auto" w:fill="F5F5F4" w:themeFill="accent5" w:themeFillTint="3F"/>
      </w:tcPr>
    </w:tblStylePr>
  </w:style>
  <w:style w:type="table" w:styleId="LightShading-Accent6">
    <w:name w:val="Light Shading Accent 6"/>
    <w:basedOn w:val="TableNormal"/>
    <w:uiPriority w:val="60"/>
    <w:semiHidden/>
    <w:unhideWhenUsed/>
    <w:rsid w:val="001D6600"/>
    <w:tblPr>
      <w:tblStyleRowBandSize w:val="1"/>
      <w:tblStyleColBandSize w:val="1"/>
      <w:tblBorders>
        <w:top w:val="single" w:sz="8" w:space="0" w:color="EFECEA" w:themeColor="accent6"/>
        <w:bottom w:val="single" w:sz="8" w:space="0" w:color="EFECEA" w:themeColor="accent6"/>
      </w:tblBorders>
    </w:tblPr>
    <w:tblStylePr w:type="firstRow">
      <w:pPr>
        <w:spacing w:before="0" w:after="0" w:line="240" w:lineRule="auto"/>
      </w:pPr>
      <w:rPr>
        <w:b/>
        <w:bCs/>
      </w:rPr>
      <w:tblPr/>
      <w:tcPr>
        <w:tcBorders>
          <w:top w:val="single" w:sz="8" w:space="0" w:color="EFECEA" w:themeColor="accent6"/>
          <w:left w:val="nil"/>
          <w:bottom w:val="single" w:sz="8" w:space="0" w:color="EFECEA" w:themeColor="accent6"/>
          <w:right w:val="nil"/>
          <w:insideH w:val="nil"/>
          <w:insideV w:val="nil"/>
        </w:tcBorders>
      </w:tcPr>
    </w:tblStylePr>
    <w:tblStylePr w:type="lastRow">
      <w:pPr>
        <w:spacing w:before="0" w:after="0" w:line="240" w:lineRule="auto"/>
      </w:pPr>
      <w:rPr>
        <w:b/>
        <w:bCs/>
      </w:rPr>
      <w:tblPr/>
      <w:tcPr>
        <w:tcBorders>
          <w:top w:val="single" w:sz="8" w:space="0" w:color="EFECEA" w:themeColor="accent6"/>
          <w:left w:val="nil"/>
          <w:bottom w:val="single" w:sz="8" w:space="0" w:color="EFECEA"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FAF9" w:themeFill="accent6" w:themeFillTint="3F"/>
      </w:tcPr>
    </w:tblStylePr>
    <w:tblStylePr w:type="band1Horz">
      <w:tblPr/>
      <w:tcPr>
        <w:tcBorders>
          <w:left w:val="nil"/>
          <w:right w:val="nil"/>
          <w:insideH w:val="nil"/>
          <w:insideV w:val="nil"/>
        </w:tcBorders>
        <w:shd w:val="clear" w:color="auto" w:fill="FBFAF9" w:themeFill="accent6" w:themeFillTint="3F"/>
      </w:tcPr>
    </w:tblStylePr>
  </w:style>
  <w:style w:type="character" w:styleId="LineNumber">
    <w:name w:val="line number"/>
    <w:basedOn w:val="DefaultParagraphFont"/>
    <w:uiPriority w:val="99"/>
    <w:semiHidden/>
    <w:unhideWhenUsed/>
    <w:rsid w:val="001D6600"/>
    <w:rPr>
      <w:rFonts w:ascii="Montserrat Light" w:hAnsi="Montserrat Light"/>
      <w:color w:val="1D252C"/>
      <w:sz w:val="20"/>
    </w:rPr>
  </w:style>
  <w:style w:type="paragraph" w:styleId="List">
    <w:name w:val="List"/>
    <w:basedOn w:val="Normal"/>
    <w:uiPriority w:val="99"/>
    <w:semiHidden/>
    <w:unhideWhenUsed/>
    <w:rsid w:val="001D6600"/>
    <w:pPr>
      <w:ind w:left="283" w:hanging="283"/>
      <w:contextualSpacing/>
    </w:pPr>
  </w:style>
  <w:style w:type="paragraph" w:styleId="List2">
    <w:name w:val="List 2"/>
    <w:basedOn w:val="Normal"/>
    <w:uiPriority w:val="99"/>
    <w:semiHidden/>
    <w:unhideWhenUsed/>
    <w:rsid w:val="001D6600"/>
    <w:pPr>
      <w:ind w:left="566" w:hanging="283"/>
      <w:contextualSpacing/>
    </w:pPr>
  </w:style>
  <w:style w:type="paragraph" w:styleId="List3">
    <w:name w:val="List 3"/>
    <w:basedOn w:val="Normal"/>
    <w:uiPriority w:val="99"/>
    <w:semiHidden/>
    <w:unhideWhenUsed/>
    <w:rsid w:val="001D6600"/>
    <w:pPr>
      <w:ind w:left="849" w:hanging="283"/>
      <w:contextualSpacing/>
    </w:pPr>
  </w:style>
  <w:style w:type="paragraph" w:styleId="List4">
    <w:name w:val="List 4"/>
    <w:basedOn w:val="Normal"/>
    <w:uiPriority w:val="99"/>
    <w:semiHidden/>
    <w:unhideWhenUsed/>
    <w:rsid w:val="001D6600"/>
    <w:pPr>
      <w:ind w:left="1132" w:hanging="283"/>
      <w:contextualSpacing/>
    </w:pPr>
  </w:style>
  <w:style w:type="paragraph" w:styleId="List5">
    <w:name w:val="List 5"/>
    <w:basedOn w:val="Normal"/>
    <w:uiPriority w:val="99"/>
    <w:semiHidden/>
    <w:unhideWhenUsed/>
    <w:rsid w:val="001D6600"/>
    <w:pPr>
      <w:ind w:left="1415" w:hanging="283"/>
      <w:contextualSpacing/>
    </w:pPr>
  </w:style>
  <w:style w:type="paragraph" w:styleId="ListBullet">
    <w:name w:val="List Bullet"/>
    <w:qFormat/>
    <w:rsid w:val="00667CB3"/>
    <w:pPr>
      <w:numPr>
        <w:numId w:val="8"/>
      </w:numPr>
      <w:spacing w:after="180" w:line="264" w:lineRule="auto"/>
      <w:contextualSpacing/>
    </w:pPr>
    <w:rPr>
      <w:rFonts w:ascii="Montserrat Light" w:hAnsi="Montserrat Light"/>
      <w:color w:val="1D252C"/>
    </w:rPr>
  </w:style>
  <w:style w:type="paragraph" w:styleId="ListBullet2">
    <w:name w:val="List Bullet 2"/>
    <w:basedOn w:val="Normal"/>
    <w:qFormat/>
    <w:rsid w:val="00667CB3"/>
    <w:pPr>
      <w:numPr>
        <w:ilvl w:val="1"/>
        <w:numId w:val="8"/>
      </w:numPr>
      <w:spacing w:after="180" w:line="264" w:lineRule="auto"/>
      <w:contextualSpacing/>
    </w:pPr>
  </w:style>
  <w:style w:type="paragraph" w:styleId="ListBullet3">
    <w:name w:val="List Bullet 3"/>
    <w:basedOn w:val="Normal"/>
    <w:uiPriority w:val="99"/>
    <w:qFormat/>
    <w:rsid w:val="00667CB3"/>
    <w:pPr>
      <w:numPr>
        <w:ilvl w:val="2"/>
        <w:numId w:val="8"/>
      </w:numPr>
      <w:spacing w:after="180" w:line="264" w:lineRule="auto"/>
      <w:contextualSpacing/>
    </w:pPr>
    <w:rPr>
      <w:i/>
    </w:rPr>
  </w:style>
  <w:style w:type="paragraph" w:styleId="ListBullet4">
    <w:name w:val="List Bullet 4"/>
    <w:basedOn w:val="Normal"/>
    <w:uiPriority w:val="99"/>
    <w:qFormat/>
    <w:rsid w:val="00667CB3"/>
    <w:pPr>
      <w:numPr>
        <w:ilvl w:val="3"/>
        <w:numId w:val="8"/>
      </w:numPr>
      <w:spacing w:after="180" w:line="264" w:lineRule="auto"/>
      <w:contextualSpacing/>
    </w:pPr>
  </w:style>
  <w:style w:type="paragraph" w:styleId="ListBullet5">
    <w:name w:val="List Bullet 5"/>
    <w:basedOn w:val="Normal"/>
    <w:uiPriority w:val="99"/>
    <w:qFormat/>
    <w:rsid w:val="00667CB3"/>
    <w:pPr>
      <w:numPr>
        <w:ilvl w:val="4"/>
        <w:numId w:val="8"/>
      </w:numPr>
      <w:spacing w:after="180" w:line="264" w:lineRule="auto"/>
      <w:contextualSpacing/>
    </w:pPr>
  </w:style>
  <w:style w:type="paragraph" w:styleId="ListContinue">
    <w:name w:val="List Continue"/>
    <w:basedOn w:val="Normal"/>
    <w:uiPriority w:val="99"/>
    <w:semiHidden/>
    <w:unhideWhenUsed/>
    <w:rsid w:val="001D6600"/>
    <w:pPr>
      <w:spacing w:after="120"/>
      <w:ind w:left="283"/>
      <w:contextualSpacing/>
    </w:pPr>
  </w:style>
  <w:style w:type="paragraph" w:styleId="ListContinue2">
    <w:name w:val="List Continue 2"/>
    <w:basedOn w:val="Normal"/>
    <w:uiPriority w:val="99"/>
    <w:semiHidden/>
    <w:unhideWhenUsed/>
    <w:rsid w:val="001D6600"/>
    <w:pPr>
      <w:spacing w:after="120"/>
      <w:ind w:left="566"/>
      <w:contextualSpacing/>
    </w:pPr>
  </w:style>
  <w:style w:type="paragraph" w:styleId="ListContinue3">
    <w:name w:val="List Continue 3"/>
    <w:basedOn w:val="Normal"/>
    <w:uiPriority w:val="99"/>
    <w:semiHidden/>
    <w:unhideWhenUsed/>
    <w:rsid w:val="001D6600"/>
    <w:pPr>
      <w:spacing w:after="120"/>
      <w:ind w:left="849"/>
      <w:contextualSpacing/>
    </w:pPr>
  </w:style>
  <w:style w:type="paragraph" w:styleId="ListContinue4">
    <w:name w:val="List Continue 4"/>
    <w:basedOn w:val="Normal"/>
    <w:uiPriority w:val="99"/>
    <w:semiHidden/>
    <w:unhideWhenUsed/>
    <w:rsid w:val="001D6600"/>
    <w:pPr>
      <w:spacing w:after="120"/>
      <w:ind w:left="1132"/>
      <w:contextualSpacing/>
    </w:pPr>
  </w:style>
  <w:style w:type="paragraph" w:styleId="ListContinue5">
    <w:name w:val="List Continue 5"/>
    <w:basedOn w:val="Normal"/>
    <w:uiPriority w:val="99"/>
    <w:semiHidden/>
    <w:unhideWhenUsed/>
    <w:rsid w:val="001D6600"/>
    <w:pPr>
      <w:spacing w:after="120"/>
      <w:ind w:left="1415"/>
      <w:contextualSpacing/>
    </w:pPr>
  </w:style>
  <w:style w:type="paragraph" w:styleId="ListNumber">
    <w:name w:val="List Number"/>
    <w:uiPriority w:val="99"/>
    <w:qFormat/>
    <w:rsid w:val="00667CB3"/>
    <w:pPr>
      <w:numPr>
        <w:numId w:val="16"/>
      </w:numPr>
      <w:spacing w:after="180" w:line="264" w:lineRule="auto"/>
      <w:contextualSpacing/>
    </w:pPr>
    <w:rPr>
      <w:rFonts w:ascii="Montserrat Light" w:hAnsi="Montserrat Light"/>
      <w:color w:val="1D252C"/>
    </w:rPr>
  </w:style>
  <w:style w:type="paragraph" w:styleId="ListNumber2">
    <w:name w:val="List Number 2"/>
    <w:basedOn w:val="Normal"/>
    <w:uiPriority w:val="99"/>
    <w:qFormat/>
    <w:rsid w:val="00667CB3"/>
    <w:pPr>
      <w:numPr>
        <w:numId w:val="18"/>
      </w:numPr>
      <w:tabs>
        <w:tab w:val="num" w:pos="1134"/>
      </w:tabs>
      <w:spacing w:after="180" w:line="264" w:lineRule="auto"/>
      <w:contextualSpacing/>
    </w:pPr>
  </w:style>
  <w:style w:type="paragraph" w:styleId="ListNumber3">
    <w:name w:val="List Number 3"/>
    <w:basedOn w:val="Normal"/>
    <w:uiPriority w:val="99"/>
    <w:qFormat/>
    <w:rsid w:val="00667CB3"/>
    <w:pPr>
      <w:numPr>
        <w:ilvl w:val="2"/>
        <w:numId w:val="10"/>
      </w:numPr>
      <w:spacing w:after="180" w:line="264" w:lineRule="auto"/>
      <w:contextualSpacing/>
    </w:pPr>
    <w:rPr>
      <w:i/>
    </w:rPr>
  </w:style>
  <w:style w:type="paragraph" w:styleId="ListNumber4">
    <w:name w:val="List Number 4"/>
    <w:basedOn w:val="Normal"/>
    <w:uiPriority w:val="99"/>
    <w:semiHidden/>
    <w:unhideWhenUsed/>
    <w:rsid w:val="001D6600"/>
    <w:pPr>
      <w:numPr>
        <w:numId w:val="4"/>
      </w:numPr>
      <w:contextualSpacing/>
    </w:pPr>
  </w:style>
  <w:style w:type="paragraph" w:styleId="ListNumber5">
    <w:name w:val="List Number 5"/>
    <w:basedOn w:val="Normal"/>
    <w:uiPriority w:val="99"/>
    <w:semiHidden/>
    <w:unhideWhenUsed/>
    <w:rsid w:val="001D6600"/>
    <w:pPr>
      <w:numPr>
        <w:numId w:val="5"/>
      </w:numPr>
      <w:contextualSpacing/>
    </w:pPr>
  </w:style>
  <w:style w:type="paragraph" w:styleId="ListParagraph">
    <w:name w:val="List Paragraph"/>
    <w:basedOn w:val="Normal"/>
    <w:uiPriority w:val="34"/>
    <w:qFormat/>
    <w:rsid w:val="001D6600"/>
    <w:pPr>
      <w:ind w:left="720"/>
      <w:contextualSpacing/>
    </w:pPr>
  </w:style>
  <w:style w:type="table" w:styleId="ListTable1Light">
    <w:name w:val="List Table 1 Light"/>
    <w:basedOn w:val="TableNormal"/>
    <w:uiPriority w:val="46"/>
    <w:rsid w:val="001D6600"/>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1D6600"/>
    <w:tblPr>
      <w:tblStyleRowBandSize w:val="1"/>
      <w:tblStyleColBandSize w:val="1"/>
    </w:tblPr>
    <w:tblStylePr w:type="firstRow">
      <w:rPr>
        <w:b/>
        <w:bCs/>
      </w:rPr>
      <w:tblPr/>
      <w:tcPr>
        <w:tcBorders>
          <w:bottom w:val="single" w:sz="4" w:space="0" w:color="FB8D88" w:themeColor="accent1" w:themeTint="99"/>
        </w:tcBorders>
      </w:tcPr>
    </w:tblStylePr>
    <w:tblStylePr w:type="lastRow">
      <w:rPr>
        <w:b/>
        <w:bCs/>
      </w:rPr>
      <w:tblPr/>
      <w:tcPr>
        <w:tcBorders>
          <w:top w:val="single" w:sz="4" w:space="0" w:color="FB8D88" w:themeColor="accent1" w:themeTint="99"/>
        </w:tcBorders>
      </w:tcPr>
    </w:tblStylePr>
    <w:tblStylePr w:type="firstCol">
      <w:rPr>
        <w:b/>
        <w:bCs/>
      </w:rPr>
    </w:tblStylePr>
    <w:tblStylePr w:type="lastCol">
      <w:rPr>
        <w:b/>
        <w:bCs/>
      </w:rPr>
    </w:tblStylePr>
    <w:tblStylePr w:type="band1Vert">
      <w:tblPr/>
      <w:tcPr>
        <w:shd w:val="clear" w:color="auto" w:fill="FDD9D7" w:themeFill="accent1" w:themeFillTint="33"/>
      </w:tcPr>
    </w:tblStylePr>
    <w:tblStylePr w:type="band1Horz">
      <w:tblPr/>
      <w:tcPr>
        <w:shd w:val="clear" w:color="auto" w:fill="FDD9D7" w:themeFill="accent1" w:themeFillTint="33"/>
      </w:tcPr>
    </w:tblStylePr>
  </w:style>
  <w:style w:type="table" w:styleId="ListTable1Light-Accent2">
    <w:name w:val="List Table 1 Light Accent 2"/>
    <w:basedOn w:val="TableNormal"/>
    <w:uiPriority w:val="46"/>
    <w:rsid w:val="001D6600"/>
    <w:tblPr>
      <w:tblStyleRowBandSize w:val="1"/>
      <w:tblStyleColBandSize w:val="1"/>
    </w:tblPr>
    <w:tblStylePr w:type="firstRow">
      <w:rPr>
        <w:b/>
        <w:bCs/>
      </w:rPr>
      <w:tblPr/>
      <w:tcPr>
        <w:tcBorders>
          <w:bottom w:val="single" w:sz="4" w:space="0" w:color="E7EFF6" w:themeColor="accent2" w:themeTint="99"/>
        </w:tcBorders>
      </w:tcPr>
    </w:tblStylePr>
    <w:tblStylePr w:type="lastRow">
      <w:rPr>
        <w:b/>
        <w:bCs/>
      </w:rPr>
      <w:tblPr/>
      <w:tcPr>
        <w:tcBorders>
          <w:top w:val="single" w:sz="4" w:space="0" w:color="E7EFF6" w:themeColor="accent2" w:themeTint="99"/>
        </w:tcBorders>
      </w:tcPr>
    </w:tblStylePr>
    <w:tblStylePr w:type="firstCol">
      <w:rPr>
        <w:b/>
        <w:bCs/>
      </w:rPr>
    </w:tblStylePr>
    <w:tblStylePr w:type="lastCol">
      <w:rPr>
        <w:b/>
        <w:bCs/>
      </w:rPr>
    </w:tblStylePr>
    <w:tblStylePr w:type="band1Vert">
      <w:tblPr/>
      <w:tcPr>
        <w:shd w:val="clear" w:color="auto" w:fill="F7F9FC" w:themeFill="accent2" w:themeFillTint="33"/>
      </w:tcPr>
    </w:tblStylePr>
    <w:tblStylePr w:type="band1Horz">
      <w:tblPr/>
      <w:tcPr>
        <w:shd w:val="clear" w:color="auto" w:fill="F7F9FC" w:themeFill="accent2" w:themeFillTint="33"/>
      </w:tcPr>
    </w:tblStylePr>
  </w:style>
  <w:style w:type="table" w:styleId="ListTable1Light-Accent3">
    <w:name w:val="List Table 1 Light Accent 3"/>
    <w:basedOn w:val="TableNormal"/>
    <w:uiPriority w:val="46"/>
    <w:rsid w:val="001D6600"/>
    <w:tblPr>
      <w:tblStyleRowBandSize w:val="1"/>
      <w:tblStyleColBandSize w:val="1"/>
    </w:tblPr>
    <w:tblStylePr w:type="firstRow">
      <w:rPr>
        <w:b/>
        <w:bCs/>
      </w:rPr>
      <w:tblPr/>
      <w:tcPr>
        <w:tcBorders>
          <w:bottom w:val="single" w:sz="4" w:space="0" w:color="657D91" w:themeColor="accent3" w:themeTint="99"/>
        </w:tcBorders>
      </w:tcPr>
    </w:tblStylePr>
    <w:tblStylePr w:type="lastRow">
      <w:rPr>
        <w:b/>
        <w:bCs/>
      </w:rPr>
      <w:tblPr/>
      <w:tcPr>
        <w:tcBorders>
          <w:top w:val="single" w:sz="4" w:space="0" w:color="657D91" w:themeColor="accent3" w:themeTint="99"/>
        </w:tcBorders>
      </w:tcPr>
    </w:tblStylePr>
    <w:tblStylePr w:type="firstCol">
      <w:rPr>
        <w:b/>
        <w:bCs/>
      </w:rPr>
    </w:tblStylePr>
    <w:tblStylePr w:type="lastCol">
      <w:rPr>
        <w:b/>
        <w:bCs/>
      </w:rPr>
    </w:tblStylePr>
    <w:tblStylePr w:type="band1Vert">
      <w:tblPr/>
      <w:tcPr>
        <w:shd w:val="clear" w:color="auto" w:fill="CBD3DB" w:themeFill="accent3" w:themeFillTint="33"/>
      </w:tcPr>
    </w:tblStylePr>
    <w:tblStylePr w:type="band1Horz">
      <w:tblPr/>
      <w:tcPr>
        <w:shd w:val="clear" w:color="auto" w:fill="CBD3DB" w:themeFill="accent3" w:themeFillTint="33"/>
      </w:tcPr>
    </w:tblStylePr>
  </w:style>
  <w:style w:type="table" w:styleId="ListTable1Light-Accent4">
    <w:name w:val="List Table 1 Light Accent 4"/>
    <w:basedOn w:val="TableNormal"/>
    <w:uiPriority w:val="46"/>
    <w:rsid w:val="001D6600"/>
    <w:tblPr>
      <w:tblStyleRowBandSize w:val="1"/>
      <w:tblStyleColBandSize w:val="1"/>
    </w:tblPr>
    <w:tblStylePr w:type="firstRow">
      <w:rPr>
        <w:b/>
        <w:bCs/>
      </w:rPr>
      <w:tblPr/>
      <w:tcPr>
        <w:tcBorders>
          <w:bottom w:val="single" w:sz="4" w:space="0" w:color="778B9E" w:themeColor="accent4" w:themeTint="99"/>
        </w:tcBorders>
      </w:tcPr>
    </w:tblStylePr>
    <w:tblStylePr w:type="lastRow">
      <w:rPr>
        <w:b/>
        <w:bCs/>
      </w:rPr>
      <w:tblPr/>
      <w:tcPr>
        <w:tcBorders>
          <w:top w:val="single" w:sz="4" w:space="0" w:color="778B9E" w:themeColor="accent4" w:themeTint="99"/>
        </w:tcBorders>
      </w:tcPr>
    </w:tblStylePr>
    <w:tblStylePr w:type="firstCol">
      <w:rPr>
        <w:b/>
        <w:bCs/>
      </w:rPr>
    </w:tblStylePr>
    <w:tblStylePr w:type="lastCol">
      <w:rPr>
        <w:b/>
        <w:bCs/>
      </w:rPr>
    </w:tblStylePr>
    <w:tblStylePr w:type="band1Vert">
      <w:tblPr/>
      <w:tcPr>
        <w:shd w:val="clear" w:color="auto" w:fill="D1D8DE" w:themeFill="accent4" w:themeFillTint="33"/>
      </w:tcPr>
    </w:tblStylePr>
    <w:tblStylePr w:type="band1Horz">
      <w:tblPr/>
      <w:tcPr>
        <w:shd w:val="clear" w:color="auto" w:fill="D1D8DE" w:themeFill="accent4" w:themeFillTint="33"/>
      </w:tcPr>
    </w:tblStylePr>
  </w:style>
  <w:style w:type="table" w:styleId="ListTable1Light-Accent5">
    <w:name w:val="List Table 1 Light Accent 5"/>
    <w:basedOn w:val="TableNormal"/>
    <w:uiPriority w:val="46"/>
    <w:rsid w:val="001D6600"/>
    <w:tblPr>
      <w:tblStyleRowBandSize w:val="1"/>
      <w:tblStyleColBandSize w:val="1"/>
    </w:tblPr>
    <w:tblStylePr w:type="firstRow">
      <w:rPr>
        <w:b/>
        <w:bCs/>
      </w:rPr>
      <w:tblPr/>
      <w:tcPr>
        <w:tcBorders>
          <w:bottom w:val="single" w:sz="4" w:space="0" w:color="E8E8E6" w:themeColor="accent5" w:themeTint="99"/>
        </w:tcBorders>
      </w:tcPr>
    </w:tblStylePr>
    <w:tblStylePr w:type="lastRow">
      <w:rPr>
        <w:b/>
        <w:bCs/>
      </w:rPr>
      <w:tblPr/>
      <w:tcPr>
        <w:tcBorders>
          <w:top w:val="single" w:sz="4" w:space="0" w:color="E8E8E6" w:themeColor="accent5" w:themeTint="99"/>
        </w:tcBorders>
      </w:tcPr>
    </w:tblStylePr>
    <w:tblStylePr w:type="firstCol">
      <w:rPr>
        <w:b/>
        <w:bCs/>
      </w:rPr>
    </w:tblStylePr>
    <w:tblStylePr w:type="lastCol">
      <w:rPr>
        <w:b/>
        <w:bCs/>
      </w:rPr>
    </w:tblStylePr>
    <w:tblStylePr w:type="band1Vert">
      <w:tblPr/>
      <w:tcPr>
        <w:shd w:val="clear" w:color="auto" w:fill="F7F7F6" w:themeFill="accent5" w:themeFillTint="33"/>
      </w:tcPr>
    </w:tblStylePr>
    <w:tblStylePr w:type="band1Horz">
      <w:tblPr/>
      <w:tcPr>
        <w:shd w:val="clear" w:color="auto" w:fill="F7F7F6" w:themeFill="accent5" w:themeFillTint="33"/>
      </w:tcPr>
    </w:tblStylePr>
  </w:style>
  <w:style w:type="table" w:styleId="ListTable1Light-Accent6">
    <w:name w:val="List Table 1 Light Accent 6"/>
    <w:basedOn w:val="TableNormal"/>
    <w:uiPriority w:val="46"/>
    <w:rsid w:val="001D6600"/>
    <w:tblPr>
      <w:tblStyleRowBandSize w:val="1"/>
      <w:tblStyleColBandSize w:val="1"/>
    </w:tblPr>
    <w:tblStylePr w:type="firstRow">
      <w:rPr>
        <w:b/>
        <w:bCs/>
      </w:rPr>
      <w:tblPr/>
      <w:tcPr>
        <w:tcBorders>
          <w:bottom w:val="single" w:sz="4" w:space="0" w:color="F5F3F2" w:themeColor="accent6" w:themeTint="99"/>
        </w:tcBorders>
      </w:tcPr>
    </w:tblStylePr>
    <w:tblStylePr w:type="lastRow">
      <w:rPr>
        <w:b/>
        <w:bCs/>
      </w:rPr>
      <w:tblPr/>
      <w:tcPr>
        <w:tcBorders>
          <w:top w:val="single" w:sz="4" w:space="0" w:color="F5F3F2" w:themeColor="accent6" w:themeTint="99"/>
        </w:tcBorders>
      </w:tcPr>
    </w:tblStylePr>
    <w:tblStylePr w:type="firstCol">
      <w:rPr>
        <w:b/>
        <w:bCs/>
      </w:rPr>
    </w:tblStylePr>
    <w:tblStylePr w:type="lastCol">
      <w:rPr>
        <w:b/>
        <w:bCs/>
      </w:rPr>
    </w:tblStylePr>
    <w:tblStylePr w:type="band1Vert">
      <w:tblPr/>
      <w:tcPr>
        <w:shd w:val="clear" w:color="auto" w:fill="FBFBFA" w:themeFill="accent6" w:themeFillTint="33"/>
      </w:tcPr>
    </w:tblStylePr>
    <w:tblStylePr w:type="band1Horz">
      <w:tblPr/>
      <w:tcPr>
        <w:shd w:val="clear" w:color="auto" w:fill="FBFBFA" w:themeFill="accent6" w:themeFillTint="33"/>
      </w:tcPr>
    </w:tblStylePr>
  </w:style>
  <w:style w:type="table" w:styleId="ListTable2">
    <w:name w:val="List Table 2"/>
    <w:basedOn w:val="TableNormal"/>
    <w:uiPriority w:val="47"/>
    <w:rsid w:val="001D6600"/>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1D6600"/>
    <w:tblPr>
      <w:tblStyleRowBandSize w:val="1"/>
      <w:tblStyleColBandSize w:val="1"/>
      <w:tblBorders>
        <w:top w:val="single" w:sz="4" w:space="0" w:color="FB8D88" w:themeColor="accent1" w:themeTint="99"/>
        <w:bottom w:val="single" w:sz="4" w:space="0" w:color="FB8D88" w:themeColor="accent1" w:themeTint="99"/>
        <w:insideH w:val="single" w:sz="4" w:space="0" w:color="FB8D8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D9D7" w:themeFill="accent1" w:themeFillTint="33"/>
      </w:tcPr>
    </w:tblStylePr>
    <w:tblStylePr w:type="band1Horz">
      <w:tblPr/>
      <w:tcPr>
        <w:shd w:val="clear" w:color="auto" w:fill="FDD9D7" w:themeFill="accent1" w:themeFillTint="33"/>
      </w:tcPr>
    </w:tblStylePr>
  </w:style>
  <w:style w:type="table" w:styleId="ListTable2-Accent2">
    <w:name w:val="List Table 2 Accent 2"/>
    <w:basedOn w:val="TableNormal"/>
    <w:uiPriority w:val="47"/>
    <w:rsid w:val="001D6600"/>
    <w:tblPr>
      <w:tblStyleRowBandSize w:val="1"/>
      <w:tblStyleColBandSize w:val="1"/>
      <w:tblBorders>
        <w:top w:val="single" w:sz="4" w:space="0" w:color="E7EFF6" w:themeColor="accent2" w:themeTint="99"/>
        <w:bottom w:val="single" w:sz="4" w:space="0" w:color="E7EFF6" w:themeColor="accent2" w:themeTint="99"/>
        <w:insideH w:val="single" w:sz="4" w:space="0" w:color="E7EFF6"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F9FC" w:themeFill="accent2" w:themeFillTint="33"/>
      </w:tcPr>
    </w:tblStylePr>
    <w:tblStylePr w:type="band1Horz">
      <w:tblPr/>
      <w:tcPr>
        <w:shd w:val="clear" w:color="auto" w:fill="F7F9FC" w:themeFill="accent2" w:themeFillTint="33"/>
      </w:tcPr>
    </w:tblStylePr>
  </w:style>
  <w:style w:type="table" w:styleId="ListTable2-Accent3">
    <w:name w:val="List Table 2 Accent 3"/>
    <w:basedOn w:val="TableNormal"/>
    <w:uiPriority w:val="47"/>
    <w:rsid w:val="001D6600"/>
    <w:tblPr>
      <w:tblStyleRowBandSize w:val="1"/>
      <w:tblStyleColBandSize w:val="1"/>
      <w:tblBorders>
        <w:top w:val="single" w:sz="4" w:space="0" w:color="657D91" w:themeColor="accent3" w:themeTint="99"/>
        <w:bottom w:val="single" w:sz="4" w:space="0" w:color="657D91" w:themeColor="accent3" w:themeTint="99"/>
        <w:insideH w:val="single" w:sz="4" w:space="0" w:color="657D91"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BD3DB" w:themeFill="accent3" w:themeFillTint="33"/>
      </w:tcPr>
    </w:tblStylePr>
    <w:tblStylePr w:type="band1Horz">
      <w:tblPr/>
      <w:tcPr>
        <w:shd w:val="clear" w:color="auto" w:fill="CBD3DB" w:themeFill="accent3" w:themeFillTint="33"/>
      </w:tcPr>
    </w:tblStylePr>
  </w:style>
  <w:style w:type="table" w:styleId="ListTable2-Accent4">
    <w:name w:val="List Table 2 Accent 4"/>
    <w:basedOn w:val="TableNormal"/>
    <w:uiPriority w:val="47"/>
    <w:rsid w:val="001D6600"/>
    <w:tblPr>
      <w:tblStyleRowBandSize w:val="1"/>
      <w:tblStyleColBandSize w:val="1"/>
      <w:tblBorders>
        <w:top w:val="single" w:sz="4" w:space="0" w:color="778B9E" w:themeColor="accent4" w:themeTint="99"/>
        <w:bottom w:val="single" w:sz="4" w:space="0" w:color="778B9E" w:themeColor="accent4" w:themeTint="99"/>
        <w:insideH w:val="single" w:sz="4" w:space="0" w:color="778B9E"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1D8DE" w:themeFill="accent4" w:themeFillTint="33"/>
      </w:tcPr>
    </w:tblStylePr>
    <w:tblStylePr w:type="band1Horz">
      <w:tblPr/>
      <w:tcPr>
        <w:shd w:val="clear" w:color="auto" w:fill="D1D8DE" w:themeFill="accent4" w:themeFillTint="33"/>
      </w:tcPr>
    </w:tblStylePr>
  </w:style>
  <w:style w:type="table" w:styleId="ListTable2-Accent5">
    <w:name w:val="List Table 2 Accent 5"/>
    <w:basedOn w:val="TableNormal"/>
    <w:uiPriority w:val="47"/>
    <w:rsid w:val="001D6600"/>
    <w:tblPr>
      <w:tblStyleRowBandSize w:val="1"/>
      <w:tblStyleColBandSize w:val="1"/>
      <w:tblBorders>
        <w:top w:val="single" w:sz="4" w:space="0" w:color="E8E8E6" w:themeColor="accent5" w:themeTint="99"/>
        <w:bottom w:val="single" w:sz="4" w:space="0" w:color="E8E8E6" w:themeColor="accent5" w:themeTint="99"/>
        <w:insideH w:val="single" w:sz="4" w:space="0" w:color="E8E8E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F7F6" w:themeFill="accent5" w:themeFillTint="33"/>
      </w:tcPr>
    </w:tblStylePr>
    <w:tblStylePr w:type="band1Horz">
      <w:tblPr/>
      <w:tcPr>
        <w:shd w:val="clear" w:color="auto" w:fill="F7F7F6" w:themeFill="accent5" w:themeFillTint="33"/>
      </w:tcPr>
    </w:tblStylePr>
  </w:style>
  <w:style w:type="table" w:styleId="ListTable2-Accent6">
    <w:name w:val="List Table 2 Accent 6"/>
    <w:basedOn w:val="TableNormal"/>
    <w:uiPriority w:val="47"/>
    <w:rsid w:val="001D6600"/>
    <w:tblPr>
      <w:tblStyleRowBandSize w:val="1"/>
      <w:tblStyleColBandSize w:val="1"/>
      <w:tblBorders>
        <w:top w:val="single" w:sz="4" w:space="0" w:color="F5F3F2" w:themeColor="accent6" w:themeTint="99"/>
        <w:bottom w:val="single" w:sz="4" w:space="0" w:color="F5F3F2" w:themeColor="accent6" w:themeTint="99"/>
        <w:insideH w:val="single" w:sz="4" w:space="0" w:color="F5F3F2"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FBFA" w:themeFill="accent6" w:themeFillTint="33"/>
      </w:tcPr>
    </w:tblStylePr>
    <w:tblStylePr w:type="band1Horz">
      <w:tblPr/>
      <w:tcPr>
        <w:shd w:val="clear" w:color="auto" w:fill="FBFBFA" w:themeFill="accent6" w:themeFillTint="33"/>
      </w:tcPr>
    </w:tblStylePr>
  </w:style>
  <w:style w:type="table" w:styleId="ListTable3">
    <w:name w:val="List Table 3"/>
    <w:basedOn w:val="TableNormal"/>
    <w:uiPriority w:val="48"/>
    <w:rsid w:val="001D6600"/>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1D6600"/>
    <w:tblPr>
      <w:tblStyleRowBandSize w:val="1"/>
      <w:tblStyleColBandSize w:val="1"/>
      <w:tblBorders>
        <w:top w:val="single" w:sz="4" w:space="0" w:color="F9423A" w:themeColor="accent1"/>
        <w:left w:val="single" w:sz="4" w:space="0" w:color="F9423A" w:themeColor="accent1"/>
        <w:bottom w:val="single" w:sz="4" w:space="0" w:color="F9423A" w:themeColor="accent1"/>
        <w:right w:val="single" w:sz="4" w:space="0" w:color="F9423A" w:themeColor="accent1"/>
      </w:tblBorders>
    </w:tblPr>
    <w:tblStylePr w:type="firstRow">
      <w:rPr>
        <w:b/>
        <w:bCs/>
        <w:color w:val="FFFFFF" w:themeColor="background1"/>
      </w:rPr>
      <w:tblPr/>
      <w:tcPr>
        <w:shd w:val="clear" w:color="auto" w:fill="F9423A" w:themeFill="accent1"/>
      </w:tcPr>
    </w:tblStylePr>
    <w:tblStylePr w:type="lastRow">
      <w:rPr>
        <w:b/>
        <w:bCs/>
      </w:rPr>
      <w:tblPr/>
      <w:tcPr>
        <w:tcBorders>
          <w:top w:val="double" w:sz="4" w:space="0" w:color="F9423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9423A" w:themeColor="accent1"/>
          <w:right w:val="single" w:sz="4" w:space="0" w:color="F9423A" w:themeColor="accent1"/>
        </w:tcBorders>
      </w:tcPr>
    </w:tblStylePr>
    <w:tblStylePr w:type="band1Horz">
      <w:tblPr/>
      <w:tcPr>
        <w:tcBorders>
          <w:top w:val="single" w:sz="4" w:space="0" w:color="F9423A" w:themeColor="accent1"/>
          <w:bottom w:val="single" w:sz="4" w:space="0" w:color="F9423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9423A" w:themeColor="accent1"/>
          <w:left w:val="nil"/>
        </w:tcBorders>
      </w:tcPr>
    </w:tblStylePr>
    <w:tblStylePr w:type="swCell">
      <w:tblPr/>
      <w:tcPr>
        <w:tcBorders>
          <w:top w:val="double" w:sz="4" w:space="0" w:color="F9423A" w:themeColor="accent1"/>
          <w:right w:val="nil"/>
        </w:tcBorders>
      </w:tcPr>
    </w:tblStylePr>
  </w:style>
  <w:style w:type="table" w:styleId="ListTable3-Accent2">
    <w:name w:val="List Table 3 Accent 2"/>
    <w:basedOn w:val="TableNormal"/>
    <w:uiPriority w:val="48"/>
    <w:rsid w:val="001D6600"/>
    <w:tblPr>
      <w:tblStyleRowBandSize w:val="1"/>
      <w:tblStyleColBandSize w:val="1"/>
      <w:tblBorders>
        <w:top w:val="single" w:sz="4" w:space="0" w:color="D8E6F0" w:themeColor="accent2"/>
        <w:left w:val="single" w:sz="4" w:space="0" w:color="D8E6F0" w:themeColor="accent2"/>
        <w:bottom w:val="single" w:sz="4" w:space="0" w:color="D8E6F0" w:themeColor="accent2"/>
        <w:right w:val="single" w:sz="4" w:space="0" w:color="D8E6F0" w:themeColor="accent2"/>
      </w:tblBorders>
    </w:tblPr>
    <w:tblStylePr w:type="firstRow">
      <w:rPr>
        <w:b/>
        <w:bCs/>
        <w:color w:val="FFFFFF" w:themeColor="background1"/>
      </w:rPr>
      <w:tblPr/>
      <w:tcPr>
        <w:shd w:val="clear" w:color="auto" w:fill="D8E6F0" w:themeFill="accent2"/>
      </w:tcPr>
    </w:tblStylePr>
    <w:tblStylePr w:type="lastRow">
      <w:rPr>
        <w:b/>
        <w:bCs/>
      </w:rPr>
      <w:tblPr/>
      <w:tcPr>
        <w:tcBorders>
          <w:top w:val="double" w:sz="4" w:space="0" w:color="D8E6F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8E6F0" w:themeColor="accent2"/>
          <w:right w:val="single" w:sz="4" w:space="0" w:color="D8E6F0" w:themeColor="accent2"/>
        </w:tcBorders>
      </w:tcPr>
    </w:tblStylePr>
    <w:tblStylePr w:type="band1Horz">
      <w:tblPr/>
      <w:tcPr>
        <w:tcBorders>
          <w:top w:val="single" w:sz="4" w:space="0" w:color="D8E6F0" w:themeColor="accent2"/>
          <w:bottom w:val="single" w:sz="4" w:space="0" w:color="D8E6F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8E6F0" w:themeColor="accent2"/>
          <w:left w:val="nil"/>
        </w:tcBorders>
      </w:tcPr>
    </w:tblStylePr>
    <w:tblStylePr w:type="swCell">
      <w:tblPr/>
      <w:tcPr>
        <w:tcBorders>
          <w:top w:val="double" w:sz="4" w:space="0" w:color="D8E6F0" w:themeColor="accent2"/>
          <w:right w:val="nil"/>
        </w:tcBorders>
      </w:tcPr>
    </w:tblStylePr>
  </w:style>
  <w:style w:type="table" w:styleId="ListTable3-Accent3">
    <w:name w:val="List Table 3 Accent 3"/>
    <w:basedOn w:val="TableNormal"/>
    <w:uiPriority w:val="48"/>
    <w:rsid w:val="001D6600"/>
    <w:tblPr>
      <w:tblStyleRowBandSize w:val="1"/>
      <w:tblStyleColBandSize w:val="1"/>
      <w:tblBorders>
        <w:top w:val="single" w:sz="4" w:space="0" w:color="1E252B" w:themeColor="accent3"/>
        <w:left w:val="single" w:sz="4" w:space="0" w:color="1E252B" w:themeColor="accent3"/>
        <w:bottom w:val="single" w:sz="4" w:space="0" w:color="1E252B" w:themeColor="accent3"/>
        <w:right w:val="single" w:sz="4" w:space="0" w:color="1E252B" w:themeColor="accent3"/>
      </w:tblBorders>
    </w:tblPr>
    <w:tblStylePr w:type="firstRow">
      <w:rPr>
        <w:b/>
        <w:bCs/>
        <w:color w:val="FFFFFF" w:themeColor="background1"/>
      </w:rPr>
      <w:tblPr/>
      <w:tcPr>
        <w:shd w:val="clear" w:color="auto" w:fill="1E252B" w:themeFill="accent3"/>
      </w:tcPr>
    </w:tblStylePr>
    <w:tblStylePr w:type="lastRow">
      <w:rPr>
        <w:b/>
        <w:bCs/>
      </w:rPr>
      <w:tblPr/>
      <w:tcPr>
        <w:tcBorders>
          <w:top w:val="double" w:sz="4" w:space="0" w:color="1E252B"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252B" w:themeColor="accent3"/>
          <w:right w:val="single" w:sz="4" w:space="0" w:color="1E252B" w:themeColor="accent3"/>
        </w:tcBorders>
      </w:tcPr>
    </w:tblStylePr>
    <w:tblStylePr w:type="band1Horz">
      <w:tblPr/>
      <w:tcPr>
        <w:tcBorders>
          <w:top w:val="single" w:sz="4" w:space="0" w:color="1E252B" w:themeColor="accent3"/>
          <w:bottom w:val="single" w:sz="4" w:space="0" w:color="1E252B"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252B" w:themeColor="accent3"/>
          <w:left w:val="nil"/>
        </w:tcBorders>
      </w:tcPr>
    </w:tblStylePr>
    <w:tblStylePr w:type="swCell">
      <w:tblPr/>
      <w:tcPr>
        <w:tcBorders>
          <w:top w:val="double" w:sz="4" w:space="0" w:color="1E252B" w:themeColor="accent3"/>
          <w:right w:val="nil"/>
        </w:tcBorders>
      </w:tcPr>
    </w:tblStylePr>
  </w:style>
  <w:style w:type="table" w:styleId="ListTable3-Accent4">
    <w:name w:val="List Table 3 Accent 4"/>
    <w:basedOn w:val="TableNormal"/>
    <w:uiPriority w:val="48"/>
    <w:rsid w:val="001D6600"/>
    <w:tblPr>
      <w:tblStyleRowBandSize w:val="1"/>
      <w:tblStyleColBandSize w:val="1"/>
      <w:tblBorders>
        <w:top w:val="single" w:sz="4" w:space="0" w:color="333E48" w:themeColor="accent4"/>
        <w:left w:val="single" w:sz="4" w:space="0" w:color="333E48" w:themeColor="accent4"/>
        <w:bottom w:val="single" w:sz="4" w:space="0" w:color="333E48" w:themeColor="accent4"/>
        <w:right w:val="single" w:sz="4" w:space="0" w:color="333E48" w:themeColor="accent4"/>
      </w:tblBorders>
    </w:tblPr>
    <w:tblStylePr w:type="firstRow">
      <w:rPr>
        <w:b/>
        <w:bCs/>
        <w:color w:val="FFFFFF" w:themeColor="background1"/>
      </w:rPr>
      <w:tblPr/>
      <w:tcPr>
        <w:shd w:val="clear" w:color="auto" w:fill="333E48" w:themeFill="accent4"/>
      </w:tcPr>
    </w:tblStylePr>
    <w:tblStylePr w:type="lastRow">
      <w:rPr>
        <w:b/>
        <w:bCs/>
      </w:rPr>
      <w:tblPr/>
      <w:tcPr>
        <w:tcBorders>
          <w:top w:val="double" w:sz="4" w:space="0" w:color="333E4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33E48" w:themeColor="accent4"/>
          <w:right w:val="single" w:sz="4" w:space="0" w:color="333E48" w:themeColor="accent4"/>
        </w:tcBorders>
      </w:tcPr>
    </w:tblStylePr>
    <w:tblStylePr w:type="band1Horz">
      <w:tblPr/>
      <w:tcPr>
        <w:tcBorders>
          <w:top w:val="single" w:sz="4" w:space="0" w:color="333E48" w:themeColor="accent4"/>
          <w:bottom w:val="single" w:sz="4" w:space="0" w:color="333E4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33E48" w:themeColor="accent4"/>
          <w:left w:val="nil"/>
        </w:tcBorders>
      </w:tcPr>
    </w:tblStylePr>
    <w:tblStylePr w:type="swCell">
      <w:tblPr/>
      <w:tcPr>
        <w:tcBorders>
          <w:top w:val="double" w:sz="4" w:space="0" w:color="333E48" w:themeColor="accent4"/>
          <w:right w:val="nil"/>
        </w:tcBorders>
      </w:tcPr>
    </w:tblStylePr>
  </w:style>
  <w:style w:type="table" w:styleId="ListTable3-Accent5">
    <w:name w:val="List Table 3 Accent 5"/>
    <w:basedOn w:val="TableNormal"/>
    <w:uiPriority w:val="48"/>
    <w:rsid w:val="001D6600"/>
    <w:tblPr>
      <w:tblStyleRowBandSize w:val="1"/>
      <w:tblStyleColBandSize w:val="1"/>
      <w:tblBorders>
        <w:top w:val="single" w:sz="4" w:space="0" w:color="D9D9D6" w:themeColor="accent5"/>
        <w:left w:val="single" w:sz="4" w:space="0" w:color="D9D9D6" w:themeColor="accent5"/>
        <w:bottom w:val="single" w:sz="4" w:space="0" w:color="D9D9D6" w:themeColor="accent5"/>
        <w:right w:val="single" w:sz="4" w:space="0" w:color="D9D9D6" w:themeColor="accent5"/>
      </w:tblBorders>
    </w:tblPr>
    <w:tblStylePr w:type="firstRow">
      <w:rPr>
        <w:b/>
        <w:bCs/>
        <w:color w:val="FFFFFF" w:themeColor="background1"/>
      </w:rPr>
      <w:tblPr/>
      <w:tcPr>
        <w:shd w:val="clear" w:color="auto" w:fill="D9D9D6" w:themeFill="accent5"/>
      </w:tcPr>
    </w:tblStylePr>
    <w:tblStylePr w:type="lastRow">
      <w:rPr>
        <w:b/>
        <w:bCs/>
      </w:rPr>
      <w:tblPr/>
      <w:tcPr>
        <w:tcBorders>
          <w:top w:val="double" w:sz="4" w:space="0" w:color="D9D9D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9D9D6" w:themeColor="accent5"/>
          <w:right w:val="single" w:sz="4" w:space="0" w:color="D9D9D6" w:themeColor="accent5"/>
        </w:tcBorders>
      </w:tcPr>
    </w:tblStylePr>
    <w:tblStylePr w:type="band1Horz">
      <w:tblPr/>
      <w:tcPr>
        <w:tcBorders>
          <w:top w:val="single" w:sz="4" w:space="0" w:color="D9D9D6" w:themeColor="accent5"/>
          <w:bottom w:val="single" w:sz="4" w:space="0" w:color="D9D9D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9D9D6" w:themeColor="accent5"/>
          <w:left w:val="nil"/>
        </w:tcBorders>
      </w:tcPr>
    </w:tblStylePr>
    <w:tblStylePr w:type="swCell">
      <w:tblPr/>
      <w:tcPr>
        <w:tcBorders>
          <w:top w:val="double" w:sz="4" w:space="0" w:color="D9D9D6" w:themeColor="accent5"/>
          <w:right w:val="nil"/>
        </w:tcBorders>
      </w:tcPr>
    </w:tblStylePr>
  </w:style>
  <w:style w:type="table" w:styleId="ListTable3-Accent6">
    <w:name w:val="List Table 3 Accent 6"/>
    <w:basedOn w:val="TableNormal"/>
    <w:uiPriority w:val="48"/>
    <w:rsid w:val="001D6600"/>
    <w:tblPr>
      <w:tblStyleRowBandSize w:val="1"/>
      <w:tblStyleColBandSize w:val="1"/>
      <w:tblBorders>
        <w:top w:val="single" w:sz="4" w:space="0" w:color="EFECEA" w:themeColor="accent6"/>
        <w:left w:val="single" w:sz="4" w:space="0" w:color="EFECEA" w:themeColor="accent6"/>
        <w:bottom w:val="single" w:sz="4" w:space="0" w:color="EFECEA" w:themeColor="accent6"/>
        <w:right w:val="single" w:sz="4" w:space="0" w:color="EFECEA" w:themeColor="accent6"/>
      </w:tblBorders>
    </w:tblPr>
    <w:tblStylePr w:type="firstRow">
      <w:rPr>
        <w:b/>
        <w:bCs/>
        <w:color w:val="FFFFFF" w:themeColor="background1"/>
      </w:rPr>
      <w:tblPr/>
      <w:tcPr>
        <w:shd w:val="clear" w:color="auto" w:fill="EFECEA" w:themeFill="accent6"/>
      </w:tcPr>
    </w:tblStylePr>
    <w:tblStylePr w:type="lastRow">
      <w:rPr>
        <w:b/>
        <w:bCs/>
      </w:rPr>
      <w:tblPr/>
      <w:tcPr>
        <w:tcBorders>
          <w:top w:val="double" w:sz="4" w:space="0" w:color="EFECEA"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FECEA" w:themeColor="accent6"/>
          <w:right w:val="single" w:sz="4" w:space="0" w:color="EFECEA" w:themeColor="accent6"/>
        </w:tcBorders>
      </w:tcPr>
    </w:tblStylePr>
    <w:tblStylePr w:type="band1Horz">
      <w:tblPr/>
      <w:tcPr>
        <w:tcBorders>
          <w:top w:val="single" w:sz="4" w:space="0" w:color="EFECEA" w:themeColor="accent6"/>
          <w:bottom w:val="single" w:sz="4" w:space="0" w:color="EFECEA"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FECEA" w:themeColor="accent6"/>
          <w:left w:val="nil"/>
        </w:tcBorders>
      </w:tcPr>
    </w:tblStylePr>
    <w:tblStylePr w:type="swCell">
      <w:tblPr/>
      <w:tcPr>
        <w:tcBorders>
          <w:top w:val="double" w:sz="4" w:space="0" w:color="EFECEA" w:themeColor="accent6"/>
          <w:right w:val="nil"/>
        </w:tcBorders>
      </w:tcPr>
    </w:tblStylePr>
  </w:style>
  <w:style w:type="table" w:styleId="ListTable4">
    <w:name w:val="List Table 4"/>
    <w:basedOn w:val="TableNormal"/>
    <w:uiPriority w:val="49"/>
    <w:rsid w:val="001D6600"/>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1D6600"/>
    <w:tblPr>
      <w:tblStyleRowBandSize w:val="1"/>
      <w:tblStyleColBandSize w:val="1"/>
      <w:tblBorders>
        <w:top w:val="single" w:sz="4" w:space="0" w:color="FB8D88" w:themeColor="accent1" w:themeTint="99"/>
        <w:left w:val="single" w:sz="4" w:space="0" w:color="FB8D88" w:themeColor="accent1" w:themeTint="99"/>
        <w:bottom w:val="single" w:sz="4" w:space="0" w:color="FB8D88" w:themeColor="accent1" w:themeTint="99"/>
        <w:right w:val="single" w:sz="4" w:space="0" w:color="FB8D88" w:themeColor="accent1" w:themeTint="99"/>
        <w:insideH w:val="single" w:sz="4" w:space="0" w:color="FB8D88" w:themeColor="accent1" w:themeTint="99"/>
      </w:tblBorders>
    </w:tblPr>
    <w:tblStylePr w:type="firstRow">
      <w:rPr>
        <w:b/>
        <w:bCs/>
        <w:color w:val="FFFFFF" w:themeColor="background1"/>
      </w:rPr>
      <w:tblPr/>
      <w:tcPr>
        <w:tcBorders>
          <w:top w:val="single" w:sz="4" w:space="0" w:color="F9423A" w:themeColor="accent1"/>
          <w:left w:val="single" w:sz="4" w:space="0" w:color="F9423A" w:themeColor="accent1"/>
          <w:bottom w:val="single" w:sz="4" w:space="0" w:color="F9423A" w:themeColor="accent1"/>
          <w:right w:val="single" w:sz="4" w:space="0" w:color="F9423A" w:themeColor="accent1"/>
          <w:insideH w:val="nil"/>
        </w:tcBorders>
        <w:shd w:val="clear" w:color="auto" w:fill="F9423A" w:themeFill="accent1"/>
      </w:tcPr>
    </w:tblStylePr>
    <w:tblStylePr w:type="lastRow">
      <w:rPr>
        <w:b/>
        <w:bCs/>
      </w:rPr>
      <w:tblPr/>
      <w:tcPr>
        <w:tcBorders>
          <w:top w:val="double" w:sz="4" w:space="0" w:color="FB8D88" w:themeColor="accent1" w:themeTint="99"/>
        </w:tcBorders>
      </w:tcPr>
    </w:tblStylePr>
    <w:tblStylePr w:type="firstCol">
      <w:rPr>
        <w:b/>
        <w:bCs/>
      </w:rPr>
    </w:tblStylePr>
    <w:tblStylePr w:type="lastCol">
      <w:rPr>
        <w:b/>
        <w:bCs/>
      </w:rPr>
    </w:tblStylePr>
    <w:tblStylePr w:type="band1Vert">
      <w:tblPr/>
      <w:tcPr>
        <w:shd w:val="clear" w:color="auto" w:fill="FDD9D7" w:themeFill="accent1" w:themeFillTint="33"/>
      </w:tcPr>
    </w:tblStylePr>
    <w:tblStylePr w:type="band1Horz">
      <w:tblPr/>
      <w:tcPr>
        <w:shd w:val="clear" w:color="auto" w:fill="FDD9D7" w:themeFill="accent1" w:themeFillTint="33"/>
      </w:tcPr>
    </w:tblStylePr>
  </w:style>
  <w:style w:type="table" w:styleId="ListTable4-Accent2">
    <w:name w:val="List Table 4 Accent 2"/>
    <w:basedOn w:val="TableNormal"/>
    <w:uiPriority w:val="49"/>
    <w:rsid w:val="001D6600"/>
    <w:tblPr>
      <w:tblStyleRowBandSize w:val="1"/>
      <w:tblStyleColBandSize w:val="1"/>
      <w:tblBorders>
        <w:top w:val="single" w:sz="4" w:space="0" w:color="E7EFF6" w:themeColor="accent2" w:themeTint="99"/>
        <w:left w:val="single" w:sz="4" w:space="0" w:color="E7EFF6" w:themeColor="accent2" w:themeTint="99"/>
        <w:bottom w:val="single" w:sz="4" w:space="0" w:color="E7EFF6" w:themeColor="accent2" w:themeTint="99"/>
        <w:right w:val="single" w:sz="4" w:space="0" w:color="E7EFF6" w:themeColor="accent2" w:themeTint="99"/>
        <w:insideH w:val="single" w:sz="4" w:space="0" w:color="E7EFF6" w:themeColor="accent2" w:themeTint="99"/>
      </w:tblBorders>
    </w:tblPr>
    <w:tblStylePr w:type="firstRow">
      <w:rPr>
        <w:b/>
        <w:bCs/>
        <w:color w:val="FFFFFF" w:themeColor="background1"/>
      </w:rPr>
      <w:tblPr/>
      <w:tcPr>
        <w:tcBorders>
          <w:top w:val="single" w:sz="4" w:space="0" w:color="D8E6F0" w:themeColor="accent2"/>
          <w:left w:val="single" w:sz="4" w:space="0" w:color="D8E6F0" w:themeColor="accent2"/>
          <w:bottom w:val="single" w:sz="4" w:space="0" w:color="D8E6F0" w:themeColor="accent2"/>
          <w:right w:val="single" w:sz="4" w:space="0" w:color="D8E6F0" w:themeColor="accent2"/>
          <w:insideH w:val="nil"/>
        </w:tcBorders>
        <w:shd w:val="clear" w:color="auto" w:fill="D8E6F0" w:themeFill="accent2"/>
      </w:tcPr>
    </w:tblStylePr>
    <w:tblStylePr w:type="lastRow">
      <w:rPr>
        <w:b/>
        <w:bCs/>
      </w:rPr>
      <w:tblPr/>
      <w:tcPr>
        <w:tcBorders>
          <w:top w:val="double" w:sz="4" w:space="0" w:color="E7EFF6" w:themeColor="accent2" w:themeTint="99"/>
        </w:tcBorders>
      </w:tcPr>
    </w:tblStylePr>
    <w:tblStylePr w:type="firstCol">
      <w:rPr>
        <w:b/>
        <w:bCs/>
      </w:rPr>
    </w:tblStylePr>
    <w:tblStylePr w:type="lastCol">
      <w:rPr>
        <w:b/>
        <w:bCs/>
      </w:rPr>
    </w:tblStylePr>
    <w:tblStylePr w:type="band1Vert">
      <w:tblPr/>
      <w:tcPr>
        <w:shd w:val="clear" w:color="auto" w:fill="F7F9FC" w:themeFill="accent2" w:themeFillTint="33"/>
      </w:tcPr>
    </w:tblStylePr>
    <w:tblStylePr w:type="band1Horz">
      <w:tblPr/>
      <w:tcPr>
        <w:shd w:val="clear" w:color="auto" w:fill="F7F9FC" w:themeFill="accent2" w:themeFillTint="33"/>
      </w:tcPr>
    </w:tblStylePr>
  </w:style>
  <w:style w:type="table" w:styleId="ListTable4-Accent3">
    <w:name w:val="List Table 4 Accent 3"/>
    <w:basedOn w:val="TableNormal"/>
    <w:uiPriority w:val="49"/>
    <w:rsid w:val="001D6600"/>
    <w:tblPr>
      <w:tblStyleRowBandSize w:val="1"/>
      <w:tblStyleColBandSize w:val="1"/>
      <w:tblBorders>
        <w:top w:val="single" w:sz="4" w:space="0" w:color="657D91" w:themeColor="accent3" w:themeTint="99"/>
        <w:left w:val="single" w:sz="4" w:space="0" w:color="657D91" w:themeColor="accent3" w:themeTint="99"/>
        <w:bottom w:val="single" w:sz="4" w:space="0" w:color="657D91" w:themeColor="accent3" w:themeTint="99"/>
        <w:right w:val="single" w:sz="4" w:space="0" w:color="657D91" w:themeColor="accent3" w:themeTint="99"/>
        <w:insideH w:val="single" w:sz="4" w:space="0" w:color="657D91" w:themeColor="accent3" w:themeTint="99"/>
      </w:tblBorders>
    </w:tblPr>
    <w:tblStylePr w:type="firstRow">
      <w:rPr>
        <w:b/>
        <w:bCs/>
        <w:color w:val="FFFFFF" w:themeColor="background1"/>
      </w:rPr>
      <w:tblPr/>
      <w:tcPr>
        <w:tcBorders>
          <w:top w:val="single" w:sz="4" w:space="0" w:color="1E252B" w:themeColor="accent3"/>
          <w:left w:val="single" w:sz="4" w:space="0" w:color="1E252B" w:themeColor="accent3"/>
          <w:bottom w:val="single" w:sz="4" w:space="0" w:color="1E252B" w:themeColor="accent3"/>
          <w:right w:val="single" w:sz="4" w:space="0" w:color="1E252B" w:themeColor="accent3"/>
          <w:insideH w:val="nil"/>
        </w:tcBorders>
        <w:shd w:val="clear" w:color="auto" w:fill="1E252B" w:themeFill="accent3"/>
      </w:tcPr>
    </w:tblStylePr>
    <w:tblStylePr w:type="lastRow">
      <w:rPr>
        <w:b/>
        <w:bCs/>
      </w:rPr>
      <w:tblPr/>
      <w:tcPr>
        <w:tcBorders>
          <w:top w:val="double" w:sz="4" w:space="0" w:color="657D91" w:themeColor="accent3" w:themeTint="99"/>
        </w:tcBorders>
      </w:tcPr>
    </w:tblStylePr>
    <w:tblStylePr w:type="firstCol">
      <w:rPr>
        <w:b/>
        <w:bCs/>
      </w:rPr>
    </w:tblStylePr>
    <w:tblStylePr w:type="lastCol">
      <w:rPr>
        <w:b/>
        <w:bCs/>
      </w:rPr>
    </w:tblStylePr>
    <w:tblStylePr w:type="band1Vert">
      <w:tblPr/>
      <w:tcPr>
        <w:shd w:val="clear" w:color="auto" w:fill="CBD3DB" w:themeFill="accent3" w:themeFillTint="33"/>
      </w:tcPr>
    </w:tblStylePr>
    <w:tblStylePr w:type="band1Horz">
      <w:tblPr/>
      <w:tcPr>
        <w:shd w:val="clear" w:color="auto" w:fill="CBD3DB" w:themeFill="accent3" w:themeFillTint="33"/>
      </w:tcPr>
    </w:tblStylePr>
  </w:style>
  <w:style w:type="table" w:styleId="ListTable4-Accent4">
    <w:name w:val="List Table 4 Accent 4"/>
    <w:basedOn w:val="TableNormal"/>
    <w:uiPriority w:val="49"/>
    <w:rsid w:val="001D6600"/>
    <w:tblPr>
      <w:tblStyleRowBandSize w:val="1"/>
      <w:tblStyleColBandSize w:val="1"/>
      <w:tblBorders>
        <w:top w:val="single" w:sz="4" w:space="0" w:color="778B9E" w:themeColor="accent4" w:themeTint="99"/>
        <w:left w:val="single" w:sz="4" w:space="0" w:color="778B9E" w:themeColor="accent4" w:themeTint="99"/>
        <w:bottom w:val="single" w:sz="4" w:space="0" w:color="778B9E" w:themeColor="accent4" w:themeTint="99"/>
        <w:right w:val="single" w:sz="4" w:space="0" w:color="778B9E" w:themeColor="accent4" w:themeTint="99"/>
        <w:insideH w:val="single" w:sz="4" w:space="0" w:color="778B9E" w:themeColor="accent4" w:themeTint="99"/>
      </w:tblBorders>
    </w:tblPr>
    <w:tblStylePr w:type="firstRow">
      <w:rPr>
        <w:b/>
        <w:bCs/>
        <w:color w:val="FFFFFF" w:themeColor="background1"/>
      </w:rPr>
      <w:tblPr/>
      <w:tcPr>
        <w:tcBorders>
          <w:top w:val="single" w:sz="4" w:space="0" w:color="333E48" w:themeColor="accent4"/>
          <w:left w:val="single" w:sz="4" w:space="0" w:color="333E48" w:themeColor="accent4"/>
          <w:bottom w:val="single" w:sz="4" w:space="0" w:color="333E48" w:themeColor="accent4"/>
          <w:right w:val="single" w:sz="4" w:space="0" w:color="333E48" w:themeColor="accent4"/>
          <w:insideH w:val="nil"/>
        </w:tcBorders>
        <w:shd w:val="clear" w:color="auto" w:fill="333E48" w:themeFill="accent4"/>
      </w:tcPr>
    </w:tblStylePr>
    <w:tblStylePr w:type="lastRow">
      <w:rPr>
        <w:b/>
        <w:bCs/>
      </w:rPr>
      <w:tblPr/>
      <w:tcPr>
        <w:tcBorders>
          <w:top w:val="double" w:sz="4" w:space="0" w:color="778B9E" w:themeColor="accent4" w:themeTint="99"/>
        </w:tcBorders>
      </w:tcPr>
    </w:tblStylePr>
    <w:tblStylePr w:type="firstCol">
      <w:rPr>
        <w:b/>
        <w:bCs/>
      </w:rPr>
    </w:tblStylePr>
    <w:tblStylePr w:type="lastCol">
      <w:rPr>
        <w:b/>
        <w:bCs/>
      </w:rPr>
    </w:tblStylePr>
    <w:tblStylePr w:type="band1Vert">
      <w:tblPr/>
      <w:tcPr>
        <w:shd w:val="clear" w:color="auto" w:fill="D1D8DE" w:themeFill="accent4" w:themeFillTint="33"/>
      </w:tcPr>
    </w:tblStylePr>
    <w:tblStylePr w:type="band1Horz">
      <w:tblPr/>
      <w:tcPr>
        <w:shd w:val="clear" w:color="auto" w:fill="D1D8DE" w:themeFill="accent4" w:themeFillTint="33"/>
      </w:tcPr>
    </w:tblStylePr>
  </w:style>
  <w:style w:type="table" w:styleId="ListTable4-Accent5">
    <w:name w:val="List Table 4 Accent 5"/>
    <w:basedOn w:val="TableNormal"/>
    <w:uiPriority w:val="49"/>
    <w:rsid w:val="001D6600"/>
    <w:tblPr>
      <w:tblStyleRowBandSize w:val="1"/>
      <w:tblStyleColBandSize w:val="1"/>
      <w:tblBorders>
        <w:top w:val="single" w:sz="4" w:space="0" w:color="E8E8E6" w:themeColor="accent5" w:themeTint="99"/>
        <w:left w:val="single" w:sz="4" w:space="0" w:color="E8E8E6" w:themeColor="accent5" w:themeTint="99"/>
        <w:bottom w:val="single" w:sz="4" w:space="0" w:color="E8E8E6" w:themeColor="accent5" w:themeTint="99"/>
        <w:right w:val="single" w:sz="4" w:space="0" w:color="E8E8E6" w:themeColor="accent5" w:themeTint="99"/>
        <w:insideH w:val="single" w:sz="4" w:space="0" w:color="E8E8E6" w:themeColor="accent5" w:themeTint="99"/>
      </w:tblBorders>
    </w:tblPr>
    <w:tblStylePr w:type="firstRow">
      <w:rPr>
        <w:b/>
        <w:bCs/>
        <w:color w:val="FFFFFF" w:themeColor="background1"/>
      </w:rPr>
      <w:tblPr/>
      <w:tcPr>
        <w:tcBorders>
          <w:top w:val="single" w:sz="4" w:space="0" w:color="D9D9D6" w:themeColor="accent5"/>
          <w:left w:val="single" w:sz="4" w:space="0" w:color="D9D9D6" w:themeColor="accent5"/>
          <w:bottom w:val="single" w:sz="4" w:space="0" w:color="D9D9D6" w:themeColor="accent5"/>
          <w:right w:val="single" w:sz="4" w:space="0" w:color="D9D9D6" w:themeColor="accent5"/>
          <w:insideH w:val="nil"/>
        </w:tcBorders>
        <w:shd w:val="clear" w:color="auto" w:fill="D9D9D6" w:themeFill="accent5"/>
      </w:tcPr>
    </w:tblStylePr>
    <w:tblStylePr w:type="lastRow">
      <w:rPr>
        <w:b/>
        <w:bCs/>
      </w:rPr>
      <w:tblPr/>
      <w:tcPr>
        <w:tcBorders>
          <w:top w:val="double" w:sz="4" w:space="0" w:color="E8E8E6" w:themeColor="accent5" w:themeTint="99"/>
        </w:tcBorders>
      </w:tcPr>
    </w:tblStylePr>
    <w:tblStylePr w:type="firstCol">
      <w:rPr>
        <w:b/>
        <w:bCs/>
      </w:rPr>
    </w:tblStylePr>
    <w:tblStylePr w:type="lastCol">
      <w:rPr>
        <w:b/>
        <w:bCs/>
      </w:rPr>
    </w:tblStylePr>
    <w:tblStylePr w:type="band1Vert">
      <w:tblPr/>
      <w:tcPr>
        <w:shd w:val="clear" w:color="auto" w:fill="F7F7F6" w:themeFill="accent5" w:themeFillTint="33"/>
      </w:tcPr>
    </w:tblStylePr>
    <w:tblStylePr w:type="band1Horz">
      <w:tblPr/>
      <w:tcPr>
        <w:shd w:val="clear" w:color="auto" w:fill="F7F7F6" w:themeFill="accent5" w:themeFillTint="33"/>
      </w:tcPr>
    </w:tblStylePr>
  </w:style>
  <w:style w:type="table" w:styleId="ListTable4-Accent6">
    <w:name w:val="List Table 4 Accent 6"/>
    <w:basedOn w:val="TableNormal"/>
    <w:uiPriority w:val="49"/>
    <w:rsid w:val="001D6600"/>
    <w:tblPr>
      <w:tblStyleRowBandSize w:val="1"/>
      <w:tblStyleColBandSize w:val="1"/>
      <w:tblBorders>
        <w:top w:val="single" w:sz="4" w:space="0" w:color="F5F3F2" w:themeColor="accent6" w:themeTint="99"/>
        <w:left w:val="single" w:sz="4" w:space="0" w:color="F5F3F2" w:themeColor="accent6" w:themeTint="99"/>
        <w:bottom w:val="single" w:sz="4" w:space="0" w:color="F5F3F2" w:themeColor="accent6" w:themeTint="99"/>
        <w:right w:val="single" w:sz="4" w:space="0" w:color="F5F3F2" w:themeColor="accent6" w:themeTint="99"/>
        <w:insideH w:val="single" w:sz="4" w:space="0" w:color="F5F3F2" w:themeColor="accent6" w:themeTint="99"/>
      </w:tblBorders>
    </w:tblPr>
    <w:tblStylePr w:type="firstRow">
      <w:rPr>
        <w:b/>
        <w:bCs/>
        <w:color w:val="FFFFFF" w:themeColor="background1"/>
      </w:rPr>
      <w:tblPr/>
      <w:tcPr>
        <w:tcBorders>
          <w:top w:val="single" w:sz="4" w:space="0" w:color="EFECEA" w:themeColor="accent6"/>
          <w:left w:val="single" w:sz="4" w:space="0" w:color="EFECEA" w:themeColor="accent6"/>
          <w:bottom w:val="single" w:sz="4" w:space="0" w:color="EFECEA" w:themeColor="accent6"/>
          <w:right w:val="single" w:sz="4" w:space="0" w:color="EFECEA" w:themeColor="accent6"/>
          <w:insideH w:val="nil"/>
        </w:tcBorders>
        <w:shd w:val="clear" w:color="auto" w:fill="EFECEA" w:themeFill="accent6"/>
      </w:tcPr>
    </w:tblStylePr>
    <w:tblStylePr w:type="lastRow">
      <w:rPr>
        <w:b/>
        <w:bCs/>
      </w:rPr>
      <w:tblPr/>
      <w:tcPr>
        <w:tcBorders>
          <w:top w:val="double" w:sz="4" w:space="0" w:color="F5F3F2" w:themeColor="accent6" w:themeTint="99"/>
        </w:tcBorders>
      </w:tcPr>
    </w:tblStylePr>
    <w:tblStylePr w:type="firstCol">
      <w:rPr>
        <w:b/>
        <w:bCs/>
      </w:rPr>
    </w:tblStylePr>
    <w:tblStylePr w:type="lastCol">
      <w:rPr>
        <w:b/>
        <w:bCs/>
      </w:rPr>
    </w:tblStylePr>
    <w:tblStylePr w:type="band1Vert">
      <w:tblPr/>
      <w:tcPr>
        <w:shd w:val="clear" w:color="auto" w:fill="FBFBFA" w:themeFill="accent6" w:themeFillTint="33"/>
      </w:tcPr>
    </w:tblStylePr>
    <w:tblStylePr w:type="band1Horz">
      <w:tblPr/>
      <w:tcPr>
        <w:shd w:val="clear" w:color="auto" w:fill="FBFBFA" w:themeFill="accent6" w:themeFillTint="33"/>
      </w:tcPr>
    </w:tblStylePr>
  </w:style>
  <w:style w:type="table" w:styleId="ListTable5Dark">
    <w:name w:val="List Table 5 Dark"/>
    <w:basedOn w:val="TableNormal"/>
    <w:uiPriority w:val="50"/>
    <w:rsid w:val="001D6600"/>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1D6600"/>
    <w:tblPr>
      <w:tblStyleRowBandSize w:val="1"/>
      <w:tblStyleColBandSize w:val="1"/>
      <w:tblBorders>
        <w:top w:val="single" w:sz="24" w:space="0" w:color="F9423A" w:themeColor="accent1"/>
        <w:left w:val="single" w:sz="24" w:space="0" w:color="F9423A" w:themeColor="accent1"/>
        <w:bottom w:val="single" w:sz="24" w:space="0" w:color="F9423A" w:themeColor="accent1"/>
        <w:right w:val="single" w:sz="24" w:space="0" w:color="F9423A" w:themeColor="accent1"/>
      </w:tblBorders>
    </w:tblPr>
    <w:tcPr>
      <w:shd w:val="clear" w:color="auto" w:fill="F9423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1D6600"/>
    <w:tblPr>
      <w:tblStyleRowBandSize w:val="1"/>
      <w:tblStyleColBandSize w:val="1"/>
      <w:tblBorders>
        <w:top w:val="single" w:sz="24" w:space="0" w:color="D8E6F0" w:themeColor="accent2"/>
        <w:left w:val="single" w:sz="24" w:space="0" w:color="D8E6F0" w:themeColor="accent2"/>
        <w:bottom w:val="single" w:sz="24" w:space="0" w:color="D8E6F0" w:themeColor="accent2"/>
        <w:right w:val="single" w:sz="24" w:space="0" w:color="D8E6F0" w:themeColor="accent2"/>
      </w:tblBorders>
    </w:tblPr>
    <w:tcPr>
      <w:shd w:val="clear" w:color="auto" w:fill="D8E6F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1D6600"/>
    <w:tblPr>
      <w:tblStyleRowBandSize w:val="1"/>
      <w:tblStyleColBandSize w:val="1"/>
      <w:tblBorders>
        <w:top w:val="single" w:sz="24" w:space="0" w:color="1E252B" w:themeColor="accent3"/>
        <w:left w:val="single" w:sz="24" w:space="0" w:color="1E252B" w:themeColor="accent3"/>
        <w:bottom w:val="single" w:sz="24" w:space="0" w:color="1E252B" w:themeColor="accent3"/>
        <w:right w:val="single" w:sz="24" w:space="0" w:color="1E252B" w:themeColor="accent3"/>
      </w:tblBorders>
    </w:tblPr>
    <w:tcPr>
      <w:shd w:val="clear" w:color="auto" w:fill="1E252B"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1D6600"/>
    <w:tblPr>
      <w:tblStyleRowBandSize w:val="1"/>
      <w:tblStyleColBandSize w:val="1"/>
      <w:tblBorders>
        <w:top w:val="single" w:sz="24" w:space="0" w:color="333E48" w:themeColor="accent4"/>
        <w:left w:val="single" w:sz="24" w:space="0" w:color="333E48" w:themeColor="accent4"/>
        <w:bottom w:val="single" w:sz="24" w:space="0" w:color="333E48" w:themeColor="accent4"/>
        <w:right w:val="single" w:sz="24" w:space="0" w:color="333E48" w:themeColor="accent4"/>
      </w:tblBorders>
    </w:tblPr>
    <w:tcPr>
      <w:shd w:val="clear" w:color="auto" w:fill="333E48"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1D6600"/>
    <w:tblPr>
      <w:tblStyleRowBandSize w:val="1"/>
      <w:tblStyleColBandSize w:val="1"/>
      <w:tblBorders>
        <w:top w:val="single" w:sz="24" w:space="0" w:color="D9D9D6" w:themeColor="accent5"/>
        <w:left w:val="single" w:sz="24" w:space="0" w:color="D9D9D6" w:themeColor="accent5"/>
        <w:bottom w:val="single" w:sz="24" w:space="0" w:color="D9D9D6" w:themeColor="accent5"/>
        <w:right w:val="single" w:sz="24" w:space="0" w:color="D9D9D6" w:themeColor="accent5"/>
      </w:tblBorders>
    </w:tblPr>
    <w:tcPr>
      <w:shd w:val="clear" w:color="auto" w:fill="D9D9D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1D6600"/>
    <w:tblPr>
      <w:tblStyleRowBandSize w:val="1"/>
      <w:tblStyleColBandSize w:val="1"/>
      <w:tblBorders>
        <w:top w:val="single" w:sz="24" w:space="0" w:color="EFECEA" w:themeColor="accent6"/>
        <w:left w:val="single" w:sz="24" w:space="0" w:color="EFECEA" w:themeColor="accent6"/>
        <w:bottom w:val="single" w:sz="24" w:space="0" w:color="EFECEA" w:themeColor="accent6"/>
        <w:right w:val="single" w:sz="24" w:space="0" w:color="EFECEA" w:themeColor="accent6"/>
      </w:tblBorders>
    </w:tblPr>
    <w:tcPr>
      <w:shd w:val="clear" w:color="auto" w:fill="EFECEA"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1D6600"/>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1D6600"/>
    <w:tblPr>
      <w:tblStyleRowBandSize w:val="1"/>
      <w:tblStyleColBandSize w:val="1"/>
      <w:tblBorders>
        <w:top w:val="single" w:sz="4" w:space="0" w:color="F9423A" w:themeColor="accent1"/>
        <w:bottom w:val="single" w:sz="4" w:space="0" w:color="F9423A" w:themeColor="accent1"/>
      </w:tblBorders>
    </w:tblPr>
    <w:tblStylePr w:type="firstRow">
      <w:rPr>
        <w:b/>
        <w:bCs/>
      </w:rPr>
      <w:tblPr/>
      <w:tcPr>
        <w:tcBorders>
          <w:bottom w:val="single" w:sz="4" w:space="0" w:color="F9423A" w:themeColor="accent1"/>
        </w:tcBorders>
      </w:tcPr>
    </w:tblStylePr>
    <w:tblStylePr w:type="lastRow">
      <w:rPr>
        <w:b/>
        <w:bCs/>
      </w:rPr>
      <w:tblPr/>
      <w:tcPr>
        <w:tcBorders>
          <w:top w:val="double" w:sz="4" w:space="0" w:color="F9423A" w:themeColor="accent1"/>
        </w:tcBorders>
      </w:tcPr>
    </w:tblStylePr>
    <w:tblStylePr w:type="firstCol">
      <w:rPr>
        <w:b/>
        <w:bCs/>
      </w:rPr>
    </w:tblStylePr>
    <w:tblStylePr w:type="lastCol">
      <w:rPr>
        <w:b/>
        <w:bCs/>
      </w:rPr>
    </w:tblStylePr>
    <w:tblStylePr w:type="band1Vert">
      <w:tblPr/>
      <w:tcPr>
        <w:shd w:val="clear" w:color="auto" w:fill="FDD9D7" w:themeFill="accent1" w:themeFillTint="33"/>
      </w:tcPr>
    </w:tblStylePr>
    <w:tblStylePr w:type="band1Horz">
      <w:tblPr/>
      <w:tcPr>
        <w:shd w:val="clear" w:color="auto" w:fill="FDD9D7" w:themeFill="accent1" w:themeFillTint="33"/>
      </w:tcPr>
    </w:tblStylePr>
  </w:style>
  <w:style w:type="table" w:styleId="ListTable6Colorful-Accent2">
    <w:name w:val="List Table 6 Colorful Accent 2"/>
    <w:basedOn w:val="TableNormal"/>
    <w:uiPriority w:val="51"/>
    <w:rsid w:val="001D6600"/>
    <w:tblPr>
      <w:tblStyleRowBandSize w:val="1"/>
      <w:tblStyleColBandSize w:val="1"/>
      <w:tblBorders>
        <w:top w:val="single" w:sz="4" w:space="0" w:color="D8E6F0" w:themeColor="accent2"/>
        <w:bottom w:val="single" w:sz="4" w:space="0" w:color="D8E6F0" w:themeColor="accent2"/>
      </w:tblBorders>
    </w:tblPr>
    <w:tblStylePr w:type="firstRow">
      <w:rPr>
        <w:b/>
        <w:bCs/>
      </w:rPr>
      <w:tblPr/>
      <w:tcPr>
        <w:tcBorders>
          <w:bottom w:val="single" w:sz="4" w:space="0" w:color="D8E6F0" w:themeColor="accent2"/>
        </w:tcBorders>
      </w:tcPr>
    </w:tblStylePr>
    <w:tblStylePr w:type="lastRow">
      <w:rPr>
        <w:b/>
        <w:bCs/>
      </w:rPr>
      <w:tblPr/>
      <w:tcPr>
        <w:tcBorders>
          <w:top w:val="double" w:sz="4" w:space="0" w:color="D8E6F0" w:themeColor="accent2"/>
        </w:tcBorders>
      </w:tcPr>
    </w:tblStylePr>
    <w:tblStylePr w:type="firstCol">
      <w:rPr>
        <w:b/>
        <w:bCs/>
      </w:rPr>
    </w:tblStylePr>
    <w:tblStylePr w:type="lastCol">
      <w:rPr>
        <w:b/>
        <w:bCs/>
      </w:rPr>
    </w:tblStylePr>
    <w:tblStylePr w:type="band1Vert">
      <w:tblPr/>
      <w:tcPr>
        <w:shd w:val="clear" w:color="auto" w:fill="F7F9FC" w:themeFill="accent2" w:themeFillTint="33"/>
      </w:tcPr>
    </w:tblStylePr>
    <w:tblStylePr w:type="band1Horz">
      <w:tblPr/>
      <w:tcPr>
        <w:shd w:val="clear" w:color="auto" w:fill="F7F9FC" w:themeFill="accent2" w:themeFillTint="33"/>
      </w:tcPr>
    </w:tblStylePr>
  </w:style>
  <w:style w:type="table" w:styleId="ListTable6Colorful-Accent3">
    <w:name w:val="List Table 6 Colorful Accent 3"/>
    <w:basedOn w:val="TableNormal"/>
    <w:uiPriority w:val="51"/>
    <w:rsid w:val="001D6600"/>
    <w:tblPr>
      <w:tblStyleRowBandSize w:val="1"/>
      <w:tblStyleColBandSize w:val="1"/>
      <w:tblBorders>
        <w:top w:val="single" w:sz="4" w:space="0" w:color="1E252B" w:themeColor="accent3"/>
        <w:bottom w:val="single" w:sz="4" w:space="0" w:color="1E252B" w:themeColor="accent3"/>
      </w:tblBorders>
    </w:tblPr>
    <w:tblStylePr w:type="firstRow">
      <w:rPr>
        <w:b/>
        <w:bCs/>
      </w:rPr>
      <w:tblPr/>
      <w:tcPr>
        <w:tcBorders>
          <w:bottom w:val="single" w:sz="4" w:space="0" w:color="1E252B" w:themeColor="accent3"/>
        </w:tcBorders>
      </w:tcPr>
    </w:tblStylePr>
    <w:tblStylePr w:type="lastRow">
      <w:rPr>
        <w:b/>
        <w:bCs/>
      </w:rPr>
      <w:tblPr/>
      <w:tcPr>
        <w:tcBorders>
          <w:top w:val="double" w:sz="4" w:space="0" w:color="1E252B" w:themeColor="accent3"/>
        </w:tcBorders>
      </w:tcPr>
    </w:tblStylePr>
    <w:tblStylePr w:type="firstCol">
      <w:rPr>
        <w:b/>
        <w:bCs/>
      </w:rPr>
    </w:tblStylePr>
    <w:tblStylePr w:type="lastCol">
      <w:rPr>
        <w:b/>
        <w:bCs/>
      </w:rPr>
    </w:tblStylePr>
    <w:tblStylePr w:type="band1Vert">
      <w:tblPr/>
      <w:tcPr>
        <w:shd w:val="clear" w:color="auto" w:fill="CBD3DB" w:themeFill="accent3" w:themeFillTint="33"/>
      </w:tcPr>
    </w:tblStylePr>
    <w:tblStylePr w:type="band1Horz">
      <w:tblPr/>
      <w:tcPr>
        <w:shd w:val="clear" w:color="auto" w:fill="CBD3DB" w:themeFill="accent3" w:themeFillTint="33"/>
      </w:tcPr>
    </w:tblStylePr>
  </w:style>
  <w:style w:type="table" w:styleId="ListTable6Colorful-Accent4">
    <w:name w:val="List Table 6 Colorful Accent 4"/>
    <w:basedOn w:val="TableNormal"/>
    <w:uiPriority w:val="51"/>
    <w:rsid w:val="001D6600"/>
    <w:tblPr>
      <w:tblStyleRowBandSize w:val="1"/>
      <w:tblStyleColBandSize w:val="1"/>
      <w:tblBorders>
        <w:top w:val="single" w:sz="4" w:space="0" w:color="333E48" w:themeColor="accent4"/>
        <w:bottom w:val="single" w:sz="4" w:space="0" w:color="333E48" w:themeColor="accent4"/>
      </w:tblBorders>
    </w:tblPr>
    <w:tblStylePr w:type="firstRow">
      <w:rPr>
        <w:b/>
        <w:bCs/>
      </w:rPr>
      <w:tblPr/>
      <w:tcPr>
        <w:tcBorders>
          <w:bottom w:val="single" w:sz="4" w:space="0" w:color="333E48" w:themeColor="accent4"/>
        </w:tcBorders>
      </w:tcPr>
    </w:tblStylePr>
    <w:tblStylePr w:type="lastRow">
      <w:rPr>
        <w:b/>
        <w:bCs/>
      </w:rPr>
      <w:tblPr/>
      <w:tcPr>
        <w:tcBorders>
          <w:top w:val="double" w:sz="4" w:space="0" w:color="333E48" w:themeColor="accent4"/>
        </w:tcBorders>
      </w:tcPr>
    </w:tblStylePr>
    <w:tblStylePr w:type="firstCol">
      <w:rPr>
        <w:b/>
        <w:bCs/>
      </w:rPr>
    </w:tblStylePr>
    <w:tblStylePr w:type="lastCol">
      <w:rPr>
        <w:b/>
        <w:bCs/>
      </w:rPr>
    </w:tblStylePr>
    <w:tblStylePr w:type="band1Vert">
      <w:tblPr/>
      <w:tcPr>
        <w:shd w:val="clear" w:color="auto" w:fill="D1D8DE" w:themeFill="accent4" w:themeFillTint="33"/>
      </w:tcPr>
    </w:tblStylePr>
    <w:tblStylePr w:type="band1Horz">
      <w:tblPr/>
      <w:tcPr>
        <w:shd w:val="clear" w:color="auto" w:fill="D1D8DE" w:themeFill="accent4" w:themeFillTint="33"/>
      </w:tcPr>
    </w:tblStylePr>
  </w:style>
  <w:style w:type="table" w:styleId="ListTable6Colorful-Accent5">
    <w:name w:val="List Table 6 Colorful Accent 5"/>
    <w:basedOn w:val="TableNormal"/>
    <w:uiPriority w:val="51"/>
    <w:rsid w:val="001D6600"/>
    <w:tblPr>
      <w:tblStyleRowBandSize w:val="1"/>
      <w:tblStyleColBandSize w:val="1"/>
      <w:tblBorders>
        <w:top w:val="single" w:sz="4" w:space="0" w:color="D9D9D6" w:themeColor="accent5"/>
        <w:bottom w:val="single" w:sz="4" w:space="0" w:color="D9D9D6" w:themeColor="accent5"/>
      </w:tblBorders>
    </w:tblPr>
    <w:tblStylePr w:type="firstRow">
      <w:rPr>
        <w:b/>
        <w:bCs/>
      </w:rPr>
      <w:tblPr/>
      <w:tcPr>
        <w:tcBorders>
          <w:bottom w:val="single" w:sz="4" w:space="0" w:color="D9D9D6" w:themeColor="accent5"/>
        </w:tcBorders>
      </w:tcPr>
    </w:tblStylePr>
    <w:tblStylePr w:type="lastRow">
      <w:rPr>
        <w:b/>
        <w:bCs/>
      </w:rPr>
      <w:tblPr/>
      <w:tcPr>
        <w:tcBorders>
          <w:top w:val="double" w:sz="4" w:space="0" w:color="D9D9D6" w:themeColor="accent5"/>
        </w:tcBorders>
      </w:tcPr>
    </w:tblStylePr>
    <w:tblStylePr w:type="firstCol">
      <w:rPr>
        <w:b/>
        <w:bCs/>
      </w:rPr>
    </w:tblStylePr>
    <w:tblStylePr w:type="lastCol">
      <w:rPr>
        <w:b/>
        <w:bCs/>
      </w:rPr>
    </w:tblStylePr>
    <w:tblStylePr w:type="band1Vert">
      <w:tblPr/>
      <w:tcPr>
        <w:shd w:val="clear" w:color="auto" w:fill="F7F7F6" w:themeFill="accent5" w:themeFillTint="33"/>
      </w:tcPr>
    </w:tblStylePr>
    <w:tblStylePr w:type="band1Horz">
      <w:tblPr/>
      <w:tcPr>
        <w:shd w:val="clear" w:color="auto" w:fill="F7F7F6" w:themeFill="accent5" w:themeFillTint="33"/>
      </w:tcPr>
    </w:tblStylePr>
  </w:style>
  <w:style w:type="table" w:styleId="ListTable6Colorful-Accent6">
    <w:name w:val="List Table 6 Colorful Accent 6"/>
    <w:basedOn w:val="TableNormal"/>
    <w:uiPriority w:val="51"/>
    <w:rsid w:val="001D6600"/>
    <w:tblPr>
      <w:tblStyleRowBandSize w:val="1"/>
      <w:tblStyleColBandSize w:val="1"/>
      <w:tblBorders>
        <w:top w:val="single" w:sz="4" w:space="0" w:color="EFECEA" w:themeColor="accent6"/>
        <w:bottom w:val="single" w:sz="4" w:space="0" w:color="EFECEA" w:themeColor="accent6"/>
      </w:tblBorders>
    </w:tblPr>
    <w:tblStylePr w:type="firstRow">
      <w:rPr>
        <w:b/>
        <w:bCs/>
      </w:rPr>
      <w:tblPr/>
      <w:tcPr>
        <w:tcBorders>
          <w:bottom w:val="single" w:sz="4" w:space="0" w:color="EFECEA" w:themeColor="accent6"/>
        </w:tcBorders>
      </w:tcPr>
    </w:tblStylePr>
    <w:tblStylePr w:type="lastRow">
      <w:rPr>
        <w:b/>
        <w:bCs/>
      </w:rPr>
      <w:tblPr/>
      <w:tcPr>
        <w:tcBorders>
          <w:top w:val="double" w:sz="4" w:space="0" w:color="EFECEA" w:themeColor="accent6"/>
        </w:tcBorders>
      </w:tcPr>
    </w:tblStylePr>
    <w:tblStylePr w:type="firstCol">
      <w:rPr>
        <w:b/>
        <w:bCs/>
      </w:rPr>
    </w:tblStylePr>
    <w:tblStylePr w:type="lastCol">
      <w:rPr>
        <w:b/>
        <w:bCs/>
      </w:rPr>
    </w:tblStylePr>
    <w:tblStylePr w:type="band1Vert">
      <w:tblPr/>
      <w:tcPr>
        <w:shd w:val="clear" w:color="auto" w:fill="FBFBFA" w:themeFill="accent6" w:themeFillTint="33"/>
      </w:tcPr>
    </w:tblStylePr>
    <w:tblStylePr w:type="band1Horz">
      <w:tblPr/>
      <w:tcPr>
        <w:shd w:val="clear" w:color="auto" w:fill="FBFBFA" w:themeFill="accent6" w:themeFillTint="33"/>
      </w:tcPr>
    </w:tblStylePr>
  </w:style>
  <w:style w:type="table" w:styleId="ListTable7Colorful">
    <w:name w:val="List Table 7 Colorful"/>
    <w:basedOn w:val="TableNormal"/>
    <w:uiPriority w:val="52"/>
    <w:rsid w:val="001D660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1D660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9423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9423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9423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9423A" w:themeColor="accent1"/>
        </w:tcBorders>
        <w:shd w:val="clear" w:color="auto" w:fill="FFFFFF" w:themeFill="background1"/>
      </w:tcPr>
    </w:tblStylePr>
    <w:tblStylePr w:type="band1Vert">
      <w:tblPr/>
      <w:tcPr>
        <w:shd w:val="clear" w:color="auto" w:fill="FDD9D7" w:themeFill="accent1" w:themeFillTint="33"/>
      </w:tcPr>
    </w:tblStylePr>
    <w:tblStylePr w:type="band1Horz">
      <w:tblPr/>
      <w:tcPr>
        <w:shd w:val="clear" w:color="auto" w:fill="FDD9D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1D660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8E6F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8E6F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8E6F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8E6F0" w:themeColor="accent2"/>
        </w:tcBorders>
        <w:shd w:val="clear" w:color="auto" w:fill="FFFFFF" w:themeFill="background1"/>
      </w:tcPr>
    </w:tblStylePr>
    <w:tblStylePr w:type="band1Vert">
      <w:tblPr/>
      <w:tcPr>
        <w:shd w:val="clear" w:color="auto" w:fill="F7F9FC" w:themeFill="accent2" w:themeFillTint="33"/>
      </w:tcPr>
    </w:tblStylePr>
    <w:tblStylePr w:type="band1Horz">
      <w:tblPr/>
      <w:tcPr>
        <w:shd w:val="clear" w:color="auto" w:fill="F7F9F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1D660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252B"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252B"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252B"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252B" w:themeColor="accent3"/>
        </w:tcBorders>
        <w:shd w:val="clear" w:color="auto" w:fill="FFFFFF" w:themeFill="background1"/>
      </w:tcPr>
    </w:tblStylePr>
    <w:tblStylePr w:type="band1Vert">
      <w:tblPr/>
      <w:tcPr>
        <w:shd w:val="clear" w:color="auto" w:fill="CBD3DB" w:themeFill="accent3" w:themeFillTint="33"/>
      </w:tcPr>
    </w:tblStylePr>
    <w:tblStylePr w:type="band1Horz">
      <w:tblPr/>
      <w:tcPr>
        <w:shd w:val="clear" w:color="auto" w:fill="CBD3D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1D660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3E48"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3E48"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3E48"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3E48" w:themeColor="accent4"/>
        </w:tcBorders>
        <w:shd w:val="clear" w:color="auto" w:fill="FFFFFF" w:themeFill="background1"/>
      </w:tcPr>
    </w:tblStylePr>
    <w:tblStylePr w:type="band1Vert">
      <w:tblPr/>
      <w:tcPr>
        <w:shd w:val="clear" w:color="auto" w:fill="D1D8DE" w:themeFill="accent4" w:themeFillTint="33"/>
      </w:tcPr>
    </w:tblStylePr>
    <w:tblStylePr w:type="band1Horz">
      <w:tblPr/>
      <w:tcPr>
        <w:shd w:val="clear" w:color="auto" w:fill="D1D8D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1D660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9D9D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9D9D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9D9D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9D9D6" w:themeColor="accent5"/>
        </w:tcBorders>
        <w:shd w:val="clear" w:color="auto" w:fill="FFFFFF" w:themeFill="background1"/>
      </w:tcPr>
    </w:tblStylePr>
    <w:tblStylePr w:type="band1Vert">
      <w:tblPr/>
      <w:tcPr>
        <w:shd w:val="clear" w:color="auto" w:fill="F7F7F6" w:themeFill="accent5" w:themeFillTint="33"/>
      </w:tcPr>
    </w:tblStylePr>
    <w:tblStylePr w:type="band1Horz">
      <w:tblPr/>
      <w:tcPr>
        <w:shd w:val="clear" w:color="auto" w:fill="F7F7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1D660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FECEA"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FECEA"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FECEA"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FECEA" w:themeColor="accent6"/>
        </w:tcBorders>
        <w:shd w:val="clear" w:color="auto" w:fill="FFFFFF" w:themeFill="background1"/>
      </w:tcPr>
    </w:tblStylePr>
    <w:tblStylePr w:type="band1Vert">
      <w:tblPr/>
      <w:tcPr>
        <w:shd w:val="clear" w:color="auto" w:fill="FBFBFA" w:themeFill="accent6" w:themeFillTint="33"/>
      </w:tcPr>
    </w:tblStylePr>
    <w:tblStylePr w:type="band1Horz">
      <w:tblPr/>
      <w:tcPr>
        <w:shd w:val="clear" w:color="auto" w:fill="FBFBFA"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1D6600"/>
    <w:pPr>
      <w:tabs>
        <w:tab w:val="left" w:pos="480"/>
        <w:tab w:val="left" w:pos="960"/>
        <w:tab w:val="left" w:pos="1440"/>
        <w:tab w:val="left" w:pos="1920"/>
        <w:tab w:val="left" w:pos="2400"/>
        <w:tab w:val="left" w:pos="2880"/>
        <w:tab w:val="left" w:pos="3360"/>
        <w:tab w:val="left" w:pos="3840"/>
        <w:tab w:val="left" w:pos="4320"/>
      </w:tabs>
    </w:pPr>
    <w:rPr>
      <w:rFonts w:ascii="Montserrat Light" w:hAnsi="Montserrat Light" w:cs="Consolas"/>
      <w:color w:val="1D252C"/>
    </w:rPr>
  </w:style>
  <w:style w:type="character" w:customStyle="1" w:styleId="MacroTextChar">
    <w:name w:val="Macro Text Char"/>
    <w:basedOn w:val="DefaultParagraphFont"/>
    <w:link w:val="MacroText"/>
    <w:uiPriority w:val="99"/>
    <w:semiHidden/>
    <w:rsid w:val="001D6600"/>
    <w:rPr>
      <w:rFonts w:ascii="Montserrat Light" w:hAnsi="Montserrat Light" w:cs="Consolas"/>
      <w:color w:val="1D252C"/>
      <w:sz w:val="20"/>
    </w:rPr>
  </w:style>
  <w:style w:type="table" w:styleId="MediumGrid1">
    <w:name w:val="Medium Grid 1"/>
    <w:basedOn w:val="TableNormal"/>
    <w:uiPriority w:val="67"/>
    <w:semiHidden/>
    <w:unhideWhenUsed/>
    <w:rsid w:val="001D6600"/>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1D6600"/>
    <w:tblPr>
      <w:tblStyleRowBandSize w:val="1"/>
      <w:tblStyleColBandSize w:val="1"/>
      <w:tblBorders>
        <w:top w:val="single" w:sz="8" w:space="0" w:color="FA706B" w:themeColor="accent1" w:themeTint="BF"/>
        <w:left w:val="single" w:sz="8" w:space="0" w:color="FA706B" w:themeColor="accent1" w:themeTint="BF"/>
        <w:bottom w:val="single" w:sz="8" w:space="0" w:color="FA706B" w:themeColor="accent1" w:themeTint="BF"/>
        <w:right w:val="single" w:sz="8" w:space="0" w:color="FA706B" w:themeColor="accent1" w:themeTint="BF"/>
        <w:insideH w:val="single" w:sz="8" w:space="0" w:color="FA706B" w:themeColor="accent1" w:themeTint="BF"/>
        <w:insideV w:val="single" w:sz="8" w:space="0" w:color="FA706B" w:themeColor="accent1" w:themeTint="BF"/>
      </w:tblBorders>
    </w:tblPr>
    <w:tcPr>
      <w:shd w:val="clear" w:color="auto" w:fill="FDCFCE" w:themeFill="accent1" w:themeFillTint="3F"/>
    </w:tcPr>
    <w:tblStylePr w:type="firstRow">
      <w:rPr>
        <w:b/>
        <w:bCs/>
      </w:rPr>
    </w:tblStylePr>
    <w:tblStylePr w:type="lastRow">
      <w:rPr>
        <w:b/>
        <w:bCs/>
      </w:rPr>
      <w:tblPr/>
      <w:tcPr>
        <w:tcBorders>
          <w:top w:val="single" w:sz="18" w:space="0" w:color="FA706B" w:themeColor="accent1" w:themeTint="BF"/>
        </w:tcBorders>
      </w:tcPr>
    </w:tblStylePr>
    <w:tblStylePr w:type="firstCol">
      <w:rPr>
        <w:b/>
        <w:bCs/>
      </w:rPr>
    </w:tblStylePr>
    <w:tblStylePr w:type="lastCol">
      <w:rPr>
        <w:b/>
        <w:bCs/>
      </w:rPr>
    </w:tblStylePr>
    <w:tblStylePr w:type="band1Vert">
      <w:tblPr/>
      <w:tcPr>
        <w:shd w:val="clear" w:color="auto" w:fill="FCA09C" w:themeFill="accent1" w:themeFillTint="7F"/>
      </w:tcPr>
    </w:tblStylePr>
    <w:tblStylePr w:type="band1Horz">
      <w:tblPr/>
      <w:tcPr>
        <w:shd w:val="clear" w:color="auto" w:fill="FCA09C" w:themeFill="accent1" w:themeFillTint="7F"/>
      </w:tcPr>
    </w:tblStylePr>
  </w:style>
  <w:style w:type="table" w:styleId="MediumGrid1-Accent2">
    <w:name w:val="Medium Grid 1 Accent 2"/>
    <w:basedOn w:val="TableNormal"/>
    <w:uiPriority w:val="67"/>
    <w:semiHidden/>
    <w:unhideWhenUsed/>
    <w:rsid w:val="001D6600"/>
    <w:tblPr>
      <w:tblStyleRowBandSize w:val="1"/>
      <w:tblStyleColBandSize w:val="1"/>
      <w:tblBorders>
        <w:top w:val="single" w:sz="8" w:space="0" w:color="E1ECF3" w:themeColor="accent2" w:themeTint="BF"/>
        <w:left w:val="single" w:sz="8" w:space="0" w:color="E1ECF3" w:themeColor="accent2" w:themeTint="BF"/>
        <w:bottom w:val="single" w:sz="8" w:space="0" w:color="E1ECF3" w:themeColor="accent2" w:themeTint="BF"/>
        <w:right w:val="single" w:sz="8" w:space="0" w:color="E1ECF3" w:themeColor="accent2" w:themeTint="BF"/>
        <w:insideH w:val="single" w:sz="8" w:space="0" w:color="E1ECF3" w:themeColor="accent2" w:themeTint="BF"/>
        <w:insideV w:val="single" w:sz="8" w:space="0" w:color="E1ECF3" w:themeColor="accent2" w:themeTint="BF"/>
      </w:tblBorders>
    </w:tblPr>
    <w:tcPr>
      <w:shd w:val="clear" w:color="auto" w:fill="F5F8FB" w:themeFill="accent2" w:themeFillTint="3F"/>
    </w:tcPr>
    <w:tblStylePr w:type="firstRow">
      <w:rPr>
        <w:b/>
        <w:bCs/>
      </w:rPr>
    </w:tblStylePr>
    <w:tblStylePr w:type="lastRow">
      <w:rPr>
        <w:b/>
        <w:bCs/>
      </w:rPr>
      <w:tblPr/>
      <w:tcPr>
        <w:tcBorders>
          <w:top w:val="single" w:sz="18" w:space="0" w:color="E1ECF3" w:themeColor="accent2" w:themeTint="BF"/>
        </w:tcBorders>
      </w:tcPr>
    </w:tblStylePr>
    <w:tblStylePr w:type="firstCol">
      <w:rPr>
        <w:b/>
        <w:bCs/>
      </w:rPr>
    </w:tblStylePr>
    <w:tblStylePr w:type="lastCol">
      <w:rPr>
        <w:b/>
        <w:bCs/>
      </w:rPr>
    </w:tblStylePr>
    <w:tblStylePr w:type="band1Vert">
      <w:tblPr/>
      <w:tcPr>
        <w:shd w:val="clear" w:color="auto" w:fill="EBF2F7" w:themeFill="accent2" w:themeFillTint="7F"/>
      </w:tcPr>
    </w:tblStylePr>
    <w:tblStylePr w:type="band1Horz">
      <w:tblPr/>
      <w:tcPr>
        <w:shd w:val="clear" w:color="auto" w:fill="EBF2F7" w:themeFill="accent2" w:themeFillTint="7F"/>
      </w:tcPr>
    </w:tblStylePr>
  </w:style>
  <w:style w:type="table" w:styleId="MediumGrid1-Accent3">
    <w:name w:val="Medium Grid 1 Accent 3"/>
    <w:basedOn w:val="TableNormal"/>
    <w:uiPriority w:val="67"/>
    <w:semiHidden/>
    <w:unhideWhenUsed/>
    <w:rsid w:val="001D6600"/>
    <w:tblPr>
      <w:tblStyleRowBandSize w:val="1"/>
      <w:tblStyleColBandSize w:val="1"/>
      <w:tblBorders>
        <w:top w:val="single" w:sz="8" w:space="0" w:color="4B5C6B" w:themeColor="accent3" w:themeTint="BF"/>
        <w:left w:val="single" w:sz="8" w:space="0" w:color="4B5C6B" w:themeColor="accent3" w:themeTint="BF"/>
        <w:bottom w:val="single" w:sz="8" w:space="0" w:color="4B5C6B" w:themeColor="accent3" w:themeTint="BF"/>
        <w:right w:val="single" w:sz="8" w:space="0" w:color="4B5C6B" w:themeColor="accent3" w:themeTint="BF"/>
        <w:insideH w:val="single" w:sz="8" w:space="0" w:color="4B5C6B" w:themeColor="accent3" w:themeTint="BF"/>
        <w:insideV w:val="single" w:sz="8" w:space="0" w:color="4B5C6B" w:themeColor="accent3" w:themeTint="BF"/>
      </w:tblBorders>
    </w:tblPr>
    <w:tcPr>
      <w:shd w:val="clear" w:color="auto" w:fill="BFC9D2" w:themeFill="accent3" w:themeFillTint="3F"/>
    </w:tcPr>
    <w:tblStylePr w:type="firstRow">
      <w:rPr>
        <w:b/>
        <w:bCs/>
      </w:rPr>
    </w:tblStylePr>
    <w:tblStylePr w:type="lastRow">
      <w:rPr>
        <w:b/>
        <w:bCs/>
      </w:rPr>
      <w:tblPr/>
      <w:tcPr>
        <w:tcBorders>
          <w:top w:val="single" w:sz="18" w:space="0" w:color="4B5C6B" w:themeColor="accent3" w:themeTint="BF"/>
        </w:tcBorders>
      </w:tcPr>
    </w:tblStylePr>
    <w:tblStylePr w:type="firstCol">
      <w:rPr>
        <w:b/>
        <w:bCs/>
      </w:rPr>
    </w:tblStylePr>
    <w:tblStylePr w:type="lastCol">
      <w:rPr>
        <w:b/>
        <w:bCs/>
      </w:rPr>
    </w:tblStylePr>
    <w:tblStylePr w:type="band1Vert">
      <w:tblPr/>
      <w:tcPr>
        <w:shd w:val="clear" w:color="auto" w:fill="7E93A5" w:themeFill="accent3" w:themeFillTint="7F"/>
      </w:tcPr>
    </w:tblStylePr>
    <w:tblStylePr w:type="band1Horz">
      <w:tblPr/>
      <w:tcPr>
        <w:shd w:val="clear" w:color="auto" w:fill="7E93A5" w:themeFill="accent3" w:themeFillTint="7F"/>
      </w:tcPr>
    </w:tblStylePr>
  </w:style>
  <w:style w:type="table" w:styleId="MediumGrid1-Accent4">
    <w:name w:val="Medium Grid 1 Accent 4"/>
    <w:basedOn w:val="TableNormal"/>
    <w:uiPriority w:val="67"/>
    <w:semiHidden/>
    <w:unhideWhenUsed/>
    <w:rsid w:val="001D6600"/>
    <w:tblPr>
      <w:tblStyleRowBandSize w:val="1"/>
      <w:tblStyleColBandSize w:val="1"/>
      <w:tblBorders>
        <w:top w:val="single" w:sz="8" w:space="0" w:color="5B6E80" w:themeColor="accent4" w:themeTint="BF"/>
        <w:left w:val="single" w:sz="8" w:space="0" w:color="5B6E80" w:themeColor="accent4" w:themeTint="BF"/>
        <w:bottom w:val="single" w:sz="8" w:space="0" w:color="5B6E80" w:themeColor="accent4" w:themeTint="BF"/>
        <w:right w:val="single" w:sz="8" w:space="0" w:color="5B6E80" w:themeColor="accent4" w:themeTint="BF"/>
        <w:insideH w:val="single" w:sz="8" w:space="0" w:color="5B6E80" w:themeColor="accent4" w:themeTint="BF"/>
        <w:insideV w:val="single" w:sz="8" w:space="0" w:color="5B6E80" w:themeColor="accent4" w:themeTint="BF"/>
      </w:tblBorders>
    </w:tblPr>
    <w:tcPr>
      <w:shd w:val="clear" w:color="auto" w:fill="C7CFD7" w:themeFill="accent4" w:themeFillTint="3F"/>
    </w:tcPr>
    <w:tblStylePr w:type="firstRow">
      <w:rPr>
        <w:b/>
        <w:bCs/>
      </w:rPr>
    </w:tblStylePr>
    <w:tblStylePr w:type="lastRow">
      <w:rPr>
        <w:b/>
        <w:bCs/>
      </w:rPr>
      <w:tblPr/>
      <w:tcPr>
        <w:tcBorders>
          <w:top w:val="single" w:sz="18" w:space="0" w:color="5B6E80" w:themeColor="accent4" w:themeTint="BF"/>
        </w:tcBorders>
      </w:tcPr>
    </w:tblStylePr>
    <w:tblStylePr w:type="firstCol">
      <w:rPr>
        <w:b/>
        <w:bCs/>
      </w:rPr>
    </w:tblStylePr>
    <w:tblStylePr w:type="lastCol">
      <w:rPr>
        <w:b/>
        <w:bCs/>
      </w:rPr>
    </w:tblStylePr>
    <w:tblStylePr w:type="band1Vert">
      <w:tblPr/>
      <w:tcPr>
        <w:shd w:val="clear" w:color="auto" w:fill="8E9FAF" w:themeFill="accent4" w:themeFillTint="7F"/>
      </w:tcPr>
    </w:tblStylePr>
    <w:tblStylePr w:type="band1Horz">
      <w:tblPr/>
      <w:tcPr>
        <w:shd w:val="clear" w:color="auto" w:fill="8E9FAF" w:themeFill="accent4" w:themeFillTint="7F"/>
      </w:tcPr>
    </w:tblStylePr>
  </w:style>
  <w:style w:type="table" w:styleId="MediumGrid1-Accent5">
    <w:name w:val="Medium Grid 1 Accent 5"/>
    <w:basedOn w:val="TableNormal"/>
    <w:uiPriority w:val="67"/>
    <w:semiHidden/>
    <w:unhideWhenUsed/>
    <w:rsid w:val="001D6600"/>
    <w:tblPr>
      <w:tblStyleRowBandSize w:val="1"/>
      <w:tblStyleColBandSize w:val="1"/>
      <w:tblBorders>
        <w:top w:val="single" w:sz="8" w:space="0" w:color="E2E2E0" w:themeColor="accent5" w:themeTint="BF"/>
        <w:left w:val="single" w:sz="8" w:space="0" w:color="E2E2E0" w:themeColor="accent5" w:themeTint="BF"/>
        <w:bottom w:val="single" w:sz="8" w:space="0" w:color="E2E2E0" w:themeColor="accent5" w:themeTint="BF"/>
        <w:right w:val="single" w:sz="8" w:space="0" w:color="E2E2E0" w:themeColor="accent5" w:themeTint="BF"/>
        <w:insideH w:val="single" w:sz="8" w:space="0" w:color="E2E2E0" w:themeColor="accent5" w:themeTint="BF"/>
        <w:insideV w:val="single" w:sz="8" w:space="0" w:color="E2E2E0" w:themeColor="accent5" w:themeTint="BF"/>
      </w:tblBorders>
    </w:tblPr>
    <w:tcPr>
      <w:shd w:val="clear" w:color="auto" w:fill="F5F5F4" w:themeFill="accent5" w:themeFillTint="3F"/>
    </w:tcPr>
    <w:tblStylePr w:type="firstRow">
      <w:rPr>
        <w:b/>
        <w:bCs/>
      </w:rPr>
    </w:tblStylePr>
    <w:tblStylePr w:type="lastRow">
      <w:rPr>
        <w:b/>
        <w:bCs/>
      </w:rPr>
      <w:tblPr/>
      <w:tcPr>
        <w:tcBorders>
          <w:top w:val="single" w:sz="18" w:space="0" w:color="E2E2E0" w:themeColor="accent5" w:themeTint="BF"/>
        </w:tcBorders>
      </w:tcPr>
    </w:tblStylePr>
    <w:tblStylePr w:type="firstCol">
      <w:rPr>
        <w:b/>
        <w:bCs/>
      </w:rPr>
    </w:tblStylePr>
    <w:tblStylePr w:type="lastCol">
      <w:rPr>
        <w:b/>
        <w:bCs/>
      </w:rPr>
    </w:tblStylePr>
    <w:tblStylePr w:type="band1Vert">
      <w:tblPr/>
      <w:tcPr>
        <w:shd w:val="clear" w:color="auto" w:fill="ECECEA" w:themeFill="accent5" w:themeFillTint="7F"/>
      </w:tcPr>
    </w:tblStylePr>
    <w:tblStylePr w:type="band1Horz">
      <w:tblPr/>
      <w:tcPr>
        <w:shd w:val="clear" w:color="auto" w:fill="ECECEA" w:themeFill="accent5" w:themeFillTint="7F"/>
      </w:tcPr>
    </w:tblStylePr>
  </w:style>
  <w:style w:type="table" w:styleId="MediumGrid1-Accent6">
    <w:name w:val="Medium Grid 1 Accent 6"/>
    <w:basedOn w:val="TableNormal"/>
    <w:uiPriority w:val="67"/>
    <w:semiHidden/>
    <w:unhideWhenUsed/>
    <w:rsid w:val="001D6600"/>
    <w:tblPr>
      <w:tblStyleRowBandSize w:val="1"/>
      <w:tblStyleColBandSize w:val="1"/>
      <w:tblBorders>
        <w:top w:val="single" w:sz="8" w:space="0" w:color="F3F0EF" w:themeColor="accent6" w:themeTint="BF"/>
        <w:left w:val="single" w:sz="8" w:space="0" w:color="F3F0EF" w:themeColor="accent6" w:themeTint="BF"/>
        <w:bottom w:val="single" w:sz="8" w:space="0" w:color="F3F0EF" w:themeColor="accent6" w:themeTint="BF"/>
        <w:right w:val="single" w:sz="8" w:space="0" w:color="F3F0EF" w:themeColor="accent6" w:themeTint="BF"/>
        <w:insideH w:val="single" w:sz="8" w:space="0" w:color="F3F0EF" w:themeColor="accent6" w:themeTint="BF"/>
        <w:insideV w:val="single" w:sz="8" w:space="0" w:color="F3F0EF" w:themeColor="accent6" w:themeTint="BF"/>
      </w:tblBorders>
    </w:tblPr>
    <w:tcPr>
      <w:shd w:val="clear" w:color="auto" w:fill="FBFAF9" w:themeFill="accent6" w:themeFillTint="3F"/>
    </w:tcPr>
    <w:tblStylePr w:type="firstRow">
      <w:rPr>
        <w:b/>
        <w:bCs/>
      </w:rPr>
    </w:tblStylePr>
    <w:tblStylePr w:type="lastRow">
      <w:rPr>
        <w:b/>
        <w:bCs/>
      </w:rPr>
      <w:tblPr/>
      <w:tcPr>
        <w:tcBorders>
          <w:top w:val="single" w:sz="18" w:space="0" w:color="F3F0EF" w:themeColor="accent6" w:themeTint="BF"/>
        </w:tcBorders>
      </w:tcPr>
    </w:tblStylePr>
    <w:tblStylePr w:type="firstCol">
      <w:rPr>
        <w:b/>
        <w:bCs/>
      </w:rPr>
    </w:tblStylePr>
    <w:tblStylePr w:type="lastCol">
      <w:rPr>
        <w:b/>
        <w:bCs/>
      </w:rPr>
    </w:tblStylePr>
    <w:tblStylePr w:type="band1Vert">
      <w:tblPr/>
      <w:tcPr>
        <w:shd w:val="clear" w:color="auto" w:fill="F7F5F4" w:themeFill="accent6" w:themeFillTint="7F"/>
      </w:tcPr>
    </w:tblStylePr>
    <w:tblStylePr w:type="band1Horz">
      <w:tblPr/>
      <w:tcPr>
        <w:shd w:val="clear" w:color="auto" w:fill="F7F5F4" w:themeFill="accent6" w:themeFillTint="7F"/>
      </w:tcPr>
    </w:tblStylePr>
  </w:style>
  <w:style w:type="table" w:styleId="MediumGrid2">
    <w:name w:val="Medium Grid 2"/>
    <w:basedOn w:val="TableNormal"/>
    <w:uiPriority w:val="68"/>
    <w:semiHidden/>
    <w:unhideWhenUsed/>
    <w:rsid w:val="001D6600"/>
    <w:rPr>
      <w:rFonts w:eastAsiaTheme="majorEastAsia"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1D6600"/>
    <w:rPr>
      <w:rFonts w:eastAsiaTheme="majorEastAsia" w:cstheme="majorBidi"/>
    </w:rPr>
    <w:tblPr>
      <w:tblStyleRowBandSize w:val="1"/>
      <w:tblStyleColBandSize w:val="1"/>
      <w:tblBorders>
        <w:top w:val="single" w:sz="8" w:space="0" w:color="F9423A" w:themeColor="accent1"/>
        <w:left w:val="single" w:sz="8" w:space="0" w:color="F9423A" w:themeColor="accent1"/>
        <w:bottom w:val="single" w:sz="8" w:space="0" w:color="F9423A" w:themeColor="accent1"/>
        <w:right w:val="single" w:sz="8" w:space="0" w:color="F9423A" w:themeColor="accent1"/>
        <w:insideH w:val="single" w:sz="8" w:space="0" w:color="F9423A" w:themeColor="accent1"/>
        <w:insideV w:val="single" w:sz="8" w:space="0" w:color="F9423A" w:themeColor="accent1"/>
      </w:tblBorders>
    </w:tblPr>
    <w:tcPr>
      <w:shd w:val="clear" w:color="auto" w:fill="FDCFCE" w:themeFill="accent1" w:themeFillTint="3F"/>
    </w:tcPr>
    <w:tblStylePr w:type="firstRow">
      <w:rPr>
        <w:b/>
        <w:bCs/>
        <w:color w:val="000000" w:themeColor="text1"/>
      </w:rPr>
      <w:tblPr/>
      <w:tcPr>
        <w:shd w:val="clear" w:color="auto" w:fill="FEECE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D9D7" w:themeFill="accent1" w:themeFillTint="33"/>
      </w:tcPr>
    </w:tblStylePr>
    <w:tblStylePr w:type="band1Vert">
      <w:tblPr/>
      <w:tcPr>
        <w:shd w:val="clear" w:color="auto" w:fill="FCA09C" w:themeFill="accent1" w:themeFillTint="7F"/>
      </w:tcPr>
    </w:tblStylePr>
    <w:tblStylePr w:type="band1Horz">
      <w:tblPr/>
      <w:tcPr>
        <w:tcBorders>
          <w:insideH w:val="single" w:sz="6" w:space="0" w:color="F9423A" w:themeColor="accent1"/>
          <w:insideV w:val="single" w:sz="6" w:space="0" w:color="F9423A" w:themeColor="accent1"/>
        </w:tcBorders>
        <w:shd w:val="clear" w:color="auto" w:fill="FCA09C"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1D6600"/>
    <w:rPr>
      <w:rFonts w:eastAsiaTheme="majorEastAsia" w:cstheme="majorBidi"/>
    </w:rPr>
    <w:tblPr>
      <w:tblStyleRowBandSize w:val="1"/>
      <w:tblStyleColBandSize w:val="1"/>
      <w:tblBorders>
        <w:top w:val="single" w:sz="8" w:space="0" w:color="D8E6F0" w:themeColor="accent2"/>
        <w:left w:val="single" w:sz="8" w:space="0" w:color="D8E6F0" w:themeColor="accent2"/>
        <w:bottom w:val="single" w:sz="8" w:space="0" w:color="D8E6F0" w:themeColor="accent2"/>
        <w:right w:val="single" w:sz="8" w:space="0" w:color="D8E6F0" w:themeColor="accent2"/>
        <w:insideH w:val="single" w:sz="8" w:space="0" w:color="D8E6F0" w:themeColor="accent2"/>
        <w:insideV w:val="single" w:sz="8" w:space="0" w:color="D8E6F0" w:themeColor="accent2"/>
      </w:tblBorders>
    </w:tblPr>
    <w:tcPr>
      <w:shd w:val="clear" w:color="auto" w:fill="F5F8FB" w:themeFill="accent2" w:themeFillTint="3F"/>
    </w:tcPr>
    <w:tblStylePr w:type="firstRow">
      <w:rPr>
        <w:b/>
        <w:bCs/>
        <w:color w:val="000000" w:themeColor="text1"/>
      </w:rPr>
      <w:tblPr/>
      <w:tcPr>
        <w:shd w:val="clear" w:color="auto" w:fill="FBFCF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F9FC" w:themeFill="accent2" w:themeFillTint="33"/>
      </w:tcPr>
    </w:tblStylePr>
    <w:tblStylePr w:type="band1Vert">
      <w:tblPr/>
      <w:tcPr>
        <w:shd w:val="clear" w:color="auto" w:fill="EBF2F7" w:themeFill="accent2" w:themeFillTint="7F"/>
      </w:tcPr>
    </w:tblStylePr>
    <w:tblStylePr w:type="band1Horz">
      <w:tblPr/>
      <w:tcPr>
        <w:tcBorders>
          <w:insideH w:val="single" w:sz="6" w:space="0" w:color="D8E6F0" w:themeColor="accent2"/>
          <w:insideV w:val="single" w:sz="6" w:space="0" w:color="D8E6F0" w:themeColor="accent2"/>
        </w:tcBorders>
        <w:shd w:val="clear" w:color="auto" w:fill="EBF2F7"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1D6600"/>
    <w:rPr>
      <w:rFonts w:eastAsiaTheme="majorEastAsia" w:cstheme="majorBidi"/>
    </w:rPr>
    <w:tblPr>
      <w:tblStyleRowBandSize w:val="1"/>
      <w:tblStyleColBandSize w:val="1"/>
      <w:tblBorders>
        <w:top w:val="single" w:sz="8" w:space="0" w:color="1E252B" w:themeColor="accent3"/>
        <w:left w:val="single" w:sz="8" w:space="0" w:color="1E252B" w:themeColor="accent3"/>
        <w:bottom w:val="single" w:sz="8" w:space="0" w:color="1E252B" w:themeColor="accent3"/>
        <w:right w:val="single" w:sz="8" w:space="0" w:color="1E252B" w:themeColor="accent3"/>
        <w:insideH w:val="single" w:sz="8" w:space="0" w:color="1E252B" w:themeColor="accent3"/>
        <w:insideV w:val="single" w:sz="8" w:space="0" w:color="1E252B" w:themeColor="accent3"/>
      </w:tblBorders>
    </w:tblPr>
    <w:tcPr>
      <w:shd w:val="clear" w:color="auto" w:fill="BFC9D2" w:themeFill="accent3" w:themeFillTint="3F"/>
    </w:tcPr>
    <w:tblStylePr w:type="firstRow">
      <w:rPr>
        <w:b/>
        <w:bCs/>
        <w:color w:val="000000" w:themeColor="text1"/>
      </w:rPr>
      <w:tblPr/>
      <w:tcPr>
        <w:shd w:val="clear" w:color="auto" w:fill="E5E9E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BD3DB" w:themeFill="accent3" w:themeFillTint="33"/>
      </w:tcPr>
    </w:tblStylePr>
    <w:tblStylePr w:type="band1Vert">
      <w:tblPr/>
      <w:tcPr>
        <w:shd w:val="clear" w:color="auto" w:fill="7E93A5" w:themeFill="accent3" w:themeFillTint="7F"/>
      </w:tcPr>
    </w:tblStylePr>
    <w:tblStylePr w:type="band1Horz">
      <w:tblPr/>
      <w:tcPr>
        <w:tcBorders>
          <w:insideH w:val="single" w:sz="6" w:space="0" w:color="1E252B" w:themeColor="accent3"/>
          <w:insideV w:val="single" w:sz="6" w:space="0" w:color="1E252B" w:themeColor="accent3"/>
        </w:tcBorders>
        <w:shd w:val="clear" w:color="auto" w:fill="7E93A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1D6600"/>
    <w:rPr>
      <w:rFonts w:eastAsiaTheme="majorEastAsia" w:cstheme="majorBidi"/>
    </w:rPr>
    <w:tblPr>
      <w:tblStyleRowBandSize w:val="1"/>
      <w:tblStyleColBandSize w:val="1"/>
      <w:tblBorders>
        <w:top w:val="single" w:sz="8" w:space="0" w:color="333E48" w:themeColor="accent4"/>
        <w:left w:val="single" w:sz="8" w:space="0" w:color="333E48" w:themeColor="accent4"/>
        <w:bottom w:val="single" w:sz="8" w:space="0" w:color="333E48" w:themeColor="accent4"/>
        <w:right w:val="single" w:sz="8" w:space="0" w:color="333E48" w:themeColor="accent4"/>
        <w:insideH w:val="single" w:sz="8" w:space="0" w:color="333E48" w:themeColor="accent4"/>
        <w:insideV w:val="single" w:sz="8" w:space="0" w:color="333E48" w:themeColor="accent4"/>
      </w:tblBorders>
    </w:tblPr>
    <w:tcPr>
      <w:shd w:val="clear" w:color="auto" w:fill="C7CFD7" w:themeFill="accent4" w:themeFillTint="3F"/>
    </w:tcPr>
    <w:tblStylePr w:type="firstRow">
      <w:rPr>
        <w:b/>
        <w:bCs/>
        <w:color w:val="000000" w:themeColor="text1"/>
      </w:rPr>
      <w:tblPr/>
      <w:tcPr>
        <w:shd w:val="clear" w:color="auto" w:fill="E8ECE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1D8DE" w:themeFill="accent4" w:themeFillTint="33"/>
      </w:tcPr>
    </w:tblStylePr>
    <w:tblStylePr w:type="band1Vert">
      <w:tblPr/>
      <w:tcPr>
        <w:shd w:val="clear" w:color="auto" w:fill="8E9FAF" w:themeFill="accent4" w:themeFillTint="7F"/>
      </w:tcPr>
    </w:tblStylePr>
    <w:tblStylePr w:type="band1Horz">
      <w:tblPr/>
      <w:tcPr>
        <w:tcBorders>
          <w:insideH w:val="single" w:sz="6" w:space="0" w:color="333E48" w:themeColor="accent4"/>
          <w:insideV w:val="single" w:sz="6" w:space="0" w:color="333E48" w:themeColor="accent4"/>
        </w:tcBorders>
        <w:shd w:val="clear" w:color="auto" w:fill="8E9FA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1D6600"/>
    <w:rPr>
      <w:rFonts w:eastAsiaTheme="majorEastAsia" w:cstheme="majorBidi"/>
    </w:rPr>
    <w:tblPr>
      <w:tblStyleRowBandSize w:val="1"/>
      <w:tblStyleColBandSize w:val="1"/>
      <w:tblBorders>
        <w:top w:val="single" w:sz="8" w:space="0" w:color="D9D9D6" w:themeColor="accent5"/>
        <w:left w:val="single" w:sz="8" w:space="0" w:color="D9D9D6" w:themeColor="accent5"/>
        <w:bottom w:val="single" w:sz="8" w:space="0" w:color="D9D9D6" w:themeColor="accent5"/>
        <w:right w:val="single" w:sz="8" w:space="0" w:color="D9D9D6" w:themeColor="accent5"/>
        <w:insideH w:val="single" w:sz="8" w:space="0" w:color="D9D9D6" w:themeColor="accent5"/>
        <w:insideV w:val="single" w:sz="8" w:space="0" w:color="D9D9D6" w:themeColor="accent5"/>
      </w:tblBorders>
    </w:tblPr>
    <w:tcPr>
      <w:shd w:val="clear" w:color="auto" w:fill="F5F5F4" w:themeFill="accent5" w:themeFillTint="3F"/>
    </w:tcPr>
    <w:tblStylePr w:type="firstRow">
      <w:rPr>
        <w:b/>
        <w:bCs/>
        <w:color w:val="000000" w:themeColor="text1"/>
      </w:rPr>
      <w:tblPr/>
      <w:tcPr>
        <w:shd w:val="clear" w:color="auto" w:fill="FBFBFA"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F7F6" w:themeFill="accent5" w:themeFillTint="33"/>
      </w:tcPr>
    </w:tblStylePr>
    <w:tblStylePr w:type="band1Vert">
      <w:tblPr/>
      <w:tcPr>
        <w:shd w:val="clear" w:color="auto" w:fill="ECECEA" w:themeFill="accent5" w:themeFillTint="7F"/>
      </w:tcPr>
    </w:tblStylePr>
    <w:tblStylePr w:type="band1Horz">
      <w:tblPr/>
      <w:tcPr>
        <w:tcBorders>
          <w:insideH w:val="single" w:sz="6" w:space="0" w:color="D9D9D6" w:themeColor="accent5"/>
          <w:insideV w:val="single" w:sz="6" w:space="0" w:color="D9D9D6" w:themeColor="accent5"/>
        </w:tcBorders>
        <w:shd w:val="clear" w:color="auto" w:fill="ECE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1D6600"/>
    <w:rPr>
      <w:rFonts w:eastAsiaTheme="majorEastAsia" w:cstheme="majorBidi"/>
    </w:rPr>
    <w:tblPr>
      <w:tblStyleRowBandSize w:val="1"/>
      <w:tblStyleColBandSize w:val="1"/>
      <w:tblBorders>
        <w:top w:val="single" w:sz="8" w:space="0" w:color="EFECEA" w:themeColor="accent6"/>
        <w:left w:val="single" w:sz="8" w:space="0" w:color="EFECEA" w:themeColor="accent6"/>
        <w:bottom w:val="single" w:sz="8" w:space="0" w:color="EFECEA" w:themeColor="accent6"/>
        <w:right w:val="single" w:sz="8" w:space="0" w:color="EFECEA" w:themeColor="accent6"/>
        <w:insideH w:val="single" w:sz="8" w:space="0" w:color="EFECEA" w:themeColor="accent6"/>
        <w:insideV w:val="single" w:sz="8" w:space="0" w:color="EFECEA" w:themeColor="accent6"/>
      </w:tblBorders>
    </w:tblPr>
    <w:tcPr>
      <w:shd w:val="clear" w:color="auto" w:fill="FBFAF9" w:themeFill="accent6" w:themeFillTint="3F"/>
    </w:tcPr>
    <w:tblStylePr w:type="firstRow">
      <w:rPr>
        <w:b/>
        <w:bCs/>
        <w:color w:val="000000" w:themeColor="text1"/>
      </w:rPr>
      <w:tblPr/>
      <w:tcPr>
        <w:shd w:val="clear" w:color="auto" w:fill="FDFDF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FBFA" w:themeFill="accent6" w:themeFillTint="33"/>
      </w:tcPr>
    </w:tblStylePr>
    <w:tblStylePr w:type="band1Vert">
      <w:tblPr/>
      <w:tcPr>
        <w:shd w:val="clear" w:color="auto" w:fill="F7F5F4" w:themeFill="accent6" w:themeFillTint="7F"/>
      </w:tcPr>
    </w:tblStylePr>
    <w:tblStylePr w:type="band1Horz">
      <w:tblPr/>
      <w:tcPr>
        <w:tcBorders>
          <w:insideH w:val="single" w:sz="6" w:space="0" w:color="EFECEA" w:themeColor="accent6"/>
          <w:insideV w:val="single" w:sz="6" w:space="0" w:color="EFECEA" w:themeColor="accent6"/>
        </w:tcBorders>
        <w:shd w:val="clear" w:color="auto" w:fill="F7F5F4"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1D660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1D660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CFC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9423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9423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9423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9423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CA09C"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CA09C" w:themeFill="accent1" w:themeFillTint="7F"/>
      </w:tcPr>
    </w:tblStylePr>
  </w:style>
  <w:style w:type="table" w:styleId="MediumGrid3-Accent2">
    <w:name w:val="Medium Grid 3 Accent 2"/>
    <w:basedOn w:val="TableNormal"/>
    <w:uiPriority w:val="69"/>
    <w:semiHidden/>
    <w:unhideWhenUsed/>
    <w:rsid w:val="001D660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F8F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8E6F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8E6F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8E6F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8E6F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BF2F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BF2F7" w:themeFill="accent2" w:themeFillTint="7F"/>
      </w:tcPr>
    </w:tblStylePr>
  </w:style>
  <w:style w:type="table" w:styleId="MediumGrid3-Accent3">
    <w:name w:val="Medium Grid 3 Accent 3"/>
    <w:basedOn w:val="TableNormal"/>
    <w:uiPriority w:val="69"/>
    <w:semiHidden/>
    <w:unhideWhenUsed/>
    <w:rsid w:val="001D660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FC9D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252B"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252B"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252B"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252B"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E93A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E93A5" w:themeFill="accent3" w:themeFillTint="7F"/>
      </w:tcPr>
    </w:tblStylePr>
  </w:style>
  <w:style w:type="table" w:styleId="MediumGrid3-Accent4">
    <w:name w:val="Medium Grid 3 Accent 4"/>
    <w:basedOn w:val="TableNormal"/>
    <w:uiPriority w:val="69"/>
    <w:semiHidden/>
    <w:unhideWhenUsed/>
    <w:rsid w:val="001D660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7CFD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33E48"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33E48"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33E48"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33E48"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E9FA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E9FAF" w:themeFill="accent4" w:themeFillTint="7F"/>
      </w:tcPr>
    </w:tblStylePr>
  </w:style>
  <w:style w:type="table" w:styleId="MediumGrid3-Accent5">
    <w:name w:val="Medium Grid 3 Accent 5"/>
    <w:basedOn w:val="TableNormal"/>
    <w:uiPriority w:val="69"/>
    <w:semiHidden/>
    <w:unhideWhenUsed/>
    <w:rsid w:val="001D660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F5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9D9D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9D9D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9D9D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9D9D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CE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CECEA" w:themeFill="accent5" w:themeFillTint="7F"/>
      </w:tcPr>
    </w:tblStylePr>
  </w:style>
  <w:style w:type="table" w:styleId="MediumGrid3-Accent6">
    <w:name w:val="Medium Grid 3 Accent 6"/>
    <w:basedOn w:val="TableNormal"/>
    <w:uiPriority w:val="69"/>
    <w:semiHidden/>
    <w:unhideWhenUsed/>
    <w:rsid w:val="001D6600"/>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FAF9"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FECEA"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FECEA"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FECEA"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FECEA"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F5F4"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F5F4" w:themeFill="accent6" w:themeFillTint="7F"/>
      </w:tcPr>
    </w:tblStylePr>
  </w:style>
  <w:style w:type="table" w:styleId="MediumList1">
    <w:name w:val="Medium List 1"/>
    <w:basedOn w:val="TableNormal"/>
    <w:uiPriority w:val="65"/>
    <w:semiHidden/>
    <w:unhideWhenUsed/>
    <w:rsid w:val="001D6600"/>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F9423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1D6600"/>
    <w:tblPr>
      <w:tblStyleRowBandSize w:val="1"/>
      <w:tblStyleColBandSize w:val="1"/>
      <w:tblBorders>
        <w:top w:val="single" w:sz="8" w:space="0" w:color="F9423A" w:themeColor="accent1"/>
        <w:bottom w:val="single" w:sz="8" w:space="0" w:color="F9423A" w:themeColor="accent1"/>
      </w:tblBorders>
    </w:tblPr>
    <w:tblStylePr w:type="firstRow">
      <w:rPr>
        <w:rFonts w:asciiTheme="majorHAnsi" w:eastAsiaTheme="majorEastAsia" w:hAnsiTheme="majorHAnsi" w:cstheme="majorBidi"/>
      </w:rPr>
      <w:tblPr/>
      <w:tcPr>
        <w:tcBorders>
          <w:top w:val="nil"/>
          <w:bottom w:val="single" w:sz="8" w:space="0" w:color="F9423A" w:themeColor="accent1"/>
        </w:tcBorders>
      </w:tcPr>
    </w:tblStylePr>
    <w:tblStylePr w:type="lastRow">
      <w:rPr>
        <w:b/>
        <w:bCs/>
        <w:color w:val="F9423A" w:themeColor="text2"/>
      </w:rPr>
      <w:tblPr/>
      <w:tcPr>
        <w:tcBorders>
          <w:top w:val="single" w:sz="8" w:space="0" w:color="F9423A" w:themeColor="accent1"/>
          <w:bottom w:val="single" w:sz="8" w:space="0" w:color="F9423A" w:themeColor="accent1"/>
        </w:tcBorders>
      </w:tcPr>
    </w:tblStylePr>
    <w:tblStylePr w:type="firstCol">
      <w:rPr>
        <w:b/>
        <w:bCs/>
      </w:rPr>
    </w:tblStylePr>
    <w:tblStylePr w:type="lastCol">
      <w:rPr>
        <w:b/>
        <w:bCs/>
      </w:rPr>
      <w:tblPr/>
      <w:tcPr>
        <w:tcBorders>
          <w:top w:val="single" w:sz="8" w:space="0" w:color="F9423A" w:themeColor="accent1"/>
          <w:bottom w:val="single" w:sz="8" w:space="0" w:color="F9423A" w:themeColor="accent1"/>
        </w:tcBorders>
      </w:tcPr>
    </w:tblStylePr>
    <w:tblStylePr w:type="band1Vert">
      <w:tblPr/>
      <w:tcPr>
        <w:shd w:val="clear" w:color="auto" w:fill="FDCFCE" w:themeFill="accent1" w:themeFillTint="3F"/>
      </w:tcPr>
    </w:tblStylePr>
    <w:tblStylePr w:type="band1Horz">
      <w:tblPr/>
      <w:tcPr>
        <w:shd w:val="clear" w:color="auto" w:fill="FDCFCE" w:themeFill="accent1" w:themeFillTint="3F"/>
      </w:tcPr>
    </w:tblStylePr>
  </w:style>
  <w:style w:type="table" w:styleId="MediumList1-Accent2">
    <w:name w:val="Medium List 1 Accent 2"/>
    <w:basedOn w:val="TableNormal"/>
    <w:uiPriority w:val="65"/>
    <w:semiHidden/>
    <w:unhideWhenUsed/>
    <w:rsid w:val="001D6600"/>
    <w:tblPr>
      <w:tblStyleRowBandSize w:val="1"/>
      <w:tblStyleColBandSize w:val="1"/>
      <w:tblBorders>
        <w:top w:val="single" w:sz="8" w:space="0" w:color="D8E6F0" w:themeColor="accent2"/>
        <w:bottom w:val="single" w:sz="8" w:space="0" w:color="D8E6F0" w:themeColor="accent2"/>
      </w:tblBorders>
    </w:tblPr>
    <w:tblStylePr w:type="firstRow">
      <w:rPr>
        <w:rFonts w:asciiTheme="majorHAnsi" w:eastAsiaTheme="majorEastAsia" w:hAnsiTheme="majorHAnsi" w:cstheme="majorBidi"/>
      </w:rPr>
      <w:tblPr/>
      <w:tcPr>
        <w:tcBorders>
          <w:top w:val="nil"/>
          <w:bottom w:val="single" w:sz="8" w:space="0" w:color="D8E6F0" w:themeColor="accent2"/>
        </w:tcBorders>
      </w:tcPr>
    </w:tblStylePr>
    <w:tblStylePr w:type="lastRow">
      <w:rPr>
        <w:b/>
        <w:bCs/>
        <w:color w:val="F9423A" w:themeColor="text2"/>
      </w:rPr>
      <w:tblPr/>
      <w:tcPr>
        <w:tcBorders>
          <w:top w:val="single" w:sz="8" w:space="0" w:color="D8E6F0" w:themeColor="accent2"/>
          <w:bottom w:val="single" w:sz="8" w:space="0" w:color="D8E6F0" w:themeColor="accent2"/>
        </w:tcBorders>
      </w:tcPr>
    </w:tblStylePr>
    <w:tblStylePr w:type="firstCol">
      <w:rPr>
        <w:b/>
        <w:bCs/>
      </w:rPr>
    </w:tblStylePr>
    <w:tblStylePr w:type="lastCol">
      <w:rPr>
        <w:b/>
        <w:bCs/>
      </w:rPr>
      <w:tblPr/>
      <w:tcPr>
        <w:tcBorders>
          <w:top w:val="single" w:sz="8" w:space="0" w:color="D8E6F0" w:themeColor="accent2"/>
          <w:bottom w:val="single" w:sz="8" w:space="0" w:color="D8E6F0" w:themeColor="accent2"/>
        </w:tcBorders>
      </w:tcPr>
    </w:tblStylePr>
    <w:tblStylePr w:type="band1Vert">
      <w:tblPr/>
      <w:tcPr>
        <w:shd w:val="clear" w:color="auto" w:fill="F5F8FB" w:themeFill="accent2" w:themeFillTint="3F"/>
      </w:tcPr>
    </w:tblStylePr>
    <w:tblStylePr w:type="band1Horz">
      <w:tblPr/>
      <w:tcPr>
        <w:shd w:val="clear" w:color="auto" w:fill="F5F8FB" w:themeFill="accent2" w:themeFillTint="3F"/>
      </w:tcPr>
    </w:tblStylePr>
  </w:style>
  <w:style w:type="table" w:styleId="MediumList1-Accent3">
    <w:name w:val="Medium List 1 Accent 3"/>
    <w:basedOn w:val="TableNormal"/>
    <w:uiPriority w:val="65"/>
    <w:semiHidden/>
    <w:unhideWhenUsed/>
    <w:rsid w:val="001D6600"/>
    <w:tblPr>
      <w:tblStyleRowBandSize w:val="1"/>
      <w:tblStyleColBandSize w:val="1"/>
      <w:tblBorders>
        <w:top w:val="single" w:sz="8" w:space="0" w:color="1E252B" w:themeColor="accent3"/>
        <w:bottom w:val="single" w:sz="8" w:space="0" w:color="1E252B" w:themeColor="accent3"/>
      </w:tblBorders>
    </w:tblPr>
    <w:tblStylePr w:type="firstRow">
      <w:rPr>
        <w:rFonts w:asciiTheme="majorHAnsi" w:eastAsiaTheme="majorEastAsia" w:hAnsiTheme="majorHAnsi" w:cstheme="majorBidi"/>
      </w:rPr>
      <w:tblPr/>
      <w:tcPr>
        <w:tcBorders>
          <w:top w:val="nil"/>
          <w:bottom w:val="single" w:sz="8" w:space="0" w:color="1E252B" w:themeColor="accent3"/>
        </w:tcBorders>
      </w:tcPr>
    </w:tblStylePr>
    <w:tblStylePr w:type="lastRow">
      <w:rPr>
        <w:b/>
        <w:bCs/>
        <w:color w:val="F9423A" w:themeColor="text2"/>
      </w:rPr>
      <w:tblPr/>
      <w:tcPr>
        <w:tcBorders>
          <w:top w:val="single" w:sz="8" w:space="0" w:color="1E252B" w:themeColor="accent3"/>
          <w:bottom w:val="single" w:sz="8" w:space="0" w:color="1E252B" w:themeColor="accent3"/>
        </w:tcBorders>
      </w:tcPr>
    </w:tblStylePr>
    <w:tblStylePr w:type="firstCol">
      <w:rPr>
        <w:b/>
        <w:bCs/>
      </w:rPr>
    </w:tblStylePr>
    <w:tblStylePr w:type="lastCol">
      <w:rPr>
        <w:b/>
        <w:bCs/>
      </w:rPr>
      <w:tblPr/>
      <w:tcPr>
        <w:tcBorders>
          <w:top w:val="single" w:sz="8" w:space="0" w:color="1E252B" w:themeColor="accent3"/>
          <w:bottom w:val="single" w:sz="8" w:space="0" w:color="1E252B" w:themeColor="accent3"/>
        </w:tcBorders>
      </w:tcPr>
    </w:tblStylePr>
    <w:tblStylePr w:type="band1Vert">
      <w:tblPr/>
      <w:tcPr>
        <w:shd w:val="clear" w:color="auto" w:fill="BFC9D2" w:themeFill="accent3" w:themeFillTint="3F"/>
      </w:tcPr>
    </w:tblStylePr>
    <w:tblStylePr w:type="band1Horz">
      <w:tblPr/>
      <w:tcPr>
        <w:shd w:val="clear" w:color="auto" w:fill="BFC9D2" w:themeFill="accent3" w:themeFillTint="3F"/>
      </w:tcPr>
    </w:tblStylePr>
  </w:style>
  <w:style w:type="table" w:styleId="MediumList1-Accent4">
    <w:name w:val="Medium List 1 Accent 4"/>
    <w:basedOn w:val="TableNormal"/>
    <w:uiPriority w:val="65"/>
    <w:semiHidden/>
    <w:unhideWhenUsed/>
    <w:rsid w:val="001D6600"/>
    <w:tblPr>
      <w:tblStyleRowBandSize w:val="1"/>
      <w:tblStyleColBandSize w:val="1"/>
      <w:tblBorders>
        <w:top w:val="single" w:sz="8" w:space="0" w:color="333E48" w:themeColor="accent4"/>
        <w:bottom w:val="single" w:sz="8" w:space="0" w:color="333E48" w:themeColor="accent4"/>
      </w:tblBorders>
    </w:tblPr>
    <w:tblStylePr w:type="firstRow">
      <w:rPr>
        <w:rFonts w:asciiTheme="majorHAnsi" w:eastAsiaTheme="majorEastAsia" w:hAnsiTheme="majorHAnsi" w:cstheme="majorBidi"/>
      </w:rPr>
      <w:tblPr/>
      <w:tcPr>
        <w:tcBorders>
          <w:top w:val="nil"/>
          <w:bottom w:val="single" w:sz="8" w:space="0" w:color="333E48" w:themeColor="accent4"/>
        </w:tcBorders>
      </w:tcPr>
    </w:tblStylePr>
    <w:tblStylePr w:type="lastRow">
      <w:rPr>
        <w:b/>
        <w:bCs/>
        <w:color w:val="F9423A" w:themeColor="text2"/>
      </w:rPr>
      <w:tblPr/>
      <w:tcPr>
        <w:tcBorders>
          <w:top w:val="single" w:sz="8" w:space="0" w:color="333E48" w:themeColor="accent4"/>
          <w:bottom w:val="single" w:sz="8" w:space="0" w:color="333E48" w:themeColor="accent4"/>
        </w:tcBorders>
      </w:tcPr>
    </w:tblStylePr>
    <w:tblStylePr w:type="firstCol">
      <w:rPr>
        <w:b/>
        <w:bCs/>
      </w:rPr>
    </w:tblStylePr>
    <w:tblStylePr w:type="lastCol">
      <w:rPr>
        <w:b/>
        <w:bCs/>
      </w:rPr>
      <w:tblPr/>
      <w:tcPr>
        <w:tcBorders>
          <w:top w:val="single" w:sz="8" w:space="0" w:color="333E48" w:themeColor="accent4"/>
          <w:bottom w:val="single" w:sz="8" w:space="0" w:color="333E48" w:themeColor="accent4"/>
        </w:tcBorders>
      </w:tcPr>
    </w:tblStylePr>
    <w:tblStylePr w:type="band1Vert">
      <w:tblPr/>
      <w:tcPr>
        <w:shd w:val="clear" w:color="auto" w:fill="C7CFD7" w:themeFill="accent4" w:themeFillTint="3F"/>
      </w:tcPr>
    </w:tblStylePr>
    <w:tblStylePr w:type="band1Horz">
      <w:tblPr/>
      <w:tcPr>
        <w:shd w:val="clear" w:color="auto" w:fill="C7CFD7" w:themeFill="accent4" w:themeFillTint="3F"/>
      </w:tcPr>
    </w:tblStylePr>
  </w:style>
  <w:style w:type="table" w:styleId="MediumList1-Accent5">
    <w:name w:val="Medium List 1 Accent 5"/>
    <w:basedOn w:val="TableNormal"/>
    <w:uiPriority w:val="65"/>
    <w:semiHidden/>
    <w:unhideWhenUsed/>
    <w:rsid w:val="001D6600"/>
    <w:tblPr>
      <w:tblStyleRowBandSize w:val="1"/>
      <w:tblStyleColBandSize w:val="1"/>
      <w:tblBorders>
        <w:top w:val="single" w:sz="8" w:space="0" w:color="D9D9D6" w:themeColor="accent5"/>
        <w:bottom w:val="single" w:sz="8" w:space="0" w:color="D9D9D6" w:themeColor="accent5"/>
      </w:tblBorders>
    </w:tblPr>
    <w:tblStylePr w:type="firstRow">
      <w:rPr>
        <w:rFonts w:asciiTheme="majorHAnsi" w:eastAsiaTheme="majorEastAsia" w:hAnsiTheme="majorHAnsi" w:cstheme="majorBidi"/>
      </w:rPr>
      <w:tblPr/>
      <w:tcPr>
        <w:tcBorders>
          <w:top w:val="nil"/>
          <w:bottom w:val="single" w:sz="8" w:space="0" w:color="D9D9D6" w:themeColor="accent5"/>
        </w:tcBorders>
      </w:tcPr>
    </w:tblStylePr>
    <w:tblStylePr w:type="lastRow">
      <w:rPr>
        <w:b/>
        <w:bCs/>
        <w:color w:val="F9423A" w:themeColor="text2"/>
      </w:rPr>
      <w:tblPr/>
      <w:tcPr>
        <w:tcBorders>
          <w:top w:val="single" w:sz="8" w:space="0" w:color="D9D9D6" w:themeColor="accent5"/>
          <w:bottom w:val="single" w:sz="8" w:space="0" w:color="D9D9D6" w:themeColor="accent5"/>
        </w:tcBorders>
      </w:tcPr>
    </w:tblStylePr>
    <w:tblStylePr w:type="firstCol">
      <w:rPr>
        <w:b/>
        <w:bCs/>
      </w:rPr>
    </w:tblStylePr>
    <w:tblStylePr w:type="lastCol">
      <w:rPr>
        <w:b/>
        <w:bCs/>
      </w:rPr>
      <w:tblPr/>
      <w:tcPr>
        <w:tcBorders>
          <w:top w:val="single" w:sz="8" w:space="0" w:color="D9D9D6" w:themeColor="accent5"/>
          <w:bottom w:val="single" w:sz="8" w:space="0" w:color="D9D9D6" w:themeColor="accent5"/>
        </w:tcBorders>
      </w:tcPr>
    </w:tblStylePr>
    <w:tblStylePr w:type="band1Vert">
      <w:tblPr/>
      <w:tcPr>
        <w:shd w:val="clear" w:color="auto" w:fill="F5F5F4" w:themeFill="accent5" w:themeFillTint="3F"/>
      </w:tcPr>
    </w:tblStylePr>
    <w:tblStylePr w:type="band1Horz">
      <w:tblPr/>
      <w:tcPr>
        <w:shd w:val="clear" w:color="auto" w:fill="F5F5F4" w:themeFill="accent5" w:themeFillTint="3F"/>
      </w:tcPr>
    </w:tblStylePr>
  </w:style>
  <w:style w:type="table" w:styleId="MediumList1-Accent6">
    <w:name w:val="Medium List 1 Accent 6"/>
    <w:basedOn w:val="TableNormal"/>
    <w:uiPriority w:val="65"/>
    <w:semiHidden/>
    <w:unhideWhenUsed/>
    <w:rsid w:val="001D6600"/>
    <w:tblPr>
      <w:tblStyleRowBandSize w:val="1"/>
      <w:tblStyleColBandSize w:val="1"/>
      <w:tblBorders>
        <w:top w:val="single" w:sz="8" w:space="0" w:color="EFECEA" w:themeColor="accent6"/>
        <w:bottom w:val="single" w:sz="8" w:space="0" w:color="EFECEA" w:themeColor="accent6"/>
      </w:tblBorders>
    </w:tblPr>
    <w:tblStylePr w:type="firstRow">
      <w:rPr>
        <w:rFonts w:asciiTheme="majorHAnsi" w:eastAsiaTheme="majorEastAsia" w:hAnsiTheme="majorHAnsi" w:cstheme="majorBidi"/>
      </w:rPr>
      <w:tblPr/>
      <w:tcPr>
        <w:tcBorders>
          <w:top w:val="nil"/>
          <w:bottom w:val="single" w:sz="8" w:space="0" w:color="EFECEA" w:themeColor="accent6"/>
        </w:tcBorders>
      </w:tcPr>
    </w:tblStylePr>
    <w:tblStylePr w:type="lastRow">
      <w:rPr>
        <w:b/>
        <w:bCs/>
        <w:color w:val="F9423A" w:themeColor="text2"/>
      </w:rPr>
      <w:tblPr/>
      <w:tcPr>
        <w:tcBorders>
          <w:top w:val="single" w:sz="8" w:space="0" w:color="EFECEA" w:themeColor="accent6"/>
          <w:bottom w:val="single" w:sz="8" w:space="0" w:color="EFECEA" w:themeColor="accent6"/>
        </w:tcBorders>
      </w:tcPr>
    </w:tblStylePr>
    <w:tblStylePr w:type="firstCol">
      <w:rPr>
        <w:b/>
        <w:bCs/>
      </w:rPr>
    </w:tblStylePr>
    <w:tblStylePr w:type="lastCol">
      <w:rPr>
        <w:b/>
        <w:bCs/>
      </w:rPr>
      <w:tblPr/>
      <w:tcPr>
        <w:tcBorders>
          <w:top w:val="single" w:sz="8" w:space="0" w:color="EFECEA" w:themeColor="accent6"/>
          <w:bottom w:val="single" w:sz="8" w:space="0" w:color="EFECEA" w:themeColor="accent6"/>
        </w:tcBorders>
      </w:tcPr>
    </w:tblStylePr>
    <w:tblStylePr w:type="band1Vert">
      <w:tblPr/>
      <w:tcPr>
        <w:shd w:val="clear" w:color="auto" w:fill="FBFAF9" w:themeFill="accent6" w:themeFillTint="3F"/>
      </w:tcPr>
    </w:tblStylePr>
    <w:tblStylePr w:type="band1Horz">
      <w:tblPr/>
      <w:tcPr>
        <w:shd w:val="clear" w:color="auto" w:fill="FBFAF9" w:themeFill="accent6" w:themeFillTint="3F"/>
      </w:tcPr>
    </w:tblStylePr>
  </w:style>
  <w:style w:type="table" w:styleId="MediumList2">
    <w:name w:val="Medium List 2"/>
    <w:basedOn w:val="TableNormal"/>
    <w:uiPriority w:val="66"/>
    <w:semiHidden/>
    <w:unhideWhenUsed/>
    <w:rsid w:val="001D6600"/>
    <w:rPr>
      <w:rFonts w:eastAsiaTheme="majorEastAsia"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1D6600"/>
    <w:rPr>
      <w:rFonts w:eastAsiaTheme="majorEastAsia" w:cstheme="majorBidi"/>
    </w:rPr>
    <w:tblPr>
      <w:tblStyleRowBandSize w:val="1"/>
      <w:tblStyleColBandSize w:val="1"/>
      <w:tblBorders>
        <w:top w:val="single" w:sz="8" w:space="0" w:color="F9423A" w:themeColor="accent1"/>
        <w:left w:val="single" w:sz="8" w:space="0" w:color="F9423A" w:themeColor="accent1"/>
        <w:bottom w:val="single" w:sz="8" w:space="0" w:color="F9423A" w:themeColor="accent1"/>
        <w:right w:val="single" w:sz="8" w:space="0" w:color="F9423A" w:themeColor="accent1"/>
      </w:tblBorders>
    </w:tblPr>
    <w:tblStylePr w:type="firstRow">
      <w:rPr>
        <w:sz w:val="24"/>
        <w:szCs w:val="24"/>
      </w:rPr>
      <w:tblPr/>
      <w:tcPr>
        <w:tcBorders>
          <w:top w:val="nil"/>
          <w:left w:val="nil"/>
          <w:bottom w:val="single" w:sz="24" w:space="0" w:color="F9423A" w:themeColor="accent1"/>
          <w:right w:val="nil"/>
          <w:insideH w:val="nil"/>
          <w:insideV w:val="nil"/>
        </w:tcBorders>
        <w:shd w:val="clear" w:color="auto" w:fill="FFFFFF" w:themeFill="background1"/>
      </w:tcPr>
    </w:tblStylePr>
    <w:tblStylePr w:type="lastRow">
      <w:tblPr/>
      <w:tcPr>
        <w:tcBorders>
          <w:top w:val="single" w:sz="8" w:space="0" w:color="F9423A"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9423A" w:themeColor="accent1"/>
          <w:insideH w:val="nil"/>
          <w:insideV w:val="nil"/>
        </w:tcBorders>
        <w:shd w:val="clear" w:color="auto" w:fill="FFFFFF" w:themeFill="background1"/>
      </w:tcPr>
    </w:tblStylePr>
    <w:tblStylePr w:type="lastCol">
      <w:tblPr/>
      <w:tcPr>
        <w:tcBorders>
          <w:top w:val="nil"/>
          <w:left w:val="single" w:sz="8" w:space="0" w:color="F9423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CFCE" w:themeFill="accent1" w:themeFillTint="3F"/>
      </w:tcPr>
    </w:tblStylePr>
    <w:tblStylePr w:type="band1Horz">
      <w:tblPr/>
      <w:tcPr>
        <w:tcBorders>
          <w:top w:val="nil"/>
          <w:bottom w:val="nil"/>
          <w:insideH w:val="nil"/>
          <w:insideV w:val="nil"/>
        </w:tcBorders>
        <w:shd w:val="clear" w:color="auto" w:fill="FDCFC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1D6600"/>
    <w:rPr>
      <w:rFonts w:eastAsiaTheme="majorEastAsia" w:cstheme="majorBidi"/>
    </w:rPr>
    <w:tblPr>
      <w:tblStyleRowBandSize w:val="1"/>
      <w:tblStyleColBandSize w:val="1"/>
      <w:tblBorders>
        <w:top w:val="single" w:sz="8" w:space="0" w:color="D8E6F0" w:themeColor="accent2"/>
        <w:left w:val="single" w:sz="8" w:space="0" w:color="D8E6F0" w:themeColor="accent2"/>
        <w:bottom w:val="single" w:sz="8" w:space="0" w:color="D8E6F0" w:themeColor="accent2"/>
        <w:right w:val="single" w:sz="8" w:space="0" w:color="D8E6F0" w:themeColor="accent2"/>
      </w:tblBorders>
    </w:tblPr>
    <w:tblStylePr w:type="firstRow">
      <w:rPr>
        <w:sz w:val="24"/>
        <w:szCs w:val="24"/>
      </w:rPr>
      <w:tblPr/>
      <w:tcPr>
        <w:tcBorders>
          <w:top w:val="nil"/>
          <w:left w:val="nil"/>
          <w:bottom w:val="single" w:sz="24" w:space="0" w:color="D8E6F0" w:themeColor="accent2"/>
          <w:right w:val="nil"/>
          <w:insideH w:val="nil"/>
          <w:insideV w:val="nil"/>
        </w:tcBorders>
        <w:shd w:val="clear" w:color="auto" w:fill="FFFFFF" w:themeFill="background1"/>
      </w:tcPr>
    </w:tblStylePr>
    <w:tblStylePr w:type="lastRow">
      <w:tblPr/>
      <w:tcPr>
        <w:tcBorders>
          <w:top w:val="single" w:sz="8" w:space="0" w:color="D8E6F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8E6F0" w:themeColor="accent2"/>
          <w:insideH w:val="nil"/>
          <w:insideV w:val="nil"/>
        </w:tcBorders>
        <w:shd w:val="clear" w:color="auto" w:fill="FFFFFF" w:themeFill="background1"/>
      </w:tcPr>
    </w:tblStylePr>
    <w:tblStylePr w:type="lastCol">
      <w:tblPr/>
      <w:tcPr>
        <w:tcBorders>
          <w:top w:val="nil"/>
          <w:left w:val="single" w:sz="8" w:space="0" w:color="D8E6F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F8FB" w:themeFill="accent2" w:themeFillTint="3F"/>
      </w:tcPr>
    </w:tblStylePr>
    <w:tblStylePr w:type="band1Horz">
      <w:tblPr/>
      <w:tcPr>
        <w:tcBorders>
          <w:top w:val="nil"/>
          <w:bottom w:val="nil"/>
          <w:insideH w:val="nil"/>
          <w:insideV w:val="nil"/>
        </w:tcBorders>
        <w:shd w:val="clear" w:color="auto" w:fill="F5F8F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1D6600"/>
    <w:rPr>
      <w:rFonts w:eastAsiaTheme="majorEastAsia" w:cstheme="majorBidi"/>
    </w:rPr>
    <w:tblPr>
      <w:tblStyleRowBandSize w:val="1"/>
      <w:tblStyleColBandSize w:val="1"/>
      <w:tblBorders>
        <w:top w:val="single" w:sz="8" w:space="0" w:color="1E252B" w:themeColor="accent3"/>
        <w:left w:val="single" w:sz="8" w:space="0" w:color="1E252B" w:themeColor="accent3"/>
        <w:bottom w:val="single" w:sz="8" w:space="0" w:color="1E252B" w:themeColor="accent3"/>
        <w:right w:val="single" w:sz="8" w:space="0" w:color="1E252B" w:themeColor="accent3"/>
      </w:tblBorders>
    </w:tblPr>
    <w:tblStylePr w:type="firstRow">
      <w:rPr>
        <w:sz w:val="24"/>
        <w:szCs w:val="24"/>
      </w:rPr>
      <w:tblPr/>
      <w:tcPr>
        <w:tcBorders>
          <w:top w:val="nil"/>
          <w:left w:val="nil"/>
          <w:bottom w:val="single" w:sz="24" w:space="0" w:color="1E252B" w:themeColor="accent3"/>
          <w:right w:val="nil"/>
          <w:insideH w:val="nil"/>
          <w:insideV w:val="nil"/>
        </w:tcBorders>
        <w:shd w:val="clear" w:color="auto" w:fill="FFFFFF" w:themeFill="background1"/>
      </w:tcPr>
    </w:tblStylePr>
    <w:tblStylePr w:type="lastRow">
      <w:tblPr/>
      <w:tcPr>
        <w:tcBorders>
          <w:top w:val="single" w:sz="8" w:space="0" w:color="1E252B"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252B" w:themeColor="accent3"/>
          <w:insideH w:val="nil"/>
          <w:insideV w:val="nil"/>
        </w:tcBorders>
        <w:shd w:val="clear" w:color="auto" w:fill="FFFFFF" w:themeFill="background1"/>
      </w:tcPr>
    </w:tblStylePr>
    <w:tblStylePr w:type="lastCol">
      <w:tblPr/>
      <w:tcPr>
        <w:tcBorders>
          <w:top w:val="nil"/>
          <w:left w:val="single" w:sz="8" w:space="0" w:color="1E252B"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C9D2" w:themeFill="accent3" w:themeFillTint="3F"/>
      </w:tcPr>
    </w:tblStylePr>
    <w:tblStylePr w:type="band1Horz">
      <w:tblPr/>
      <w:tcPr>
        <w:tcBorders>
          <w:top w:val="nil"/>
          <w:bottom w:val="nil"/>
          <w:insideH w:val="nil"/>
          <w:insideV w:val="nil"/>
        </w:tcBorders>
        <w:shd w:val="clear" w:color="auto" w:fill="BFC9D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1D6600"/>
    <w:rPr>
      <w:rFonts w:eastAsiaTheme="majorEastAsia" w:cstheme="majorBidi"/>
    </w:rPr>
    <w:tblPr>
      <w:tblStyleRowBandSize w:val="1"/>
      <w:tblStyleColBandSize w:val="1"/>
      <w:tblBorders>
        <w:top w:val="single" w:sz="8" w:space="0" w:color="333E48" w:themeColor="accent4"/>
        <w:left w:val="single" w:sz="8" w:space="0" w:color="333E48" w:themeColor="accent4"/>
        <w:bottom w:val="single" w:sz="8" w:space="0" w:color="333E48" w:themeColor="accent4"/>
        <w:right w:val="single" w:sz="8" w:space="0" w:color="333E48" w:themeColor="accent4"/>
      </w:tblBorders>
    </w:tblPr>
    <w:tblStylePr w:type="firstRow">
      <w:rPr>
        <w:sz w:val="24"/>
        <w:szCs w:val="24"/>
      </w:rPr>
      <w:tblPr/>
      <w:tcPr>
        <w:tcBorders>
          <w:top w:val="nil"/>
          <w:left w:val="nil"/>
          <w:bottom w:val="single" w:sz="24" w:space="0" w:color="333E48" w:themeColor="accent4"/>
          <w:right w:val="nil"/>
          <w:insideH w:val="nil"/>
          <w:insideV w:val="nil"/>
        </w:tcBorders>
        <w:shd w:val="clear" w:color="auto" w:fill="FFFFFF" w:themeFill="background1"/>
      </w:tcPr>
    </w:tblStylePr>
    <w:tblStylePr w:type="lastRow">
      <w:tblPr/>
      <w:tcPr>
        <w:tcBorders>
          <w:top w:val="single" w:sz="8" w:space="0" w:color="333E48"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33E48" w:themeColor="accent4"/>
          <w:insideH w:val="nil"/>
          <w:insideV w:val="nil"/>
        </w:tcBorders>
        <w:shd w:val="clear" w:color="auto" w:fill="FFFFFF" w:themeFill="background1"/>
      </w:tcPr>
    </w:tblStylePr>
    <w:tblStylePr w:type="lastCol">
      <w:tblPr/>
      <w:tcPr>
        <w:tcBorders>
          <w:top w:val="nil"/>
          <w:left w:val="single" w:sz="8" w:space="0" w:color="333E4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7CFD7" w:themeFill="accent4" w:themeFillTint="3F"/>
      </w:tcPr>
    </w:tblStylePr>
    <w:tblStylePr w:type="band1Horz">
      <w:tblPr/>
      <w:tcPr>
        <w:tcBorders>
          <w:top w:val="nil"/>
          <w:bottom w:val="nil"/>
          <w:insideH w:val="nil"/>
          <w:insideV w:val="nil"/>
        </w:tcBorders>
        <w:shd w:val="clear" w:color="auto" w:fill="C7CFD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1D6600"/>
    <w:rPr>
      <w:rFonts w:eastAsiaTheme="majorEastAsia" w:cstheme="majorBidi"/>
    </w:rPr>
    <w:tblPr>
      <w:tblStyleRowBandSize w:val="1"/>
      <w:tblStyleColBandSize w:val="1"/>
      <w:tblBorders>
        <w:top w:val="single" w:sz="8" w:space="0" w:color="D9D9D6" w:themeColor="accent5"/>
        <w:left w:val="single" w:sz="8" w:space="0" w:color="D9D9D6" w:themeColor="accent5"/>
        <w:bottom w:val="single" w:sz="8" w:space="0" w:color="D9D9D6" w:themeColor="accent5"/>
        <w:right w:val="single" w:sz="8" w:space="0" w:color="D9D9D6" w:themeColor="accent5"/>
      </w:tblBorders>
    </w:tblPr>
    <w:tblStylePr w:type="firstRow">
      <w:rPr>
        <w:sz w:val="24"/>
        <w:szCs w:val="24"/>
      </w:rPr>
      <w:tblPr/>
      <w:tcPr>
        <w:tcBorders>
          <w:top w:val="nil"/>
          <w:left w:val="nil"/>
          <w:bottom w:val="single" w:sz="24" w:space="0" w:color="D9D9D6" w:themeColor="accent5"/>
          <w:right w:val="nil"/>
          <w:insideH w:val="nil"/>
          <w:insideV w:val="nil"/>
        </w:tcBorders>
        <w:shd w:val="clear" w:color="auto" w:fill="FFFFFF" w:themeFill="background1"/>
      </w:tcPr>
    </w:tblStylePr>
    <w:tblStylePr w:type="lastRow">
      <w:tblPr/>
      <w:tcPr>
        <w:tcBorders>
          <w:top w:val="single" w:sz="8" w:space="0" w:color="D9D9D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9D9D6" w:themeColor="accent5"/>
          <w:insideH w:val="nil"/>
          <w:insideV w:val="nil"/>
        </w:tcBorders>
        <w:shd w:val="clear" w:color="auto" w:fill="FFFFFF" w:themeFill="background1"/>
      </w:tcPr>
    </w:tblStylePr>
    <w:tblStylePr w:type="lastCol">
      <w:tblPr/>
      <w:tcPr>
        <w:tcBorders>
          <w:top w:val="nil"/>
          <w:left w:val="single" w:sz="8" w:space="0" w:color="D9D9D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F5F4" w:themeFill="accent5" w:themeFillTint="3F"/>
      </w:tcPr>
    </w:tblStylePr>
    <w:tblStylePr w:type="band1Horz">
      <w:tblPr/>
      <w:tcPr>
        <w:tcBorders>
          <w:top w:val="nil"/>
          <w:bottom w:val="nil"/>
          <w:insideH w:val="nil"/>
          <w:insideV w:val="nil"/>
        </w:tcBorders>
        <w:shd w:val="clear" w:color="auto" w:fill="F5F5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1D6600"/>
    <w:rPr>
      <w:rFonts w:eastAsiaTheme="majorEastAsia" w:cstheme="majorBidi"/>
    </w:rPr>
    <w:tblPr>
      <w:tblStyleRowBandSize w:val="1"/>
      <w:tblStyleColBandSize w:val="1"/>
      <w:tblBorders>
        <w:top w:val="single" w:sz="8" w:space="0" w:color="EFECEA" w:themeColor="accent6"/>
        <w:left w:val="single" w:sz="8" w:space="0" w:color="EFECEA" w:themeColor="accent6"/>
        <w:bottom w:val="single" w:sz="8" w:space="0" w:color="EFECEA" w:themeColor="accent6"/>
        <w:right w:val="single" w:sz="8" w:space="0" w:color="EFECEA" w:themeColor="accent6"/>
      </w:tblBorders>
    </w:tblPr>
    <w:tblStylePr w:type="firstRow">
      <w:rPr>
        <w:sz w:val="24"/>
        <w:szCs w:val="24"/>
      </w:rPr>
      <w:tblPr/>
      <w:tcPr>
        <w:tcBorders>
          <w:top w:val="nil"/>
          <w:left w:val="nil"/>
          <w:bottom w:val="single" w:sz="24" w:space="0" w:color="EFECEA" w:themeColor="accent6"/>
          <w:right w:val="nil"/>
          <w:insideH w:val="nil"/>
          <w:insideV w:val="nil"/>
        </w:tcBorders>
        <w:shd w:val="clear" w:color="auto" w:fill="FFFFFF" w:themeFill="background1"/>
      </w:tcPr>
    </w:tblStylePr>
    <w:tblStylePr w:type="lastRow">
      <w:tblPr/>
      <w:tcPr>
        <w:tcBorders>
          <w:top w:val="single" w:sz="8" w:space="0" w:color="EFECEA"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FECEA" w:themeColor="accent6"/>
          <w:insideH w:val="nil"/>
          <w:insideV w:val="nil"/>
        </w:tcBorders>
        <w:shd w:val="clear" w:color="auto" w:fill="FFFFFF" w:themeFill="background1"/>
      </w:tcPr>
    </w:tblStylePr>
    <w:tblStylePr w:type="lastCol">
      <w:tblPr/>
      <w:tcPr>
        <w:tcBorders>
          <w:top w:val="nil"/>
          <w:left w:val="single" w:sz="8" w:space="0" w:color="EFECEA"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FAF9" w:themeFill="accent6" w:themeFillTint="3F"/>
      </w:tcPr>
    </w:tblStylePr>
    <w:tblStylePr w:type="band1Horz">
      <w:tblPr/>
      <w:tcPr>
        <w:tcBorders>
          <w:top w:val="nil"/>
          <w:bottom w:val="nil"/>
          <w:insideH w:val="nil"/>
          <w:insideV w:val="nil"/>
        </w:tcBorders>
        <w:shd w:val="clear" w:color="auto" w:fill="FBFAF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1D6600"/>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1D6600"/>
    <w:tblPr>
      <w:tblStyleRowBandSize w:val="1"/>
      <w:tblStyleColBandSize w:val="1"/>
      <w:tblBorders>
        <w:top w:val="single" w:sz="8" w:space="0" w:color="FA706B" w:themeColor="accent1" w:themeTint="BF"/>
        <w:left w:val="single" w:sz="8" w:space="0" w:color="FA706B" w:themeColor="accent1" w:themeTint="BF"/>
        <w:bottom w:val="single" w:sz="8" w:space="0" w:color="FA706B" w:themeColor="accent1" w:themeTint="BF"/>
        <w:right w:val="single" w:sz="8" w:space="0" w:color="FA706B" w:themeColor="accent1" w:themeTint="BF"/>
        <w:insideH w:val="single" w:sz="8" w:space="0" w:color="FA706B" w:themeColor="accent1" w:themeTint="BF"/>
      </w:tblBorders>
    </w:tblPr>
    <w:tblStylePr w:type="firstRow">
      <w:pPr>
        <w:spacing w:before="0" w:after="0" w:line="240" w:lineRule="auto"/>
      </w:pPr>
      <w:rPr>
        <w:b/>
        <w:bCs/>
        <w:color w:val="FFFFFF" w:themeColor="background1"/>
      </w:rPr>
      <w:tblPr/>
      <w:tcPr>
        <w:tcBorders>
          <w:top w:val="single" w:sz="8" w:space="0" w:color="FA706B" w:themeColor="accent1" w:themeTint="BF"/>
          <w:left w:val="single" w:sz="8" w:space="0" w:color="FA706B" w:themeColor="accent1" w:themeTint="BF"/>
          <w:bottom w:val="single" w:sz="8" w:space="0" w:color="FA706B" w:themeColor="accent1" w:themeTint="BF"/>
          <w:right w:val="single" w:sz="8" w:space="0" w:color="FA706B" w:themeColor="accent1" w:themeTint="BF"/>
          <w:insideH w:val="nil"/>
          <w:insideV w:val="nil"/>
        </w:tcBorders>
        <w:shd w:val="clear" w:color="auto" w:fill="F9423A" w:themeFill="accent1"/>
      </w:tcPr>
    </w:tblStylePr>
    <w:tblStylePr w:type="lastRow">
      <w:pPr>
        <w:spacing w:before="0" w:after="0" w:line="240" w:lineRule="auto"/>
      </w:pPr>
      <w:rPr>
        <w:b/>
        <w:bCs/>
      </w:rPr>
      <w:tblPr/>
      <w:tcPr>
        <w:tcBorders>
          <w:top w:val="double" w:sz="6" w:space="0" w:color="FA706B" w:themeColor="accent1" w:themeTint="BF"/>
          <w:left w:val="single" w:sz="8" w:space="0" w:color="FA706B" w:themeColor="accent1" w:themeTint="BF"/>
          <w:bottom w:val="single" w:sz="8" w:space="0" w:color="FA706B" w:themeColor="accent1" w:themeTint="BF"/>
          <w:right w:val="single" w:sz="8" w:space="0" w:color="FA706B" w:themeColor="accent1" w:themeTint="BF"/>
          <w:insideH w:val="nil"/>
          <w:insideV w:val="nil"/>
        </w:tcBorders>
      </w:tcPr>
    </w:tblStylePr>
    <w:tblStylePr w:type="firstCol">
      <w:rPr>
        <w:b/>
        <w:bCs/>
      </w:rPr>
    </w:tblStylePr>
    <w:tblStylePr w:type="lastCol">
      <w:rPr>
        <w:b/>
        <w:bCs/>
      </w:rPr>
    </w:tblStylePr>
    <w:tblStylePr w:type="band1Vert">
      <w:tblPr/>
      <w:tcPr>
        <w:shd w:val="clear" w:color="auto" w:fill="FDCFCE" w:themeFill="accent1" w:themeFillTint="3F"/>
      </w:tcPr>
    </w:tblStylePr>
    <w:tblStylePr w:type="band1Horz">
      <w:tblPr/>
      <w:tcPr>
        <w:tcBorders>
          <w:insideH w:val="nil"/>
          <w:insideV w:val="nil"/>
        </w:tcBorders>
        <w:shd w:val="clear" w:color="auto" w:fill="FDCFC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1D6600"/>
    <w:tblPr>
      <w:tblStyleRowBandSize w:val="1"/>
      <w:tblStyleColBandSize w:val="1"/>
      <w:tblBorders>
        <w:top w:val="single" w:sz="8" w:space="0" w:color="E1ECF3" w:themeColor="accent2" w:themeTint="BF"/>
        <w:left w:val="single" w:sz="8" w:space="0" w:color="E1ECF3" w:themeColor="accent2" w:themeTint="BF"/>
        <w:bottom w:val="single" w:sz="8" w:space="0" w:color="E1ECF3" w:themeColor="accent2" w:themeTint="BF"/>
        <w:right w:val="single" w:sz="8" w:space="0" w:color="E1ECF3" w:themeColor="accent2" w:themeTint="BF"/>
        <w:insideH w:val="single" w:sz="8" w:space="0" w:color="E1ECF3" w:themeColor="accent2" w:themeTint="BF"/>
      </w:tblBorders>
    </w:tblPr>
    <w:tblStylePr w:type="firstRow">
      <w:pPr>
        <w:spacing w:before="0" w:after="0" w:line="240" w:lineRule="auto"/>
      </w:pPr>
      <w:rPr>
        <w:b/>
        <w:bCs/>
        <w:color w:val="FFFFFF" w:themeColor="background1"/>
      </w:rPr>
      <w:tblPr/>
      <w:tcPr>
        <w:tcBorders>
          <w:top w:val="single" w:sz="8" w:space="0" w:color="E1ECF3" w:themeColor="accent2" w:themeTint="BF"/>
          <w:left w:val="single" w:sz="8" w:space="0" w:color="E1ECF3" w:themeColor="accent2" w:themeTint="BF"/>
          <w:bottom w:val="single" w:sz="8" w:space="0" w:color="E1ECF3" w:themeColor="accent2" w:themeTint="BF"/>
          <w:right w:val="single" w:sz="8" w:space="0" w:color="E1ECF3" w:themeColor="accent2" w:themeTint="BF"/>
          <w:insideH w:val="nil"/>
          <w:insideV w:val="nil"/>
        </w:tcBorders>
        <w:shd w:val="clear" w:color="auto" w:fill="D8E6F0" w:themeFill="accent2"/>
      </w:tcPr>
    </w:tblStylePr>
    <w:tblStylePr w:type="lastRow">
      <w:pPr>
        <w:spacing w:before="0" w:after="0" w:line="240" w:lineRule="auto"/>
      </w:pPr>
      <w:rPr>
        <w:b/>
        <w:bCs/>
      </w:rPr>
      <w:tblPr/>
      <w:tcPr>
        <w:tcBorders>
          <w:top w:val="double" w:sz="6" w:space="0" w:color="E1ECF3" w:themeColor="accent2" w:themeTint="BF"/>
          <w:left w:val="single" w:sz="8" w:space="0" w:color="E1ECF3" w:themeColor="accent2" w:themeTint="BF"/>
          <w:bottom w:val="single" w:sz="8" w:space="0" w:color="E1ECF3" w:themeColor="accent2" w:themeTint="BF"/>
          <w:right w:val="single" w:sz="8" w:space="0" w:color="E1ECF3" w:themeColor="accent2" w:themeTint="BF"/>
          <w:insideH w:val="nil"/>
          <w:insideV w:val="nil"/>
        </w:tcBorders>
      </w:tcPr>
    </w:tblStylePr>
    <w:tblStylePr w:type="firstCol">
      <w:rPr>
        <w:b/>
        <w:bCs/>
      </w:rPr>
    </w:tblStylePr>
    <w:tblStylePr w:type="lastCol">
      <w:rPr>
        <w:b/>
        <w:bCs/>
      </w:rPr>
    </w:tblStylePr>
    <w:tblStylePr w:type="band1Vert">
      <w:tblPr/>
      <w:tcPr>
        <w:shd w:val="clear" w:color="auto" w:fill="F5F8FB" w:themeFill="accent2" w:themeFillTint="3F"/>
      </w:tcPr>
    </w:tblStylePr>
    <w:tblStylePr w:type="band1Horz">
      <w:tblPr/>
      <w:tcPr>
        <w:tcBorders>
          <w:insideH w:val="nil"/>
          <w:insideV w:val="nil"/>
        </w:tcBorders>
        <w:shd w:val="clear" w:color="auto" w:fill="F5F8F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1D6600"/>
    <w:tblPr>
      <w:tblStyleRowBandSize w:val="1"/>
      <w:tblStyleColBandSize w:val="1"/>
      <w:tblBorders>
        <w:top w:val="single" w:sz="8" w:space="0" w:color="4B5C6B" w:themeColor="accent3" w:themeTint="BF"/>
        <w:left w:val="single" w:sz="8" w:space="0" w:color="4B5C6B" w:themeColor="accent3" w:themeTint="BF"/>
        <w:bottom w:val="single" w:sz="8" w:space="0" w:color="4B5C6B" w:themeColor="accent3" w:themeTint="BF"/>
        <w:right w:val="single" w:sz="8" w:space="0" w:color="4B5C6B" w:themeColor="accent3" w:themeTint="BF"/>
        <w:insideH w:val="single" w:sz="8" w:space="0" w:color="4B5C6B" w:themeColor="accent3" w:themeTint="BF"/>
      </w:tblBorders>
    </w:tblPr>
    <w:tblStylePr w:type="firstRow">
      <w:pPr>
        <w:spacing w:before="0" w:after="0" w:line="240" w:lineRule="auto"/>
      </w:pPr>
      <w:rPr>
        <w:b/>
        <w:bCs/>
        <w:color w:val="FFFFFF" w:themeColor="background1"/>
      </w:rPr>
      <w:tblPr/>
      <w:tcPr>
        <w:tcBorders>
          <w:top w:val="single" w:sz="8" w:space="0" w:color="4B5C6B" w:themeColor="accent3" w:themeTint="BF"/>
          <w:left w:val="single" w:sz="8" w:space="0" w:color="4B5C6B" w:themeColor="accent3" w:themeTint="BF"/>
          <w:bottom w:val="single" w:sz="8" w:space="0" w:color="4B5C6B" w:themeColor="accent3" w:themeTint="BF"/>
          <w:right w:val="single" w:sz="8" w:space="0" w:color="4B5C6B" w:themeColor="accent3" w:themeTint="BF"/>
          <w:insideH w:val="nil"/>
          <w:insideV w:val="nil"/>
        </w:tcBorders>
        <w:shd w:val="clear" w:color="auto" w:fill="1E252B" w:themeFill="accent3"/>
      </w:tcPr>
    </w:tblStylePr>
    <w:tblStylePr w:type="lastRow">
      <w:pPr>
        <w:spacing w:before="0" w:after="0" w:line="240" w:lineRule="auto"/>
      </w:pPr>
      <w:rPr>
        <w:b/>
        <w:bCs/>
      </w:rPr>
      <w:tblPr/>
      <w:tcPr>
        <w:tcBorders>
          <w:top w:val="double" w:sz="6" w:space="0" w:color="4B5C6B" w:themeColor="accent3" w:themeTint="BF"/>
          <w:left w:val="single" w:sz="8" w:space="0" w:color="4B5C6B" w:themeColor="accent3" w:themeTint="BF"/>
          <w:bottom w:val="single" w:sz="8" w:space="0" w:color="4B5C6B" w:themeColor="accent3" w:themeTint="BF"/>
          <w:right w:val="single" w:sz="8" w:space="0" w:color="4B5C6B" w:themeColor="accent3" w:themeTint="BF"/>
          <w:insideH w:val="nil"/>
          <w:insideV w:val="nil"/>
        </w:tcBorders>
      </w:tcPr>
    </w:tblStylePr>
    <w:tblStylePr w:type="firstCol">
      <w:rPr>
        <w:b/>
        <w:bCs/>
      </w:rPr>
    </w:tblStylePr>
    <w:tblStylePr w:type="lastCol">
      <w:rPr>
        <w:b/>
        <w:bCs/>
      </w:rPr>
    </w:tblStylePr>
    <w:tblStylePr w:type="band1Vert">
      <w:tblPr/>
      <w:tcPr>
        <w:shd w:val="clear" w:color="auto" w:fill="BFC9D2" w:themeFill="accent3" w:themeFillTint="3F"/>
      </w:tcPr>
    </w:tblStylePr>
    <w:tblStylePr w:type="band1Horz">
      <w:tblPr/>
      <w:tcPr>
        <w:tcBorders>
          <w:insideH w:val="nil"/>
          <w:insideV w:val="nil"/>
        </w:tcBorders>
        <w:shd w:val="clear" w:color="auto" w:fill="BFC9D2"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1D6600"/>
    <w:tblPr>
      <w:tblStyleRowBandSize w:val="1"/>
      <w:tblStyleColBandSize w:val="1"/>
      <w:tblBorders>
        <w:top w:val="single" w:sz="8" w:space="0" w:color="5B6E80" w:themeColor="accent4" w:themeTint="BF"/>
        <w:left w:val="single" w:sz="8" w:space="0" w:color="5B6E80" w:themeColor="accent4" w:themeTint="BF"/>
        <w:bottom w:val="single" w:sz="8" w:space="0" w:color="5B6E80" w:themeColor="accent4" w:themeTint="BF"/>
        <w:right w:val="single" w:sz="8" w:space="0" w:color="5B6E80" w:themeColor="accent4" w:themeTint="BF"/>
        <w:insideH w:val="single" w:sz="8" w:space="0" w:color="5B6E80" w:themeColor="accent4" w:themeTint="BF"/>
      </w:tblBorders>
    </w:tblPr>
    <w:tblStylePr w:type="firstRow">
      <w:pPr>
        <w:spacing w:before="0" w:after="0" w:line="240" w:lineRule="auto"/>
      </w:pPr>
      <w:rPr>
        <w:b/>
        <w:bCs/>
        <w:color w:val="FFFFFF" w:themeColor="background1"/>
      </w:rPr>
      <w:tblPr/>
      <w:tcPr>
        <w:tcBorders>
          <w:top w:val="single" w:sz="8" w:space="0" w:color="5B6E80" w:themeColor="accent4" w:themeTint="BF"/>
          <w:left w:val="single" w:sz="8" w:space="0" w:color="5B6E80" w:themeColor="accent4" w:themeTint="BF"/>
          <w:bottom w:val="single" w:sz="8" w:space="0" w:color="5B6E80" w:themeColor="accent4" w:themeTint="BF"/>
          <w:right w:val="single" w:sz="8" w:space="0" w:color="5B6E80" w:themeColor="accent4" w:themeTint="BF"/>
          <w:insideH w:val="nil"/>
          <w:insideV w:val="nil"/>
        </w:tcBorders>
        <w:shd w:val="clear" w:color="auto" w:fill="333E48" w:themeFill="accent4"/>
      </w:tcPr>
    </w:tblStylePr>
    <w:tblStylePr w:type="lastRow">
      <w:pPr>
        <w:spacing w:before="0" w:after="0" w:line="240" w:lineRule="auto"/>
      </w:pPr>
      <w:rPr>
        <w:b/>
        <w:bCs/>
      </w:rPr>
      <w:tblPr/>
      <w:tcPr>
        <w:tcBorders>
          <w:top w:val="double" w:sz="6" w:space="0" w:color="5B6E80" w:themeColor="accent4" w:themeTint="BF"/>
          <w:left w:val="single" w:sz="8" w:space="0" w:color="5B6E80" w:themeColor="accent4" w:themeTint="BF"/>
          <w:bottom w:val="single" w:sz="8" w:space="0" w:color="5B6E80" w:themeColor="accent4" w:themeTint="BF"/>
          <w:right w:val="single" w:sz="8" w:space="0" w:color="5B6E80" w:themeColor="accent4" w:themeTint="BF"/>
          <w:insideH w:val="nil"/>
          <w:insideV w:val="nil"/>
        </w:tcBorders>
      </w:tcPr>
    </w:tblStylePr>
    <w:tblStylePr w:type="firstCol">
      <w:rPr>
        <w:b/>
        <w:bCs/>
      </w:rPr>
    </w:tblStylePr>
    <w:tblStylePr w:type="lastCol">
      <w:rPr>
        <w:b/>
        <w:bCs/>
      </w:rPr>
    </w:tblStylePr>
    <w:tblStylePr w:type="band1Vert">
      <w:tblPr/>
      <w:tcPr>
        <w:shd w:val="clear" w:color="auto" w:fill="C7CFD7" w:themeFill="accent4" w:themeFillTint="3F"/>
      </w:tcPr>
    </w:tblStylePr>
    <w:tblStylePr w:type="band1Horz">
      <w:tblPr/>
      <w:tcPr>
        <w:tcBorders>
          <w:insideH w:val="nil"/>
          <w:insideV w:val="nil"/>
        </w:tcBorders>
        <w:shd w:val="clear" w:color="auto" w:fill="C7CFD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1D6600"/>
    <w:tblPr>
      <w:tblStyleRowBandSize w:val="1"/>
      <w:tblStyleColBandSize w:val="1"/>
      <w:tblBorders>
        <w:top w:val="single" w:sz="8" w:space="0" w:color="E2E2E0" w:themeColor="accent5" w:themeTint="BF"/>
        <w:left w:val="single" w:sz="8" w:space="0" w:color="E2E2E0" w:themeColor="accent5" w:themeTint="BF"/>
        <w:bottom w:val="single" w:sz="8" w:space="0" w:color="E2E2E0" w:themeColor="accent5" w:themeTint="BF"/>
        <w:right w:val="single" w:sz="8" w:space="0" w:color="E2E2E0" w:themeColor="accent5" w:themeTint="BF"/>
        <w:insideH w:val="single" w:sz="8" w:space="0" w:color="E2E2E0" w:themeColor="accent5" w:themeTint="BF"/>
      </w:tblBorders>
    </w:tblPr>
    <w:tblStylePr w:type="firstRow">
      <w:pPr>
        <w:spacing w:before="0" w:after="0" w:line="240" w:lineRule="auto"/>
      </w:pPr>
      <w:rPr>
        <w:b/>
        <w:bCs/>
        <w:color w:val="FFFFFF" w:themeColor="background1"/>
      </w:rPr>
      <w:tblPr/>
      <w:tcPr>
        <w:tcBorders>
          <w:top w:val="single" w:sz="8" w:space="0" w:color="E2E2E0" w:themeColor="accent5" w:themeTint="BF"/>
          <w:left w:val="single" w:sz="8" w:space="0" w:color="E2E2E0" w:themeColor="accent5" w:themeTint="BF"/>
          <w:bottom w:val="single" w:sz="8" w:space="0" w:color="E2E2E0" w:themeColor="accent5" w:themeTint="BF"/>
          <w:right w:val="single" w:sz="8" w:space="0" w:color="E2E2E0" w:themeColor="accent5" w:themeTint="BF"/>
          <w:insideH w:val="nil"/>
          <w:insideV w:val="nil"/>
        </w:tcBorders>
        <w:shd w:val="clear" w:color="auto" w:fill="D9D9D6" w:themeFill="accent5"/>
      </w:tcPr>
    </w:tblStylePr>
    <w:tblStylePr w:type="lastRow">
      <w:pPr>
        <w:spacing w:before="0" w:after="0" w:line="240" w:lineRule="auto"/>
      </w:pPr>
      <w:rPr>
        <w:b/>
        <w:bCs/>
      </w:rPr>
      <w:tblPr/>
      <w:tcPr>
        <w:tcBorders>
          <w:top w:val="double" w:sz="6" w:space="0" w:color="E2E2E0" w:themeColor="accent5" w:themeTint="BF"/>
          <w:left w:val="single" w:sz="8" w:space="0" w:color="E2E2E0" w:themeColor="accent5" w:themeTint="BF"/>
          <w:bottom w:val="single" w:sz="8" w:space="0" w:color="E2E2E0" w:themeColor="accent5" w:themeTint="BF"/>
          <w:right w:val="single" w:sz="8" w:space="0" w:color="E2E2E0" w:themeColor="accent5" w:themeTint="BF"/>
          <w:insideH w:val="nil"/>
          <w:insideV w:val="nil"/>
        </w:tcBorders>
      </w:tcPr>
    </w:tblStylePr>
    <w:tblStylePr w:type="firstCol">
      <w:rPr>
        <w:b/>
        <w:bCs/>
      </w:rPr>
    </w:tblStylePr>
    <w:tblStylePr w:type="lastCol">
      <w:rPr>
        <w:b/>
        <w:bCs/>
      </w:rPr>
    </w:tblStylePr>
    <w:tblStylePr w:type="band1Vert">
      <w:tblPr/>
      <w:tcPr>
        <w:shd w:val="clear" w:color="auto" w:fill="F5F5F4" w:themeFill="accent5" w:themeFillTint="3F"/>
      </w:tcPr>
    </w:tblStylePr>
    <w:tblStylePr w:type="band1Horz">
      <w:tblPr/>
      <w:tcPr>
        <w:tcBorders>
          <w:insideH w:val="nil"/>
          <w:insideV w:val="nil"/>
        </w:tcBorders>
        <w:shd w:val="clear" w:color="auto" w:fill="F5F5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1D6600"/>
    <w:tblPr>
      <w:tblStyleRowBandSize w:val="1"/>
      <w:tblStyleColBandSize w:val="1"/>
      <w:tblBorders>
        <w:top w:val="single" w:sz="8" w:space="0" w:color="F3F0EF" w:themeColor="accent6" w:themeTint="BF"/>
        <w:left w:val="single" w:sz="8" w:space="0" w:color="F3F0EF" w:themeColor="accent6" w:themeTint="BF"/>
        <w:bottom w:val="single" w:sz="8" w:space="0" w:color="F3F0EF" w:themeColor="accent6" w:themeTint="BF"/>
        <w:right w:val="single" w:sz="8" w:space="0" w:color="F3F0EF" w:themeColor="accent6" w:themeTint="BF"/>
        <w:insideH w:val="single" w:sz="8" w:space="0" w:color="F3F0EF" w:themeColor="accent6" w:themeTint="BF"/>
      </w:tblBorders>
    </w:tblPr>
    <w:tblStylePr w:type="firstRow">
      <w:pPr>
        <w:spacing w:before="0" w:after="0" w:line="240" w:lineRule="auto"/>
      </w:pPr>
      <w:rPr>
        <w:b/>
        <w:bCs/>
        <w:color w:val="FFFFFF" w:themeColor="background1"/>
      </w:rPr>
      <w:tblPr/>
      <w:tcPr>
        <w:tcBorders>
          <w:top w:val="single" w:sz="8" w:space="0" w:color="F3F0EF" w:themeColor="accent6" w:themeTint="BF"/>
          <w:left w:val="single" w:sz="8" w:space="0" w:color="F3F0EF" w:themeColor="accent6" w:themeTint="BF"/>
          <w:bottom w:val="single" w:sz="8" w:space="0" w:color="F3F0EF" w:themeColor="accent6" w:themeTint="BF"/>
          <w:right w:val="single" w:sz="8" w:space="0" w:color="F3F0EF" w:themeColor="accent6" w:themeTint="BF"/>
          <w:insideH w:val="nil"/>
          <w:insideV w:val="nil"/>
        </w:tcBorders>
        <w:shd w:val="clear" w:color="auto" w:fill="EFECEA" w:themeFill="accent6"/>
      </w:tcPr>
    </w:tblStylePr>
    <w:tblStylePr w:type="lastRow">
      <w:pPr>
        <w:spacing w:before="0" w:after="0" w:line="240" w:lineRule="auto"/>
      </w:pPr>
      <w:rPr>
        <w:b/>
        <w:bCs/>
      </w:rPr>
      <w:tblPr/>
      <w:tcPr>
        <w:tcBorders>
          <w:top w:val="double" w:sz="6" w:space="0" w:color="F3F0EF" w:themeColor="accent6" w:themeTint="BF"/>
          <w:left w:val="single" w:sz="8" w:space="0" w:color="F3F0EF" w:themeColor="accent6" w:themeTint="BF"/>
          <w:bottom w:val="single" w:sz="8" w:space="0" w:color="F3F0EF" w:themeColor="accent6" w:themeTint="BF"/>
          <w:right w:val="single" w:sz="8" w:space="0" w:color="F3F0EF"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FAF9" w:themeFill="accent6" w:themeFillTint="3F"/>
      </w:tcPr>
    </w:tblStylePr>
    <w:tblStylePr w:type="band1Horz">
      <w:tblPr/>
      <w:tcPr>
        <w:tcBorders>
          <w:insideH w:val="nil"/>
          <w:insideV w:val="nil"/>
        </w:tcBorders>
        <w:shd w:val="clear" w:color="auto" w:fill="FBFAF9"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1D660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1D660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9423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9423A" w:themeFill="accent1"/>
      </w:tcPr>
    </w:tblStylePr>
    <w:tblStylePr w:type="lastCol">
      <w:rPr>
        <w:b/>
        <w:bCs/>
        <w:color w:val="FFFFFF" w:themeColor="background1"/>
      </w:rPr>
      <w:tblPr/>
      <w:tcPr>
        <w:tcBorders>
          <w:left w:val="nil"/>
          <w:right w:val="nil"/>
          <w:insideH w:val="nil"/>
          <w:insideV w:val="nil"/>
        </w:tcBorders>
        <w:shd w:val="clear" w:color="auto" w:fill="F9423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1D660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8E6F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8E6F0" w:themeFill="accent2"/>
      </w:tcPr>
    </w:tblStylePr>
    <w:tblStylePr w:type="lastCol">
      <w:rPr>
        <w:b/>
        <w:bCs/>
        <w:color w:val="FFFFFF" w:themeColor="background1"/>
      </w:rPr>
      <w:tblPr/>
      <w:tcPr>
        <w:tcBorders>
          <w:left w:val="nil"/>
          <w:right w:val="nil"/>
          <w:insideH w:val="nil"/>
          <w:insideV w:val="nil"/>
        </w:tcBorders>
        <w:shd w:val="clear" w:color="auto" w:fill="D8E6F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1D660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252B"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E252B" w:themeFill="accent3"/>
      </w:tcPr>
    </w:tblStylePr>
    <w:tblStylePr w:type="lastCol">
      <w:rPr>
        <w:b/>
        <w:bCs/>
        <w:color w:val="FFFFFF" w:themeColor="background1"/>
      </w:rPr>
      <w:tblPr/>
      <w:tcPr>
        <w:tcBorders>
          <w:left w:val="nil"/>
          <w:right w:val="nil"/>
          <w:insideH w:val="nil"/>
          <w:insideV w:val="nil"/>
        </w:tcBorders>
        <w:shd w:val="clear" w:color="auto" w:fill="1E252B"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1D660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33E48"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33E48" w:themeFill="accent4"/>
      </w:tcPr>
    </w:tblStylePr>
    <w:tblStylePr w:type="lastCol">
      <w:rPr>
        <w:b/>
        <w:bCs/>
        <w:color w:val="FFFFFF" w:themeColor="background1"/>
      </w:rPr>
      <w:tblPr/>
      <w:tcPr>
        <w:tcBorders>
          <w:left w:val="nil"/>
          <w:right w:val="nil"/>
          <w:insideH w:val="nil"/>
          <w:insideV w:val="nil"/>
        </w:tcBorders>
        <w:shd w:val="clear" w:color="auto" w:fill="333E48"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1D660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9D9D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9D9D6" w:themeFill="accent5"/>
      </w:tcPr>
    </w:tblStylePr>
    <w:tblStylePr w:type="lastCol">
      <w:rPr>
        <w:b/>
        <w:bCs/>
        <w:color w:val="FFFFFF" w:themeColor="background1"/>
      </w:rPr>
      <w:tblPr/>
      <w:tcPr>
        <w:tcBorders>
          <w:left w:val="nil"/>
          <w:right w:val="nil"/>
          <w:insideH w:val="nil"/>
          <w:insideV w:val="nil"/>
        </w:tcBorders>
        <w:shd w:val="clear" w:color="auto" w:fill="D9D9D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1D660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FECEA"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FECEA" w:themeFill="accent6"/>
      </w:tcPr>
    </w:tblStylePr>
    <w:tblStylePr w:type="lastCol">
      <w:rPr>
        <w:b/>
        <w:bCs/>
        <w:color w:val="FFFFFF" w:themeColor="background1"/>
      </w:rPr>
      <w:tblPr/>
      <w:tcPr>
        <w:tcBorders>
          <w:left w:val="nil"/>
          <w:right w:val="nil"/>
          <w:insideH w:val="nil"/>
          <w:insideV w:val="nil"/>
        </w:tcBorders>
        <w:shd w:val="clear" w:color="auto" w:fill="EFECEA"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1D6600"/>
    <w:pPr>
      <w:pBdr>
        <w:top w:val="single" w:sz="6" w:space="1" w:color="auto"/>
        <w:left w:val="single" w:sz="6" w:space="1" w:color="auto"/>
        <w:bottom w:val="single" w:sz="6" w:space="1" w:color="auto"/>
        <w:right w:val="single" w:sz="6" w:space="1" w:color="auto"/>
      </w:pBdr>
      <w:shd w:val="pct20" w:color="auto" w:fill="auto"/>
      <w:ind w:left="1134" w:hanging="1134"/>
    </w:pPr>
    <w:rPr>
      <w:rFonts w:eastAsiaTheme="majorEastAsia" w:cstheme="majorBidi"/>
      <w:szCs w:val="24"/>
    </w:rPr>
  </w:style>
  <w:style w:type="character" w:customStyle="1" w:styleId="MessageHeaderChar">
    <w:name w:val="Message Header Char"/>
    <w:basedOn w:val="DefaultParagraphFont"/>
    <w:link w:val="MessageHeader"/>
    <w:uiPriority w:val="99"/>
    <w:semiHidden/>
    <w:rsid w:val="001D6600"/>
    <w:rPr>
      <w:rFonts w:ascii="Montserrat Light" w:eastAsiaTheme="majorEastAsia" w:hAnsi="Montserrat Light" w:cstheme="majorBidi"/>
      <w:color w:val="1D252C"/>
      <w:sz w:val="20"/>
      <w:szCs w:val="24"/>
      <w:shd w:val="pct20" w:color="auto" w:fill="auto"/>
    </w:rPr>
  </w:style>
  <w:style w:type="paragraph" w:styleId="NoSpacing">
    <w:name w:val="No Spacing"/>
    <w:uiPriority w:val="1"/>
    <w:qFormat/>
    <w:rsid w:val="001D6600"/>
    <w:rPr>
      <w:rFonts w:ascii="Montserrat Light" w:hAnsi="Montserrat Light"/>
      <w:color w:val="1D252C"/>
    </w:rPr>
  </w:style>
  <w:style w:type="paragraph" w:styleId="NormalWeb">
    <w:name w:val="Normal (Web)"/>
    <w:basedOn w:val="Normal"/>
    <w:uiPriority w:val="99"/>
    <w:unhideWhenUsed/>
    <w:rsid w:val="001D6600"/>
    <w:rPr>
      <w:rFonts w:cs="Times New Roman"/>
      <w:szCs w:val="24"/>
    </w:rPr>
  </w:style>
  <w:style w:type="paragraph" w:styleId="NormalIndent">
    <w:name w:val="Normal Indent"/>
    <w:basedOn w:val="Normal"/>
    <w:uiPriority w:val="99"/>
    <w:semiHidden/>
    <w:unhideWhenUsed/>
    <w:rsid w:val="001D6600"/>
    <w:pPr>
      <w:ind w:left="720"/>
    </w:pPr>
  </w:style>
  <w:style w:type="paragraph" w:styleId="NoteHeading">
    <w:name w:val="Note Heading"/>
    <w:basedOn w:val="Normal"/>
    <w:next w:val="Normal"/>
    <w:link w:val="NoteHeadingChar"/>
    <w:uiPriority w:val="99"/>
    <w:semiHidden/>
    <w:unhideWhenUsed/>
    <w:rsid w:val="001D6600"/>
  </w:style>
  <w:style w:type="character" w:customStyle="1" w:styleId="NoteHeadingChar">
    <w:name w:val="Note Heading Char"/>
    <w:basedOn w:val="DefaultParagraphFont"/>
    <w:link w:val="NoteHeading"/>
    <w:uiPriority w:val="99"/>
    <w:semiHidden/>
    <w:rsid w:val="001D6600"/>
    <w:rPr>
      <w:rFonts w:ascii="Montserrat Light" w:hAnsi="Montserrat Light"/>
      <w:color w:val="1D252C"/>
      <w:sz w:val="20"/>
    </w:rPr>
  </w:style>
  <w:style w:type="character" w:styleId="PageNumber">
    <w:name w:val="page number"/>
    <w:basedOn w:val="DefaultParagraphFont"/>
    <w:semiHidden/>
    <w:unhideWhenUsed/>
    <w:rsid w:val="001D6600"/>
    <w:rPr>
      <w:rFonts w:ascii="Montserrat Light" w:hAnsi="Montserrat Light"/>
      <w:color w:val="1D252C"/>
      <w:sz w:val="20"/>
    </w:rPr>
  </w:style>
  <w:style w:type="character" w:styleId="PlaceholderText">
    <w:name w:val="Placeholder Text"/>
    <w:basedOn w:val="DefaultParagraphFont"/>
    <w:uiPriority w:val="99"/>
    <w:semiHidden/>
    <w:rsid w:val="001D6600"/>
    <w:rPr>
      <w:rFonts w:ascii="Montserrat Light" w:hAnsi="Montserrat Light"/>
      <w:color w:val="1D252C"/>
      <w:sz w:val="20"/>
    </w:rPr>
  </w:style>
  <w:style w:type="table" w:styleId="PlainTable1">
    <w:name w:val="Plain Table 1"/>
    <w:basedOn w:val="TableNormal"/>
    <w:uiPriority w:val="41"/>
    <w:rsid w:val="001D6600"/>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1D6600"/>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1D660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1D660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1D660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1D6600"/>
    <w:rPr>
      <w:rFonts w:cs="Consolas"/>
      <w:szCs w:val="21"/>
    </w:rPr>
  </w:style>
  <w:style w:type="character" w:customStyle="1" w:styleId="PlainTextChar">
    <w:name w:val="Plain Text Char"/>
    <w:basedOn w:val="DefaultParagraphFont"/>
    <w:link w:val="PlainText"/>
    <w:uiPriority w:val="99"/>
    <w:semiHidden/>
    <w:rsid w:val="001D6600"/>
    <w:rPr>
      <w:rFonts w:ascii="Montserrat Light" w:hAnsi="Montserrat Light" w:cs="Consolas"/>
      <w:color w:val="1D252C"/>
      <w:sz w:val="20"/>
      <w:szCs w:val="21"/>
    </w:rPr>
  </w:style>
  <w:style w:type="paragraph" w:styleId="Quote">
    <w:name w:val="Quote"/>
    <w:basedOn w:val="Normal"/>
    <w:next w:val="Normal"/>
    <w:link w:val="QuoteChar"/>
    <w:uiPriority w:val="29"/>
    <w:qFormat/>
    <w:rsid w:val="000C6935"/>
    <w:pPr>
      <w:spacing w:before="200"/>
      <w:ind w:left="864" w:right="864"/>
    </w:pPr>
    <w:rPr>
      <w:i/>
      <w:iCs/>
    </w:rPr>
  </w:style>
  <w:style w:type="character" w:customStyle="1" w:styleId="QuoteChar">
    <w:name w:val="Quote Char"/>
    <w:basedOn w:val="DefaultParagraphFont"/>
    <w:link w:val="Quote"/>
    <w:uiPriority w:val="29"/>
    <w:rsid w:val="000C6935"/>
    <w:rPr>
      <w:rFonts w:ascii="Montserrat Light" w:hAnsi="Montserrat Light"/>
      <w:i/>
      <w:iCs/>
      <w:color w:val="1D252C"/>
    </w:rPr>
  </w:style>
  <w:style w:type="paragraph" w:styleId="Salutation">
    <w:name w:val="Salutation"/>
    <w:basedOn w:val="Normal"/>
    <w:next w:val="Normal"/>
    <w:link w:val="SalutationChar"/>
    <w:uiPriority w:val="99"/>
    <w:semiHidden/>
    <w:unhideWhenUsed/>
    <w:rsid w:val="001D6600"/>
  </w:style>
  <w:style w:type="character" w:customStyle="1" w:styleId="SalutationChar">
    <w:name w:val="Salutation Char"/>
    <w:basedOn w:val="DefaultParagraphFont"/>
    <w:link w:val="Salutation"/>
    <w:uiPriority w:val="99"/>
    <w:semiHidden/>
    <w:rsid w:val="001D6600"/>
    <w:rPr>
      <w:rFonts w:ascii="Montserrat Light" w:hAnsi="Montserrat Light"/>
      <w:color w:val="1D252C"/>
      <w:sz w:val="20"/>
    </w:rPr>
  </w:style>
  <w:style w:type="paragraph" w:styleId="Signature">
    <w:name w:val="Signature"/>
    <w:basedOn w:val="Normal"/>
    <w:link w:val="SignatureChar"/>
    <w:uiPriority w:val="99"/>
    <w:semiHidden/>
    <w:unhideWhenUsed/>
    <w:rsid w:val="001D6600"/>
    <w:pPr>
      <w:ind w:left="4252"/>
    </w:pPr>
  </w:style>
  <w:style w:type="character" w:customStyle="1" w:styleId="SignatureChar">
    <w:name w:val="Signature Char"/>
    <w:basedOn w:val="DefaultParagraphFont"/>
    <w:link w:val="Signature"/>
    <w:uiPriority w:val="99"/>
    <w:semiHidden/>
    <w:rsid w:val="001D6600"/>
    <w:rPr>
      <w:rFonts w:ascii="Montserrat Light" w:hAnsi="Montserrat Light"/>
      <w:color w:val="1D252C"/>
      <w:sz w:val="20"/>
    </w:rPr>
  </w:style>
  <w:style w:type="character" w:styleId="Strong">
    <w:name w:val="Strong"/>
    <w:basedOn w:val="DefaultParagraphFont"/>
    <w:uiPriority w:val="22"/>
    <w:qFormat/>
    <w:rsid w:val="001D6600"/>
    <w:rPr>
      <w:rFonts w:ascii="Montserrat Light" w:hAnsi="Montserrat Light"/>
      <w:b/>
      <w:bCs/>
      <w:color w:val="1D252C"/>
      <w:sz w:val="20"/>
    </w:rPr>
  </w:style>
  <w:style w:type="paragraph" w:styleId="Subtitle">
    <w:name w:val="Subtitle"/>
    <w:basedOn w:val="Normal"/>
    <w:next w:val="Normal"/>
    <w:link w:val="SubtitleChar"/>
    <w:hidden/>
    <w:uiPriority w:val="2"/>
    <w:unhideWhenUsed/>
    <w:qFormat/>
    <w:rsid w:val="001D6600"/>
    <w:pPr>
      <w:numPr>
        <w:ilvl w:val="1"/>
      </w:numPr>
    </w:pPr>
    <w:rPr>
      <w:rFonts w:eastAsiaTheme="minorEastAsia"/>
      <w:spacing w:val="15"/>
    </w:rPr>
  </w:style>
  <w:style w:type="character" w:customStyle="1" w:styleId="SubtitleChar">
    <w:name w:val="Subtitle Char"/>
    <w:basedOn w:val="DefaultParagraphFont"/>
    <w:link w:val="Subtitle"/>
    <w:uiPriority w:val="2"/>
    <w:rsid w:val="001D6600"/>
    <w:rPr>
      <w:rFonts w:ascii="Montserrat Light" w:eastAsiaTheme="minorEastAsia" w:hAnsi="Montserrat Light"/>
      <w:color w:val="1D252C"/>
      <w:spacing w:val="15"/>
      <w:sz w:val="20"/>
    </w:rPr>
  </w:style>
  <w:style w:type="character" w:styleId="SubtleEmphasis">
    <w:name w:val="Subtle Emphasis"/>
    <w:basedOn w:val="DefaultParagraphFont"/>
    <w:uiPriority w:val="19"/>
    <w:qFormat/>
    <w:rsid w:val="001D6600"/>
    <w:rPr>
      <w:rFonts w:ascii="Montserrat Light" w:hAnsi="Montserrat Light"/>
      <w:i/>
      <w:iCs/>
      <w:color w:val="1D252C"/>
      <w:sz w:val="20"/>
    </w:rPr>
  </w:style>
  <w:style w:type="character" w:styleId="SubtleReference">
    <w:name w:val="Subtle Reference"/>
    <w:basedOn w:val="DefaultParagraphFont"/>
    <w:uiPriority w:val="31"/>
    <w:qFormat/>
    <w:rsid w:val="001D6600"/>
    <w:rPr>
      <w:rFonts w:ascii="Montserrat Light" w:hAnsi="Montserrat Light"/>
      <w:smallCaps/>
      <w:color w:val="1D252C"/>
      <w:sz w:val="20"/>
    </w:rPr>
  </w:style>
  <w:style w:type="table" w:styleId="Table3Deffects1">
    <w:name w:val="Table 3D effects 1"/>
    <w:basedOn w:val="TableNormal"/>
    <w:uiPriority w:val="99"/>
    <w:semiHidden/>
    <w:unhideWhenUsed/>
    <w:rsid w:val="001D660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1D660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1D660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1D660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1D660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1D6600"/>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1D660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1D6600"/>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1D660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1D660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1D660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1D660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1D660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1D660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1D660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1D660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1D660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39"/>
    <w:rsid w:val="001D66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1D660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1D660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1D660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1D660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1D660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1D660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1D660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1D660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1D6600"/>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1D660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1D660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1D660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1D660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1D660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1D660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1D660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1D660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1D6600"/>
    <w:pPr>
      <w:ind w:left="200" w:hanging="200"/>
    </w:pPr>
  </w:style>
  <w:style w:type="paragraph" w:styleId="TableofFigures">
    <w:name w:val="table of figures"/>
    <w:basedOn w:val="Normal"/>
    <w:next w:val="Normal"/>
    <w:uiPriority w:val="99"/>
    <w:unhideWhenUsed/>
    <w:rsid w:val="001D6600"/>
  </w:style>
  <w:style w:type="table" w:styleId="TableProfessional">
    <w:name w:val="Table Professional"/>
    <w:basedOn w:val="TableNormal"/>
    <w:uiPriority w:val="99"/>
    <w:semiHidden/>
    <w:unhideWhenUsed/>
    <w:rsid w:val="001D660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1D660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1D660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1D660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1D660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1D660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1D66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1D660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1D660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1D660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1D6600"/>
    <w:pPr>
      <w:spacing w:before="120"/>
    </w:pPr>
    <w:rPr>
      <w:rFonts w:eastAsiaTheme="majorEastAsia" w:cstheme="majorBidi"/>
      <w:b/>
      <w:bCs/>
      <w:szCs w:val="24"/>
    </w:rPr>
  </w:style>
  <w:style w:type="paragraph" w:styleId="TOC1">
    <w:name w:val="toc 1"/>
    <w:basedOn w:val="Normal"/>
    <w:next w:val="Normal"/>
    <w:autoRedefine/>
    <w:uiPriority w:val="39"/>
    <w:qFormat/>
    <w:rsid w:val="00E13B77"/>
    <w:pPr>
      <w:tabs>
        <w:tab w:val="right" w:leader="dot" w:pos="9628"/>
      </w:tabs>
      <w:spacing w:before="240" w:after="120" w:line="264" w:lineRule="auto"/>
    </w:pPr>
    <w:rPr>
      <w:color w:val="F9423A"/>
    </w:rPr>
  </w:style>
  <w:style w:type="paragraph" w:styleId="TOC2">
    <w:name w:val="toc 2"/>
    <w:basedOn w:val="Normal"/>
    <w:next w:val="Normal"/>
    <w:autoRedefine/>
    <w:uiPriority w:val="39"/>
    <w:qFormat/>
    <w:rsid w:val="00DA7155"/>
    <w:pPr>
      <w:spacing w:before="120" w:line="264" w:lineRule="auto"/>
      <w:ind w:left="567"/>
    </w:pPr>
  </w:style>
  <w:style w:type="paragraph" w:styleId="TOC3">
    <w:name w:val="toc 3"/>
    <w:basedOn w:val="Normal"/>
    <w:next w:val="Normal"/>
    <w:autoRedefine/>
    <w:uiPriority w:val="39"/>
    <w:qFormat/>
    <w:rsid w:val="00DA7155"/>
    <w:pPr>
      <w:spacing w:before="60" w:line="264" w:lineRule="auto"/>
      <w:ind w:left="1134"/>
    </w:pPr>
  </w:style>
  <w:style w:type="paragraph" w:styleId="TOC4">
    <w:name w:val="toc 4"/>
    <w:basedOn w:val="Normal"/>
    <w:next w:val="Normal"/>
    <w:autoRedefine/>
    <w:uiPriority w:val="39"/>
    <w:qFormat/>
    <w:rsid w:val="001D6600"/>
    <w:pPr>
      <w:spacing w:before="60" w:line="264" w:lineRule="auto"/>
      <w:ind w:left="1701"/>
      <w:outlineLvl w:val="0"/>
    </w:pPr>
    <w:rPr>
      <w:i/>
      <w:sz w:val="18"/>
    </w:rPr>
  </w:style>
  <w:style w:type="paragraph" w:styleId="TOC5">
    <w:name w:val="toc 5"/>
    <w:basedOn w:val="Normal"/>
    <w:next w:val="Normal"/>
    <w:autoRedefine/>
    <w:uiPriority w:val="39"/>
    <w:semiHidden/>
    <w:unhideWhenUsed/>
    <w:rsid w:val="001D6600"/>
    <w:pPr>
      <w:spacing w:after="100"/>
      <w:ind w:left="800"/>
    </w:pPr>
  </w:style>
  <w:style w:type="paragraph" w:styleId="TOC6">
    <w:name w:val="toc 6"/>
    <w:basedOn w:val="Normal"/>
    <w:next w:val="Normal"/>
    <w:autoRedefine/>
    <w:uiPriority w:val="39"/>
    <w:semiHidden/>
    <w:unhideWhenUsed/>
    <w:rsid w:val="001D6600"/>
    <w:pPr>
      <w:spacing w:after="100"/>
      <w:ind w:left="1000"/>
    </w:pPr>
  </w:style>
  <w:style w:type="paragraph" w:styleId="TOC7">
    <w:name w:val="toc 7"/>
    <w:basedOn w:val="Normal"/>
    <w:next w:val="Normal"/>
    <w:autoRedefine/>
    <w:uiPriority w:val="39"/>
    <w:semiHidden/>
    <w:unhideWhenUsed/>
    <w:rsid w:val="001D6600"/>
    <w:pPr>
      <w:spacing w:after="100"/>
      <w:ind w:left="1200"/>
    </w:pPr>
  </w:style>
  <w:style w:type="paragraph" w:styleId="TOC8">
    <w:name w:val="toc 8"/>
    <w:basedOn w:val="Normal"/>
    <w:next w:val="Normal"/>
    <w:autoRedefine/>
    <w:uiPriority w:val="39"/>
    <w:semiHidden/>
    <w:unhideWhenUsed/>
    <w:rsid w:val="001D6600"/>
    <w:pPr>
      <w:spacing w:after="100"/>
      <w:ind w:left="1400"/>
    </w:pPr>
  </w:style>
  <w:style w:type="paragraph" w:styleId="TOC9">
    <w:name w:val="toc 9"/>
    <w:basedOn w:val="Normal"/>
    <w:next w:val="Normal"/>
    <w:autoRedefine/>
    <w:uiPriority w:val="39"/>
    <w:semiHidden/>
    <w:unhideWhenUsed/>
    <w:rsid w:val="001D6600"/>
    <w:pPr>
      <w:spacing w:after="100"/>
      <w:ind w:left="1600"/>
    </w:pPr>
  </w:style>
  <w:style w:type="paragraph" w:styleId="TOCHeading">
    <w:name w:val="TOC Heading"/>
    <w:basedOn w:val="Normal"/>
    <w:next w:val="Normal"/>
    <w:uiPriority w:val="39"/>
    <w:qFormat/>
    <w:rsid w:val="001D6600"/>
    <w:pPr>
      <w:spacing w:before="240" w:after="120"/>
      <w:outlineLvl w:val="0"/>
    </w:pPr>
    <w:rPr>
      <w:rFonts w:ascii="Montserrat" w:hAnsi="Montserrat"/>
      <w:color w:val="F9423A"/>
      <w:sz w:val="36"/>
    </w:rPr>
  </w:style>
  <w:style w:type="paragraph" w:customStyle="1" w:styleId="WSPCoverPage-MainTitle">
    <w:name w:val="WSP Cover Page - Main Title"/>
    <w:basedOn w:val="Normal"/>
    <w:link w:val="WSPCoverPage-MainTitleChar"/>
    <w:qFormat/>
    <w:rsid w:val="005C5E8B"/>
    <w:pPr>
      <w:spacing w:after="320"/>
    </w:pPr>
    <w:rPr>
      <w:rFonts w:cs="NettoPro-Bold"/>
      <w:color w:val="F9423A"/>
      <w:kern w:val="28"/>
      <w:sz w:val="60"/>
    </w:rPr>
  </w:style>
  <w:style w:type="character" w:customStyle="1" w:styleId="WSPCoverPage-MainTitleChar">
    <w:name w:val="WSP Cover Page - Main Title Char"/>
    <w:basedOn w:val="DefaultParagraphFont"/>
    <w:link w:val="WSPCoverPage-MainTitle"/>
    <w:rsid w:val="005C5E8B"/>
    <w:rPr>
      <w:rFonts w:ascii="Montserrat Light" w:hAnsi="Montserrat Light" w:cs="NettoPro-Bold"/>
      <w:color w:val="F9423A"/>
      <w:kern w:val="28"/>
      <w:sz w:val="60"/>
    </w:rPr>
  </w:style>
  <w:style w:type="paragraph" w:customStyle="1" w:styleId="WSPCoverPage-Subtitle">
    <w:name w:val="WSP Cover Page - Subtitle"/>
    <w:basedOn w:val="Normal"/>
    <w:link w:val="WSPCoverPage-SubtitleChar"/>
    <w:qFormat/>
    <w:rsid w:val="00A039B1"/>
    <w:pPr>
      <w:spacing w:line="264" w:lineRule="auto"/>
    </w:pPr>
    <w:rPr>
      <w:rFonts w:cs="NettoPro-Bold"/>
      <w:color w:val="F9423A"/>
      <w:kern w:val="28"/>
      <w:sz w:val="40"/>
    </w:rPr>
  </w:style>
  <w:style w:type="character" w:customStyle="1" w:styleId="WSPCoverPage-SubtitleChar">
    <w:name w:val="WSP Cover Page - Subtitle Char"/>
    <w:basedOn w:val="DefaultParagraphFont"/>
    <w:link w:val="WSPCoverPage-Subtitle"/>
    <w:rsid w:val="00A039B1"/>
    <w:rPr>
      <w:rFonts w:ascii="Montserrat Light" w:hAnsi="Montserrat Light" w:cs="NettoPro-Bold"/>
      <w:color w:val="F9423A"/>
      <w:kern w:val="28"/>
      <w:sz w:val="40"/>
    </w:rPr>
  </w:style>
  <w:style w:type="paragraph" w:customStyle="1" w:styleId="WSPHeadingMain">
    <w:name w:val="WSP Heading Main"/>
    <w:basedOn w:val="Normal"/>
    <w:next w:val="BodyText"/>
    <w:link w:val="WSPHeadingMainChar"/>
    <w:qFormat/>
    <w:rsid w:val="001D6600"/>
    <w:pPr>
      <w:spacing w:before="240" w:after="120"/>
      <w:outlineLvl w:val="0"/>
    </w:pPr>
    <w:rPr>
      <w:rFonts w:ascii="Montserrat" w:hAnsi="Montserrat"/>
      <w:color w:val="F9423A"/>
      <w:kern w:val="28"/>
      <w:sz w:val="36"/>
    </w:rPr>
  </w:style>
  <w:style w:type="character" w:customStyle="1" w:styleId="WSPHeadingMainChar">
    <w:name w:val="WSP Heading Main Char"/>
    <w:basedOn w:val="DefaultParagraphFont"/>
    <w:link w:val="WSPHeadingMain"/>
    <w:rsid w:val="001D6600"/>
    <w:rPr>
      <w:rFonts w:ascii="Montserrat" w:hAnsi="Montserrat"/>
      <w:color w:val="F9423A"/>
      <w:kern w:val="28"/>
      <w:sz w:val="36"/>
    </w:rPr>
  </w:style>
  <w:style w:type="paragraph" w:customStyle="1" w:styleId="WSPHeadingSub">
    <w:name w:val="WSP Heading Sub"/>
    <w:basedOn w:val="Normal"/>
    <w:next w:val="BodyText"/>
    <w:link w:val="WSPHeadingSubChar"/>
    <w:qFormat/>
    <w:rsid w:val="001D6600"/>
    <w:pPr>
      <w:spacing w:before="240" w:after="60"/>
      <w:outlineLvl w:val="0"/>
    </w:pPr>
    <w:rPr>
      <w:rFonts w:ascii="Montserrat" w:hAnsi="Montserrat"/>
      <w:color w:val="F9423A"/>
      <w:sz w:val="24"/>
    </w:rPr>
  </w:style>
  <w:style w:type="character" w:customStyle="1" w:styleId="WSPHeadingSubChar">
    <w:name w:val="WSP Heading Sub Char"/>
    <w:basedOn w:val="DefaultParagraphFont"/>
    <w:link w:val="WSPHeadingSub"/>
    <w:rsid w:val="001D6600"/>
    <w:rPr>
      <w:rFonts w:ascii="Montserrat" w:hAnsi="Montserrat"/>
      <w:color w:val="F9423A"/>
      <w:sz w:val="24"/>
    </w:rPr>
  </w:style>
  <w:style w:type="paragraph" w:customStyle="1" w:styleId="WSPHeadingSub-Sub">
    <w:name w:val="WSP Heading Sub-Sub"/>
    <w:basedOn w:val="Normal"/>
    <w:next w:val="BodyText"/>
    <w:link w:val="WSPHeadingSub-SubChar"/>
    <w:qFormat/>
    <w:rsid w:val="001D6600"/>
    <w:pPr>
      <w:spacing w:before="240" w:after="60"/>
      <w:outlineLvl w:val="0"/>
    </w:pPr>
    <w:rPr>
      <w:rFonts w:ascii="Montserrat" w:hAnsi="Montserrat"/>
      <w:i/>
      <w:color w:val="F9423A"/>
    </w:rPr>
  </w:style>
  <w:style w:type="character" w:customStyle="1" w:styleId="WSPHeadingSub-SubChar">
    <w:name w:val="WSP Heading Sub-Sub Char"/>
    <w:basedOn w:val="DefaultParagraphFont"/>
    <w:link w:val="WSPHeadingSub-Sub"/>
    <w:rsid w:val="001D6600"/>
    <w:rPr>
      <w:rFonts w:ascii="Montserrat" w:hAnsi="Montserrat"/>
      <w:i/>
      <w:color w:val="F9423A"/>
      <w:sz w:val="20"/>
    </w:rPr>
  </w:style>
  <w:style w:type="paragraph" w:customStyle="1" w:styleId="ListNumberIndent">
    <w:name w:val="List Number Indent"/>
    <w:link w:val="ListNumberIndentChar"/>
    <w:qFormat/>
    <w:rsid w:val="00667CB3"/>
    <w:pPr>
      <w:numPr>
        <w:numId w:val="7"/>
      </w:numPr>
      <w:spacing w:after="180" w:line="264" w:lineRule="auto"/>
      <w:contextualSpacing/>
    </w:pPr>
    <w:rPr>
      <w:rFonts w:ascii="Montserrat Light" w:hAnsi="Montserrat Light"/>
      <w:color w:val="1D252C"/>
    </w:rPr>
  </w:style>
  <w:style w:type="character" w:customStyle="1" w:styleId="ListNumberIndentChar">
    <w:name w:val="List Number Indent Char"/>
    <w:basedOn w:val="DefaultParagraphFont"/>
    <w:link w:val="ListNumberIndent"/>
    <w:rsid w:val="001D6600"/>
    <w:rPr>
      <w:rFonts w:ascii="Montserrat Light" w:hAnsi="Montserrat Light"/>
      <w:color w:val="1D252C"/>
    </w:rPr>
  </w:style>
  <w:style w:type="paragraph" w:customStyle="1" w:styleId="ListNumber2Indent">
    <w:name w:val="List Number 2 Indent"/>
    <w:basedOn w:val="Normal"/>
    <w:link w:val="ListNumber2IndentChar"/>
    <w:qFormat/>
    <w:rsid w:val="00667CB3"/>
    <w:pPr>
      <w:numPr>
        <w:ilvl w:val="1"/>
        <w:numId w:val="7"/>
      </w:numPr>
      <w:spacing w:after="180" w:line="264" w:lineRule="auto"/>
      <w:contextualSpacing/>
    </w:pPr>
  </w:style>
  <w:style w:type="character" w:customStyle="1" w:styleId="ListNumber2IndentChar">
    <w:name w:val="List Number 2 Indent Char"/>
    <w:basedOn w:val="DefaultParagraphFont"/>
    <w:link w:val="ListNumber2Indent"/>
    <w:rsid w:val="001D6600"/>
    <w:rPr>
      <w:rFonts w:ascii="Montserrat Light" w:hAnsi="Montserrat Light"/>
      <w:color w:val="1D252C"/>
    </w:rPr>
  </w:style>
  <w:style w:type="paragraph" w:customStyle="1" w:styleId="ListNumber3Indent">
    <w:name w:val="List Number 3 Indent"/>
    <w:basedOn w:val="Normal"/>
    <w:link w:val="ListNumber3IndentChar"/>
    <w:qFormat/>
    <w:rsid w:val="00667CB3"/>
    <w:pPr>
      <w:numPr>
        <w:ilvl w:val="2"/>
        <w:numId w:val="7"/>
      </w:numPr>
      <w:spacing w:after="180" w:line="264" w:lineRule="auto"/>
      <w:contextualSpacing/>
    </w:pPr>
    <w:rPr>
      <w:i/>
    </w:rPr>
  </w:style>
  <w:style w:type="character" w:customStyle="1" w:styleId="ListNumber3IndentChar">
    <w:name w:val="List Number 3 Indent Char"/>
    <w:basedOn w:val="DefaultParagraphFont"/>
    <w:link w:val="ListNumber3Indent"/>
    <w:rsid w:val="001D6600"/>
    <w:rPr>
      <w:rFonts w:ascii="Montserrat Light" w:hAnsi="Montserrat Light"/>
      <w:i/>
      <w:color w:val="1D252C"/>
    </w:rPr>
  </w:style>
  <w:style w:type="paragraph" w:customStyle="1" w:styleId="ListBullet6">
    <w:name w:val="List Bullet 6"/>
    <w:basedOn w:val="Normal"/>
    <w:link w:val="ListBullet6Char"/>
    <w:qFormat/>
    <w:rsid w:val="00667CB3"/>
    <w:pPr>
      <w:numPr>
        <w:ilvl w:val="5"/>
        <w:numId w:val="8"/>
      </w:numPr>
      <w:spacing w:after="180" w:line="264" w:lineRule="auto"/>
      <w:contextualSpacing/>
    </w:pPr>
    <w:rPr>
      <w:i/>
    </w:rPr>
  </w:style>
  <w:style w:type="character" w:customStyle="1" w:styleId="ListBullet6Char">
    <w:name w:val="List Bullet 6 Char"/>
    <w:basedOn w:val="DefaultParagraphFont"/>
    <w:link w:val="ListBullet6"/>
    <w:rsid w:val="001D6600"/>
    <w:rPr>
      <w:rFonts w:ascii="Montserrat Light" w:hAnsi="Montserrat Light"/>
      <w:i/>
      <w:color w:val="1D252C"/>
    </w:rPr>
  </w:style>
  <w:style w:type="paragraph" w:customStyle="1" w:styleId="ListBulletIndent">
    <w:name w:val="List Bullet Indent"/>
    <w:link w:val="ListBulletIndentChar"/>
    <w:qFormat/>
    <w:rsid w:val="00667CB3"/>
    <w:pPr>
      <w:numPr>
        <w:numId w:val="1"/>
      </w:numPr>
      <w:spacing w:after="180" w:line="264" w:lineRule="auto"/>
      <w:contextualSpacing/>
    </w:pPr>
    <w:rPr>
      <w:rFonts w:ascii="Montserrat Light" w:hAnsi="Montserrat Light"/>
      <w:color w:val="1D252C"/>
    </w:rPr>
  </w:style>
  <w:style w:type="character" w:customStyle="1" w:styleId="ListBulletIndentChar">
    <w:name w:val="List Bullet Indent Char"/>
    <w:basedOn w:val="DefaultParagraphFont"/>
    <w:link w:val="ListBulletIndent"/>
    <w:rsid w:val="001D6600"/>
    <w:rPr>
      <w:rFonts w:ascii="Montserrat Light" w:hAnsi="Montserrat Light"/>
      <w:color w:val="1D252C"/>
    </w:rPr>
  </w:style>
  <w:style w:type="paragraph" w:customStyle="1" w:styleId="ListBullet2Indent">
    <w:name w:val="List Bullet 2 Indent"/>
    <w:basedOn w:val="Normal"/>
    <w:link w:val="ListBullet2IndentChar"/>
    <w:qFormat/>
    <w:rsid w:val="00667CB3"/>
    <w:pPr>
      <w:numPr>
        <w:ilvl w:val="1"/>
        <w:numId w:val="1"/>
      </w:numPr>
      <w:spacing w:after="180" w:line="264" w:lineRule="auto"/>
      <w:contextualSpacing/>
    </w:pPr>
  </w:style>
  <w:style w:type="character" w:customStyle="1" w:styleId="ListBullet2IndentChar">
    <w:name w:val="List Bullet 2 Indent Char"/>
    <w:basedOn w:val="DefaultParagraphFont"/>
    <w:link w:val="ListBullet2Indent"/>
    <w:rsid w:val="001D6600"/>
    <w:rPr>
      <w:rFonts w:ascii="Montserrat Light" w:hAnsi="Montserrat Light"/>
      <w:color w:val="1D252C"/>
    </w:rPr>
  </w:style>
  <w:style w:type="paragraph" w:customStyle="1" w:styleId="ListBullet3Indent">
    <w:name w:val="List Bullet 3 Indent"/>
    <w:basedOn w:val="Normal"/>
    <w:link w:val="ListBullet3IndentChar"/>
    <w:qFormat/>
    <w:rsid w:val="00667CB3"/>
    <w:pPr>
      <w:numPr>
        <w:ilvl w:val="2"/>
        <w:numId w:val="1"/>
      </w:numPr>
      <w:spacing w:after="180" w:line="264" w:lineRule="auto"/>
      <w:contextualSpacing/>
    </w:pPr>
    <w:rPr>
      <w:i/>
    </w:rPr>
  </w:style>
  <w:style w:type="character" w:customStyle="1" w:styleId="ListBullet3IndentChar">
    <w:name w:val="List Bullet 3 Indent Char"/>
    <w:basedOn w:val="DefaultParagraphFont"/>
    <w:link w:val="ListBullet3Indent"/>
    <w:rsid w:val="001D6600"/>
    <w:rPr>
      <w:rFonts w:ascii="Montserrat Light" w:hAnsi="Montserrat Light"/>
      <w:i/>
      <w:color w:val="1D252C"/>
    </w:rPr>
  </w:style>
  <w:style w:type="paragraph" w:customStyle="1" w:styleId="WSPQuote">
    <w:name w:val="WSP Quote"/>
    <w:basedOn w:val="Normal"/>
    <w:link w:val="WSPQuoteChar"/>
    <w:qFormat/>
    <w:rsid w:val="001D6600"/>
    <w:pPr>
      <w:shd w:val="clear" w:color="auto" w:fill="D9D8D6"/>
      <w:spacing w:after="180" w:line="264" w:lineRule="auto"/>
    </w:pPr>
    <w:rPr>
      <w:b/>
      <w:i/>
    </w:rPr>
  </w:style>
  <w:style w:type="character" w:customStyle="1" w:styleId="WSPQuoteChar">
    <w:name w:val="WSP Quote Char"/>
    <w:basedOn w:val="DefaultParagraphFont"/>
    <w:link w:val="WSPQuote"/>
    <w:rsid w:val="001D6600"/>
    <w:rPr>
      <w:rFonts w:ascii="Montserrat Light" w:hAnsi="Montserrat Light"/>
      <w:b/>
      <w:i/>
      <w:color w:val="1D252C"/>
      <w:sz w:val="20"/>
      <w:shd w:val="clear" w:color="auto" w:fill="D9D8D6"/>
    </w:rPr>
  </w:style>
  <w:style w:type="paragraph" w:customStyle="1" w:styleId="WSPQuoteCaption">
    <w:name w:val="WSP Quote Caption"/>
    <w:basedOn w:val="Normal"/>
    <w:link w:val="WSPQuoteCaptionChar"/>
    <w:qFormat/>
    <w:rsid w:val="001D6600"/>
    <w:pPr>
      <w:shd w:val="clear" w:color="auto" w:fill="D9D8D6"/>
      <w:spacing w:after="180" w:line="264" w:lineRule="auto"/>
      <w:jc w:val="right"/>
    </w:pPr>
    <w:rPr>
      <w:b/>
      <w:i/>
    </w:rPr>
  </w:style>
  <w:style w:type="character" w:customStyle="1" w:styleId="WSPQuoteCaptionChar">
    <w:name w:val="WSP Quote Caption Char"/>
    <w:basedOn w:val="DefaultParagraphFont"/>
    <w:link w:val="WSPQuoteCaption"/>
    <w:rsid w:val="001D6600"/>
    <w:rPr>
      <w:rFonts w:ascii="Montserrat Light" w:hAnsi="Montserrat Light"/>
      <w:b/>
      <w:i/>
      <w:color w:val="1D252C"/>
      <w:sz w:val="20"/>
      <w:shd w:val="clear" w:color="auto" w:fill="D9D8D6"/>
    </w:rPr>
  </w:style>
  <w:style w:type="paragraph" w:customStyle="1" w:styleId="WSPQuoteIndent">
    <w:name w:val="WSP Quote Indent"/>
    <w:basedOn w:val="Normal"/>
    <w:link w:val="WSPQuoteIndentChar"/>
    <w:qFormat/>
    <w:rsid w:val="001D6600"/>
    <w:pPr>
      <w:shd w:val="clear" w:color="auto" w:fill="D9D8D6"/>
      <w:spacing w:after="180" w:line="264" w:lineRule="auto"/>
      <w:ind w:left="567"/>
    </w:pPr>
    <w:rPr>
      <w:b/>
      <w:i/>
    </w:rPr>
  </w:style>
  <w:style w:type="character" w:customStyle="1" w:styleId="WSPQuoteIndentChar">
    <w:name w:val="WSP Quote Indent Char"/>
    <w:basedOn w:val="DefaultParagraphFont"/>
    <w:link w:val="WSPQuoteIndent"/>
    <w:rsid w:val="001D6600"/>
    <w:rPr>
      <w:rFonts w:ascii="Montserrat Light" w:hAnsi="Montserrat Light"/>
      <w:b/>
      <w:i/>
      <w:color w:val="1D252C"/>
      <w:sz w:val="20"/>
      <w:shd w:val="clear" w:color="auto" w:fill="D9D8D6"/>
    </w:rPr>
  </w:style>
  <w:style w:type="paragraph" w:customStyle="1" w:styleId="WSPQuoteCaptionIndent">
    <w:name w:val="WSP Quote Caption Indent"/>
    <w:basedOn w:val="Normal"/>
    <w:link w:val="WSPQuoteCaptionIndentChar"/>
    <w:qFormat/>
    <w:rsid w:val="001D6600"/>
    <w:pPr>
      <w:shd w:val="clear" w:color="auto" w:fill="D9D8D6"/>
      <w:spacing w:after="180" w:line="264" w:lineRule="auto"/>
      <w:ind w:left="567"/>
      <w:jc w:val="right"/>
    </w:pPr>
    <w:rPr>
      <w:b/>
      <w:i/>
    </w:rPr>
  </w:style>
  <w:style w:type="character" w:customStyle="1" w:styleId="WSPQuoteCaptionIndentChar">
    <w:name w:val="WSP Quote Caption Indent Char"/>
    <w:basedOn w:val="DefaultParagraphFont"/>
    <w:link w:val="WSPQuoteCaptionIndent"/>
    <w:rsid w:val="001D6600"/>
    <w:rPr>
      <w:rFonts w:ascii="Montserrat Light" w:hAnsi="Montserrat Light"/>
      <w:b/>
      <w:i/>
      <w:color w:val="1D252C"/>
      <w:sz w:val="20"/>
      <w:shd w:val="clear" w:color="auto" w:fill="D9D8D6"/>
    </w:rPr>
  </w:style>
  <w:style w:type="paragraph" w:customStyle="1" w:styleId="WSPWebsite">
    <w:name w:val="WSP Website"/>
    <w:basedOn w:val="Normal"/>
    <w:link w:val="WSPWebsiteChar"/>
    <w:qFormat/>
    <w:rsid w:val="00EB0CC7"/>
    <w:rPr>
      <w:color w:val="F9423A"/>
      <w:sz w:val="12"/>
    </w:rPr>
  </w:style>
  <w:style w:type="character" w:customStyle="1" w:styleId="WSPWebsiteChar">
    <w:name w:val="WSP Website Char"/>
    <w:basedOn w:val="DefaultParagraphFont"/>
    <w:link w:val="WSPWebsite"/>
    <w:rsid w:val="00EB0CC7"/>
    <w:rPr>
      <w:rFonts w:ascii="Montserrat Light" w:hAnsi="Montserrat Light"/>
      <w:color w:val="F9423A"/>
      <w:sz w:val="12"/>
    </w:rPr>
  </w:style>
  <w:style w:type="paragraph" w:customStyle="1" w:styleId="TitleHeader">
    <w:name w:val="Title Header"/>
    <w:basedOn w:val="Normal"/>
    <w:rsid w:val="00773830"/>
    <w:pPr>
      <w:framePr w:wrap="around" w:vAnchor="page" w:hAnchor="margin" w:y="4027"/>
      <w:spacing w:after="240" w:line="264" w:lineRule="auto"/>
    </w:pPr>
    <w:rPr>
      <w:rFonts w:eastAsiaTheme="minorEastAsia"/>
      <w:i/>
      <w:szCs w:val="22"/>
      <w:lang w:eastAsia="en-NZ"/>
    </w:rPr>
  </w:style>
  <w:style w:type="paragraph" w:customStyle="1" w:styleId="MainTitle-CoverPage">
    <w:name w:val="Main Title - Cover Page"/>
    <w:basedOn w:val="Normal"/>
    <w:rsid w:val="00773830"/>
    <w:pPr>
      <w:framePr w:wrap="around" w:vAnchor="page" w:hAnchor="margin" w:y="4027"/>
      <w:spacing w:line="264" w:lineRule="auto"/>
    </w:pPr>
    <w:rPr>
      <w:rFonts w:eastAsiaTheme="minorEastAsia"/>
      <w:b/>
      <w:szCs w:val="22"/>
      <w:lang w:eastAsia="en-NZ"/>
    </w:rPr>
  </w:style>
  <w:style w:type="paragraph" w:customStyle="1" w:styleId="Tabletext">
    <w:name w:val="Table text"/>
    <w:uiPriority w:val="5"/>
    <w:qFormat/>
    <w:rsid w:val="00FD3373"/>
    <w:pPr>
      <w:suppressAutoHyphens/>
      <w:autoSpaceDE w:val="0"/>
      <w:autoSpaceDN w:val="0"/>
      <w:adjustRightInd w:val="0"/>
      <w:spacing w:before="30" w:after="30" w:line="264" w:lineRule="auto"/>
    </w:pPr>
    <w:rPr>
      <w:rFonts w:ascii="Montserrat Light" w:hAnsi="Montserrat Light"/>
      <w:color w:val="1D252C"/>
      <w:szCs w:val="22"/>
    </w:rPr>
  </w:style>
  <w:style w:type="paragraph" w:customStyle="1" w:styleId="Tableheading">
    <w:name w:val="Table heading"/>
    <w:basedOn w:val="Tabletext"/>
    <w:uiPriority w:val="6"/>
    <w:qFormat/>
    <w:rsid w:val="00344999"/>
    <w:pPr>
      <w:jc w:val="center"/>
    </w:pPr>
    <w:rPr>
      <w:b/>
    </w:rPr>
  </w:style>
  <w:style w:type="paragraph" w:customStyle="1" w:styleId="WSPPreparedReviewedApproved">
    <w:name w:val="WSP Prepared Reviewed Approved"/>
    <w:basedOn w:val="Normal"/>
    <w:qFormat/>
    <w:rsid w:val="00C37035"/>
    <w:pPr>
      <w:framePr w:wrap="around" w:hAnchor="text" w:xAlign="right" w:y="1419"/>
      <w:spacing w:before="120"/>
      <w:suppressOverlap/>
    </w:pPr>
    <w:rPr>
      <w:i/>
    </w:rPr>
  </w:style>
  <w:style w:type="paragraph" w:styleId="Title">
    <w:name w:val="Title"/>
    <w:basedOn w:val="Normal"/>
    <w:next w:val="Normal"/>
    <w:link w:val="TitleChar"/>
    <w:hidden/>
    <w:uiPriority w:val="2"/>
    <w:unhideWhenUsed/>
    <w:qFormat/>
    <w:rsid w:val="00667CB3"/>
    <w:pPr>
      <w:contextualSpacing/>
    </w:pPr>
    <w:rPr>
      <w:rFonts w:eastAsiaTheme="majorEastAsia" w:cstheme="majorBidi"/>
      <w:spacing w:val="-10"/>
      <w:kern w:val="28"/>
      <w:szCs w:val="56"/>
    </w:rPr>
  </w:style>
  <w:style w:type="character" w:customStyle="1" w:styleId="TitleChar">
    <w:name w:val="Title Char"/>
    <w:basedOn w:val="DefaultParagraphFont"/>
    <w:link w:val="Title"/>
    <w:uiPriority w:val="2"/>
    <w:rsid w:val="00667CB3"/>
    <w:rPr>
      <w:rFonts w:ascii="Montserrat Light" w:eastAsiaTheme="majorEastAsia" w:hAnsi="Montserrat Light" w:cstheme="majorBidi"/>
      <w:color w:val="1D252C"/>
      <w:spacing w:val="-10"/>
      <w:kern w:val="28"/>
      <w:sz w:val="20"/>
      <w:szCs w:val="56"/>
    </w:rPr>
  </w:style>
  <w:style w:type="character" w:styleId="Hashtag">
    <w:name w:val="Hashtag"/>
    <w:basedOn w:val="DefaultParagraphFont"/>
    <w:uiPriority w:val="99"/>
    <w:semiHidden/>
    <w:unhideWhenUsed/>
    <w:rsid w:val="001858C0"/>
    <w:rPr>
      <w:color w:val="2B579A"/>
      <w:shd w:val="clear" w:color="auto" w:fill="E6E6E6"/>
    </w:rPr>
  </w:style>
  <w:style w:type="character" w:styleId="Mention">
    <w:name w:val="Mention"/>
    <w:basedOn w:val="DefaultParagraphFont"/>
    <w:uiPriority w:val="99"/>
    <w:semiHidden/>
    <w:unhideWhenUsed/>
    <w:rsid w:val="001858C0"/>
    <w:rPr>
      <w:color w:val="2B579A"/>
      <w:shd w:val="clear" w:color="auto" w:fill="E6E6E6"/>
    </w:rPr>
  </w:style>
  <w:style w:type="character" w:styleId="SmartHyperlink">
    <w:name w:val="Smart Hyperlink"/>
    <w:basedOn w:val="DefaultParagraphFont"/>
    <w:uiPriority w:val="99"/>
    <w:semiHidden/>
    <w:unhideWhenUsed/>
    <w:rsid w:val="001858C0"/>
    <w:rPr>
      <w:u w:val="dotted"/>
    </w:rPr>
  </w:style>
  <w:style w:type="paragraph" w:customStyle="1" w:styleId="Clientno">
    <w:name w:val="Client no"/>
    <w:basedOn w:val="Normal"/>
    <w:uiPriority w:val="4"/>
    <w:qFormat/>
    <w:rsid w:val="000F798A"/>
    <w:pPr>
      <w:jc w:val="center"/>
    </w:pPr>
    <w:rPr>
      <w:rFonts w:ascii="Arial" w:eastAsia="Times New Roman" w:hAnsi="Arial" w:cs="Arial"/>
      <w:caps/>
      <w:color w:val="auto"/>
      <w:sz w:val="26"/>
      <w:lang w:val="en-CA" w:eastAsia="fr-CA"/>
    </w:rPr>
  </w:style>
  <w:style w:type="paragraph" w:customStyle="1" w:styleId="RefWSP">
    <w:name w:val="Ref WSP"/>
    <w:basedOn w:val="Normal"/>
    <w:uiPriority w:val="4"/>
    <w:qFormat/>
    <w:rsid w:val="000F798A"/>
    <w:pPr>
      <w:framePr w:hSpace="144" w:wrap="around" w:vAnchor="page" w:hAnchor="margin" w:y="5041"/>
      <w:tabs>
        <w:tab w:val="right" w:pos="7286"/>
        <w:tab w:val="right" w:pos="7740"/>
      </w:tabs>
      <w:suppressOverlap/>
    </w:pPr>
    <w:rPr>
      <w:rFonts w:ascii="Arial" w:eastAsia="Times New Roman" w:hAnsi="Arial" w:cs="Arial"/>
      <w:caps/>
      <w:color w:val="F9423A" w:themeColor="text2"/>
      <w:sz w:val="16"/>
      <w:szCs w:val="24"/>
      <w:lang w:val="en-US" w:eastAsia="fr-CA"/>
    </w:rPr>
  </w:style>
  <w:style w:type="character" w:customStyle="1" w:styleId="Style1">
    <w:name w:val="Style1"/>
    <w:basedOn w:val="BodyText2Char"/>
    <w:uiPriority w:val="1"/>
    <w:rsid w:val="0013042E"/>
    <w:rPr>
      <w:rFonts w:ascii="Montserrat Light" w:hAnsi="Montserrat Light"/>
      <w:color w:val="A6A6A6" w:themeColor="background1" w:themeShade="A6"/>
      <w:sz w:val="20"/>
    </w:rPr>
  </w:style>
  <w:style w:type="character" w:customStyle="1" w:styleId="Style2">
    <w:name w:val="Style2"/>
    <w:basedOn w:val="DefaultParagraphFont"/>
    <w:uiPriority w:val="1"/>
    <w:rsid w:val="00DF1A25"/>
    <w:rPr>
      <w:rFonts w:ascii="Montserrat Light" w:hAnsi="Montserrat Light"/>
      <w:sz w:val="16"/>
    </w:rPr>
  </w:style>
  <w:style w:type="character" w:customStyle="1" w:styleId="Style3">
    <w:name w:val="Style3"/>
    <w:basedOn w:val="DefaultParagraphFont"/>
    <w:uiPriority w:val="1"/>
    <w:rsid w:val="00C93F90"/>
    <w:rPr>
      <w:color w:val="A6A6A6" w:themeColor="background1" w:themeShade="A6"/>
    </w:rPr>
  </w:style>
  <w:style w:type="character" w:customStyle="1" w:styleId="Style4">
    <w:name w:val="Style4"/>
    <w:basedOn w:val="DefaultParagraphFont"/>
    <w:uiPriority w:val="1"/>
    <w:rsid w:val="008659B3"/>
    <w:rPr>
      <w:rFonts w:ascii="Montserrat Light" w:hAnsi="Montserrat Light"/>
      <w:color w:val="A6A6A6" w:themeColor="background1" w:themeShade="A6"/>
      <w:sz w:val="16"/>
    </w:rPr>
  </w:style>
  <w:style w:type="character" w:styleId="UnresolvedMention">
    <w:name w:val="Unresolved Mention"/>
    <w:basedOn w:val="DefaultParagraphFont"/>
    <w:uiPriority w:val="99"/>
    <w:semiHidden/>
    <w:unhideWhenUsed/>
    <w:rsid w:val="009E108B"/>
    <w:rPr>
      <w:color w:val="808080"/>
      <w:shd w:val="clear" w:color="auto" w:fill="E6E6E6"/>
    </w:rPr>
  </w:style>
  <w:style w:type="table" w:customStyle="1" w:styleId="WSPNZ">
    <w:name w:val="WSP NZ"/>
    <w:basedOn w:val="wspNZ0"/>
    <w:uiPriority w:val="99"/>
    <w:rsid w:val="0064191E"/>
    <w:rPr>
      <w:rFonts w:ascii="Montserrat Light" w:hAnsi="Montserrat Light"/>
      <w:szCs w:val="22"/>
      <w:lang w:val="en-US" w:eastAsia="en-NZ"/>
    </w:rPr>
    <w:tblPr>
      <w:tblStyleColBandSize w:val="1"/>
      <w:tblBorders>
        <w:top w:val="single" w:sz="4" w:space="0" w:color="F9423A"/>
        <w:left w:val="single" w:sz="4" w:space="0" w:color="F9423A"/>
        <w:bottom w:val="single" w:sz="4" w:space="0" w:color="F9423A"/>
        <w:right w:val="single" w:sz="4" w:space="0" w:color="F9423A"/>
        <w:insideH w:val="single" w:sz="4" w:space="0" w:color="F9423A"/>
        <w:insideV w:val="single" w:sz="4" w:space="0" w:color="F9423A"/>
      </w:tblBorders>
    </w:tblPr>
    <w:tcPr>
      <w:vAlign w:val="center"/>
    </w:tcPr>
    <w:tblStylePr w:type="firstRow">
      <w:pPr>
        <w:jc w:val="left"/>
      </w:pPr>
      <w:rPr>
        <w:b/>
      </w:rPr>
      <w:tblPr/>
      <w:tcPr>
        <w:shd w:val="clear" w:color="auto" w:fill="FFFFFF" w:themeFill="background1"/>
      </w:tcPr>
    </w:tblStylePr>
    <w:tblStylePr w:type="lastRow">
      <w:pPr>
        <w:jc w:val="left"/>
      </w:pPr>
      <w:rPr>
        <w:rFonts w:ascii="Bell MT" w:hAnsi="Bell MT"/>
        <w:b/>
        <w:sz w:val="20"/>
      </w:rPr>
    </w:tblStylePr>
    <w:tblStylePr w:type="firstCol">
      <w:rPr>
        <w:b/>
      </w:rPr>
      <w:tblPr/>
      <w:tcPr>
        <w:shd w:val="clear" w:color="auto" w:fill="B3D6EC"/>
      </w:tcPr>
    </w:tblStylePr>
    <w:tblStylePr w:type="lastCol">
      <w:rPr>
        <w:b/>
      </w:rPr>
    </w:tblStylePr>
    <w:tblStylePr w:type="band2Vert">
      <w:tblPr/>
      <w:tcPr>
        <w:shd w:val="clear" w:color="auto" w:fill="D8E6F0"/>
      </w:tcPr>
    </w:tblStylePr>
    <w:tblStylePr w:type="band1Horz">
      <w:tblPr/>
      <w:tcPr>
        <w:shd w:val="clear" w:color="auto" w:fill="FFFFFF" w:themeFill="background1"/>
      </w:tcPr>
    </w:tblStylePr>
    <w:tblStylePr w:type="band2Horz">
      <w:tblPr/>
      <w:tcPr>
        <w:shd w:val="clear" w:color="auto" w:fill="D8E6F0"/>
      </w:tcPr>
    </w:tblStylePr>
    <w:tblStylePr w:type="seCell">
      <w:rPr>
        <w:b/>
      </w:rPr>
    </w:tblStylePr>
  </w:style>
  <w:style w:type="table" w:customStyle="1" w:styleId="wspNZ0">
    <w:name w:val="wsp NZ"/>
    <w:basedOn w:val="TableNormal"/>
    <w:uiPriority w:val="99"/>
    <w:rsid w:val="00162A5D"/>
    <w:tblPr>
      <w:tblStyleRowBandSize w:val="1"/>
      <w:tblBorders>
        <w:top w:val="single" w:sz="4" w:space="0" w:color="F9423A" w:themeColor="accent1"/>
        <w:left w:val="single" w:sz="4" w:space="0" w:color="F9423A" w:themeColor="accent1"/>
        <w:bottom w:val="single" w:sz="4" w:space="0" w:color="F9423A" w:themeColor="accent1"/>
        <w:right w:val="single" w:sz="4" w:space="0" w:color="F9423A" w:themeColor="accent1"/>
        <w:insideH w:val="single" w:sz="4" w:space="0" w:color="F9423A" w:themeColor="accent1"/>
        <w:insideV w:val="single" w:sz="4" w:space="0" w:color="F9423A" w:themeColor="accent1"/>
      </w:tblBorders>
    </w:tblPr>
    <w:tblStylePr w:type="band1Horz">
      <w:tblPr/>
      <w:tcPr>
        <w:shd w:val="clear" w:color="auto" w:fill="D8E6F0" w:themeFill="accent2"/>
      </w:tcPr>
    </w:tblStylePr>
  </w:style>
  <w:style w:type="paragraph" w:customStyle="1" w:styleId="Default">
    <w:name w:val="Default"/>
    <w:rsid w:val="000C134A"/>
    <w:pPr>
      <w:autoSpaceDE w:val="0"/>
      <w:autoSpaceDN w:val="0"/>
      <w:adjustRightInd w:val="0"/>
    </w:pPr>
    <w:rPr>
      <w:rFonts w:ascii="Tahoma" w:eastAsia="SimSun" w:hAnsi="Tahoma" w:cs="Tahoma"/>
      <w:color w:val="000000"/>
      <w:sz w:val="24"/>
      <w:szCs w:val="24"/>
      <w:lang w:val="en-US" w:eastAsia="zh-CN"/>
    </w:rPr>
  </w:style>
  <w:style w:type="paragraph" w:customStyle="1" w:styleId="BlockText0">
    <w:name w:val="Block_Text"/>
    <w:basedOn w:val="Default"/>
    <w:next w:val="Default"/>
    <w:uiPriority w:val="99"/>
    <w:rsid w:val="000C134A"/>
    <w:rPr>
      <w:rFonts w:ascii="Times New Roman" w:hAnsi="Times New Roman" w:cs="Times New Roman"/>
      <w:color w:val="auto"/>
      <w:lang w:val="en-NZ"/>
    </w:rPr>
  </w:style>
  <w:style w:type="character" w:customStyle="1" w:styleId="cit">
    <w:name w:val="cit"/>
    <w:basedOn w:val="DefaultParagraphFont"/>
    <w:rsid w:val="000C134A"/>
  </w:style>
  <w:style w:type="table" w:customStyle="1" w:styleId="TableGrid10">
    <w:name w:val="Table Grid1"/>
    <w:basedOn w:val="TableNormal"/>
    <w:next w:val="TableGrid"/>
    <w:uiPriority w:val="59"/>
    <w:rsid w:val="00EE5D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219C6"/>
    <w:rPr>
      <w:rFonts w:ascii="Montserrat Light" w:hAnsi="Montserrat Light"/>
      <w:color w:val="1D252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570609">
      <w:bodyDiv w:val="1"/>
      <w:marLeft w:val="0"/>
      <w:marRight w:val="0"/>
      <w:marTop w:val="0"/>
      <w:marBottom w:val="0"/>
      <w:divBdr>
        <w:top w:val="none" w:sz="0" w:space="0" w:color="auto"/>
        <w:left w:val="none" w:sz="0" w:space="0" w:color="auto"/>
        <w:bottom w:val="none" w:sz="0" w:space="0" w:color="auto"/>
        <w:right w:val="none" w:sz="0" w:space="0" w:color="auto"/>
      </w:divBdr>
    </w:div>
    <w:div w:id="164636283">
      <w:bodyDiv w:val="1"/>
      <w:marLeft w:val="0"/>
      <w:marRight w:val="0"/>
      <w:marTop w:val="0"/>
      <w:marBottom w:val="0"/>
      <w:divBdr>
        <w:top w:val="none" w:sz="0" w:space="0" w:color="auto"/>
        <w:left w:val="none" w:sz="0" w:space="0" w:color="auto"/>
        <w:bottom w:val="none" w:sz="0" w:space="0" w:color="auto"/>
        <w:right w:val="none" w:sz="0" w:space="0" w:color="auto"/>
      </w:divBdr>
    </w:div>
    <w:div w:id="217521804">
      <w:bodyDiv w:val="1"/>
      <w:marLeft w:val="0"/>
      <w:marRight w:val="0"/>
      <w:marTop w:val="0"/>
      <w:marBottom w:val="0"/>
      <w:divBdr>
        <w:top w:val="none" w:sz="0" w:space="0" w:color="auto"/>
        <w:left w:val="none" w:sz="0" w:space="0" w:color="auto"/>
        <w:bottom w:val="none" w:sz="0" w:space="0" w:color="auto"/>
        <w:right w:val="none" w:sz="0" w:space="0" w:color="auto"/>
      </w:divBdr>
    </w:div>
    <w:div w:id="271979157">
      <w:bodyDiv w:val="1"/>
      <w:marLeft w:val="0"/>
      <w:marRight w:val="0"/>
      <w:marTop w:val="0"/>
      <w:marBottom w:val="0"/>
      <w:divBdr>
        <w:top w:val="none" w:sz="0" w:space="0" w:color="auto"/>
        <w:left w:val="none" w:sz="0" w:space="0" w:color="auto"/>
        <w:bottom w:val="none" w:sz="0" w:space="0" w:color="auto"/>
        <w:right w:val="none" w:sz="0" w:space="0" w:color="auto"/>
      </w:divBdr>
    </w:div>
    <w:div w:id="277415291">
      <w:bodyDiv w:val="1"/>
      <w:marLeft w:val="0"/>
      <w:marRight w:val="0"/>
      <w:marTop w:val="0"/>
      <w:marBottom w:val="0"/>
      <w:divBdr>
        <w:top w:val="none" w:sz="0" w:space="0" w:color="auto"/>
        <w:left w:val="none" w:sz="0" w:space="0" w:color="auto"/>
        <w:bottom w:val="none" w:sz="0" w:space="0" w:color="auto"/>
        <w:right w:val="none" w:sz="0" w:space="0" w:color="auto"/>
      </w:divBdr>
    </w:div>
    <w:div w:id="277571487">
      <w:bodyDiv w:val="1"/>
      <w:marLeft w:val="0"/>
      <w:marRight w:val="0"/>
      <w:marTop w:val="0"/>
      <w:marBottom w:val="0"/>
      <w:divBdr>
        <w:top w:val="none" w:sz="0" w:space="0" w:color="auto"/>
        <w:left w:val="none" w:sz="0" w:space="0" w:color="auto"/>
        <w:bottom w:val="none" w:sz="0" w:space="0" w:color="auto"/>
        <w:right w:val="none" w:sz="0" w:space="0" w:color="auto"/>
      </w:divBdr>
    </w:div>
    <w:div w:id="307512099">
      <w:bodyDiv w:val="1"/>
      <w:marLeft w:val="0"/>
      <w:marRight w:val="0"/>
      <w:marTop w:val="0"/>
      <w:marBottom w:val="0"/>
      <w:divBdr>
        <w:top w:val="none" w:sz="0" w:space="0" w:color="auto"/>
        <w:left w:val="none" w:sz="0" w:space="0" w:color="auto"/>
        <w:bottom w:val="none" w:sz="0" w:space="0" w:color="auto"/>
        <w:right w:val="none" w:sz="0" w:space="0" w:color="auto"/>
      </w:divBdr>
    </w:div>
    <w:div w:id="706636121">
      <w:bodyDiv w:val="1"/>
      <w:marLeft w:val="0"/>
      <w:marRight w:val="0"/>
      <w:marTop w:val="0"/>
      <w:marBottom w:val="0"/>
      <w:divBdr>
        <w:top w:val="none" w:sz="0" w:space="0" w:color="auto"/>
        <w:left w:val="none" w:sz="0" w:space="0" w:color="auto"/>
        <w:bottom w:val="none" w:sz="0" w:space="0" w:color="auto"/>
        <w:right w:val="none" w:sz="0" w:space="0" w:color="auto"/>
      </w:divBdr>
    </w:div>
    <w:div w:id="857549333">
      <w:bodyDiv w:val="1"/>
      <w:marLeft w:val="0"/>
      <w:marRight w:val="0"/>
      <w:marTop w:val="0"/>
      <w:marBottom w:val="0"/>
      <w:divBdr>
        <w:top w:val="none" w:sz="0" w:space="0" w:color="auto"/>
        <w:left w:val="none" w:sz="0" w:space="0" w:color="auto"/>
        <w:bottom w:val="none" w:sz="0" w:space="0" w:color="auto"/>
        <w:right w:val="none" w:sz="0" w:space="0" w:color="auto"/>
      </w:divBdr>
    </w:div>
    <w:div w:id="983855535">
      <w:bodyDiv w:val="1"/>
      <w:marLeft w:val="0"/>
      <w:marRight w:val="0"/>
      <w:marTop w:val="0"/>
      <w:marBottom w:val="0"/>
      <w:divBdr>
        <w:top w:val="none" w:sz="0" w:space="0" w:color="auto"/>
        <w:left w:val="none" w:sz="0" w:space="0" w:color="auto"/>
        <w:bottom w:val="none" w:sz="0" w:space="0" w:color="auto"/>
        <w:right w:val="none" w:sz="0" w:space="0" w:color="auto"/>
      </w:divBdr>
    </w:div>
    <w:div w:id="1054239381">
      <w:bodyDiv w:val="1"/>
      <w:marLeft w:val="0"/>
      <w:marRight w:val="0"/>
      <w:marTop w:val="0"/>
      <w:marBottom w:val="0"/>
      <w:divBdr>
        <w:top w:val="none" w:sz="0" w:space="0" w:color="auto"/>
        <w:left w:val="none" w:sz="0" w:space="0" w:color="auto"/>
        <w:bottom w:val="none" w:sz="0" w:space="0" w:color="auto"/>
        <w:right w:val="none" w:sz="0" w:space="0" w:color="auto"/>
      </w:divBdr>
    </w:div>
    <w:div w:id="1362364316">
      <w:bodyDiv w:val="1"/>
      <w:marLeft w:val="0"/>
      <w:marRight w:val="0"/>
      <w:marTop w:val="0"/>
      <w:marBottom w:val="0"/>
      <w:divBdr>
        <w:top w:val="none" w:sz="0" w:space="0" w:color="auto"/>
        <w:left w:val="none" w:sz="0" w:space="0" w:color="auto"/>
        <w:bottom w:val="none" w:sz="0" w:space="0" w:color="auto"/>
        <w:right w:val="none" w:sz="0" w:space="0" w:color="auto"/>
      </w:divBdr>
    </w:div>
    <w:div w:id="1597127398">
      <w:bodyDiv w:val="1"/>
      <w:marLeft w:val="0"/>
      <w:marRight w:val="0"/>
      <w:marTop w:val="0"/>
      <w:marBottom w:val="0"/>
      <w:divBdr>
        <w:top w:val="none" w:sz="0" w:space="0" w:color="auto"/>
        <w:left w:val="none" w:sz="0" w:space="0" w:color="auto"/>
        <w:bottom w:val="none" w:sz="0" w:space="0" w:color="auto"/>
        <w:right w:val="none" w:sz="0" w:space="0" w:color="auto"/>
      </w:divBdr>
    </w:div>
    <w:div w:id="1719164981">
      <w:bodyDiv w:val="1"/>
      <w:marLeft w:val="0"/>
      <w:marRight w:val="0"/>
      <w:marTop w:val="0"/>
      <w:marBottom w:val="0"/>
      <w:divBdr>
        <w:top w:val="none" w:sz="0" w:space="0" w:color="auto"/>
        <w:left w:val="none" w:sz="0" w:space="0" w:color="auto"/>
        <w:bottom w:val="none" w:sz="0" w:space="0" w:color="auto"/>
        <w:right w:val="none" w:sz="0" w:space="0" w:color="auto"/>
      </w:divBdr>
    </w:div>
    <w:div w:id="1734161470">
      <w:bodyDiv w:val="1"/>
      <w:marLeft w:val="0"/>
      <w:marRight w:val="0"/>
      <w:marTop w:val="0"/>
      <w:marBottom w:val="0"/>
      <w:divBdr>
        <w:top w:val="none" w:sz="0" w:space="0" w:color="auto"/>
        <w:left w:val="none" w:sz="0" w:space="0" w:color="auto"/>
        <w:bottom w:val="none" w:sz="0" w:space="0" w:color="auto"/>
        <w:right w:val="none" w:sz="0" w:space="0" w:color="auto"/>
      </w:divBdr>
    </w:div>
    <w:div w:id="1980695079">
      <w:bodyDiv w:val="1"/>
      <w:marLeft w:val="0"/>
      <w:marRight w:val="0"/>
      <w:marTop w:val="0"/>
      <w:marBottom w:val="0"/>
      <w:divBdr>
        <w:top w:val="none" w:sz="0" w:space="0" w:color="auto"/>
        <w:left w:val="none" w:sz="0" w:space="0" w:color="auto"/>
        <w:bottom w:val="none" w:sz="0" w:space="0" w:color="auto"/>
        <w:right w:val="none" w:sz="0" w:space="0" w:color="auto"/>
      </w:divBdr>
    </w:div>
    <w:div w:id="1996101094">
      <w:bodyDiv w:val="1"/>
      <w:marLeft w:val="0"/>
      <w:marRight w:val="0"/>
      <w:marTop w:val="0"/>
      <w:marBottom w:val="0"/>
      <w:divBdr>
        <w:top w:val="none" w:sz="0" w:space="0" w:color="auto"/>
        <w:left w:val="none" w:sz="0" w:space="0" w:color="auto"/>
        <w:bottom w:val="none" w:sz="0" w:space="0" w:color="auto"/>
        <w:right w:val="none" w:sz="0" w:space="0" w:color="auto"/>
      </w:divBdr>
    </w:div>
    <w:div w:id="204408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hyperlink" Target="https://www.norc.org/PDFs/publications/GIBSFinalReportApril1999.pdf" TargetMode="External"/><Relationship Id="rId21" Type="http://schemas.openxmlformats.org/officeDocument/2006/relationships/image" Target="media/image9.png"/><Relationship Id="rId34" Type="http://schemas.openxmlformats.org/officeDocument/2006/relationships/hyperlink" Target="https://doi.org/10.1007/978-1-4614-5583-7_311" TargetMode="External"/><Relationship Id="rId42" Type="http://schemas.openxmlformats.org/officeDocument/2006/relationships/hyperlink" Target="https://link.springer.com/article/10.1007%2Fs10899-008-9107-7" TargetMode="External"/><Relationship Id="rId47" Type="http://schemas.openxmlformats.org/officeDocument/2006/relationships/hyperlink" Target="https://www.health.govt.nz/publication/strategy-prevent-and-minimise-gambling-harm-2019-20-2021-22" TargetMode="External"/><Relationship Id="rId50" Type="http://schemas.openxmlformats.org/officeDocument/2006/relationships/hyperlink" Target="https://www.easg.org/easg/assets/File/EASG_2018/Jonathan_Parke.pdf" TargetMode="External"/><Relationship Id="rId55" Type="http://schemas.openxmlformats.org/officeDocument/2006/relationships/hyperlink" Target="https://www.fmhs.auckland.ac.nz/assets/fmhs/soph/sch/adams/docs/hr_summary_&amp;_recommendations.pdf" TargetMode="External"/><Relationship Id="rId63" Type="http://schemas.openxmlformats.org/officeDocument/2006/relationships/header" Target="header6.xml"/><Relationship Id="rId68" Type="http://schemas.openxmlformats.org/officeDocument/2006/relationships/header" Target="header9.xml"/><Relationship Id="rId7" Type="http://schemas.openxmlformats.org/officeDocument/2006/relationships/webSettings" Target="webSettings.xml"/><Relationship Id="rId71" Type="http://schemas.openxmlformats.org/officeDocument/2006/relationships/header" Target="header11.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hyperlink" Target="https://www.health.govt.nz/publication/new-zealand-national-gambling-study-wave-3-2014" TargetMode="External"/><Relationship Id="rId11" Type="http://schemas.openxmlformats.org/officeDocument/2006/relationships/footer" Target="footer1.xml"/><Relationship Id="rId24" Type="http://schemas.openxmlformats.org/officeDocument/2006/relationships/image" Target="media/image10.emf"/><Relationship Id="rId32" Type="http://schemas.openxmlformats.org/officeDocument/2006/relationships/hyperlink" Target="https://www.responsiblegambling.nsw.gov.au/__data/assets/pdf_file/0011/878303/gambling-harm-minimisation-report.pdf" TargetMode="External"/><Relationship Id="rId37" Type="http://schemas.openxmlformats.org/officeDocument/2006/relationships/hyperlink" Target="https://www.greo.ca/Modules/EvidenceCentre/files/Ferris%20et%20al(2001)The_Canadian_Problem_Gambling_Index.pdf" TargetMode="External"/><Relationship Id="rId40" Type="http://schemas.openxmlformats.org/officeDocument/2006/relationships/hyperlink" Target="http://irep.ntu.ac.uk/id/eprint/13307/" TargetMode="External"/><Relationship Id="rId45" Type="http://schemas.openxmlformats.org/officeDocument/2006/relationships/hyperlink" Target="https://www.researchgate.net/publication/19531246_The_South_Oaks_Gambling_Screen_SOGS_A_New_Instrument_for_the_Identification_of_Pathological_Gamblers" TargetMode="External"/><Relationship Id="rId53" Type="http://schemas.openxmlformats.org/officeDocument/2006/relationships/hyperlink" Target="https://www.hpa.org.nz/sites/default/files/Final-Report_Results-from-2016-Health-And-Lifestyles-Survey_Gambling-Feb2018.pdf" TargetMode="External"/><Relationship Id="rId58" Type="http://schemas.openxmlformats.org/officeDocument/2006/relationships/hyperlink" Target="https://doi.org/10.1126/science.51.1306.23" TargetMode="External"/><Relationship Id="rId66" Type="http://schemas.openxmlformats.org/officeDocument/2006/relationships/hyperlink" Target="mailto:Jean.beetham@wsp.com" TargetMode="External"/><Relationship Id="rId74"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http://www.frontiersin.org/people/u/223834" TargetMode="External"/><Relationship Id="rId28" Type="http://schemas.openxmlformats.org/officeDocument/2006/relationships/hyperlink" Target="https://bura.brunel.ac.uk/bitstream/2438/5937/1/Presentation.pdf" TargetMode="External"/><Relationship Id="rId36" Type="http://schemas.openxmlformats.org/officeDocument/2006/relationships/hyperlink" Target="https://www.dia.govt.nz/pubforms.nsf/URL/GamingOperationalPolicy.pdf/$file/GamingOperationalPolicy.pdf" TargetMode="External"/><Relationship Id="rId49" Type="http://schemas.openxmlformats.org/officeDocument/2006/relationships/hyperlink" Target="https://www.sciencedirect.com/science/article/abs/pii/S0378720603001794?via%3Dihub" TargetMode="External"/><Relationship Id="rId57" Type="http://schemas.openxmlformats.org/officeDocument/2006/relationships/hyperlink" Target="https://prism.ucalgary.ca/bitstream/handle/1880/51141/Williams_AGRI2016_What_Proportion_of_Gambling_Revenue_is_Derived_from_PG.pdf;jsessionid=74E3FE973ACDB5284FC179A441174F11?sequence=18" TargetMode="External"/><Relationship Id="rId61" Type="http://schemas.openxmlformats.org/officeDocument/2006/relationships/hyperlink" Target="https://dx.doi.org/10.3389%2Ffpsyg.2017.00227" TargetMode="Externa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hyperlink" Target="%20https://www.researchgate.net/publication/275283164_Assessment_Tool_to_Measure_and_Evaluate_the_Risk_Potential_of_Gambling_Products_ASTERIG_A_Global_Validation" TargetMode="External"/><Relationship Id="rId44" Type="http://schemas.openxmlformats.org/officeDocument/2006/relationships/hyperlink" Target="https://us.sagepub.com/en-us/nam/content-analysis/book258450" TargetMode="External"/><Relationship Id="rId52" Type="http://schemas.openxmlformats.org/officeDocument/2006/relationships/hyperlink" Target="https://www.researchgate.net/publication/234045407_Measuring_and_Evaluating_the_Potential_Addiction_Riskof_the_Online_Poker_Game_Texas_Hold'em_No_Limit" TargetMode="External"/><Relationship Id="rId60" Type="http://schemas.openxmlformats.org/officeDocument/2006/relationships/hyperlink" Target="http://irep.ntu.ac.uk/id/eprint/25766/1/221373_PubSub3049_Griffiths.pdf" TargetMode="External"/><Relationship Id="rId65" Type="http://schemas.openxmlformats.org/officeDocument/2006/relationships/header" Target="header7.xml"/><Relationship Id="rId7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yperlink" Target="http://www.frontiersin.org/people/u/223834" TargetMode="External"/><Relationship Id="rId27" Type="http://schemas.openxmlformats.org/officeDocument/2006/relationships/image" Target="media/image12.png"/><Relationship Id="rId30" Type="http://schemas.openxmlformats.org/officeDocument/2006/relationships/hyperlink" Target="https://www.pc.gov.au/inquiries/completed/gambling-2010/report" TargetMode="External"/><Relationship Id="rId35" Type="http://schemas.openxmlformats.org/officeDocument/2006/relationships/hyperlink" Target="https://crecs.uottawa.ca/sites/crecs.uottawa.ca/files/gamgard_evaluation_report_-_final.pdf" TargetMode="External"/><Relationship Id="rId43" Type="http://schemas.openxmlformats.org/officeDocument/2006/relationships/hyperlink" Target="https://www.researchgate.net/publication/10744421_Gambling_and_the_Health_of_the_Public_Adopting_a_Public_Health_Perspective" TargetMode="External"/><Relationship Id="rId48" Type="http://schemas.openxmlformats.org/officeDocument/2006/relationships/hyperlink" Target="https://www.mfcr.cz/assets/cs/media/Prezentace_2014-10-09_Chantal-Morsen.pdf" TargetMode="External"/><Relationship Id="rId56" Type="http://schemas.openxmlformats.org/officeDocument/2006/relationships/hyperlink" Target="https://www.gamblingcommission.gov.uk/about-us/guide/rgh-strategy-approach-and-delivery" TargetMode="External"/><Relationship Id="rId64" Type="http://schemas.openxmlformats.org/officeDocument/2006/relationships/footer" Target="footer4.xml"/><Relationship Id="rId69" Type="http://schemas.openxmlformats.org/officeDocument/2006/relationships/footer" Target="footer5.xml"/><Relationship Id="rId8" Type="http://schemas.openxmlformats.org/officeDocument/2006/relationships/footnotes" Target="footnotes.xml"/><Relationship Id="rId51" Type="http://schemas.openxmlformats.org/officeDocument/2006/relationships/hyperlink" Target="http://www.forschung-gluecksspiel.de/pdf/AsTERiG.pdf" TargetMode="External"/><Relationship Id="rId72" Type="http://schemas.openxmlformats.org/officeDocument/2006/relationships/footer" Target="footer6.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hyperlink" Target="https://www.vegasslotsonline.com/gaming-fairness-and-testing-companies/" TargetMode="External"/><Relationship Id="rId33" Type="http://schemas.openxmlformats.org/officeDocument/2006/relationships/hyperlink" Target="http://eprints.lincoln.ac.uk/16411/1/obhm%20report%20final%20version.pdf" TargetMode="External"/><Relationship Id="rId38" Type="http://schemas.openxmlformats.org/officeDocument/2006/relationships/hyperlink" Target="https://www.academia.edu/30839068/Harm_Minimisation_in_Gambling" TargetMode="External"/><Relationship Id="rId46" Type="http://schemas.openxmlformats.org/officeDocument/2006/relationships/hyperlink" Target="https://doi.org/10.1007/s10899-009-9173-5" TargetMode="External"/><Relationship Id="rId59" Type="http://schemas.openxmlformats.org/officeDocument/2006/relationships/hyperlink" Target="http://irep.ntu.ac.uk/id/eprint/26629/1/Pubsub3137_Griffiths.pdf" TargetMode="External"/><Relationship Id="rId67" Type="http://schemas.openxmlformats.org/officeDocument/2006/relationships/header" Target="header8.xml"/><Relationship Id="rId20" Type="http://schemas.openxmlformats.org/officeDocument/2006/relationships/image" Target="media/image8.png"/><Relationship Id="rId41" Type="http://schemas.openxmlformats.org/officeDocument/2006/relationships/hyperlink" Target="https://link.springer.com/article/10.1007%2Fs10899-016-9624-8" TargetMode="External"/><Relationship Id="rId54" Type="http://schemas.openxmlformats.org/officeDocument/2006/relationships/hyperlink" Target="https://obgyn.onlinelibrary.wiley.com/doi/abs/10.1576/toag.7.2.120.27071" TargetMode="External"/><Relationship Id="rId62" Type="http://schemas.openxmlformats.org/officeDocument/2006/relationships/header" Target="header5.xml"/><Relationship Id="rId70" Type="http://schemas.openxmlformats.org/officeDocument/2006/relationships/header" Target="header10.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0.emf"/><Relationship Id="rId1" Type="http://schemas.openxmlformats.org/officeDocument/2006/relationships/image" Target="media/image2.emf"/></Relationships>
</file>

<file path=word/_rels/footer6.xml.rels><?xml version="1.0" encoding="UTF-8" standalone="yes"?>
<Relationships xmlns="http://schemas.openxmlformats.org/package/2006/relationships"><Relationship Id="rId1" Type="http://schemas.openxmlformats.org/officeDocument/2006/relationships/image" Target="media/image14.png"/></Relationships>
</file>

<file path=word/_rels/footnotes.xml.rels><?xml version="1.0" encoding="UTF-8" standalone="yes"?>
<Relationships xmlns="http://schemas.openxmlformats.org/package/2006/relationships"><Relationship Id="rId8" Type="http://schemas.openxmlformats.org/officeDocument/2006/relationships/hyperlink" Target="http://www.gamgard.com" TargetMode="External"/><Relationship Id="rId13" Type="http://schemas.openxmlformats.org/officeDocument/2006/relationships/hyperlink" Target="https://www.gamgard.com/about/" TargetMode="External"/><Relationship Id="rId18" Type="http://schemas.openxmlformats.org/officeDocument/2006/relationships/hyperlink" Target="https://gaminglabs.com/services/testing/" TargetMode="External"/><Relationship Id="rId3" Type="http://schemas.openxmlformats.org/officeDocument/2006/relationships/hyperlink" Target="http://www.camelotgroup.co.uk/what-we-do/promoting-responsible-play" TargetMode="External"/><Relationship Id="rId7" Type="http://schemas.openxmlformats.org/officeDocument/2006/relationships/hyperlink" Target="https://www.sophro.uk.com/" TargetMode="External"/><Relationship Id="rId12" Type="http://schemas.openxmlformats.org/officeDocument/2006/relationships/hyperlink" Target="https://gamres.org/gamgard-version-3-0-launched-2/" TargetMode="External"/><Relationship Id="rId17" Type="http://schemas.openxmlformats.org/officeDocument/2006/relationships/hyperlink" Target="https://www.agco.ca/lottery-and-gaming/electronic-gaming-equipment-and-systems" TargetMode="External"/><Relationship Id="rId2" Type="http://schemas.openxmlformats.org/officeDocument/2006/relationships/hyperlink" Target="http://www.legislation.govt.nz/act/public/2003/0051/latest/DLM207497.html" TargetMode="External"/><Relationship Id="rId16" Type="http://schemas.openxmlformats.org/officeDocument/2006/relationships/hyperlink" Target="https://www.groupefdj.com/en/group/our-csr-activities-responsible-gaming.html" TargetMode="External"/><Relationship Id="rId1" Type="http://schemas.openxmlformats.org/officeDocument/2006/relationships/hyperlink" Target="https://www.hpa.org.nz/tags/health-and-lifestyles-survey" TargetMode="External"/><Relationship Id="rId6" Type="http://schemas.openxmlformats.org/officeDocument/2006/relationships/hyperlink" Target="https://www.ntu.ac.uk/staff-profiles/social-sciences/mark-griffiths" TargetMode="External"/><Relationship Id="rId11" Type="http://schemas.openxmlformats.org/officeDocument/2006/relationships/hyperlink" Target="https://www.gamgard.com/faq/" TargetMode="External"/><Relationship Id="rId5" Type="http://schemas.openxmlformats.org/officeDocument/2006/relationships/hyperlink" Target="http://www.gamres.org" TargetMode="External"/><Relationship Id="rId15" Type="http://schemas.openxmlformats.org/officeDocument/2006/relationships/hyperlink" Target="http://www.arjel.fr/IMG/pdf/synthese20161122en.pdf" TargetMode="External"/><Relationship Id="rId10" Type="http://schemas.openxmlformats.org/officeDocument/2006/relationships/hyperlink" Target="http://www.camelotgroup.co.uk/" TargetMode="External"/><Relationship Id="rId4" Type="http://schemas.openxmlformats.org/officeDocument/2006/relationships/hyperlink" Target="https://www.gamgard.com/" TargetMode="External"/><Relationship Id="rId9" Type="http://schemas.openxmlformats.org/officeDocument/2006/relationships/hyperlink" Target="https://www.health.govt.nz/system/files/documents/publications/strategy-prevent-minimise-gambling-harm-2019-20-to-2021-22-dec18.pdf" TargetMode="External"/><Relationship Id="rId14" Type="http://schemas.openxmlformats.org/officeDocument/2006/relationships/hyperlink" Target="https://www.veikkaus.fi/fi/yritys?lang=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10.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3.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neral"/>
          <w:gallery w:val="placeholder"/>
        </w:category>
        <w:types>
          <w:type w:val="bbPlcHdr"/>
        </w:types>
        <w:behaviors>
          <w:behavior w:val="content"/>
        </w:behaviors>
        <w:guid w:val="{855DB98B-405F-4834-B62A-AAE2BE3EEB89}"/>
      </w:docPartPr>
      <w:docPartBody>
        <w:p w:rsidR="00F2000F" w:rsidRDefault="004B5A5E">
          <w:r w:rsidRPr="001E3C27">
            <w:rPr>
              <w:rStyle w:val="PlaceholderText"/>
            </w:rPr>
            <w:t>Click or tap here to enter text.</w:t>
          </w:r>
        </w:p>
      </w:docPartBody>
    </w:docPart>
    <w:docPart>
      <w:docPartPr>
        <w:name w:val="824F913BD81D4F92B6A13E84D8922055"/>
        <w:category>
          <w:name w:val="General"/>
          <w:gallery w:val="placeholder"/>
        </w:category>
        <w:types>
          <w:type w:val="bbPlcHdr"/>
        </w:types>
        <w:behaviors>
          <w:behavior w:val="content"/>
        </w:behaviors>
        <w:guid w:val="{E5F63B89-1BB5-449E-9FB6-3BF6DB70DBD1}"/>
      </w:docPartPr>
      <w:docPartBody>
        <w:p w:rsidR="00986C73" w:rsidRDefault="00E83F22" w:rsidP="00E83F22">
          <w:pPr>
            <w:pStyle w:val="824F913BD81D4F92B6A13E84D8922055"/>
          </w:pPr>
          <w:r w:rsidRPr="001E3C27">
            <w:rPr>
              <w:rStyle w:val="PlaceholderText"/>
            </w:rPr>
            <w:t>Click or tap here to enter text.</w:t>
          </w:r>
        </w:p>
      </w:docPartBody>
    </w:docPart>
    <w:docPart>
      <w:docPartPr>
        <w:name w:val="2A971B1AEFAF4D98B2EC3CED4A1B3D14"/>
        <w:category>
          <w:name w:val="General"/>
          <w:gallery w:val="placeholder"/>
        </w:category>
        <w:types>
          <w:type w:val="bbPlcHdr"/>
        </w:types>
        <w:behaviors>
          <w:behavior w:val="content"/>
        </w:behaviors>
        <w:guid w:val="{CC56BC1C-FEFC-40B0-A399-084369ECD56A}"/>
      </w:docPartPr>
      <w:docPartBody>
        <w:p w:rsidR="00986C73" w:rsidRDefault="00E83F22" w:rsidP="00E83F22">
          <w:pPr>
            <w:pStyle w:val="2A971B1AEFAF4D98B2EC3CED4A1B3D14"/>
          </w:pPr>
          <w:r w:rsidRPr="001E3C27">
            <w:rPr>
              <w:rStyle w:val="PlaceholderText"/>
            </w:rPr>
            <w:t>Click or tap here to enter text.</w:t>
          </w:r>
        </w:p>
      </w:docPartBody>
    </w:docPart>
    <w:docPart>
      <w:docPartPr>
        <w:name w:val="52A45240446642659425A2D706D08B77"/>
        <w:category>
          <w:name w:val="General"/>
          <w:gallery w:val="placeholder"/>
        </w:category>
        <w:types>
          <w:type w:val="bbPlcHdr"/>
        </w:types>
        <w:behaviors>
          <w:behavior w:val="content"/>
        </w:behaviors>
        <w:guid w:val="{970303E1-74D2-439E-BD65-4519BA6CECB9}"/>
      </w:docPartPr>
      <w:docPartBody>
        <w:p w:rsidR="00986C73" w:rsidRDefault="00E83F22" w:rsidP="00E83F22">
          <w:pPr>
            <w:pStyle w:val="52A45240446642659425A2D706D08B77"/>
          </w:pPr>
          <w:r w:rsidRPr="001E3C27">
            <w:rPr>
              <w:rStyle w:val="PlaceholderText"/>
            </w:rPr>
            <w:t>Click or tap here to enter text.</w:t>
          </w:r>
        </w:p>
      </w:docPartBody>
    </w:docPart>
    <w:docPart>
      <w:docPartPr>
        <w:name w:val="F08F705FA94341D3A8FACE81EBE1A59D"/>
        <w:category>
          <w:name w:val="General"/>
          <w:gallery w:val="placeholder"/>
        </w:category>
        <w:types>
          <w:type w:val="bbPlcHdr"/>
        </w:types>
        <w:behaviors>
          <w:behavior w:val="content"/>
        </w:behaviors>
        <w:guid w:val="{4AA8F1B7-AD4E-446B-B987-DF7166653C4C}"/>
      </w:docPartPr>
      <w:docPartBody>
        <w:p w:rsidR="0095190F" w:rsidRDefault="00B70D47" w:rsidP="00B70D47">
          <w:pPr>
            <w:pStyle w:val="F08F705FA94341D3A8FACE81EBE1A59D"/>
          </w:pPr>
          <w:r w:rsidRPr="001E3C27">
            <w:rPr>
              <w:rStyle w:val="PlaceholderText"/>
            </w:rPr>
            <w:t>Click or tap here to enter text.</w:t>
          </w:r>
        </w:p>
      </w:docPartBody>
    </w:docPart>
    <w:docPart>
      <w:docPartPr>
        <w:name w:val="86BFBC111E38496B9AF3C1D472C26CC9"/>
        <w:category>
          <w:name w:val="General"/>
          <w:gallery w:val="placeholder"/>
        </w:category>
        <w:types>
          <w:type w:val="bbPlcHdr"/>
        </w:types>
        <w:behaviors>
          <w:behavior w:val="content"/>
        </w:behaviors>
        <w:guid w:val="{E909144F-4A6A-4817-AF92-A542A264FBCF}"/>
      </w:docPartPr>
      <w:docPartBody>
        <w:p w:rsidR="001B7505" w:rsidRDefault="004B5A5E">
          <w:pPr>
            <w:pStyle w:val="86BFBC111E38496B9AF3C1D472C26CC9"/>
          </w:pPr>
          <w:r w:rsidRPr="001E3C2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Light">
    <w:altName w:val="Montserrat Light"/>
    <w:charset w:val="00"/>
    <w:family w:val="auto"/>
    <w:pitch w:val="variable"/>
    <w:sig w:usb0="2000020F" w:usb1="00000003" w:usb2="00000000" w:usb3="00000000" w:csb0="00000197" w:csb1="00000000"/>
  </w:font>
  <w:font w:name="Montserrat">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NettoPro-Bold">
    <w:altName w:val="Calibri"/>
    <w:panose1 w:val="00000000000000000000"/>
    <w:charset w:val="00"/>
    <w:family w:val="swiss"/>
    <w:notTrueType/>
    <w:pitch w:val="variable"/>
    <w:sig w:usb0="A00000FF" w:usb1="4000E07B" w:usb2="00000008" w:usb3="00000000" w:csb0="00000093" w:csb1="00000000"/>
  </w:font>
  <w:font w:name="Bell MT">
    <w:panose1 w:val="020205030603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dvPSA88A">
    <w:altName w:val="Cambria"/>
    <w:panose1 w:val="00000000000000000000"/>
    <w:charset w:val="00"/>
    <w:family w:val="roman"/>
    <w:notTrueType/>
    <w:pitch w:val="default"/>
    <w:sig w:usb0="00000003" w:usb1="00000000" w:usb2="00000000" w:usb3="00000000" w:csb0="00000001" w:csb1="00000000"/>
  </w:font>
  <w:font w:name="TT159t00">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5F73"/>
    <w:rsid w:val="00016DFC"/>
    <w:rsid w:val="00092D2F"/>
    <w:rsid w:val="000B0C45"/>
    <w:rsid w:val="000B1499"/>
    <w:rsid w:val="000E4564"/>
    <w:rsid w:val="00113011"/>
    <w:rsid w:val="001B7505"/>
    <w:rsid w:val="001F7F9F"/>
    <w:rsid w:val="00244DE3"/>
    <w:rsid w:val="00255F1F"/>
    <w:rsid w:val="003401F1"/>
    <w:rsid w:val="003F5F73"/>
    <w:rsid w:val="00401B45"/>
    <w:rsid w:val="004B5A5E"/>
    <w:rsid w:val="005E0131"/>
    <w:rsid w:val="006361A6"/>
    <w:rsid w:val="006A1AE3"/>
    <w:rsid w:val="006A44D3"/>
    <w:rsid w:val="006F4520"/>
    <w:rsid w:val="00732B7D"/>
    <w:rsid w:val="00790E3B"/>
    <w:rsid w:val="0079274B"/>
    <w:rsid w:val="007A1C38"/>
    <w:rsid w:val="007B5B5D"/>
    <w:rsid w:val="007E0EB3"/>
    <w:rsid w:val="007F1990"/>
    <w:rsid w:val="00823B7B"/>
    <w:rsid w:val="008B3266"/>
    <w:rsid w:val="0095190F"/>
    <w:rsid w:val="00986C73"/>
    <w:rsid w:val="00A72E35"/>
    <w:rsid w:val="00A77B1D"/>
    <w:rsid w:val="00AA0452"/>
    <w:rsid w:val="00AB1F8F"/>
    <w:rsid w:val="00AD4C1D"/>
    <w:rsid w:val="00AF4648"/>
    <w:rsid w:val="00B23E94"/>
    <w:rsid w:val="00B50896"/>
    <w:rsid w:val="00B70D47"/>
    <w:rsid w:val="00BC3BBD"/>
    <w:rsid w:val="00C06876"/>
    <w:rsid w:val="00C70597"/>
    <w:rsid w:val="00D114BA"/>
    <w:rsid w:val="00DA60D8"/>
    <w:rsid w:val="00DC680A"/>
    <w:rsid w:val="00DE41A1"/>
    <w:rsid w:val="00DF1CD5"/>
    <w:rsid w:val="00E83F22"/>
    <w:rsid w:val="00E944C5"/>
    <w:rsid w:val="00F02157"/>
    <w:rsid w:val="00F2000F"/>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5190F"/>
    <w:rPr>
      <w:rFonts w:ascii="Montserrat Light" w:hAnsi="Montserrat Light"/>
      <w:color w:val="1D252C"/>
      <w:sz w:val="20"/>
    </w:rPr>
  </w:style>
  <w:style w:type="paragraph" w:customStyle="1" w:styleId="824F913BD81D4F92B6A13E84D8922055">
    <w:name w:val="824F913BD81D4F92B6A13E84D8922055"/>
    <w:rsid w:val="00E83F22"/>
    <w:pPr>
      <w:spacing w:after="0" w:line="240" w:lineRule="auto"/>
    </w:pPr>
    <w:rPr>
      <w:rFonts w:ascii="Montserrat Light" w:eastAsiaTheme="minorHAnsi" w:hAnsi="Montserrat Light"/>
      <w:color w:val="1D252C"/>
      <w:sz w:val="20"/>
      <w:szCs w:val="20"/>
      <w:lang w:eastAsia="en-US"/>
    </w:rPr>
  </w:style>
  <w:style w:type="paragraph" w:customStyle="1" w:styleId="2A971B1AEFAF4D98B2EC3CED4A1B3D14">
    <w:name w:val="2A971B1AEFAF4D98B2EC3CED4A1B3D14"/>
    <w:rsid w:val="00E83F22"/>
    <w:pPr>
      <w:spacing w:after="0" w:line="240" w:lineRule="auto"/>
    </w:pPr>
    <w:rPr>
      <w:rFonts w:ascii="Montserrat Light" w:eastAsiaTheme="minorHAnsi" w:hAnsi="Montserrat Light"/>
      <w:color w:val="1D252C"/>
      <w:sz w:val="20"/>
      <w:szCs w:val="20"/>
      <w:lang w:eastAsia="en-US"/>
    </w:rPr>
  </w:style>
  <w:style w:type="paragraph" w:customStyle="1" w:styleId="52A45240446642659425A2D706D08B77">
    <w:name w:val="52A45240446642659425A2D706D08B77"/>
    <w:rsid w:val="00E83F22"/>
    <w:pPr>
      <w:spacing w:after="0" w:line="240" w:lineRule="auto"/>
    </w:pPr>
    <w:rPr>
      <w:rFonts w:ascii="Montserrat Light" w:eastAsiaTheme="minorHAnsi" w:hAnsi="Montserrat Light"/>
      <w:color w:val="1D252C"/>
      <w:sz w:val="20"/>
      <w:szCs w:val="20"/>
      <w:lang w:eastAsia="en-US"/>
    </w:rPr>
  </w:style>
  <w:style w:type="paragraph" w:customStyle="1" w:styleId="F08F705FA94341D3A8FACE81EBE1A59D">
    <w:name w:val="F08F705FA94341D3A8FACE81EBE1A59D"/>
    <w:rsid w:val="00B70D47"/>
  </w:style>
  <w:style w:type="paragraph" w:customStyle="1" w:styleId="86BFBC111E38496B9AF3C1D472C26CC9">
    <w:name w:val="86BFBC111E38496B9AF3C1D472C26C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WSP-Colours-01">
      <a:dk1>
        <a:sysClr val="windowText" lastClr="000000"/>
      </a:dk1>
      <a:lt1>
        <a:srgbClr val="FFFFFF"/>
      </a:lt1>
      <a:dk2>
        <a:srgbClr val="F9423A"/>
      </a:dk2>
      <a:lt2>
        <a:srgbClr val="FFFFFF"/>
      </a:lt2>
      <a:accent1>
        <a:srgbClr val="F9423A"/>
      </a:accent1>
      <a:accent2>
        <a:srgbClr val="D8E6F0"/>
      </a:accent2>
      <a:accent3>
        <a:srgbClr val="1E252B"/>
      </a:accent3>
      <a:accent4>
        <a:srgbClr val="333E48"/>
      </a:accent4>
      <a:accent5>
        <a:srgbClr val="D9D9D6"/>
      </a:accent5>
      <a:accent6>
        <a:srgbClr val="EFECEA"/>
      </a:accent6>
      <a:hlink>
        <a:srgbClr val="0046AD"/>
      </a:hlink>
      <a:folHlink>
        <a:srgbClr val="0098DB"/>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TemplafyFormConfiguration><![CDATA[{"formFields":[{"required":false,"placeholder":"","lines":0,"helpTexts":{"prefix":"","postfix":""},"spacing":{},"type":"textBox","name":"ReportNo","label":"Project Number","fullyQualifiedName":"ReportNo"},{"required":false,"placeholder":"","lines":0,"helpTexts":{"prefix":"","postfix":""},"spacing":{},"type":"textBox","name":"ProjectTitle","label":"ProjectTitle","fullyQualifiedName":"ProjectTitle"},{"required":false,"placeholder":"","lines":0,"helpTexts":{"prefix":"","postfix":""},"spacing":{},"type":"textBox","name":"SubTitle","label":"Subtitle","fullyQualifiedName":"SubTitle"},{"required":false,"helpTexts":{"prefix":"","postfix":""},"spacing":{},"type":"datePicker","name":"Date","label":"Date","fullyQualifiedName":"Date"},{"required":false,"placeholder":"","lines":0,"helpTexts":{"prefix":"","postfix":""},"spacing":{},"type":"textBox","name":"PreparedBy","label":"Prepared by","fullyQualifiedName":"PreparedBy"},{"required":false,"placeholder":"","lines":0,"helpTexts":{"prefix":"","postfix":""},"spacing":{},"type":"textBox","name":"ReviewedBy","label":"Reviewed by","fullyQualifiedName":"ReviewedBy"},{"required":false,"placeholder":"","lines":0,"helpTexts":{"prefix":"","postfix":""},"spacing":{},"type":"textBox","name":"ApprovedForReleaseBy","label":"Approved for release by","fullyQualifiedName":"ApprovedForReleaseBy"}],"formDataEntries":[{"name":"ReportNo","value":"N6jifbpNDQ5fEFCu0vTQhQ=="},{"name":"ProjectTitle","value":"NceCBJl1DiCBBt0iH1pQP028Mpe7ajZ9W08WyCdzF5R6OJk6rwiYkslU+rNzekoe"},{"name":"SubTitle","value":"1UzElZnMSke1hlEb5mXuv90JxFDTWqbvF8f8TlGRb2Ide0tSIl4fCmRqLuaLezp81D7rZMgf+9ngsVbdb5hPlhqTSMwgyawN32EU9j3aBYgh+fcxXQuYmVUusVOtFhrVYojqtkRftdmzhCG/8VxBJg=="},{"name":"Date","value":"8H7MX74YCQtDi2X3VR1igg=="},{"name":"PreparedBy","value":"7lidJp3szWOeLDJFO0CNwA=="}]}]]></TemplafyFormConfiguration>
</file>

<file path=customXml/item3.xml><?xml version="1.0" encoding="utf-8"?>
<TemplafyTemplateConfiguration><![CDATA[{"elementsMetadata":[{"type":"richTextContentControl","id":"417d35f3-ba7e-4ff5-ba6c-479c880cbb03","elementConfiguration":{"binding":"Form.ReportNo","removeAndKeepContent":false,"disableUpdates":false,"type":"text"}},{"type":"richTextContentControl","id":"9f6a6216-896e-42ac-8b60-4dc2abb2a92a","elementConfiguration":{"binding":"Form.ProjectTitle","removeAndKeepContent":false,"disableUpdates":false,"type":"text"}},{"type":"richTextContentControl","id":"f4aaf969-04e2-43e6-bd9d-67d2156958ae","elementConfiguration":{"binding":"Form.SubTitle","removeAndKeepContent":false,"disableUpdates":false,"type":"text"}},{"type":"richTextContentControl","id":"e85fc455-f24f-4d89-9e00-2eaf6faaf5db","elementConfiguration":{"binding":"UserProfile.FirstName","removeAndKeepContent":false,"disableUpdates":false,"type":"text"}},{"type":"richTextContentControl","id":"d7c50001-4c41-4ea1-ab04-9ab2fcc10397","elementConfiguration":{"binding":"UserProfile.LastName","removeAndKeepContent":false,"disableUpdates":false,"type":"text"}},{"type":"richTextContentControl","id":"814d719f-85b4-49e7-a240-9bd7ba738215","elementConfiguration":{"binding":"UserProfile.Office.CompanyName","removeAndKeepContent":false,"disableUpdates":false,"type":"text"}},{"type":"richTextContentControl","id":"38d259c3-5d3f-4244-bdd0-4ebdeaae1449","elementConfiguration":{"binding":"UserProfile.Office.OfficeAddress","removeAndKeepContent":false,"disableUpdates":false,"type":"text"}},{"type":"richTextContentControl","id":"e2049535-8f5d-4323-83ce-b89b1a272a84","elementConfiguration":{"binding":"UserProfile.Office.OfficePhone","removeAndKeepContent":false,"disableUpdates":false,"type":"text"}},{"type":"richTextContentControl","id":"92066ecf-f16f-4443-b32c-c4c9544d5467","elementConfiguration":{"binding":"UserProfile.Mobile","removeAndKeepContent":false,"disableUpdates":false,"type":"text"}},{"type":"richTextContentControl","id":"1ecdf2d5-c4bd-4bad-9b5e-c8b3695471eb","elementConfiguration":{"binding":"UserProfile.Email","removeAndKeepContent":false,"disableUpdates":false,"type":"text"}},{"type":"richTextContentControl","id":"b3038c3f-cc76-4679-bc80-f1a8a46f55f6","elementConfiguration":{"binding":"Form.PreparedBy","removeAndKeepContent":false,"disableUpdates":false,"type":"text"}},{"type":"richTextContentControl","id":"d22c0d74-f3a0-48e1-835c-1ff50c6549f8","elementConfiguration":{"binding":"Form.ReviewedBy","removeAndKeepContent":false,"disableUpdates":false,"type":"text"}},{"type":"richTextContentControl","id":"3fed14d8-a326-4e36-b921-f9cf7f4c9b87","elementConfiguration":{"binding":"Form.ApprovedForReleaseBy","removeAndKeepContent":false,"disableUpdates":false,"type":"text"}},{"type":"richTextContentControl","id":"553b72a9-b8c6-4290-afeb-58c2c591d7b6","elementConfiguration":{"binding":"Form.ReportNo","removeAndKeepContent":false,"disableUpdates":false,"type":"text"}},{"type":"richTextContentControl","id":"61891cf2-6c2a-4d4a-9dba-a4f7bfa3daaf","elementConfiguration":{"binding":"Form.ProjectTitle","removeAndKeepContent":false,"disableUpdates":false,"type":"text"}},{"type":"richTextContentControl","id":"13f814d7-0187-41ac-94cc-626dc26c98ac","elementConfiguration":{"binding":"Form.SubTitle","removeAndKeepContent":false,"disableUpdates":false,"type":"text"}}],"transformationConfigurations":[],"isBaseTemplate":false,"templateName":"g08 - Full Report","templateDescription":"","enableDocumentContentUpdater":true,"version":"1.10"}]]></TemplafyTemplateConfiguration>
</file>

<file path=customXml/itemProps1.xml><?xml version="1.0" encoding="utf-8"?>
<ds:datastoreItem xmlns:ds="http://schemas.openxmlformats.org/officeDocument/2006/customXml" ds:itemID="{50C5FAFE-C0AA-4CF4-A28A-DC25DE3F599C}">
  <ds:schemaRefs>
    <ds:schemaRef ds:uri="http://schemas.openxmlformats.org/officeDocument/2006/bibliography"/>
  </ds:schemaRefs>
</ds:datastoreItem>
</file>

<file path=customXml/itemProps2.xml><?xml version="1.0" encoding="utf-8"?>
<ds:datastoreItem xmlns:ds="http://schemas.openxmlformats.org/officeDocument/2006/customXml" ds:itemID="{E393F177-811F-4EF0-AB88-15225F4B67DB}">
  <ds:schemaRefs/>
</ds:datastoreItem>
</file>

<file path=customXml/itemProps3.xml><?xml version="1.0" encoding="utf-8"?>
<ds:datastoreItem xmlns:ds="http://schemas.openxmlformats.org/officeDocument/2006/customXml" ds:itemID="{750DC4E5-1F26-4501-836A-8339D017FAE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27580</Words>
  <Characters>157207</Characters>
  <Application>Microsoft Office Word</Application>
  <DocSecurity>0</DocSecurity>
  <Lines>1310</Lines>
  <Paragraphs>368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184419</CharactersWithSpaces>
  <SharedDoc>false</SharedDoc>
  <HLinks>
    <vt:vector size="504" baseType="variant">
      <vt:variant>
        <vt:i4>4522023</vt:i4>
      </vt:variant>
      <vt:variant>
        <vt:i4>427</vt:i4>
      </vt:variant>
      <vt:variant>
        <vt:i4>0</vt:i4>
      </vt:variant>
      <vt:variant>
        <vt:i4>5</vt:i4>
      </vt:variant>
      <vt:variant>
        <vt:lpwstr>mailto:Jean.beetham@wsp.com</vt:lpwstr>
      </vt:variant>
      <vt:variant>
        <vt:lpwstr/>
      </vt:variant>
      <vt:variant>
        <vt:i4>1441868</vt:i4>
      </vt:variant>
      <vt:variant>
        <vt:i4>422</vt:i4>
      </vt:variant>
      <vt:variant>
        <vt:i4>0</vt:i4>
      </vt:variant>
      <vt:variant>
        <vt:i4>5</vt:i4>
      </vt:variant>
      <vt:variant>
        <vt:lpwstr>https://dx.doi.org/10.3389%2Ffpsyg.2017.00227</vt:lpwstr>
      </vt:variant>
      <vt:variant>
        <vt:lpwstr/>
      </vt:variant>
      <vt:variant>
        <vt:i4>262216</vt:i4>
      </vt:variant>
      <vt:variant>
        <vt:i4>419</vt:i4>
      </vt:variant>
      <vt:variant>
        <vt:i4>0</vt:i4>
      </vt:variant>
      <vt:variant>
        <vt:i4>5</vt:i4>
      </vt:variant>
      <vt:variant>
        <vt:lpwstr>https://prism.ucalgary.ca/bitstream/handle/1880/51141/Williams_AGRI2016_What_Proportion_of_Gambling_Revenue_is_Derived_from_PG.pdf;jsessionid=74E3FE973ACDB5284FC179A441174F11?sequence=18</vt:lpwstr>
      </vt:variant>
      <vt:variant>
        <vt:lpwstr/>
      </vt:variant>
      <vt:variant>
        <vt:i4>917572</vt:i4>
      </vt:variant>
      <vt:variant>
        <vt:i4>416</vt:i4>
      </vt:variant>
      <vt:variant>
        <vt:i4>0</vt:i4>
      </vt:variant>
      <vt:variant>
        <vt:i4>5</vt:i4>
      </vt:variant>
      <vt:variant>
        <vt:lpwstr>https://www.responsiblegambling.vic.gov.au/information-and-resources/research/recentresearch/lessons-for-the-development-of-initiatives-to-tackle-the-stigma-associated-withproblem-gambling Viewed 16/6/2020</vt:lpwstr>
      </vt:variant>
      <vt:variant>
        <vt:lpwstr/>
      </vt:variant>
      <vt:variant>
        <vt:i4>3735597</vt:i4>
      </vt:variant>
      <vt:variant>
        <vt:i4>413</vt:i4>
      </vt:variant>
      <vt:variant>
        <vt:i4>0</vt:i4>
      </vt:variant>
      <vt:variant>
        <vt:i4>5</vt:i4>
      </vt:variant>
      <vt:variant>
        <vt:lpwstr>https://www.hpa.org.nz/sites/default/files/Final-Report_Results-from-2016-Health-And-Lifestyles-Survey_Gambling-Feb2018.pdf Viewed 15/6/2020</vt:lpwstr>
      </vt:variant>
      <vt:variant>
        <vt:lpwstr/>
      </vt:variant>
      <vt:variant>
        <vt:i4>7798837</vt:i4>
      </vt:variant>
      <vt:variant>
        <vt:i4>410</vt:i4>
      </vt:variant>
      <vt:variant>
        <vt:i4>0</vt:i4>
      </vt:variant>
      <vt:variant>
        <vt:i4>5</vt:i4>
      </vt:variant>
      <vt:variant>
        <vt:lpwstr>https://pdfs.semanticscholar.org/52b8/64787a23a7579e5fe45c39f6a94d801e7620.pdf</vt:lpwstr>
      </vt:variant>
      <vt:variant>
        <vt:lpwstr/>
      </vt:variant>
      <vt:variant>
        <vt:i4>2097181</vt:i4>
      </vt:variant>
      <vt:variant>
        <vt:i4>407</vt:i4>
      </vt:variant>
      <vt:variant>
        <vt:i4>0</vt:i4>
      </vt:variant>
      <vt:variant>
        <vt:i4>5</vt:i4>
      </vt:variant>
      <vt:variant>
        <vt:lpwstr>https://pdfs.semanticscholar.org/6ed9/f86811a629b09f4477755f0650fa4f38337a.pdf?_ga=2.205884244.654821056.1574217402-856011585.1560230605</vt:lpwstr>
      </vt:variant>
      <vt:variant>
        <vt:lpwstr/>
      </vt:variant>
      <vt:variant>
        <vt:i4>4587636</vt:i4>
      </vt:variant>
      <vt:variant>
        <vt:i4>404</vt:i4>
      </vt:variant>
      <vt:variant>
        <vt:i4>0</vt:i4>
      </vt:variant>
      <vt:variant>
        <vt:i4>5</vt:i4>
      </vt:variant>
      <vt:variant>
        <vt:lpwstr>https://www.researchgate.net/publication/311497416_Key_Issues_in_Product_Based_Harm_Minimisation_Examining_theory_evidence_and_policy_issues_relevant_in_Great_Britain</vt:lpwstr>
      </vt:variant>
      <vt:variant>
        <vt:lpwstr/>
      </vt:variant>
      <vt:variant>
        <vt:i4>6422633</vt:i4>
      </vt:variant>
      <vt:variant>
        <vt:i4>401</vt:i4>
      </vt:variant>
      <vt:variant>
        <vt:i4>0</vt:i4>
      </vt:variant>
      <vt:variant>
        <vt:i4>5</vt:i4>
      </vt:variant>
      <vt:variant>
        <vt:lpwstr>https://www.researchgate.net/publication/275283164_Assessment_Tool_to_Measure_and_Evaluate_the_Risk_Potential_of_Gambling_Products_ASTERIG_A_Global_Validationhttps://www.researchgate.net/publication/275283164_Assessment_Tool_to_Measure_and_Evaluate_the_Risk_Potential_of_Gambling_Products_ASTERIG_A_Global_Validation</vt:lpwstr>
      </vt:variant>
      <vt:variant>
        <vt:lpwstr/>
      </vt:variant>
      <vt:variant>
        <vt:i4>7995500</vt:i4>
      </vt:variant>
      <vt:variant>
        <vt:i4>371</vt:i4>
      </vt:variant>
      <vt:variant>
        <vt:i4>0</vt:i4>
      </vt:variant>
      <vt:variant>
        <vt:i4>5</vt:i4>
      </vt:variant>
      <vt:variant>
        <vt:lpwstr>https://www.vegasslotsonline.com/gaming-fairness-and-testing-companies/</vt:lpwstr>
      </vt:variant>
      <vt:variant>
        <vt:lpwstr/>
      </vt:variant>
      <vt:variant>
        <vt:i4>7012474</vt:i4>
      </vt:variant>
      <vt:variant>
        <vt:i4>347</vt:i4>
      </vt:variant>
      <vt:variant>
        <vt:i4>0</vt:i4>
      </vt:variant>
      <vt:variant>
        <vt:i4>5</vt:i4>
      </vt:variant>
      <vt:variant>
        <vt:lpwstr>http://www.frontiersin.org/people/u/223834</vt:lpwstr>
      </vt:variant>
      <vt:variant>
        <vt:lpwstr/>
      </vt:variant>
      <vt:variant>
        <vt:i4>7012474</vt:i4>
      </vt:variant>
      <vt:variant>
        <vt:i4>344</vt:i4>
      </vt:variant>
      <vt:variant>
        <vt:i4>0</vt:i4>
      </vt:variant>
      <vt:variant>
        <vt:i4>5</vt:i4>
      </vt:variant>
      <vt:variant>
        <vt:lpwstr>http://www.frontiersin.org/people/u/223834</vt:lpwstr>
      </vt:variant>
      <vt:variant>
        <vt:lpwstr/>
      </vt:variant>
      <vt:variant>
        <vt:i4>6160396</vt:i4>
      </vt:variant>
      <vt:variant>
        <vt:i4>314</vt:i4>
      </vt:variant>
      <vt:variant>
        <vt:i4>0</vt:i4>
      </vt:variant>
      <vt:variant>
        <vt:i4>5</vt:i4>
      </vt:variant>
      <vt:variant>
        <vt:lpwstr>https://gamres.org/our-team/</vt:lpwstr>
      </vt:variant>
      <vt:variant>
        <vt:lpwstr/>
      </vt:variant>
      <vt:variant>
        <vt:i4>1310779</vt:i4>
      </vt:variant>
      <vt:variant>
        <vt:i4>304</vt:i4>
      </vt:variant>
      <vt:variant>
        <vt:i4>0</vt:i4>
      </vt:variant>
      <vt:variant>
        <vt:i4>5</vt:i4>
      </vt:variant>
      <vt:variant>
        <vt:lpwstr/>
      </vt:variant>
      <vt:variant>
        <vt:lpwstr>_Toc81491269</vt:lpwstr>
      </vt:variant>
      <vt:variant>
        <vt:i4>1376315</vt:i4>
      </vt:variant>
      <vt:variant>
        <vt:i4>298</vt:i4>
      </vt:variant>
      <vt:variant>
        <vt:i4>0</vt:i4>
      </vt:variant>
      <vt:variant>
        <vt:i4>5</vt:i4>
      </vt:variant>
      <vt:variant>
        <vt:lpwstr/>
      </vt:variant>
      <vt:variant>
        <vt:lpwstr>_Toc81491268</vt:lpwstr>
      </vt:variant>
      <vt:variant>
        <vt:i4>1703995</vt:i4>
      </vt:variant>
      <vt:variant>
        <vt:i4>292</vt:i4>
      </vt:variant>
      <vt:variant>
        <vt:i4>0</vt:i4>
      </vt:variant>
      <vt:variant>
        <vt:i4>5</vt:i4>
      </vt:variant>
      <vt:variant>
        <vt:lpwstr/>
      </vt:variant>
      <vt:variant>
        <vt:lpwstr>_Toc81491267</vt:lpwstr>
      </vt:variant>
      <vt:variant>
        <vt:i4>1769531</vt:i4>
      </vt:variant>
      <vt:variant>
        <vt:i4>286</vt:i4>
      </vt:variant>
      <vt:variant>
        <vt:i4>0</vt:i4>
      </vt:variant>
      <vt:variant>
        <vt:i4>5</vt:i4>
      </vt:variant>
      <vt:variant>
        <vt:lpwstr/>
      </vt:variant>
      <vt:variant>
        <vt:lpwstr>_Toc81491266</vt:lpwstr>
      </vt:variant>
      <vt:variant>
        <vt:i4>1572923</vt:i4>
      </vt:variant>
      <vt:variant>
        <vt:i4>280</vt:i4>
      </vt:variant>
      <vt:variant>
        <vt:i4>0</vt:i4>
      </vt:variant>
      <vt:variant>
        <vt:i4>5</vt:i4>
      </vt:variant>
      <vt:variant>
        <vt:lpwstr/>
      </vt:variant>
      <vt:variant>
        <vt:lpwstr>_Toc81491265</vt:lpwstr>
      </vt:variant>
      <vt:variant>
        <vt:i4>1638459</vt:i4>
      </vt:variant>
      <vt:variant>
        <vt:i4>271</vt:i4>
      </vt:variant>
      <vt:variant>
        <vt:i4>0</vt:i4>
      </vt:variant>
      <vt:variant>
        <vt:i4>5</vt:i4>
      </vt:variant>
      <vt:variant>
        <vt:lpwstr/>
      </vt:variant>
      <vt:variant>
        <vt:lpwstr>_Toc81491264</vt:lpwstr>
      </vt:variant>
      <vt:variant>
        <vt:i4>1966139</vt:i4>
      </vt:variant>
      <vt:variant>
        <vt:i4>265</vt:i4>
      </vt:variant>
      <vt:variant>
        <vt:i4>0</vt:i4>
      </vt:variant>
      <vt:variant>
        <vt:i4>5</vt:i4>
      </vt:variant>
      <vt:variant>
        <vt:lpwstr/>
      </vt:variant>
      <vt:variant>
        <vt:lpwstr>_Toc81491263</vt:lpwstr>
      </vt:variant>
      <vt:variant>
        <vt:i4>2031675</vt:i4>
      </vt:variant>
      <vt:variant>
        <vt:i4>259</vt:i4>
      </vt:variant>
      <vt:variant>
        <vt:i4>0</vt:i4>
      </vt:variant>
      <vt:variant>
        <vt:i4>5</vt:i4>
      </vt:variant>
      <vt:variant>
        <vt:lpwstr/>
      </vt:variant>
      <vt:variant>
        <vt:lpwstr>_Toc81491262</vt:lpwstr>
      </vt:variant>
      <vt:variant>
        <vt:i4>1835067</vt:i4>
      </vt:variant>
      <vt:variant>
        <vt:i4>253</vt:i4>
      </vt:variant>
      <vt:variant>
        <vt:i4>0</vt:i4>
      </vt:variant>
      <vt:variant>
        <vt:i4>5</vt:i4>
      </vt:variant>
      <vt:variant>
        <vt:lpwstr/>
      </vt:variant>
      <vt:variant>
        <vt:lpwstr>_Toc81491261</vt:lpwstr>
      </vt:variant>
      <vt:variant>
        <vt:i4>1900603</vt:i4>
      </vt:variant>
      <vt:variant>
        <vt:i4>247</vt:i4>
      </vt:variant>
      <vt:variant>
        <vt:i4>0</vt:i4>
      </vt:variant>
      <vt:variant>
        <vt:i4>5</vt:i4>
      </vt:variant>
      <vt:variant>
        <vt:lpwstr/>
      </vt:variant>
      <vt:variant>
        <vt:lpwstr>_Toc81491260</vt:lpwstr>
      </vt:variant>
      <vt:variant>
        <vt:i4>1310776</vt:i4>
      </vt:variant>
      <vt:variant>
        <vt:i4>241</vt:i4>
      </vt:variant>
      <vt:variant>
        <vt:i4>0</vt:i4>
      </vt:variant>
      <vt:variant>
        <vt:i4>5</vt:i4>
      </vt:variant>
      <vt:variant>
        <vt:lpwstr/>
      </vt:variant>
      <vt:variant>
        <vt:lpwstr>_Toc81491259</vt:lpwstr>
      </vt:variant>
      <vt:variant>
        <vt:i4>1376312</vt:i4>
      </vt:variant>
      <vt:variant>
        <vt:i4>232</vt:i4>
      </vt:variant>
      <vt:variant>
        <vt:i4>0</vt:i4>
      </vt:variant>
      <vt:variant>
        <vt:i4>5</vt:i4>
      </vt:variant>
      <vt:variant>
        <vt:lpwstr/>
      </vt:variant>
      <vt:variant>
        <vt:lpwstr>_Toc81491258</vt:lpwstr>
      </vt:variant>
      <vt:variant>
        <vt:i4>1703992</vt:i4>
      </vt:variant>
      <vt:variant>
        <vt:i4>226</vt:i4>
      </vt:variant>
      <vt:variant>
        <vt:i4>0</vt:i4>
      </vt:variant>
      <vt:variant>
        <vt:i4>5</vt:i4>
      </vt:variant>
      <vt:variant>
        <vt:lpwstr/>
      </vt:variant>
      <vt:variant>
        <vt:lpwstr>_Toc81491257</vt:lpwstr>
      </vt:variant>
      <vt:variant>
        <vt:i4>1769528</vt:i4>
      </vt:variant>
      <vt:variant>
        <vt:i4>220</vt:i4>
      </vt:variant>
      <vt:variant>
        <vt:i4>0</vt:i4>
      </vt:variant>
      <vt:variant>
        <vt:i4>5</vt:i4>
      </vt:variant>
      <vt:variant>
        <vt:lpwstr/>
      </vt:variant>
      <vt:variant>
        <vt:lpwstr>_Toc81491256</vt:lpwstr>
      </vt:variant>
      <vt:variant>
        <vt:i4>1572920</vt:i4>
      </vt:variant>
      <vt:variant>
        <vt:i4>214</vt:i4>
      </vt:variant>
      <vt:variant>
        <vt:i4>0</vt:i4>
      </vt:variant>
      <vt:variant>
        <vt:i4>5</vt:i4>
      </vt:variant>
      <vt:variant>
        <vt:lpwstr/>
      </vt:variant>
      <vt:variant>
        <vt:lpwstr>_Toc81491255</vt:lpwstr>
      </vt:variant>
      <vt:variant>
        <vt:i4>1638456</vt:i4>
      </vt:variant>
      <vt:variant>
        <vt:i4>208</vt:i4>
      </vt:variant>
      <vt:variant>
        <vt:i4>0</vt:i4>
      </vt:variant>
      <vt:variant>
        <vt:i4>5</vt:i4>
      </vt:variant>
      <vt:variant>
        <vt:lpwstr/>
      </vt:variant>
      <vt:variant>
        <vt:lpwstr>_Toc81491254</vt:lpwstr>
      </vt:variant>
      <vt:variant>
        <vt:i4>1966136</vt:i4>
      </vt:variant>
      <vt:variant>
        <vt:i4>202</vt:i4>
      </vt:variant>
      <vt:variant>
        <vt:i4>0</vt:i4>
      </vt:variant>
      <vt:variant>
        <vt:i4>5</vt:i4>
      </vt:variant>
      <vt:variant>
        <vt:lpwstr/>
      </vt:variant>
      <vt:variant>
        <vt:lpwstr>_Toc81491253</vt:lpwstr>
      </vt:variant>
      <vt:variant>
        <vt:i4>2031672</vt:i4>
      </vt:variant>
      <vt:variant>
        <vt:i4>196</vt:i4>
      </vt:variant>
      <vt:variant>
        <vt:i4>0</vt:i4>
      </vt:variant>
      <vt:variant>
        <vt:i4>5</vt:i4>
      </vt:variant>
      <vt:variant>
        <vt:lpwstr/>
      </vt:variant>
      <vt:variant>
        <vt:lpwstr>_Toc81491252</vt:lpwstr>
      </vt:variant>
      <vt:variant>
        <vt:i4>1835064</vt:i4>
      </vt:variant>
      <vt:variant>
        <vt:i4>190</vt:i4>
      </vt:variant>
      <vt:variant>
        <vt:i4>0</vt:i4>
      </vt:variant>
      <vt:variant>
        <vt:i4>5</vt:i4>
      </vt:variant>
      <vt:variant>
        <vt:lpwstr/>
      </vt:variant>
      <vt:variant>
        <vt:lpwstr>_Toc81491251</vt:lpwstr>
      </vt:variant>
      <vt:variant>
        <vt:i4>1900600</vt:i4>
      </vt:variant>
      <vt:variant>
        <vt:i4>184</vt:i4>
      </vt:variant>
      <vt:variant>
        <vt:i4>0</vt:i4>
      </vt:variant>
      <vt:variant>
        <vt:i4>5</vt:i4>
      </vt:variant>
      <vt:variant>
        <vt:lpwstr/>
      </vt:variant>
      <vt:variant>
        <vt:lpwstr>_Toc81491250</vt:lpwstr>
      </vt:variant>
      <vt:variant>
        <vt:i4>1310777</vt:i4>
      </vt:variant>
      <vt:variant>
        <vt:i4>178</vt:i4>
      </vt:variant>
      <vt:variant>
        <vt:i4>0</vt:i4>
      </vt:variant>
      <vt:variant>
        <vt:i4>5</vt:i4>
      </vt:variant>
      <vt:variant>
        <vt:lpwstr/>
      </vt:variant>
      <vt:variant>
        <vt:lpwstr>_Toc81491249</vt:lpwstr>
      </vt:variant>
      <vt:variant>
        <vt:i4>1376313</vt:i4>
      </vt:variant>
      <vt:variant>
        <vt:i4>172</vt:i4>
      </vt:variant>
      <vt:variant>
        <vt:i4>0</vt:i4>
      </vt:variant>
      <vt:variant>
        <vt:i4>5</vt:i4>
      </vt:variant>
      <vt:variant>
        <vt:lpwstr/>
      </vt:variant>
      <vt:variant>
        <vt:lpwstr>_Toc81491248</vt:lpwstr>
      </vt:variant>
      <vt:variant>
        <vt:i4>1703993</vt:i4>
      </vt:variant>
      <vt:variant>
        <vt:i4>166</vt:i4>
      </vt:variant>
      <vt:variant>
        <vt:i4>0</vt:i4>
      </vt:variant>
      <vt:variant>
        <vt:i4>5</vt:i4>
      </vt:variant>
      <vt:variant>
        <vt:lpwstr/>
      </vt:variant>
      <vt:variant>
        <vt:lpwstr>_Toc81491247</vt:lpwstr>
      </vt:variant>
      <vt:variant>
        <vt:i4>1769529</vt:i4>
      </vt:variant>
      <vt:variant>
        <vt:i4>160</vt:i4>
      </vt:variant>
      <vt:variant>
        <vt:i4>0</vt:i4>
      </vt:variant>
      <vt:variant>
        <vt:i4>5</vt:i4>
      </vt:variant>
      <vt:variant>
        <vt:lpwstr/>
      </vt:variant>
      <vt:variant>
        <vt:lpwstr>_Toc81491246</vt:lpwstr>
      </vt:variant>
      <vt:variant>
        <vt:i4>1572921</vt:i4>
      </vt:variant>
      <vt:variant>
        <vt:i4>154</vt:i4>
      </vt:variant>
      <vt:variant>
        <vt:i4>0</vt:i4>
      </vt:variant>
      <vt:variant>
        <vt:i4>5</vt:i4>
      </vt:variant>
      <vt:variant>
        <vt:lpwstr/>
      </vt:variant>
      <vt:variant>
        <vt:lpwstr>_Toc81491245</vt:lpwstr>
      </vt:variant>
      <vt:variant>
        <vt:i4>1638457</vt:i4>
      </vt:variant>
      <vt:variant>
        <vt:i4>148</vt:i4>
      </vt:variant>
      <vt:variant>
        <vt:i4>0</vt:i4>
      </vt:variant>
      <vt:variant>
        <vt:i4>5</vt:i4>
      </vt:variant>
      <vt:variant>
        <vt:lpwstr/>
      </vt:variant>
      <vt:variant>
        <vt:lpwstr>_Toc81491244</vt:lpwstr>
      </vt:variant>
      <vt:variant>
        <vt:i4>1966137</vt:i4>
      </vt:variant>
      <vt:variant>
        <vt:i4>142</vt:i4>
      </vt:variant>
      <vt:variant>
        <vt:i4>0</vt:i4>
      </vt:variant>
      <vt:variant>
        <vt:i4>5</vt:i4>
      </vt:variant>
      <vt:variant>
        <vt:lpwstr/>
      </vt:variant>
      <vt:variant>
        <vt:lpwstr>_Toc81491243</vt:lpwstr>
      </vt:variant>
      <vt:variant>
        <vt:i4>2031673</vt:i4>
      </vt:variant>
      <vt:variant>
        <vt:i4>136</vt:i4>
      </vt:variant>
      <vt:variant>
        <vt:i4>0</vt:i4>
      </vt:variant>
      <vt:variant>
        <vt:i4>5</vt:i4>
      </vt:variant>
      <vt:variant>
        <vt:lpwstr/>
      </vt:variant>
      <vt:variant>
        <vt:lpwstr>_Toc81491242</vt:lpwstr>
      </vt:variant>
      <vt:variant>
        <vt:i4>1835065</vt:i4>
      </vt:variant>
      <vt:variant>
        <vt:i4>130</vt:i4>
      </vt:variant>
      <vt:variant>
        <vt:i4>0</vt:i4>
      </vt:variant>
      <vt:variant>
        <vt:i4>5</vt:i4>
      </vt:variant>
      <vt:variant>
        <vt:lpwstr/>
      </vt:variant>
      <vt:variant>
        <vt:lpwstr>_Toc81491241</vt:lpwstr>
      </vt:variant>
      <vt:variant>
        <vt:i4>1900601</vt:i4>
      </vt:variant>
      <vt:variant>
        <vt:i4>124</vt:i4>
      </vt:variant>
      <vt:variant>
        <vt:i4>0</vt:i4>
      </vt:variant>
      <vt:variant>
        <vt:i4>5</vt:i4>
      </vt:variant>
      <vt:variant>
        <vt:lpwstr/>
      </vt:variant>
      <vt:variant>
        <vt:lpwstr>_Toc81491240</vt:lpwstr>
      </vt:variant>
      <vt:variant>
        <vt:i4>1310782</vt:i4>
      </vt:variant>
      <vt:variant>
        <vt:i4>118</vt:i4>
      </vt:variant>
      <vt:variant>
        <vt:i4>0</vt:i4>
      </vt:variant>
      <vt:variant>
        <vt:i4>5</vt:i4>
      </vt:variant>
      <vt:variant>
        <vt:lpwstr/>
      </vt:variant>
      <vt:variant>
        <vt:lpwstr>_Toc81491239</vt:lpwstr>
      </vt:variant>
      <vt:variant>
        <vt:i4>1376318</vt:i4>
      </vt:variant>
      <vt:variant>
        <vt:i4>112</vt:i4>
      </vt:variant>
      <vt:variant>
        <vt:i4>0</vt:i4>
      </vt:variant>
      <vt:variant>
        <vt:i4>5</vt:i4>
      </vt:variant>
      <vt:variant>
        <vt:lpwstr/>
      </vt:variant>
      <vt:variant>
        <vt:lpwstr>_Toc81491238</vt:lpwstr>
      </vt:variant>
      <vt:variant>
        <vt:i4>1703998</vt:i4>
      </vt:variant>
      <vt:variant>
        <vt:i4>106</vt:i4>
      </vt:variant>
      <vt:variant>
        <vt:i4>0</vt:i4>
      </vt:variant>
      <vt:variant>
        <vt:i4>5</vt:i4>
      </vt:variant>
      <vt:variant>
        <vt:lpwstr/>
      </vt:variant>
      <vt:variant>
        <vt:lpwstr>_Toc81491237</vt:lpwstr>
      </vt:variant>
      <vt:variant>
        <vt:i4>1769534</vt:i4>
      </vt:variant>
      <vt:variant>
        <vt:i4>100</vt:i4>
      </vt:variant>
      <vt:variant>
        <vt:i4>0</vt:i4>
      </vt:variant>
      <vt:variant>
        <vt:i4>5</vt:i4>
      </vt:variant>
      <vt:variant>
        <vt:lpwstr/>
      </vt:variant>
      <vt:variant>
        <vt:lpwstr>_Toc81491236</vt:lpwstr>
      </vt:variant>
      <vt:variant>
        <vt:i4>1572926</vt:i4>
      </vt:variant>
      <vt:variant>
        <vt:i4>94</vt:i4>
      </vt:variant>
      <vt:variant>
        <vt:i4>0</vt:i4>
      </vt:variant>
      <vt:variant>
        <vt:i4>5</vt:i4>
      </vt:variant>
      <vt:variant>
        <vt:lpwstr/>
      </vt:variant>
      <vt:variant>
        <vt:lpwstr>_Toc81491235</vt:lpwstr>
      </vt:variant>
      <vt:variant>
        <vt:i4>1638462</vt:i4>
      </vt:variant>
      <vt:variant>
        <vt:i4>88</vt:i4>
      </vt:variant>
      <vt:variant>
        <vt:i4>0</vt:i4>
      </vt:variant>
      <vt:variant>
        <vt:i4>5</vt:i4>
      </vt:variant>
      <vt:variant>
        <vt:lpwstr/>
      </vt:variant>
      <vt:variant>
        <vt:lpwstr>_Toc81491234</vt:lpwstr>
      </vt:variant>
      <vt:variant>
        <vt:i4>1966142</vt:i4>
      </vt:variant>
      <vt:variant>
        <vt:i4>82</vt:i4>
      </vt:variant>
      <vt:variant>
        <vt:i4>0</vt:i4>
      </vt:variant>
      <vt:variant>
        <vt:i4>5</vt:i4>
      </vt:variant>
      <vt:variant>
        <vt:lpwstr/>
      </vt:variant>
      <vt:variant>
        <vt:lpwstr>_Toc81491233</vt:lpwstr>
      </vt:variant>
      <vt:variant>
        <vt:i4>2031678</vt:i4>
      </vt:variant>
      <vt:variant>
        <vt:i4>76</vt:i4>
      </vt:variant>
      <vt:variant>
        <vt:i4>0</vt:i4>
      </vt:variant>
      <vt:variant>
        <vt:i4>5</vt:i4>
      </vt:variant>
      <vt:variant>
        <vt:lpwstr/>
      </vt:variant>
      <vt:variant>
        <vt:lpwstr>_Toc81491232</vt:lpwstr>
      </vt:variant>
      <vt:variant>
        <vt:i4>1835070</vt:i4>
      </vt:variant>
      <vt:variant>
        <vt:i4>70</vt:i4>
      </vt:variant>
      <vt:variant>
        <vt:i4>0</vt:i4>
      </vt:variant>
      <vt:variant>
        <vt:i4>5</vt:i4>
      </vt:variant>
      <vt:variant>
        <vt:lpwstr/>
      </vt:variant>
      <vt:variant>
        <vt:lpwstr>_Toc81491231</vt:lpwstr>
      </vt:variant>
      <vt:variant>
        <vt:i4>1900606</vt:i4>
      </vt:variant>
      <vt:variant>
        <vt:i4>64</vt:i4>
      </vt:variant>
      <vt:variant>
        <vt:i4>0</vt:i4>
      </vt:variant>
      <vt:variant>
        <vt:i4>5</vt:i4>
      </vt:variant>
      <vt:variant>
        <vt:lpwstr/>
      </vt:variant>
      <vt:variant>
        <vt:lpwstr>_Toc81491230</vt:lpwstr>
      </vt:variant>
      <vt:variant>
        <vt:i4>1310783</vt:i4>
      </vt:variant>
      <vt:variant>
        <vt:i4>58</vt:i4>
      </vt:variant>
      <vt:variant>
        <vt:i4>0</vt:i4>
      </vt:variant>
      <vt:variant>
        <vt:i4>5</vt:i4>
      </vt:variant>
      <vt:variant>
        <vt:lpwstr/>
      </vt:variant>
      <vt:variant>
        <vt:lpwstr>_Toc81491229</vt:lpwstr>
      </vt:variant>
      <vt:variant>
        <vt:i4>1376319</vt:i4>
      </vt:variant>
      <vt:variant>
        <vt:i4>52</vt:i4>
      </vt:variant>
      <vt:variant>
        <vt:i4>0</vt:i4>
      </vt:variant>
      <vt:variant>
        <vt:i4>5</vt:i4>
      </vt:variant>
      <vt:variant>
        <vt:lpwstr/>
      </vt:variant>
      <vt:variant>
        <vt:lpwstr>_Toc81491228</vt:lpwstr>
      </vt:variant>
      <vt:variant>
        <vt:i4>1703999</vt:i4>
      </vt:variant>
      <vt:variant>
        <vt:i4>46</vt:i4>
      </vt:variant>
      <vt:variant>
        <vt:i4>0</vt:i4>
      </vt:variant>
      <vt:variant>
        <vt:i4>5</vt:i4>
      </vt:variant>
      <vt:variant>
        <vt:lpwstr/>
      </vt:variant>
      <vt:variant>
        <vt:lpwstr>_Toc81491227</vt:lpwstr>
      </vt:variant>
      <vt:variant>
        <vt:i4>1769535</vt:i4>
      </vt:variant>
      <vt:variant>
        <vt:i4>40</vt:i4>
      </vt:variant>
      <vt:variant>
        <vt:i4>0</vt:i4>
      </vt:variant>
      <vt:variant>
        <vt:i4>5</vt:i4>
      </vt:variant>
      <vt:variant>
        <vt:lpwstr/>
      </vt:variant>
      <vt:variant>
        <vt:lpwstr>_Toc81491226</vt:lpwstr>
      </vt:variant>
      <vt:variant>
        <vt:i4>1572927</vt:i4>
      </vt:variant>
      <vt:variant>
        <vt:i4>34</vt:i4>
      </vt:variant>
      <vt:variant>
        <vt:i4>0</vt:i4>
      </vt:variant>
      <vt:variant>
        <vt:i4>5</vt:i4>
      </vt:variant>
      <vt:variant>
        <vt:lpwstr/>
      </vt:variant>
      <vt:variant>
        <vt:lpwstr>_Toc81491225</vt:lpwstr>
      </vt:variant>
      <vt:variant>
        <vt:i4>1638463</vt:i4>
      </vt:variant>
      <vt:variant>
        <vt:i4>28</vt:i4>
      </vt:variant>
      <vt:variant>
        <vt:i4>0</vt:i4>
      </vt:variant>
      <vt:variant>
        <vt:i4>5</vt:i4>
      </vt:variant>
      <vt:variant>
        <vt:lpwstr/>
      </vt:variant>
      <vt:variant>
        <vt:lpwstr>_Toc81491224</vt:lpwstr>
      </vt:variant>
      <vt:variant>
        <vt:i4>1966143</vt:i4>
      </vt:variant>
      <vt:variant>
        <vt:i4>22</vt:i4>
      </vt:variant>
      <vt:variant>
        <vt:i4>0</vt:i4>
      </vt:variant>
      <vt:variant>
        <vt:i4>5</vt:i4>
      </vt:variant>
      <vt:variant>
        <vt:lpwstr/>
      </vt:variant>
      <vt:variant>
        <vt:lpwstr>_Toc81491223</vt:lpwstr>
      </vt:variant>
      <vt:variant>
        <vt:i4>2031679</vt:i4>
      </vt:variant>
      <vt:variant>
        <vt:i4>16</vt:i4>
      </vt:variant>
      <vt:variant>
        <vt:i4>0</vt:i4>
      </vt:variant>
      <vt:variant>
        <vt:i4>5</vt:i4>
      </vt:variant>
      <vt:variant>
        <vt:lpwstr/>
      </vt:variant>
      <vt:variant>
        <vt:lpwstr>_Toc81491222</vt:lpwstr>
      </vt:variant>
      <vt:variant>
        <vt:i4>1835071</vt:i4>
      </vt:variant>
      <vt:variant>
        <vt:i4>10</vt:i4>
      </vt:variant>
      <vt:variant>
        <vt:i4>0</vt:i4>
      </vt:variant>
      <vt:variant>
        <vt:i4>5</vt:i4>
      </vt:variant>
      <vt:variant>
        <vt:lpwstr/>
      </vt:variant>
      <vt:variant>
        <vt:lpwstr>_Toc81491221</vt:lpwstr>
      </vt:variant>
      <vt:variant>
        <vt:i4>1900607</vt:i4>
      </vt:variant>
      <vt:variant>
        <vt:i4>4</vt:i4>
      </vt:variant>
      <vt:variant>
        <vt:i4>0</vt:i4>
      </vt:variant>
      <vt:variant>
        <vt:i4>5</vt:i4>
      </vt:variant>
      <vt:variant>
        <vt:lpwstr/>
      </vt:variant>
      <vt:variant>
        <vt:lpwstr>_Toc81491220</vt:lpwstr>
      </vt:variant>
      <vt:variant>
        <vt:i4>1048654</vt:i4>
      </vt:variant>
      <vt:variant>
        <vt:i4>63</vt:i4>
      </vt:variant>
      <vt:variant>
        <vt:i4>0</vt:i4>
      </vt:variant>
      <vt:variant>
        <vt:i4>5</vt:i4>
      </vt:variant>
      <vt:variant>
        <vt:lpwstr>https://gaminglabs.com/services/testing/</vt:lpwstr>
      </vt:variant>
      <vt:variant>
        <vt:lpwstr/>
      </vt:variant>
      <vt:variant>
        <vt:i4>3539051</vt:i4>
      </vt:variant>
      <vt:variant>
        <vt:i4>60</vt:i4>
      </vt:variant>
      <vt:variant>
        <vt:i4>0</vt:i4>
      </vt:variant>
      <vt:variant>
        <vt:i4>5</vt:i4>
      </vt:variant>
      <vt:variant>
        <vt:lpwstr>https://www.agco.ca/lottery-and-gaming/electronic-gaming-equipment-and-systems</vt:lpwstr>
      </vt:variant>
      <vt:variant>
        <vt:lpwstr/>
      </vt:variant>
      <vt:variant>
        <vt:i4>6029315</vt:i4>
      </vt:variant>
      <vt:variant>
        <vt:i4>57</vt:i4>
      </vt:variant>
      <vt:variant>
        <vt:i4>0</vt:i4>
      </vt:variant>
      <vt:variant>
        <vt:i4>5</vt:i4>
      </vt:variant>
      <vt:variant>
        <vt:lpwstr>https://www.groupefdj.com/en/group/our-csr-activities-responsible-gaming.html</vt:lpwstr>
      </vt:variant>
      <vt:variant>
        <vt:lpwstr/>
      </vt:variant>
      <vt:variant>
        <vt:i4>8126506</vt:i4>
      </vt:variant>
      <vt:variant>
        <vt:i4>54</vt:i4>
      </vt:variant>
      <vt:variant>
        <vt:i4>0</vt:i4>
      </vt:variant>
      <vt:variant>
        <vt:i4>5</vt:i4>
      </vt:variant>
      <vt:variant>
        <vt:lpwstr>http://www.arjel.fr/IMG/pdf/synthese20161122en.pdf</vt:lpwstr>
      </vt:variant>
      <vt:variant>
        <vt:lpwstr/>
      </vt:variant>
      <vt:variant>
        <vt:i4>4259845</vt:i4>
      </vt:variant>
      <vt:variant>
        <vt:i4>51</vt:i4>
      </vt:variant>
      <vt:variant>
        <vt:i4>0</vt:i4>
      </vt:variant>
      <vt:variant>
        <vt:i4>5</vt:i4>
      </vt:variant>
      <vt:variant>
        <vt:lpwstr>https://www.veikkaus.fi/fi/yritys?lang=en</vt:lpwstr>
      </vt:variant>
      <vt:variant>
        <vt:lpwstr/>
      </vt:variant>
      <vt:variant>
        <vt:i4>1703956</vt:i4>
      </vt:variant>
      <vt:variant>
        <vt:i4>48</vt:i4>
      </vt:variant>
      <vt:variant>
        <vt:i4>0</vt:i4>
      </vt:variant>
      <vt:variant>
        <vt:i4>5</vt:i4>
      </vt:variant>
      <vt:variant>
        <vt:lpwstr>http://asterig.com/index.php/en/</vt:lpwstr>
      </vt:variant>
      <vt:variant>
        <vt:lpwstr/>
      </vt:variant>
      <vt:variant>
        <vt:i4>6946875</vt:i4>
      </vt:variant>
      <vt:variant>
        <vt:i4>45</vt:i4>
      </vt:variant>
      <vt:variant>
        <vt:i4>0</vt:i4>
      </vt:variant>
      <vt:variant>
        <vt:i4>5</vt:i4>
      </vt:variant>
      <vt:variant>
        <vt:lpwstr>https://www.gamgard.com/about/</vt:lpwstr>
      </vt:variant>
      <vt:variant>
        <vt:lpwstr/>
      </vt:variant>
      <vt:variant>
        <vt:i4>7012448</vt:i4>
      </vt:variant>
      <vt:variant>
        <vt:i4>42</vt:i4>
      </vt:variant>
      <vt:variant>
        <vt:i4>0</vt:i4>
      </vt:variant>
      <vt:variant>
        <vt:i4>5</vt:i4>
      </vt:variant>
      <vt:variant>
        <vt:lpwstr>https://gamres.org/gamgard-version-3-0-launched-2/</vt:lpwstr>
      </vt:variant>
      <vt:variant>
        <vt:lpwstr/>
      </vt:variant>
      <vt:variant>
        <vt:i4>1835094</vt:i4>
      </vt:variant>
      <vt:variant>
        <vt:i4>39</vt:i4>
      </vt:variant>
      <vt:variant>
        <vt:i4>0</vt:i4>
      </vt:variant>
      <vt:variant>
        <vt:i4>5</vt:i4>
      </vt:variant>
      <vt:variant>
        <vt:lpwstr>https://www.gamgard.com/faq/</vt:lpwstr>
      </vt:variant>
      <vt:variant>
        <vt:lpwstr/>
      </vt:variant>
      <vt:variant>
        <vt:i4>6422651</vt:i4>
      </vt:variant>
      <vt:variant>
        <vt:i4>36</vt:i4>
      </vt:variant>
      <vt:variant>
        <vt:i4>0</vt:i4>
      </vt:variant>
      <vt:variant>
        <vt:i4>5</vt:i4>
      </vt:variant>
      <vt:variant>
        <vt:lpwstr>http://www.gamgard.com/results Viewed 8/7/2020</vt:lpwstr>
      </vt:variant>
      <vt:variant>
        <vt:lpwstr/>
      </vt:variant>
      <vt:variant>
        <vt:i4>6422651</vt:i4>
      </vt:variant>
      <vt:variant>
        <vt:i4>33</vt:i4>
      </vt:variant>
      <vt:variant>
        <vt:i4>0</vt:i4>
      </vt:variant>
      <vt:variant>
        <vt:i4>5</vt:i4>
      </vt:variant>
      <vt:variant>
        <vt:lpwstr>http://www.gamgard.com/results Viewed 8/7/2020</vt:lpwstr>
      </vt:variant>
      <vt:variant>
        <vt:lpwstr/>
      </vt:variant>
      <vt:variant>
        <vt:i4>6422651</vt:i4>
      </vt:variant>
      <vt:variant>
        <vt:i4>30</vt:i4>
      </vt:variant>
      <vt:variant>
        <vt:i4>0</vt:i4>
      </vt:variant>
      <vt:variant>
        <vt:i4>5</vt:i4>
      </vt:variant>
      <vt:variant>
        <vt:lpwstr>http://www.gamgard.com/results Viewed 8/7/2020</vt:lpwstr>
      </vt:variant>
      <vt:variant>
        <vt:lpwstr/>
      </vt:variant>
      <vt:variant>
        <vt:i4>2162789</vt:i4>
      </vt:variant>
      <vt:variant>
        <vt:i4>27</vt:i4>
      </vt:variant>
      <vt:variant>
        <vt:i4>0</vt:i4>
      </vt:variant>
      <vt:variant>
        <vt:i4>5</vt:i4>
      </vt:variant>
      <vt:variant>
        <vt:lpwstr>http://www.camelotgroup.co.uk/</vt:lpwstr>
      </vt:variant>
      <vt:variant>
        <vt:lpwstr/>
      </vt:variant>
      <vt:variant>
        <vt:i4>2687035</vt:i4>
      </vt:variant>
      <vt:variant>
        <vt:i4>24</vt:i4>
      </vt:variant>
      <vt:variant>
        <vt:i4>0</vt:i4>
      </vt:variant>
      <vt:variant>
        <vt:i4>5</vt:i4>
      </vt:variant>
      <vt:variant>
        <vt:lpwstr>https://www.health.govt.nz/system/files/documents/publications/strategy-prevent-minimise-gambling-harm-2019-20-to-2021-22-dec18.pdf</vt:lpwstr>
      </vt:variant>
      <vt:variant>
        <vt:lpwstr/>
      </vt:variant>
      <vt:variant>
        <vt:i4>3866746</vt:i4>
      </vt:variant>
      <vt:variant>
        <vt:i4>21</vt:i4>
      </vt:variant>
      <vt:variant>
        <vt:i4>0</vt:i4>
      </vt:variant>
      <vt:variant>
        <vt:i4>5</vt:i4>
      </vt:variant>
      <vt:variant>
        <vt:lpwstr>https://www.sophro.uk.com/</vt:lpwstr>
      </vt:variant>
      <vt:variant>
        <vt:lpwstr/>
      </vt:variant>
      <vt:variant>
        <vt:i4>6160396</vt:i4>
      </vt:variant>
      <vt:variant>
        <vt:i4>15</vt:i4>
      </vt:variant>
      <vt:variant>
        <vt:i4>0</vt:i4>
      </vt:variant>
      <vt:variant>
        <vt:i4>5</vt:i4>
      </vt:variant>
      <vt:variant>
        <vt:lpwstr>https://gamres.org/our-team/</vt:lpwstr>
      </vt:variant>
      <vt:variant>
        <vt:lpwstr/>
      </vt:variant>
      <vt:variant>
        <vt:i4>7471221</vt:i4>
      </vt:variant>
      <vt:variant>
        <vt:i4>12</vt:i4>
      </vt:variant>
      <vt:variant>
        <vt:i4>0</vt:i4>
      </vt:variant>
      <vt:variant>
        <vt:i4>5</vt:i4>
      </vt:variant>
      <vt:variant>
        <vt:lpwstr>https://www.ntu.ac.uk/staff-profiles/social-sciences/mark-griffiths</vt:lpwstr>
      </vt:variant>
      <vt:variant>
        <vt:lpwstr/>
      </vt:variant>
      <vt:variant>
        <vt:i4>5374017</vt:i4>
      </vt:variant>
      <vt:variant>
        <vt:i4>9</vt:i4>
      </vt:variant>
      <vt:variant>
        <vt:i4>0</vt:i4>
      </vt:variant>
      <vt:variant>
        <vt:i4>5</vt:i4>
      </vt:variant>
      <vt:variant>
        <vt:lpwstr>https://www.gamgard.com/</vt:lpwstr>
      </vt:variant>
      <vt:variant>
        <vt:lpwstr/>
      </vt:variant>
      <vt:variant>
        <vt:i4>8192103</vt:i4>
      </vt:variant>
      <vt:variant>
        <vt:i4>6</vt:i4>
      </vt:variant>
      <vt:variant>
        <vt:i4>0</vt:i4>
      </vt:variant>
      <vt:variant>
        <vt:i4>5</vt:i4>
      </vt:variant>
      <vt:variant>
        <vt:lpwstr>http://www.camelotgroup.co.uk/what-we-do/promoting-responsible-play</vt:lpwstr>
      </vt:variant>
      <vt:variant>
        <vt:lpwstr/>
      </vt:variant>
      <vt:variant>
        <vt:i4>5701643</vt:i4>
      </vt:variant>
      <vt:variant>
        <vt:i4>3</vt:i4>
      </vt:variant>
      <vt:variant>
        <vt:i4>0</vt:i4>
      </vt:variant>
      <vt:variant>
        <vt:i4>5</vt:i4>
      </vt:variant>
      <vt:variant>
        <vt:lpwstr>http://www.legislation.govt.nz/act/public/2003/0051/latest/DLM207497.html</vt:lpwstr>
      </vt:variant>
      <vt:variant>
        <vt:lpwstr/>
      </vt:variant>
      <vt:variant>
        <vt:i4>5898242</vt:i4>
      </vt:variant>
      <vt:variant>
        <vt:i4>0</vt:i4>
      </vt:variant>
      <vt:variant>
        <vt:i4>0</vt:i4>
      </vt:variant>
      <vt:variant>
        <vt:i4>5</vt:i4>
      </vt:variant>
      <vt:variant>
        <vt:lpwstr>https://www.hpa.org.nz/tags/health-and-lifestyles-survey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Gamgard Evaluation Final Report</dc:title>
  <dc:subject/>
  <dc:creator/>
  <cp:keywords/>
  <dc:description/>
  <cp:lastModifiedBy/>
  <cp:revision>1</cp:revision>
  <dcterms:created xsi:type="dcterms:W3CDTF">2021-11-18T00:52:00Z</dcterms:created>
  <dcterms:modified xsi:type="dcterms:W3CDTF">2022-06-14T00:51:00Z</dcterms:modified>
</cp:coreProperties>
</file>