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A060D" w14:textId="6BED94D2" w:rsidR="000B506F" w:rsidRPr="002F108B" w:rsidRDefault="000B506F" w:rsidP="00BE490C">
      <w:pPr>
        <w:rPr>
          <w:lang w:val="en-NZ"/>
        </w:rPr>
      </w:pPr>
    </w:p>
    <w:p w14:paraId="1D6B8DB0" w14:textId="273CD9AC" w:rsidR="009316AE" w:rsidRPr="009316AE" w:rsidRDefault="009316AE" w:rsidP="00BE490C">
      <w:pPr>
        <w:rPr>
          <w:lang w:val="en-NZ" w:eastAsia="en-GB"/>
        </w:rPr>
      </w:pPr>
      <w:bookmarkStart w:id="0" w:name="_Hlk61871780"/>
    </w:p>
    <w:p w14:paraId="42275182" w14:textId="77777777" w:rsidR="009316AE" w:rsidRPr="009316AE" w:rsidRDefault="009316AE" w:rsidP="00BE490C">
      <w:pPr>
        <w:rPr>
          <w:lang w:val="en-NZ" w:eastAsia="en-GB"/>
        </w:rPr>
      </w:pPr>
    </w:p>
    <w:bookmarkEnd w:id="0"/>
    <w:p w14:paraId="1AB6CC88" w14:textId="606AE264" w:rsidR="005A0304" w:rsidRPr="005A0304" w:rsidRDefault="00152B15" w:rsidP="005A0304">
      <w:pPr>
        <w:ind w:firstLine="426"/>
        <w:rPr>
          <w:b/>
          <w:color w:val="632423"/>
          <w:sz w:val="40"/>
          <w:szCs w:val="40"/>
          <w:lang w:val="en-NZ" w:eastAsia="en-GB"/>
        </w:rPr>
      </w:pPr>
      <w:r>
        <w:rPr>
          <w:b/>
          <w:color w:val="632423"/>
          <w:sz w:val="40"/>
          <w:szCs w:val="40"/>
          <w:lang w:val="en-NZ" w:eastAsia="en-GB"/>
        </w:rPr>
        <w:t xml:space="preserve">Final </w:t>
      </w:r>
      <w:r w:rsidR="001635E2">
        <w:rPr>
          <w:b/>
          <w:color w:val="632423"/>
          <w:sz w:val="40"/>
          <w:szCs w:val="40"/>
          <w:lang w:val="en-NZ" w:eastAsia="en-GB"/>
        </w:rPr>
        <w:t>Report</w:t>
      </w:r>
      <w:r w:rsidR="005A0304">
        <w:rPr>
          <w:b/>
          <w:color w:val="632423"/>
          <w:sz w:val="40"/>
          <w:szCs w:val="40"/>
          <w:lang w:val="en-NZ" w:eastAsia="en-GB"/>
        </w:rPr>
        <w:t>:</w:t>
      </w:r>
    </w:p>
    <w:p w14:paraId="71D14629" w14:textId="77777777" w:rsidR="005A0304" w:rsidRPr="005A0304" w:rsidRDefault="005A0304" w:rsidP="005A0304">
      <w:pPr>
        <w:ind w:firstLine="426"/>
        <w:rPr>
          <w:lang w:val="en-NZ" w:eastAsia="en-GB"/>
        </w:rPr>
      </w:pPr>
    </w:p>
    <w:p w14:paraId="150B843E" w14:textId="76554A79" w:rsidR="00423042" w:rsidRPr="005A0304" w:rsidRDefault="00423042" w:rsidP="00423042">
      <w:pPr>
        <w:ind w:left="426"/>
        <w:rPr>
          <w:b/>
          <w:sz w:val="56"/>
          <w:szCs w:val="56"/>
          <w:lang w:val="en-NZ" w:eastAsia="en-GB"/>
        </w:rPr>
      </w:pPr>
      <w:r>
        <w:rPr>
          <w:b/>
          <w:sz w:val="56"/>
          <w:szCs w:val="56"/>
          <w:lang w:val="en-NZ" w:eastAsia="en-GB"/>
        </w:rPr>
        <w:t>Gambling Harm Needs Assessment 2021</w:t>
      </w:r>
    </w:p>
    <w:p w14:paraId="5CE6416A" w14:textId="77777777" w:rsidR="005A0304" w:rsidRPr="005A0304" w:rsidRDefault="005A0304" w:rsidP="005A0304">
      <w:pPr>
        <w:ind w:left="426"/>
        <w:rPr>
          <w:b/>
          <w:sz w:val="56"/>
          <w:szCs w:val="56"/>
          <w:lang w:val="en-NZ" w:eastAsia="en-GB"/>
        </w:rPr>
      </w:pPr>
    </w:p>
    <w:p w14:paraId="08687958" w14:textId="15CDD598" w:rsidR="005A0304" w:rsidRPr="005A0304" w:rsidRDefault="003D54A1" w:rsidP="005A0304">
      <w:pPr>
        <w:ind w:firstLine="426"/>
        <w:rPr>
          <w:b/>
          <w:color w:val="632423"/>
          <w:sz w:val="40"/>
          <w:szCs w:val="40"/>
          <w:lang w:val="en-NZ" w:eastAsia="en-GB"/>
        </w:rPr>
        <w:sectPr w:rsidR="005A0304" w:rsidRPr="005A0304" w:rsidSect="00C104D1">
          <w:headerReference w:type="default" r:id="rId11"/>
          <w:footerReference w:type="default" r:id="rId12"/>
          <w:headerReference w:type="first" r:id="rId13"/>
          <w:footerReference w:type="first" r:id="rId14"/>
          <w:pgSz w:w="11906" w:h="16838"/>
          <w:pgMar w:top="2676" w:right="1418" w:bottom="1418" w:left="2835" w:header="567" w:footer="567" w:gutter="0"/>
          <w:cols w:space="708"/>
          <w:titlePg/>
          <w:docGrid w:linePitch="360"/>
        </w:sectPr>
      </w:pPr>
      <w:r>
        <w:rPr>
          <w:b/>
          <w:color w:val="632423"/>
          <w:sz w:val="40"/>
          <w:szCs w:val="40"/>
          <w:lang w:val="en-NZ" w:eastAsia="en-GB"/>
        </w:rPr>
        <w:t>April</w:t>
      </w:r>
      <w:r w:rsidR="005A0304">
        <w:rPr>
          <w:b/>
          <w:color w:val="632423"/>
          <w:sz w:val="40"/>
          <w:szCs w:val="40"/>
          <w:lang w:val="en-NZ" w:eastAsia="en-GB"/>
        </w:rPr>
        <w:t xml:space="preserve"> </w:t>
      </w:r>
      <w:r w:rsidR="00136942">
        <w:rPr>
          <w:b/>
          <w:color w:val="632423"/>
          <w:sz w:val="40"/>
          <w:szCs w:val="40"/>
          <w:lang w:val="en-NZ" w:eastAsia="en-GB"/>
        </w:rPr>
        <w:t>202</w:t>
      </w:r>
      <w:r w:rsidR="0039745F">
        <w:rPr>
          <w:b/>
          <w:color w:val="632423"/>
          <w:sz w:val="40"/>
          <w:szCs w:val="40"/>
          <w:lang w:val="en-NZ" w:eastAsia="en-GB"/>
        </w:rPr>
        <w:t>1</w:t>
      </w:r>
    </w:p>
    <w:p w14:paraId="52A627F5" w14:textId="64D048EB" w:rsidR="000D15D2" w:rsidRPr="000D15D2" w:rsidRDefault="000D15D2" w:rsidP="005D17C8">
      <w:pPr>
        <w:rPr>
          <w:b/>
          <w:color w:val="0F243E"/>
          <w:sz w:val="28"/>
          <w:szCs w:val="28"/>
          <w:lang w:val="en-NZ" w:eastAsia="en-GB"/>
        </w:rPr>
      </w:pPr>
      <w:r w:rsidRPr="000D15D2">
        <w:rPr>
          <w:b/>
          <w:color w:val="0F243E"/>
          <w:sz w:val="28"/>
          <w:szCs w:val="28"/>
          <w:lang w:val="en-NZ" w:eastAsia="en-GB"/>
        </w:rPr>
        <w:lastRenderedPageBreak/>
        <w:t>Table of contents</w:t>
      </w:r>
    </w:p>
    <w:p w14:paraId="5D56A46A" w14:textId="530368CA" w:rsidR="00AD4A6C" w:rsidRDefault="00AD4A6C" w:rsidP="0012689C">
      <w:pPr>
        <w:pStyle w:val="TOC1"/>
        <w:tabs>
          <w:tab w:val="clear" w:pos="7608"/>
          <w:tab w:val="right" w:pos="8647"/>
        </w:tabs>
        <w:rPr>
          <w:rFonts w:asciiTheme="minorHAnsi" w:eastAsiaTheme="minorEastAsia" w:hAnsiTheme="minorHAnsi" w:cstheme="minorBidi"/>
          <w:noProof/>
          <w:lang w:val="en-NZ"/>
        </w:rPr>
      </w:pPr>
      <w:r>
        <w:rPr>
          <w:lang w:val="en-NZ"/>
        </w:rPr>
        <w:fldChar w:fldCharType="begin"/>
      </w:r>
      <w:r>
        <w:rPr>
          <w:lang w:val="en-NZ"/>
        </w:rPr>
        <w:instrText xml:space="preserve"> TOC \o "1-2" \t "TOC Heading,1" </w:instrText>
      </w:r>
      <w:r>
        <w:rPr>
          <w:lang w:val="en-NZ"/>
        </w:rPr>
        <w:fldChar w:fldCharType="separate"/>
      </w:r>
      <w:r w:rsidRPr="001A3EC7">
        <w:rPr>
          <w:noProof/>
          <w:lang w:val="en-NZ"/>
        </w:rPr>
        <w:t>Executive summary</w:t>
      </w:r>
      <w:r>
        <w:rPr>
          <w:noProof/>
        </w:rPr>
        <w:tab/>
      </w:r>
      <w:r>
        <w:rPr>
          <w:noProof/>
        </w:rPr>
        <w:fldChar w:fldCharType="begin"/>
      </w:r>
      <w:r>
        <w:rPr>
          <w:noProof/>
        </w:rPr>
        <w:instrText xml:space="preserve"> PAGEREF _Toc76469764 \h </w:instrText>
      </w:r>
      <w:r>
        <w:rPr>
          <w:noProof/>
        </w:rPr>
      </w:r>
      <w:r>
        <w:rPr>
          <w:noProof/>
        </w:rPr>
        <w:fldChar w:fldCharType="separate"/>
      </w:r>
      <w:r w:rsidR="0012689C">
        <w:rPr>
          <w:noProof/>
        </w:rPr>
        <w:t>6</w:t>
      </w:r>
      <w:r>
        <w:rPr>
          <w:noProof/>
        </w:rPr>
        <w:fldChar w:fldCharType="end"/>
      </w:r>
    </w:p>
    <w:p w14:paraId="5FEE50A5" w14:textId="2D9CBB8A"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Background</w:t>
      </w:r>
      <w:r>
        <w:rPr>
          <w:noProof/>
        </w:rPr>
        <w:tab/>
      </w:r>
      <w:r>
        <w:rPr>
          <w:noProof/>
        </w:rPr>
        <w:fldChar w:fldCharType="begin"/>
      </w:r>
      <w:r>
        <w:rPr>
          <w:noProof/>
        </w:rPr>
        <w:instrText xml:space="preserve"> PAGEREF _Toc76469765 \h </w:instrText>
      </w:r>
      <w:r>
        <w:rPr>
          <w:noProof/>
        </w:rPr>
      </w:r>
      <w:r>
        <w:rPr>
          <w:noProof/>
        </w:rPr>
        <w:fldChar w:fldCharType="separate"/>
      </w:r>
      <w:r w:rsidR="0012689C">
        <w:rPr>
          <w:noProof/>
        </w:rPr>
        <w:t>6</w:t>
      </w:r>
      <w:r>
        <w:rPr>
          <w:noProof/>
        </w:rPr>
        <w:fldChar w:fldCharType="end"/>
      </w:r>
    </w:p>
    <w:p w14:paraId="5498B77C" w14:textId="79127C73"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Methods</w:t>
      </w:r>
      <w:r>
        <w:rPr>
          <w:noProof/>
        </w:rPr>
        <w:tab/>
      </w:r>
      <w:r>
        <w:rPr>
          <w:noProof/>
        </w:rPr>
        <w:fldChar w:fldCharType="begin"/>
      </w:r>
      <w:r>
        <w:rPr>
          <w:noProof/>
        </w:rPr>
        <w:instrText xml:space="preserve"> PAGEREF _Toc76469766 \h </w:instrText>
      </w:r>
      <w:r>
        <w:rPr>
          <w:noProof/>
        </w:rPr>
      </w:r>
      <w:r>
        <w:rPr>
          <w:noProof/>
        </w:rPr>
        <w:fldChar w:fldCharType="separate"/>
      </w:r>
      <w:r w:rsidR="0012689C">
        <w:rPr>
          <w:noProof/>
        </w:rPr>
        <w:t>6</w:t>
      </w:r>
      <w:r>
        <w:rPr>
          <w:noProof/>
        </w:rPr>
        <w:fldChar w:fldCharType="end"/>
      </w:r>
    </w:p>
    <w:p w14:paraId="01C3FF52" w14:textId="28365A01"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What does the evidence tell us?</w:t>
      </w:r>
      <w:r>
        <w:rPr>
          <w:noProof/>
        </w:rPr>
        <w:tab/>
      </w:r>
      <w:r>
        <w:rPr>
          <w:noProof/>
        </w:rPr>
        <w:fldChar w:fldCharType="begin"/>
      </w:r>
      <w:r>
        <w:rPr>
          <w:noProof/>
        </w:rPr>
        <w:instrText xml:space="preserve"> PAGEREF _Toc76469767 \h </w:instrText>
      </w:r>
      <w:r>
        <w:rPr>
          <w:noProof/>
        </w:rPr>
      </w:r>
      <w:r>
        <w:rPr>
          <w:noProof/>
        </w:rPr>
        <w:fldChar w:fldCharType="separate"/>
      </w:r>
      <w:r w:rsidR="0012689C">
        <w:rPr>
          <w:noProof/>
        </w:rPr>
        <w:t>7</w:t>
      </w:r>
      <w:r>
        <w:rPr>
          <w:noProof/>
        </w:rPr>
        <w:fldChar w:fldCharType="end"/>
      </w:r>
    </w:p>
    <w:p w14:paraId="57269626" w14:textId="34D5731C"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What progress has been made against Objectives set out in the Strategy</w:t>
      </w:r>
      <w:r>
        <w:rPr>
          <w:noProof/>
        </w:rPr>
        <w:tab/>
      </w:r>
      <w:r>
        <w:rPr>
          <w:noProof/>
        </w:rPr>
        <w:fldChar w:fldCharType="begin"/>
      </w:r>
      <w:r>
        <w:rPr>
          <w:noProof/>
        </w:rPr>
        <w:instrText xml:space="preserve"> PAGEREF _Toc76469768 \h </w:instrText>
      </w:r>
      <w:r>
        <w:rPr>
          <w:noProof/>
        </w:rPr>
      </w:r>
      <w:r>
        <w:rPr>
          <w:noProof/>
        </w:rPr>
        <w:fldChar w:fldCharType="separate"/>
      </w:r>
      <w:r w:rsidR="0012689C">
        <w:rPr>
          <w:noProof/>
        </w:rPr>
        <w:t>8</w:t>
      </w:r>
      <w:r>
        <w:rPr>
          <w:noProof/>
        </w:rPr>
        <w:fldChar w:fldCharType="end"/>
      </w:r>
    </w:p>
    <w:p w14:paraId="7E5B13D5" w14:textId="531DF2F2"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How can gaps in service delivery be addressed?</w:t>
      </w:r>
      <w:r>
        <w:rPr>
          <w:noProof/>
        </w:rPr>
        <w:tab/>
      </w:r>
      <w:r>
        <w:rPr>
          <w:noProof/>
        </w:rPr>
        <w:fldChar w:fldCharType="begin"/>
      </w:r>
      <w:r>
        <w:rPr>
          <w:noProof/>
        </w:rPr>
        <w:instrText xml:space="preserve"> PAGEREF _Toc76469769 \h </w:instrText>
      </w:r>
      <w:r>
        <w:rPr>
          <w:noProof/>
        </w:rPr>
      </w:r>
      <w:r>
        <w:rPr>
          <w:noProof/>
        </w:rPr>
        <w:fldChar w:fldCharType="separate"/>
      </w:r>
      <w:r w:rsidR="0012689C">
        <w:rPr>
          <w:noProof/>
        </w:rPr>
        <w:t>8</w:t>
      </w:r>
      <w:r>
        <w:rPr>
          <w:noProof/>
        </w:rPr>
        <w:fldChar w:fldCharType="end"/>
      </w:r>
    </w:p>
    <w:p w14:paraId="0714D608" w14:textId="3595A518"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1</w:t>
      </w:r>
      <w:r>
        <w:rPr>
          <w:rFonts w:asciiTheme="minorHAnsi" w:eastAsiaTheme="minorEastAsia" w:hAnsiTheme="minorHAnsi" w:cstheme="minorBidi"/>
          <w:noProof/>
          <w:lang w:val="en-NZ"/>
        </w:rPr>
        <w:tab/>
      </w:r>
      <w:r w:rsidRPr="001A3EC7">
        <w:rPr>
          <w:noProof/>
          <w:lang w:val="en-NZ"/>
        </w:rPr>
        <w:t>Background</w:t>
      </w:r>
      <w:r>
        <w:rPr>
          <w:noProof/>
        </w:rPr>
        <w:tab/>
      </w:r>
      <w:r>
        <w:rPr>
          <w:noProof/>
        </w:rPr>
        <w:fldChar w:fldCharType="begin"/>
      </w:r>
      <w:r>
        <w:rPr>
          <w:noProof/>
        </w:rPr>
        <w:instrText xml:space="preserve"> PAGEREF _Toc76469770 \h </w:instrText>
      </w:r>
      <w:r>
        <w:rPr>
          <w:noProof/>
        </w:rPr>
      </w:r>
      <w:r>
        <w:rPr>
          <w:noProof/>
        </w:rPr>
        <w:fldChar w:fldCharType="separate"/>
      </w:r>
      <w:r w:rsidR="0012689C">
        <w:rPr>
          <w:noProof/>
        </w:rPr>
        <w:t>11</w:t>
      </w:r>
      <w:r>
        <w:rPr>
          <w:noProof/>
        </w:rPr>
        <w:fldChar w:fldCharType="end"/>
      </w:r>
    </w:p>
    <w:p w14:paraId="4563A9ED" w14:textId="058BA256"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1.1</w:t>
      </w:r>
      <w:r>
        <w:rPr>
          <w:rFonts w:asciiTheme="minorHAnsi" w:eastAsiaTheme="minorEastAsia" w:hAnsiTheme="minorHAnsi" w:cstheme="minorBidi"/>
          <w:noProof/>
          <w:lang w:val="en-NZ"/>
        </w:rPr>
        <w:tab/>
      </w:r>
      <w:r>
        <w:rPr>
          <w:noProof/>
        </w:rPr>
        <w:t>Methods</w:t>
      </w:r>
      <w:r>
        <w:rPr>
          <w:noProof/>
        </w:rPr>
        <w:tab/>
      </w:r>
      <w:r>
        <w:rPr>
          <w:noProof/>
        </w:rPr>
        <w:fldChar w:fldCharType="begin"/>
      </w:r>
      <w:r>
        <w:rPr>
          <w:noProof/>
        </w:rPr>
        <w:instrText xml:space="preserve"> PAGEREF _Toc76469771 \h </w:instrText>
      </w:r>
      <w:r>
        <w:rPr>
          <w:noProof/>
        </w:rPr>
      </w:r>
      <w:r>
        <w:rPr>
          <w:noProof/>
        </w:rPr>
        <w:fldChar w:fldCharType="separate"/>
      </w:r>
      <w:r w:rsidR="0012689C">
        <w:rPr>
          <w:noProof/>
        </w:rPr>
        <w:t>11</w:t>
      </w:r>
      <w:r>
        <w:rPr>
          <w:noProof/>
        </w:rPr>
        <w:fldChar w:fldCharType="end"/>
      </w:r>
    </w:p>
    <w:p w14:paraId="1B7ACBB5" w14:textId="10A900DC"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2</w:t>
      </w:r>
      <w:r>
        <w:rPr>
          <w:rFonts w:asciiTheme="minorHAnsi" w:eastAsiaTheme="minorEastAsia" w:hAnsiTheme="minorHAnsi" w:cstheme="minorBidi"/>
          <w:noProof/>
          <w:lang w:val="en-NZ"/>
        </w:rPr>
        <w:tab/>
      </w:r>
      <w:r w:rsidRPr="001A3EC7">
        <w:rPr>
          <w:noProof/>
          <w:lang w:val="en-NZ"/>
        </w:rPr>
        <w:t>Gambling in Aotearoa New Zealand</w:t>
      </w:r>
      <w:r>
        <w:rPr>
          <w:noProof/>
        </w:rPr>
        <w:tab/>
      </w:r>
      <w:r>
        <w:rPr>
          <w:noProof/>
        </w:rPr>
        <w:fldChar w:fldCharType="begin"/>
      </w:r>
      <w:r>
        <w:rPr>
          <w:noProof/>
        </w:rPr>
        <w:instrText xml:space="preserve"> PAGEREF _Toc76469772 \h </w:instrText>
      </w:r>
      <w:r>
        <w:rPr>
          <w:noProof/>
        </w:rPr>
      </w:r>
      <w:r>
        <w:rPr>
          <w:noProof/>
        </w:rPr>
        <w:fldChar w:fldCharType="separate"/>
      </w:r>
      <w:r w:rsidR="0012689C">
        <w:rPr>
          <w:noProof/>
        </w:rPr>
        <w:t>15</w:t>
      </w:r>
      <w:r>
        <w:rPr>
          <w:noProof/>
        </w:rPr>
        <w:fldChar w:fldCharType="end"/>
      </w:r>
    </w:p>
    <w:p w14:paraId="50E593BA" w14:textId="1F91CE04"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2.1</w:t>
      </w:r>
      <w:r>
        <w:rPr>
          <w:rFonts w:asciiTheme="minorHAnsi" w:eastAsiaTheme="minorEastAsia" w:hAnsiTheme="minorHAnsi" w:cstheme="minorBidi"/>
          <w:noProof/>
          <w:lang w:val="en-NZ"/>
        </w:rPr>
        <w:tab/>
      </w:r>
      <w:r w:rsidRPr="001A3EC7">
        <w:rPr>
          <w:noProof/>
          <w:lang w:val="en-NZ"/>
        </w:rPr>
        <w:t>Gambling participation</w:t>
      </w:r>
      <w:r>
        <w:rPr>
          <w:noProof/>
        </w:rPr>
        <w:tab/>
      </w:r>
      <w:r>
        <w:rPr>
          <w:noProof/>
        </w:rPr>
        <w:fldChar w:fldCharType="begin"/>
      </w:r>
      <w:r>
        <w:rPr>
          <w:noProof/>
        </w:rPr>
        <w:instrText xml:space="preserve"> PAGEREF _Toc76469773 \h </w:instrText>
      </w:r>
      <w:r>
        <w:rPr>
          <w:noProof/>
        </w:rPr>
      </w:r>
      <w:r>
        <w:rPr>
          <w:noProof/>
        </w:rPr>
        <w:fldChar w:fldCharType="separate"/>
      </w:r>
      <w:r w:rsidR="0012689C">
        <w:rPr>
          <w:noProof/>
        </w:rPr>
        <w:t>15</w:t>
      </w:r>
      <w:r>
        <w:rPr>
          <w:noProof/>
        </w:rPr>
        <w:fldChar w:fldCharType="end"/>
      </w:r>
    </w:p>
    <w:p w14:paraId="12613086" w14:textId="0CC62921"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2.2</w:t>
      </w:r>
      <w:r>
        <w:rPr>
          <w:rFonts w:asciiTheme="minorHAnsi" w:eastAsiaTheme="minorEastAsia" w:hAnsiTheme="minorHAnsi" w:cstheme="minorBidi"/>
          <w:noProof/>
          <w:lang w:val="en-NZ"/>
        </w:rPr>
        <w:tab/>
      </w:r>
      <w:r w:rsidRPr="001A3EC7">
        <w:rPr>
          <w:noProof/>
          <w:lang w:val="en-NZ"/>
        </w:rPr>
        <w:t>Defining and measuring harmful gambling</w:t>
      </w:r>
      <w:r>
        <w:rPr>
          <w:noProof/>
        </w:rPr>
        <w:tab/>
      </w:r>
      <w:r>
        <w:rPr>
          <w:noProof/>
        </w:rPr>
        <w:fldChar w:fldCharType="begin"/>
      </w:r>
      <w:r>
        <w:rPr>
          <w:noProof/>
        </w:rPr>
        <w:instrText xml:space="preserve"> PAGEREF _Toc76469774 \h </w:instrText>
      </w:r>
      <w:r>
        <w:rPr>
          <w:noProof/>
        </w:rPr>
      </w:r>
      <w:r>
        <w:rPr>
          <w:noProof/>
        </w:rPr>
        <w:fldChar w:fldCharType="separate"/>
      </w:r>
      <w:r w:rsidR="0012689C">
        <w:rPr>
          <w:noProof/>
        </w:rPr>
        <w:t>16</w:t>
      </w:r>
      <w:r>
        <w:rPr>
          <w:noProof/>
        </w:rPr>
        <w:fldChar w:fldCharType="end"/>
      </w:r>
    </w:p>
    <w:p w14:paraId="358F3203" w14:textId="7D5BE0CF"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2.3</w:t>
      </w:r>
      <w:r>
        <w:rPr>
          <w:rFonts w:asciiTheme="minorHAnsi" w:eastAsiaTheme="minorEastAsia" w:hAnsiTheme="minorHAnsi" w:cstheme="minorBidi"/>
          <w:noProof/>
          <w:lang w:val="en-NZ"/>
        </w:rPr>
        <w:tab/>
      </w:r>
      <w:r w:rsidRPr="001A3EC7">
        <w:rPr>
          <w:noProof/>
          <w:lang w:val="en-NZ"/>
        </w:rPr>
        <w:t>Gambling regulation and legislation</w:t>
      </w:r>
      <w:r>
        <w:rPr>
          <w:noProof/>
        </w:rPr>
        <w:tab/>
      </w:r>
      <w:r>
        <w:rPr>
          <w:noProof/>
        </w:rPr>
        <w:fldChar w:fldCharType="begin"/>
      </w:r>
      <w:r>
        <w:rPr>
          <w:noProof/>
        </w:rPr>
        <w:instrText xml:space="preserve"> PAGEREF _Toc76469775 \h </w:instrText>
      </w:r>
      <w:r>
        <w:rPr>
          <w:noProof/>
        </w:rPr>
      </w:r>
      <w:r>
        <w:rPr>
          <w:noProof/>
        </w:rPr>
        <w:fldChar w:fldCharType="separate"/>
      </w:r>
      <w:r w:rsidR="0012689C">
        <w:rPr>
          <w:noProof/>
        </w:rPr>
        <w:t>17</w:t>
      </w:r>
      <w:r>
        <w:rPr>
          <w:noProof/>
        </w:rPr>
        <w:fldChar w:fldCharType="end"/>
      </w:r>
    </w:p>
    <w:p w14:paraId="517E72CF" w14:textId="628F06DB"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2.4</w:t>
      </w:r>
      <w:r>
        <w:rPr>
          <w:rFonts w:asciiTheme="minorHAnsi" w:eastAsiaTheme="minorEastAsia" w:hAnsiTheme="minorHAnsi" w:cstheme="minorBidi"/>
          <w:noProof/>
          <w:lang w:val="en-NZ"/>
        </w:rPr>
        <w:tab/>
      </w:r>
      <w:r w:rsidRPr="001A3EC7">
        <w:rPr>
          <w:noProof/>
          <w:lang w:val="en-NZ"/>
        </w:rPr>
        <w:t>Gambling sector roles and responsibilities</w:t>
      </w:r>
      <w:r>
        <w:rPr>
          <w:noProof/>
        </w:rPr>
        <w:tab/>
      </w:r>
      <w:r>
        <w:rPr>
          <w:noProof/>
        </w:rPr>
        <w:fldChar w:fldCharType="begin"/>
      </w:r>
      <w:r>
        <w:rPr>
          <w:noProof/>
        </w:rPr>
        <w:instrText xml:space="preserve"> PAGEREF _Toc76469776 \h </w:instrText>
      </w:r>
      <w:r>
        <w:rPr>
          <w:noProof/>
        </w:rPr>
      </w:r>
      <w:r>
        <w:rPr>
          <w:noProof/>
        </w:rPr>
        <w:fldChar w:fldCharType="separate"/>
      </w:r>
      <w:r w:rsidR="0012689C">
        <w:rPr>
          <w:noProof/>
        </w:rPr>
        <w:t>18</w:t>
      </w:r>
      <w:r>
        <w:rPr>
          <w:noProof/>
        </w:rPr>
        <w:fldChar w:fldCharType="end"/>
      </w:r>
    </w:p>
    <w:p w14:paraId="7B07413E" w14:textId="37DCF810"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3</w:t>
      </w:r>
      <w:r>
        <w:rPr>
          <w:rFonts w:asciiTheme="minorHAnsi" w:eastAsiaTheme="minorEastAsia" w:hAnsiTheme="minorHAnsi" w:cstheme="minorBidi"/>
          <w:noProof/>
          <w:lang w:val="en-NZ"/>
        </w:rPr>
        <w:tab/>
      </w:r>
      <w:r w:rsidRPr="001A3EC7">
        <w:rPr>
          <w:noProof/>
          <w:shd w:val="clear" w:color="auto" w:fill="FFFFFF"/>
          <w:lang w:val="en-NZ"/>
        </w:rPr>
        <w:t>Access to gambling in Aotearoa New Zealand</w:t>
      </w:r>
      <w:r>
        <w:rPr>
          <w:noProof/>
        </w:rPr>
        <w:tab/>
      </w:r>
      <w:r>
        <w:rPr>
          <w:noProof/>
        </w:rPr>
        <w:fldChar w:fldCharType="begin"/>
      </w:r>
      <w:r>
        <w:rPr>
          <w:noProof/>
        </w:rPr>
        <w:instrText xml:space="preserve"> PAGEREF _Toc76469777 \h </w:instrText>
      </w:r>
      <w:r>
        <w:rPr>
          <w:noProof/>
        </w:rPr>
      </w:r>
      <w:r>
        <w:rPr>
          <w:noProof/>
        </w:rPr>
        <w:fldChar w:fldCharType="separate"/>
      </w:r>
      <w:r w:rsidR="0012689C">
        <w:rPr>
          <w:noProof/>
        </w:rPr>
        <w:t>20</w:t>
      </w:r>
      <w:r>
        <w:rPr>
          <w:noProof/>
        </w:rPr>
        <w:fldChar w:fldCharType="end"/>
      </w:r>
    </w:p>
    <w:p w14:paraId="605EE3C1" w14:textId="36C67FB3"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3.1</w:t>
      </w:r>
      <w:r>
        <w:rPr>
          <w:rFonts w:asciiTheme="minorHAnsi" w:eastAsiaTheme="minorEastAsia" w:hAnsiTheme="minorHAnsi" w:cstheme="minorBidi"/>
          <w:noProof/>
          <w:lang w:val="en-NZ"/>
        </w:rPr>
        <w:tab/>
      </w:r>
      <w:r w:rsidRPr="001A3EC7">
        <w:rPr>
          <w:noProof/>
          <w:lang w:val="en-NZ"/>
        </w:rPr>
        <w:t>All forms of gambling are widely accessible</w:t>
      </w:r>
      <w:r>
        <w:rPr>
          <w:noProof/>
        </w:rPr>
        <w:tab/>
      </w:r>
      <w:r>
        <w:rPr>
          <w:noProof/>
        </w:rPr>
        <w:fldChar w:fldCharType="begin"/>
      </w:r>
      <w:r>
        <w:rPr>
          <w:noProof/>
        </w:rPr>
        <w:instrText xml:space="preserve"> PAGEREF _Toc76469778 \h </w:instrText>
      </w:r>
      <w:r>
        <w:rPr>
          <w:noProof/>
        </w:rPr>
      </w:r>
      <w:r>
        <w:rPr>
          <w:noProof/>
        </w:rPr>
        <w:fldChar w:fldCharType="separate"/>
      </w:r>
      <w:r w:rsidR="0012689C">
        <w:rPr>
          <w:noProof/>
        </w:rPr>
        <w:t>20</w:t>
      </w:r>
      <w:r>
        <w:rPr>
          <w:noProof/>
        </w:rPr>
        <w:fldChar w:fldCharType="end"/>
      </w:r>
    </w:p>
    <w:p w14:paraId="3354433F" w14:textId="29C7F451"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3.2</w:t>
      </w:r>
      <w:r>
        <w:rPr>
          <w:rFonts w:asciiTheme="minorHAnsi" w:eastAsiaTheme="minorEastAsia" w:hAnsiTheme="minorHAnsi" w:cstheme="minorBidi"/>
          <w:noProof/>
          <w:lang w:val="en-NZ"/>
        </w:rPr>
        <w:tab/>
      </w:r>
      <w:r w:rsidRPr="001A3EC7">
        <w:rPr>
          <w:noProof/>
          <w:shd w:val="clear" w:color="auto" w:fill="FFFFFF"/>
          <w:lang w:val="en-NZ"/>
        </w:rPr>
        <w:t>Class 4 venues remain inequitably distributed, with more placed in areas of high deprivation</w:t>
      </w:r>
      <w:r>
        <w:rPr>
          <w:noProof/>
        </w:rPr>
        <w:tab/>
      </w:r>
      <w:r>
        <w:rPr>
          <w:noProof/>
        </w:rPr>
        <w:fldChar w:fldCharType="begin"/>
      </w:r>
      <w:r>
        <w:rPr>
          <w:noProof/>
        </w:rPr>
        <w:instrText xml:space="preserve"> PAGEREF _Toc76469779 \h </w:instrText>
      </w:r>
      <w:r>
        <w:rPr>
          <w:noProof/>
        </w:rPr>
      </w:r>
      <w:r>
        <w:rPr>
          <w:noProof/>
        </w:rPr>
        <w:fldChar w:fldCharType="separate"/>
      </w:r>
      <w:r w:rsidR="0012689C">
        <w:rPr>
          <w:noProof/>
        </w:rPr>
        <w:t>21</w:t>
      </w:r>
      <w:r>
        <w:rPr>
          <w:noProof/>
        </w:rPr>
        <w:fldChar w:fldCharType="end"/>
      </w:r>
    </w:p>
    <w:p w14:paraId="42A4A373" w14:textId="1CCDF993"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3.3</w:t>
      </w:r>
      <w:r>
        <w:rPr>
          <w:rFonts w:asciiTheme="minorHAnsi" w:eastAsiaTheme="minorEastAsia" w:hAnsiTheme="minorHAnsi" w:cstheme="minorBidi"/>
          <w:noProof/>
          <w:lang w:val="en-NZ"/>
        </w:rPr>
        <w:tab/>
      </w:r>
      <w:r w:rsidRPr="001A3EC7">
        <w:rPr>
          <w:noProof/>
          <w:lang w:val="en-NZ"/>
        </w:rPr>
        <w:t>There are mixed views on the effectiveness of policies restricting access to EGMs</w:t>
      </w:r>
      <w:r>
        <w:rPr>
          <w:noProof/>
        </w:rPr>
        <w:tab/>
      </w:r>
      <w:r>
        <w:rPr>
          <w:noProof/>
        </w:rPr>
        <w:fldChar w:fldCharType="begin"/>
      </w:r>
      <w:r>
        <w:rPr>
          <w:noProof/>
        </w:rPr>
        <w:instrText xml:space="preserve"> PAGEREF _Toc76469780 \h </w:instrText>
      </w:r>
      <w:r>
        <w:rPr>
          <w:noProof/>
        </w:rPr>
      </w:r>
      <w:r>
        <w:rPr>
          <w:noProof/>
        </w:rPr>
        <w:fldChar w:fldCharType="separate"/>
      </w:r>
      <w:r w:rsidR="0012689C">
        <w:rPr>
          <w:noProof/>
        </w:rPr>
        <w:t>22</w:t>
      </w:r>
      <w:r>
        <w:rPr>
          <w:noProof/>
        </w:rPr>
        <w:fldChar w:fldCharType="end"/>
      </w:r>
    </w:p>
    <w:p w14:paraId="411F4B45" w14:textId="15D886B0"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3.4</w:t>
      </w:r>
      <w:r>
        <w:rPr>
          <w:rFonts w:asciiTheme="minorHAnsi" w:eastAsiaTheme="minorEastAsia" w:hAnsiTheme="minorHAnsi" w:cstheme="minorBidi"/>
          <w:noProof/>
          <w:lang w:val="en-NZ"/>
        </w:rPr>
        <w:tab/>
      </w:r>
      <w:r w:rsidRPr="001A3EC7">
        <w:rPr>
          <w:noProof/>
          <w:lang w:val="en-NZ"/>
        </w:rPr>
        <w:t xml:space="preserve">Access to online gambling </w:t>
      </w:r>
      <w:r w:rsidRPr="001A3EC7">
        <w:rPr>
          <w:noProof/>
          <w:u w:val="single"/>
          <w:lang w:val="en-NZ"/>
        </w:rPr>
        <w:t>for money</w:t>
      </w:r>
      <w:r w:rsidRPr="001A3EC7">
        <w:rPr>
          <w:noProof/>
          <w:lang w:val="en-NZ"/>
        </w:rPr>
        <w:t xml:space="preserve"> has increased</w:t>
      </w:r>
      <w:r>
        <w:rPr>
          <w:noProof/>
        </w:rPr>
        <w:tab/>
      </w:r>
      <w:r>
        <w:rPr>
          <w:noProof/>
        </w:rPr>
        <w:fldChar w:fldCharType="begin"/>
      </w:r>
      <w:r>
        <w:rPr>
          <w:noProof/>
        </w:rPr>
        <w:instrText xml:space="preserve"> PAGEREF _Toc76469781 \h </w:instrText>
      </w:r>
      <w:r>
        <w:rPr>
          <w:noProof/>
        </w:rPr>
      </w:r>
      <w:r>
        <w:rPr>
          <w:noProof/>
        </w:rPr>
        <w:fldChar w:fldCharType="separate"/>
      </w:r>
      <w:r w:rsidR="0012689C">
        <w:rPr>
          <w:noProof/>
        </w:rPr>
        <w:t>23</w:t>
      </w:r>
      <w:r>
        <w:rPr>
          <w:noProof/>
        </w:rPr>
        <w:fldChar w:fldCharType="end"/>
      </w:r>
    </w:p>
    <w:p w14:paraId="68975D65" w14:textId="40B9950F"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4</w:t>
      </w:r>
      <w:r>
        <w:rPr>
          <w:rFonts w:asciiTheme="minorHAnsi" w:eastAsiaTheme="minorEastAsia" w:hAnsiTheme="minorHAnsi" w:cstheme="minorBidi"/>
          <w:noProof/>
          <w:lang w:val="en-NZ"/>
        </w:rPr>
        <w:tab/>
      </w:r>
      <w:r w:rsidRPr="001A3EC7">
        <w:rPr>
          <w:noProof/>
          <w:lang w:val="en-NZ"/>
        </w:rPr>
        <w:t>Gambling expenditure</w:t>
      </w:r>
      <w:r>
        <w:rPr>
          <w:noProof/>
        </w:rPr>
        <w:tab/>
      </w:r>
      <w:r>
        <w:rPr>
          <w:noProof/>
        </w:rPr>
        <w:fldChar w:fldCharType="begin"/>
      </w:r>
      <w:r>
        <w:rPr>
          <w:noProof/>
        </w:rPr>
        <w:instrText xml:space="preserve"> PAGEREF _Toc76469782 \h </w:instrText>
      </w:r>
      <w:r>
        <w:rPr>
          <w:noProof/>
        </w:rPr>
      </w:r>
      <w:r>
        <w:rPr>
          <w:noProof/>
        </w:rPr>
        <w:fldChar w:fldCharType="separate"/>
      </w:r>
      <w:r w:rsidR="0012689C">
        <w:rPr>
          <w:noProof/>
        </w:rPr>
        <w:t>29</w:t>
      </w:r>
      <w:r>
        <w:rPr>
          <w:noProof/>
        </w:rPr>
        <w:fldChar w:fldCharType="end"/>
      </w:r>
    </w:p>
    <w:p w14:paraId="11E6E8E6" w14:textId="2E376C97"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4.1</w:t>
      </w:r>
      <w:r>
        <w:rPr>
          <w:rFonts w:asciiTheme="minorHAnsi" w:eastAsiaTheme="minorEastAsia" w:hAnsiTheme="minorHAnsi" w:cstheme="minorBidi"/>
          <w:noProof/>
          <w:lang w:val="en-NZ"/>
        </w:rPr>
        <w:tab/>
      </w:r>
      <w:r w:rsidRPr="001A3EC7">
        <w:rPr>
          <w:noProof/>
          <w:shd w:val="clear" w:color="auto" w:fill="FFFFFF"/>
          <w:lang w:val="en-NZ"/>
        </w:rPr>
        <w:t>Gambling expenditure across all forms of gambling continued to increase pre-COVID-19</w:t>
      </w:r>
      <w:r>
        <w:rPr>
          <w:noProof/>
        </w:rPr>
        <w:tab/>
      </w:r>
      <w:r>
        <w:rPr>
          <w:noProof/>
        </w:rPr>
        <w:fldChar w:fldCharType="begin"/>
      </w:r>
      <w:r>
        <w:rPr>
          <w:noProof/>
        </w:rPr>
        <w:instrText xml:space="preserve"> PAGEREF _Toc76469783 \h </w:instrText>
      </w:r>
      <w:r>
        <w:rPr>
          <w:noProof/>
        </w:rPr>
      </w:r>
      <w:r>
        <w:rPr>
          <w:noProof/>
        </w:rPr>
        <w:fldChar w:fldCharType="separate"/>
      </w:r>
      <w:r w:rsidR="0012689C">
        <w:rPr>
          <w:noProof/>
        </w:rPr>
        <w:t>29</w:t>
      </w:r>
      <w:r>
        <w:rPr>
          <w:noProof/>
        </w:rPr>
        <w:fldChar w:fldCharType="end"/>
      </w:r>
    </w:p>
    <w:p w14:paraId="62818709" w14:textId="7FE004F1"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4.2</w:t>
      </w:r>
      <w:r>
        <w:rPr>
          <w:rFonts w:asciiTheme="minorHAnsi" w:eastAsiaTheme="minorEastAsia" w:hAnsiTheme="minorHAnsi" w:cstheme="minorBidi"/>
          <w:noProof/>
          <w:lang w:val="en-NZ"/>
        </w:rPr>
        <w:tab/>
      </w:r>
      <w:r w:rsidRPr="001A3EC7">
        <w:rPr>
          <w:noProof/>
          <w:lang w:val="en-NZ"/>
        </w:rPr>
        <w:t>Post-Covid online gambling expenditure increased</w:t>
      </w:r>
      <w:r>
        <w:rPr>
          <w:noProof/>
        </w:rPr>
        <w:tab/>
      </w:r>
      <w:r>
        <w:rPr>
          <w:noProof/>
        </w:rPr>
        <w:fldChar w:fldCharType="begin"/>
      </w:r>
      <w:r>
        <w:rPr>
          <w:noProof/>
        </w:rPr>
        <w:instrText xml:space="preserve"> PAGEREF _Toc76469784 \h </w:instrText>
      </w:r>
      <w:r>
        <w:rPr>
          <w:noProof/>
        </w:rPr>
      </w:r>
      <w:r>
        <w:rPr>
          <w:noProof/>
        </w:rPr>
        <w:fldChar w:fldCharType="separate"/>
      </w:r>
      <w:r w:rsidR="0012689C">
        <w:rPr>
          <w:noProof/>
        </w:rPr>
        <w:t>30</w:t>
      </w:r>
      <w:r>
        <w:rPr>
          <w:noProof/>
        </w:rPr>
        <w:fldChar w:fldCharType="end"/>
      </w:r>
    </w:p>
    <w:p w14:paraId="1E26490D" w14:textId="0A887D7D"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4.3</w:t>
      </w:r>
      <w:r>
        <w:rPr>
          <w:rFonts w:asciiTheme="minorHAnsi" w:eastAsiaTheme="minorEastAsia" w:hAnsiTheme="minorHAnsi" w:cstheme="minorBidi"/>
          <w:noProof/>
          <w:lang w:val="en-NZ"/>
        </w:rPr>
        <w:tab/>
      </w:r>
      <w:r w:rsidRPr="001A3EC7">
        <w:rPr>
          <w:noProof/>
          <w:lang w:val="en-NZ"/>
        </w:rPr>
        <w:t>Quarterly gaming machine profits have returned to pre-COVID levels</w:t>
      </w:r>
      <w:r>
        <w:rPr>
          <w:noProof/>
        </w:rPr>
        <w:tab/>
      </w:r>
      <w:r>
        <w:rPr>
          <w:noProof/>
        </w:rPr>
        <w:fldChar w:fldCharType="begin"/>
      </w:r>
      <w:r>
        <w:rPr>
          <w:noProof/>
        </w:rPr>
        <w:instrText xml:space="preserve"> PAGEREF _Toc76469785 \h </w:instrText>
      </w:r>
      <w:r>
        <w:rPr>
          <w:noProof/>
        </w:rPr>
      </w:r>
      <w:r>
        <w:rPr>
          <w:noProof/>
        </w:rPr>
        <w:fldChar w:fldCharType="separate"/>
      </w:r>
      <w:r w:rsidR="0012689C">
        <w:rPr>
          <w:noProof/>
        </w:rPr>
        <w:t>31</w:t>
      </w:r>
      <w:r>
        <w:rPr>
          <w:noProof/>
        </w:rPr>
        <w:fldChar w:fldCharType="end"/>
      </w:r>
    </w:p>
    <w:p w14:paraId="3DCD36F6" w14:textId="6A4D290F"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5</w:t>
      </w:r>
      <w:r>
        <w:rPr>
          <w:rFonts w:asciiTheme="minorHAnsi" w:eastAsiaTheme="minorEastAsia" w:hAnsiTheme="minorHAnsi" w:cstheme="minorBidi"/>
          <w:noProof/>
          <w:lang w:val="en-NZ"/>
        </w:rPr>
        <w:tab/>
      </w:r>
      <w:r w:rsidRPr="001A3EC7">
        <w:rPr>
          <w:noProof/>
          <w:lang w:val="en-NZ"/>
        </w:rPr>
        <w:t>The prevalence of harmful gambling</w:t>
      </w:r>
      <w:r>
        <w:rPr>
          <w:noProof/>
        </w:rPr>
        <w:tab/>
      </w:r>
      <w:r>
        <w:rPr>
          <w:noProof/>
        </w:rPr>
        <w:fldChar w:fldCharType="begin"/>
      </w:r>
      <w:r>
        <w:rPr>
          <w:noProof/>
        </w:rPr>
        <w:instrText xml:space="preserve"> PAGEREF _Toc76469786 \h </w:instrText>
      </w:r>
      <w:r>
        <w:rPr>
          <w:noProof/>
        </w:rPr>
      </w:r>
      <w:r>
        <w:rPr>
          <w:noProof/>
        </w:rPr>
        <w:fldChar w:fldCharType="separate"/>
      </w:r>
      <w:r w:rsidR="0012689C">
        <w:rPr>
          <w:noProof/>
        </w:rPr>
        <w:t>32</w:t>
      </w:r>
      <w:r>
        <w:rPr>
          <w:noProof/>
        </w:rPr>
        <w:fldChar w:fldCharType="end"/>
      </w:r>
    </w:p>
    <w:p w14:paraId="04C260E6" w14:textId="3717D586"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5.1</w:t>
      </w:r>
      <w:r>
        <w:rPr>
          <w:rFonts w:asciiTheme="minorHAnsi" w:eastAsiaTheme="minorEastAsia" w:hAnsiTheme="minorHAnsi" w:cstheme="minorBidi"/>
          <w:noProof/>
          <w:lang w:val="en-NZ"/>
        </w:rPr>
        <w:tab/>
      </w:r>
      <w:r w:rsidRPr="001A3EC7">
        <w:rPr>
          <w:noProof/>
          <w:lang w:val="en-NZ"/>
        </w:rPr>
        <w:t>The prevalence of harmful gambling in Aotearoa New Zealand remains relatively unchanged</w:t>
      </w:r>
      <w:r>
        <w:rPr>
          <w:noProof/>
        </w:rPr>
        <w:tab/>
      </w:r>
      <w:r>
        <w:rPr>
          <w:noProof/>
        </w:rPr>
        <w:fldChar w:fldCharType="begin"/>
      </w:r>
      <w:r>
        <w:rPr>
          <w:noProof/>
        </w:rPr>
        <w:instrText xml:space="preserve"> PAGEREF _Toc76469787 \h </w:instrText>
      </w:r>
      <w:r>
        <w:rPr>
          <w:noProof/>
        </w:rPr>
      </w:r>
      <w:r>
        <w:rPr>
          <w:noProof/>
        </w:rPr>
        <w:fldChar w:fldCharType="separate"/>
      </w:r>
      <w:r w:rsidR="0012689C">
        <w:rPr>
          <w:noProof/>
        </w:rPr>
        <w:t>32</w:t>
      </w:r>
      <w:r>
        <w:rPr>
          <w:noProof/>
        </w:rPr>
        <w:fldChar w:fldCharType="end"/>
      </w:r>
    </w:p>
    <w:p w14:paraId="300C0FC1" w14:textId="1C2C2C78"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5.2</w:t>
      </w:r>
      <w:r>
        <w:rPr>
          <w:rFonts w:asciiTheme="minorHAnsi" w:eastAsiaTheme="minorEastAsia" w:hAnsiTheme="minorHAnsi" w:cstheme="minorBidi"/>
          <w:noProof/>
          <w:lang w:val="en-NZ"/>
        </w:rPr>
        <w:tab/>
      </w:r>
      <w:r w:rsidRPr="001A3EC7">
        <w:rPr>
          <w:noProof/>
          <w:lang w:val="en-NZ"/>
        </w:rPr>
        <w:t>The prevalence of harmful gambling among Māori and Pacific peoples remains higher than other groups</w:t>
      </w:r>
      <w:r>
        <w:rPr>
          <w:noProof/>
        </w:rPr>
        <w:tab/>
      </w:r>
      <w:r>
        <w:rPr>
          <w:noProof/>
        </w:rPr>
        <w:fldChar w:fldCharType="begin"/>
      </w:r>
      <w:r>
        <w:rPr>
          <w:noProof/>
        </w:rPr>
        <w:instrText xml:space="preserve"> PAGEREF _Toc76469788 \h </w:instrText>
      </w:r>
      <w:r>
        <w:rPr>
          <w:noProof/>
        </w:rPr>
      </w:r>
      <w:r>
        <w:rPr>
          <w:noProof/>
        </w:rPr>
        <w:fldChar w:fldCharType="separate"/>
      </w:r>
      <w:r w:rsidR="0012689C">
        <w:rPr>
          <w:noProof/>
        </w:rPr>
        <w:t>32</w:t>
      </w:r>
      <w:r>
        <w:rPr>
          <w:noProof/>
        </w:rPr>
        <w:fldChar w:fldCharType="end"/>
      </w:r>
    </w:p>
    <w:p w14:paraId="59C51B6E" w14:textId="1336F942"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5.3</w:t>
      </w:r>
      <w:r>
        <w:rPr>
          <w:rFonts w:asciiTheme="minorHAnsi" w:eastAsiaTheme="minorEastAsia" w:hAnsiTheme="minorHAnsi" w:cstheme="minorBidi"/>
          <w:noProof/>
          <w:lang w:val="en-NZ"/>
        </w:rPr>
        <w:tab/>
      </w:r>
      <w:r w:rsidRPr="001A3EC7">
        <w:rPr>
          <w:noProof/>
          <w:lang w:val="en-NZ"/>
        </w:rPr>
        <w:t>Youth gambling rates appear to be decreasing</w:t>
      </w:r>
      <w:r>
        <w:rPr>
          <w:noProof/>
        </w:rPr>
        <w:tab/>
      </w:r>
      <w:r>
        <w:rPr>
          <w:noProof/>
        </w:rPr>
        <w:fldChar w:fldCharType="begin"/>
      </w:r>
      <w:r>
        <w:rPr>
          <w:noProof/>
        </w:rPr>
        <w:instrText xml:space="preserve"> PAGEREF _Toc76469789 \h </w:instrText>
      </w:r>
      <w:r>
        <w:rPr>
          <w:noProof/>
        </w:rPr>
      </w:r>
      <w:r>
        <w:rPr>
          <w:noProof/>
        </w:rPr>
        <w:fldChar w:fldCharType="separate"/>
      </w:r>
      <w:r w:rsidR="0012689C">
        <w:rPr>
          <w:noProof/>
        </w:rPr>
        <w:t>33</w:t>
      </w:r>
      <w:r>
        <w:rPr>
          <w:noProof/>
        </w:rPr>
        <w:fldChar w:fldCharType="end"/>
      </w:r>
    </w:p>
    <w:p w14:paraId="79BA2D43" w14:textId="3E1AC291"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5.4</w:t>
      </w:r>
      <w:r>
        <w:rPr>
          <w:rFonts w:asciiTheme="minorHAnsi" w:eastAsiaTheme="minorEastAsia" w:hAnsiTheme="minorHAnsi" w:cstheme="minorBidi"/>
          <w:noProof/>
          <w:lang w:val="en-NZ"/>
        </w:rPr>
        <w:tab/>
      </w:r>
      <w:r w:rsidRPr="001A3EC7">
        <w:rPr>
          <w:noProof/>
          <w:lang w:val="en-NZ"/>
        </w:rPr>
        <w:t>There are increased gambling harm risks for women</w:t>
      </w:r>
      <w:r>
        <w:rPr>
          <w:noProof/>
        </w:rPr>
        <w:tab/>
      </w:r>
      <w:r>
        <w:rPr>
          <w:noProof/>
        </w:rPr>
        <w:fldChar w:fldCharType="begin"/>
      </w:r>
      <w:r>
        <w:rPr>
          <w:noProof/>
        </w:rPr>
        <w:instrText xml:space="preserve"> PAGEREF _Toc76469790 \h </w:instrText>
      </w:r>
      <w:r>
        <w:rPr>
          <w:noProof/>
        </w:rPr>
      </w:r>
      <w:r>
        <w:rPr>
          <w:noProof/>
        </w:rPr>
        <w:fldChar w:fldCharType="separate"/>
      </w:r>
      <w:r w:rsidR="0012689C">
        <w:rPr>
          <w:noProof/>
        </w:rPr>
        <w:t>34</w:t>
      </w:r>
      <w:r>
        <w:rPr>
          <w:noProof/>
        </w:rPr>
        <w:fldChar w:fldCharType="end"/>
      </w:r>
    </w:p>
    <w:p w14:paraId="76676F87" w14:textId="5863AC77"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6</w:t>
      </w:r>
      <w:r>
        <w:rPr>
          <w:rFonts w:asciiTheme="minorHAnsi" w:eastAsiaTheme="minorEastAsia" w:hAnsiTheme="minorHAnsi" w:cstheme="minorBidi"/>
          <w:noProof/>
          <w:lang w:val="en-NZ"/>
        </w:rPr>
        <w:tab/>
      </w:r>
      <w:r w:rsidRPr="001A3EC7">
        <w:rPr>
          <w:noProof/>
          <w:lang w:val="en-NZ"/>
        </w:rPr>
        <w:t>Harmful gambling risks remain extensive</w:t>
      </w:r>
      <w:r>
        <w:rPr>
          <w:noProof/>
        </w:rPr>
        <w:tab/>
      </w:r>
      <w:r>
        <w:rPr>
          <w:noProof/>
        </w:rPr>
        <w:fldChar w:fldCharType="begin"/>
      </w:r>
      <w:r>
        <w:rPr>
          <w:noProof/>
        </w:rPr>
        <w:instrText xml:space="preserve"> PAGEREF _Toc76469791 \h </w:instrText>
      </w:r>
      <w:r>
        <w:rPr>
          <w:noProof/>
        </w:rPr>
      </w:r>
      <w:r>
        <w:rPr>
          <w:noProof/>
        </w:rPr>
        <w:fldChar w:fldCharType="separate"/>
      </w:r>
      <w:r w:rsidR="0012689C">
        <w:rPr>
          <w:noProof/>
        </w:rPr>
        <w:t>35</w:t>
      </w:r>
      <w:r>
        <w:rPr>
          <w:noProof/>
        </w:rPr>
        <w:fldChar w:fldCharType="end"/>
      </w:r>
    </w:p>
    <w:p w14:paraId="792E888C" w14:textId="5319C6F6"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rFonts w:eastAsiaTheme="majorEastAsia"/>
          <w:noProof/>
          <w:lang w:val="en-NZ"/>
        </w:rPr>
        <w:t>6.1</w:t>
      </w:r>
      <w:r>
        <w:rPr>
          <w:rFonts w:asciiTheme="minorHAnsi" w:eastAsiaTheme="minorEastAsia" w:hAnsiTheme="minorHAnsi" w:cstheme="minorBidi"/>
          <w:noProof/>
          <w:lang w:val="en-NZ"/>
        </w:rPr>
        <w:tab/>
      </w:r>
      <w:r w:rsidRPr="001A3EC7">
        <w:rPr>
          <w:rFonts w:eastAsiaTheme="majorEastAsia"/>
          <w:noProof/>
          <w:lang w:val="en-NZ"/>
        </w:rPr>
        <w:t>Māori and Pacific peoples remain most at-risk</w:t>
      </w:r>
      <w:r>
        <w:rPr>
          <w:noProof/>
        </w:rPr>
        <w:tab/>
      </w:r>
      <w:r>
        <w:rPr>
          <w:noProof/>
        </w:rPr>
        <w:fldChar w:fldCharType="begin"/>
      </w:r>
      <w:r>
        <w:rPr>
          <w:noProof/>
        </w:rPr>
        <w:instrText xml:space="preserve"> PAGEREF _Toc76469792 \h </w:instrText>
      </w:r>
      <w:r>
        <w:rPr>
          <w:noProof/>
        </w:rPr>
      </w:r>
      <w:r>
        <w:rPr>
          <w:noProof/>
        </w:rPr>
        <w:fldChar w:fldCharType="separate"/>
      </w:r>
      <w:r w:rsidR="0012689C">
        <w:rPr>
          <w:noProof/>
        </w:rPr>
        <w:t>35</w:t>
      </w:r>
      <w:r>
        <w:rPr>
          <w:noProof/>
        </w:rPr>
        <w:fldChar w:fldCharType="end"/>
      </w:r>
    </w:p>
    <w:p w14:paraId="09396277" w14:textId="5E512413"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6.2</w:t>
      </w:r>
      <w:r>
        <w:rPr>
          <w:rFonts w:asciiTheme="minorHAnsi" w:eastAsiaTheme="minorEastAsia" w:hAnsiTheme="minorHAnsi" w:cstheme="minorBidi"/>
          <w:noProof/>
          <w:lang w:val="en-NZ"/>
        </w:rPr>
        <w:tab/>
      </w:r>
      <w:r w:rsidRPr="001A3EC7">
        <w:rPr>
          <w:noProof/>
          <w:lang w:val="en-NZ"/>
        </w:rPr>
        <w:t>Risk factors can be categorised into individual and environmental factors</w:t>
      </w:r>
      <w:r>
        <w:rPr>
          <w:noProof/>
        </w:rPr>
        <w:tab/>
      </w:r>
      <w:r>
        <w:rPr>
          <w:noProof/>
        </w:rPr>
        <w:fldChar w:fldCharType="begin"/>
      </w:r>
      <w:r>
        <w:rPr>
          <w:noProof/>
        </w:rPr>
        <w:instrText xml:space="preserve"> PAGEREF _Toc76469793 \h </w:instrText>
      </w:r>
      <w:r>
        <w:rPr>
          <w:noProof/>
        </w:rPr>
      </w:r>
      <w:r>
        <w:rPr>
          <w:noProof/>
        </w:rPr>
        <w:fldChar w:fldCharType="separate"/>
      </w:r>
      <w:r w:rsidR="0012689C">
        <w:rPr>
          <w:noProof/>
        </w:rPr>
        <w:t>35</w:t>
      </w:r>
      <w:r>
        <w:rPr>
          <w:noProof/>
        </w:rPr>
        <w:fldChar w:fldCharType="end"/>
      </w:r>
    </w:p>
    <w:p w14:paraId="79832F97" w14:textId="15E874D2"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lastRenderedPageBreak/>
        <w:t>6.3</w:t>
      </w:r>
      <w:r>
        <w:rPr>
          <w:rFonts w:asciiTheme="minorHAnsi" w:eastAsiaTheme="minorEastAsia" w:hAnsiTheme="minorHAnsi" w:cstheme="minorBidi"/>
          <w:noProof/>
          <w:lang w:val="en-NZ"/>
        </w:rPr>
        <w:tab/>
      </w:r>
      <w:r w:rsidRPr="001A3EC7">
        <w:rPr>
          <w:noProof/>
          <w:lang w:val="en-NZ"/>
        </w:rPr>
        <w:t>There are mixed views about the association between gambling and mental and physical health</w:t>
      </w:r>
      <w:r>
        <w:rPr>
          <w:noProof/>
        </w:rPr>
        <w:tab/>
      </w:r>
      <w:r>
        <w:rPr>
          <w:noProof/>
        </w:rPr>
        <w:fldChar w:fldCharType="begin"/>
      </w:r>
      <w:r>
        <w:rPr>
          <w:noProof/>
        </w:rPr>
        <w:instrText xml:space="preserve"> PAGEREF _Toc76469794 \h </w:instrText>
      </w:r>
      <w:r>
        <w:rPr>
          <w:noProof/>
        </w:rPr>
      </w:r>
      <w:r>
        <w:rPr>
          <w:noProof/>
        </w:rPr>
        <w:fldChar w:fldCharType="separate"/>
      </w:r>
      <w:r w:rsidR="0012689C">
        <w:rPr>
          <w:noProof/>
        </w:rPr>
        <w:t>36</w:t>
      </w:r>
      <w:r>
        <w:rPr>
          <w:noProof/>
        </w:rPr>
        <w:fldChar w:fldCharType="end"/>
      </w:r>
    </w:p>
    <w:p w14:paraId="38C5B52F" w14:textId="6465F364"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7</w:t>
      </w:r>
      <w:r>
        <w:rPr>
          <w:rFonts w:asciiTheme="minorHAnsi" w:eastAsiaTheme="minorEastAsia" w:hAnsiTheme="minorHAnsi" w:cstheme="minorBidi"/>
          <w:noProof/>
          <w:lang w:val="en-NZ"/>
        </w:rPr>
        <w:tab/>
      </w:r>
      <w:r w:rsidRPr="001A3EC7">
        <w:rPr>
          <w:noProof/>
          <w:lang w:val="en-NZ"/>
        </w:rPr>
        <w:t>Harmful gambling impacts</w:t>
      </w:r>
      <w:r>
        <w:rPr>
          <w:noProof/>
        </w:rPr>
        <w:tab/>
      </w:r>
      <w:r>
        <w:rPr>
          <w:noProof/>
        </w:rPr>
        <w:fldChar w:fldCharType="begin"/>
      </w:r>
      <w:r>
        <w:rPr>
          <w:noProof/>
        </w:rPr>
        <w:instrText xml:space="preserve"> PAGEREF _Toc76469795 \h </w:instrText>
      </w:r>
      <w:r>
        <w:rPr>
          <w:noProof/>
        </w:rPr>
      </w:r>
      <w:r>
        <w:rPr>
          <w:noProof/>
        </w:rPr>
        <w:fldChar w:fldCharType="separate"/>
      </w:r>
      <w:r w:rsidR="0012689C">
        <w:rPr>
          <w:noProof/>
        </w:rPr>
        <w:t>37</w:t>
      </w:r>
      <w:r>
        <w:rPr>
          <w:noProof/>
        </w:rPr>
        <w:fldChar w:fldCharType="end"/>
      </w:r>
    </w:p>
    <w:p w14:paraId="13C49356" w14:textId="0074521A"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7.1</w:t>
      </w:r>
      <w:r>
        <w:rPr>
          <w:rFonts w:asciiTheme="minorHAnsi" w:eastAsiaTheme="minorEastAsia" w:hAnsiTheme="minorHAnsi" w:cstheme="minorBidi"/>
          <w:noProof/>
          <w:lang w:val="en-NZ"/>
        </w:rPr>
        <w:tab/>
      </w:r>
      <w:r w:rsidRPr="001A3EC7">
        <w:rPr>
          <w:noProof/>
          <w:lang w:val="en-NZ"/>
        </w:rPr>
        <w:t>Much evidence infers that supporting one social problem through the support/creation of another is not real progress for our society</w:t>
      </w:r>
      <w:r>
        <w:rPr>
          <w:noProof/>
        </w:rPr>
        <w:tab/>
      </w:r>
      <w:r>
        <w:rPr>
          <w:noProof/>
        </w:rPr>
        <w:fldChar w:fldCharType="begin"/>
      </w:r>
      <w:r>
        <w:rPr>
          <w:noProof/>
        </w:rPr>
        <w:instrText xml:space="preserve"> PAGEREF _Toc76469796 \h </w:instrText>
      </w:r>
      <w:r>
        <w:rPr>
          <w:noProof/>
        </w:rPr>
      </w:r>
      <w:r>
        <w:rPr>
          <w:noProof/>
        </w:rPr>
        <w:fldChar w:fldCharType="separate"/>
      </w:r>
      <w:r w:rsidR="0012689C">
        <w:rPr>
          <w:noProof/>
        </w:rPr>
        <w:t>37</w:t>
      </w:r>
      <w:r>
        <w:rPr>
          <w:noProof/>
        </w:rPr>
        <w:fldChar w:fldCharType="end"/>
      </w:r>
    </w:p>
    <w:p w14:paraId="7754F3C0" w14:textId="4EA060AF"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7.2</w:t>
      </w:r>
      <w:r>
        <w:rPr>
          <w:rFonts w:asciiTheme="minorHAnsi" w:eastAsiaTheme="minorEastAsia" w:hAnsiTheme="minorHAnsi" w:cstheme="minorBidi"/>
          <w:noProof/>
          <w:lang w:val="en-NZ"/>
        </w:rPr>
        <w:tab/>
      </w:r>
      <w:r w:rsidRPr="001A3EC7">
        <w:rPr>
          <w:noProof/>
          <w:lang w:val="en-NZ"/>
        </w:rPr>
        <w:t>Harmful gambling impacts all aspects of wellbeing for individuals and their wh</w:t>
      </w:r>
      <w:r w:rsidRPr="001A3EC7">
        <w:rPr>
          <w:rFonts w:cs="Calibri"/>
          <w:noProof/>
          <w:lang w:val="en-NZ"/>
        </w:rPr>
        <w:t>ā</w:t>
      </w:r>
      <w:r w:rsidRPr="001A3EC7">
        <w:rPr>
          <w:noProof/>
          <w:lang w:val="en-NZ"/>
        </w:rPr>
        <w:t>nau</w:t>
      </w:r>
      <w:r>
        <w:rPr>
          <w:noProof/>
        </w:rPr>
        <w:tab/>
      </w:r>
      <w:r>
        <w:rPr>
          <w:noProof/>
        </w:rPr>
        <w:fldChar w:fldCharType="begin"/>
      </w:r>
      <w:r>
        <w:rPr>
          <w:noProof/>
        </w:rPr>
        <w:instrText xml:space="preserve"> PAGEREF _Toc76469797 \h </w:instrText>
      </w:r>
      <w:r>
        <w:rPr>
          <w:noProof/>
        </w:rPr>
      </w:r>
      <w:r>
        <w:rPr>
          <w:noProof/>
        </w:rPr>
        <w:fldChar w:fldCharType="separate"/>
      </w:r>
      <w:r w:rsidR="0012689C">
        <w:rPr>
          <w:noProof/>
        </w:rPr>
        <w:t>39</w:t>
      </w:r>
      <w:r>
        <w:rPr>
          <w:noProof/>
        </w:rPr>
        <w:fldChar w:fldCharType="end"/>
      </w:r>
    </w:p>
    <w:p w14:paraId="1117FEB8" w14:textId="0B8261E7"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8</w:t>
      </w:r>
      <w:r>
        <w:rPr>
          <w:rFonts w:asciiTheme="minorHAnsi" w:eastAsiaTheme="minorEastAsia" w:hAnsiTheme="minorHAnsi" w:cstheme="minorBidi"/>
          <w:noProof/>
          <w:lang w:val="en-NZ"/>
        </w:rPr>
        <w:tab/>
      </w:r>
      <w:r w:rsidRPr="001A3EC7">
        <w:rPr>
          <w:noProof/>
          <w:lang w:val="en-NZ"/>
        </w:rPr>
        <w:t>Gambling harm minimisation approaches</w:t>
      </w:r>
      <w:r>
        <w:rPr>
          <w:noProof/>
        </w:rPr>
        <w:tab/>
      </w:r>
      <w:r>
        <w:rPr>
          <w:noProof/>
        </w:rPr>
        <w:fldChar w:fldCharType="begin"/>
      </w:r>
      <w:r>
        <w:rPr>
          <w:noProof/>
        </w:rPr>
        <w:instrText xml:space="preserve"> PAGEREF _Toc76469798 \h </w:instrText>
      </w:r>
      <w:r>
        <w:rPr>
          <w:noProof/>
        </w:rPr>
      </w:r>
      <w:r>
        <w:rPr>
          <w:noProof/>
        </w:rPr>
        <w:fldChar w:fldCharType="separate"/>
      </w:r>
      <w:r w:rsidR="0012689C">
        <w:rPr>
          <w:noProof/>
        </w:rPr>
        <w:t>41</w:t>
      </w:r>
      <w:r>
        <w:rPr>
          <w:noProof/>
        </w:rPr>
        <w:fldChar w:fldCharType="end"/>
      </w:r>
    </w:p>
    <w:p w14:paraId="609396F5" w14:textId="29E91A67"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8.1</w:t>
      </w:r>
      <w:r>
        <w:rPr>
          <w:rFonts w:asciiTheme="minorHAnsi" w:eastAsiaTheme="minorEastAsia" w:hAnsiTheme="minorHAnsi" w:cstheme="minorBidi"/>
          <w:noProof/>
          <w:lang w:val="en-NZ"/>
        </w:rPr>
        <w:tab/>
      </w:r>
      <w:r w:rsidRPr="001A3EC7">
        <w:rPr>
          <w:noProof/>
          <w:lang w:val="en-NZ"/>
        </w:rPr>
        <w:t>The profile of clients accessing intervention services remains relatively unchanged</w:t>
      </w:r>
      <w:r>
        <w:rPr>
          <w:noProof/>
        </w:rPr>
        <w:tab/>
      </w:r>
      <w:r>
        <w:rPr>
          <w:noProof/>
        </w:rPr>
        <w:fldChar w:fldCharType="begin"/>
      </w:r>
      <w:r>
        <w:rPr>
          <w:noProof/>
        </w:rPr>
        <w:instrText xml:space="preserve"> PAGEREF _Toc76469799 \h </w:instrText>
      </w:r>
      <w:r>
        <w:rPr>
          <w:noProof/>
        </w:rPr>
      </w:r>
      <w:r>
        <w:rPr>
          <w:noProof/>
        </w:rPr>
        <w:fldChar w:fldCharType="separate"/>
      </w:r>
      <w:r w:rsidR="0012689C">
        <w:rPr>
          <w:noProof/>
        </w:rPr>
        <w:t>42</w:t>
      </w:r>
      <w:r>
        <w:rPr>
          <w:noProof/>
        </w:rPr>
        <w:fldChar w:fldCharType="end"/>
      </w:r>
    </w:p>
    <w:p w14:paraId="19132519" w14:textId="0971126F"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8.2</w:t>
      </w:r>
      <w:r>
        <w:rPr>
          <w:rFonts w:asciiTheme="minorHAnsi" w:eastAsiaTheme="minorEastAsia" w:hAnsiTheme="minorHAnsi" w:cstheme="minorBidi"/>
          <w:noProof/>
          <w:lang w:val="en-NZ"/>
        </w:rPr>
        <w:tab/>
      </w:r>
      <w:r w:rsidRPr="001A3EC7">
        <w:rPr>
          <w:noProof/>
          <w:lang w:val="en-NZ"/>
        </w:rPr>
        <w:t>Class 4 EGMs remain the most common primary gambling mode for clients accessing intervention services</w:t>
      </w:r>
      <w:r>
        <w:rPr>
          <w:noProof/>
        </w:rPr>
        <w:tab/>
      </w:r>
      <w:r>
        <w:rPr>
          <w:noProof/>
        </w:rPr>
        <w:fldChar w:fldCharType="begin"/>
      </w:r>
      <w:r>
        <w:rPr>
          <w:noProof/>
        </w:rPr>
        <w:instrText xml:space="preserve"> PAGEREF _Toc76469800 \h </w:instrText>
      </w:r>
      <w:r>
        <w:rPr>
          <w:noProof/>
        </w:rPr>
      </w:r>
      <w:r>
        <w:rPr>
          <w:noProof/>
        </w:rPr>
        <w:fldChar w:fldCharType="separate"/>
      </w:r>
      <w:r w:rsidR="0012689C">
        <w:rPr>
          <w:noProof/>
        </w:rPr>
        <w:t>42</w:t>
      </w:r>
      <w:r>
        <w:rPr>
          <w:noProof/>
        </w:rPr>
        <w:fldChar w:fldCharType="end"/>
      </w:r>
    </w:p>
    <w:p w14:paraId="0E82FFBC" w14:textId="21998C1D"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8.3</w:t>
      </w:r>
      <w:r>
        <w:rPr>
          <w:rFonts w:asciiTheme="minorHAnsi" w:eastAsiaTheme="minorEastAsia" w:hAnsiTheme="minorHAnsi" w:cstheme="minorBidi"/>
          <w:noProof/>
          <w:lang w:val="en-NZ"/>
        </w:rPr>
        <w:tab/>
      </w:r>
      <w:r w:rsidRPr="001A3EC7">
        <w:rPr>
          <w:noProof/>
          <w:lang w:val="en-NZ"/>
        </w:rPr>
        <w:t>Use of the Gambling Helpline has decreased</w:t>
      </w:r>
      <w:r>
        <w:rPr>
          <w:noProof/>
        </w:rPr>
        <w:tab/>
      </w:r>
      <w:r>
        <w:rPr>
          <w:noProof/>
        </w:rPr>
        <w:fldChar w:fldCharType="begin"/>
      </w:r>
      <w:r>
        <w:rPr>
          <w:noProof/>
        </w:rPr>
        <w:instrText xml:space="preserve"> PAGEREF _Toc76469801 \h </w:instrText>
      </w:r>
      <w:r>
        <w:rPr>
          <w:noProof/>
        </w:rPr>
      </w:r>
      <w:r>
        <w:rPr>
          <w:noProof/>
        </w:rPr>
        <w:fldChar w:fldCharType="separate"/>
      </w:r>
      <w:r w:rsidR="0012689C">
        <w:rPr>
          <w:noProof/>
        </w:rPr>
        <w:t>45</w:t>
      </w:r>
      <w:r>
        <w:rPr>
          <w:noProof/>
        </w:rPr>
        <w:fldChar w:fldCharType="end"/>
      </w:r>
    </w:p>
    <w:p w14:paraId="529985FE" w14:textId="2AAF443A"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8.4</w:t>
      </w:r>
      <w:r>
        <w:rPr>
          <w:rFonts w:asciiTheme="minorHAnsi" w:eastAsiaTheme="minorEastAsia" w:hAnsiTheme="minorHAnsi" w:cstheme="minorBidi"/>
          <w:noProof/>
          <w:lang w:val="en-NZ"/>
        </w:rPr>
        <w:tab/>
      </w:r>
      <w:r w:rsidRPr="001A3EC7">
        <w:rPr>
          <w:noProof/>
          <w:lang w:val="en-NZ"/>
        </w:rPr>
        <w:t>Multi-venue exclusion is effective and the process has been strengthened</w:t>
      </w:r>
      <w:r>
        <w:rPr>
          <w:noProof/>
        </w:rPr>
        <w:tab/>
      </w:r>
      <w:r>
        <w:rPr>
          <w:noProof/>
        </w:rPr>
        <w:fldChar w:fldCharType="begin"/>
      </w:r>
      <w:r>
        <w:rPr>
          <w:noProof/>
        </w:rPr>
        <w:instrText xml:space="preserve"> PAGEREF _Toc76469802 \h </w:instrText>
      </w:r>
      <w:r>
        <w:rPr>
          <w:noProof/>
        </w:rPr>
      </w:r>
      <w:r>
        <w:rPr>
          <w:noProof/>
        </w:rPr>
        <w:fldChar w:fldCharType="separate"/>
      </w:r>
      <w:r w:rsidR="0012689C">
        <w:rPr>
          <w:noProof/>
        </w:rPr>
        <w:t>45</w:t>
      </w:r>
      <w:r>
        <w:rPr>
          <w:noProof/>
        </w:rPr>
        <w:fldChar w:fldCharType="end"/>
      </w:r>
    </w:p>
    <w:p w14:paraId="66B6520A" w14:textId="48B9C90B" w:rsidR="00AD4A6C" w:rsidRDefault="00AD4A6C" w:rsidP="0012689C">
      <w:pPr>
        <w:pStyle w:val="TOC2"/>
        <w:tabs>
          <w:tab w:val="clear" w:pos="7620"/>
          <w:tab w:val="right" w:pos="8647"/>
        </w:tabs>
        <w:rPr>
          <w:rFonts w:asciiTheme="minorHAnsi" w:eastAsiaTheme="minorEastAsia" w:hAnsiTheme="minorHAnsi" w:cstheme="minorBidi"/>
          <w:noProof/>
          <w:lang w:val="en-NZ"/>
        </w:rPr>
      </w:pPr>
      <w:r w:rsidRPr="001A3EC7">
        <w:rPr>
          <w:noProof/>
          <w:lang w:val="en-NZ"/>
        </w:rPr>
        <w:t>8.5</w:t>
      </w:r>
      <w:r>
        <w:rPr>
          <w:rFonts w:asciiTheme="minorHAnsi" w:eastAsiaTheme="minorEastAsia" w:hAnsiTheme="minorHAnsi" w:cstheme="minorBidi"/>
          <w:noProof/>
          <w:lang w:val="en-NZ"/>
        </w:rPr>
        <w:tab/>
      </w:r>
      <w:r w:rsidRPr="001A3EC7">
        <w:rPr>
          <w:noProof/>
          <w:lang w:val="en-NZ"/>
        </w:rPr>
        <w:t>Enablers and barriers to seeking help have not changed – understanding barriers is important</w:t>
      </w:r>
      <w:r>
        <w:rPr>
          <w:noProof/>
        </w:rPr>
        <w:tab/>
      </w:r>
      <w:r>
        <w:rPr>
          <w:noProof/>
        </w:rPr>
        <w:fldChar w:fldCharType="begin"/>
      </w:r>
      <w:r>
        <w:rPr>
          <w:noProof/>
        </w:rPr>
        <w:instrText xml:space="preserve"> PAGEREF _Toc76469803 \h </w:instrText>
      </w:r>
      <w:r>
        <w:rPr>
          <w:noProof/>
        </w:rPr>
      </w:r>
      <w:r>
        <w:rPr>
          <w:noProof/>
        </w:rPr>
        <w:fldChar w:fldCharType="separate"/>
      </w:r>
      <w:r w:rsidR="0012689C">
        <w:rPr>
          <w:noProof/>
        </w:rPr>
        <w:t>46</w:t>
      </w:r>
      <w:r>
        <w:rPr>
          <w:noProof/>
        </w:rPr>
        <w:fldChar w:fldCharType="end"/>
      </w:r>
    </w:p>
    <w:p w14:paraId="7B7631A1" w14:textId="4E1C339B"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8.6</w:t>
      </w:r>
      <w:r>
        <w:rPr>
          <w:rFonts w:asciiTheme="minorHAnsi" w:eastAsiaTheme="minorEastAsia" w:hAnsiTheme="minorHAnsi" w:cstheme="minorBidi"/>
          <w:noProof/>
          <w:lang w:val="en-NZ"/>
        </w:rPr>
        <w:tab/>
      </w:r>
      <w:r>
        <w:rPr>
          <w:noProof/>
        </w:rPr>
        <w:t>Gaps in gambling harm provider services remain</w:t>
      </w:r>
      <w:r>
        <w:rPr>
          <w:noProof/>
        </w:rPr>
        <w:tab/>
      </w:r>
      <w:r>
        <w:rPr>
          <w:noProof/>
        </w:rPr>
        <w:fldChar w:fldCharType="begin"/>
      </w:r>
      <w:r>
        <w:rPr>
          <w:noProof/>
        </w:rPr>
        <w:instrText xml:space="preserve"> PAGEREF _Toc76469804 \h </w:instrText>
      </w:r>
      <w:r>
        <w:rPr>
          <w:noProof/>
        </w:rPr>
      </w:r>
      <w:r>
        <w:rPr>
          <w:noProof/>
        </w:rPr>
        <w:fldChar w:fldCharType="separate"/>
      </w:r>
      <w:r w:rsidR="0012689C">
        <w:rPr>
          <w:noProof/>
        </w:rPr>
        <w:t>47</w:t>
      </w:r>
      <w:r>
        <w:rPr>
          <w:noProof/>
        </w:rPr>
        <w:fldChar w:fldCharType="end"/>
      </w:r>
    </w:p>
    <w:p w14:paraId="005AF231" w14:textId="0746B795" w:rsidR="00AD4A6C" w:rsidRDefault="00AD4A6C" w:rsidP="0012689C">
      <w:pPr>
        <w:pStyle w:val="TOC1"/>
        <w:tabs>
          <w:tab w:val="clear" w:pos="7608"/>
          <w:tab w:val="right" w:pos="8647"/>
        </w:tabs>
        <w:rPr>
          <w:rFonts w:asciiTheme="minorHAnsi" w:eastAsiaTheme="minorEastAsia" w:hAnsiTheme="minorHAnsi" w:cstheme="minorBidi"/>
          <w:noProof/>
          <w:lang w:val="en-NZ"/>
        </w:rPr>
      </w:pPr>
      <w:r>
        <w:rPr>
          <w:noProof/>
        </w:rPr>
        <w:t>9</w:t>
      </w:r>
      <w:r>
        <w:rPr>
          <w:rFonts w:asciiTheme="minorHAnsi" w:eastAsiaTheme="minorEastAsia" w:hAnsiTheme="minorHAnsi" w:cstheme="minorBidi"/>
          <w:noProof/>
          <w:lang w:val="en-NZ"/>
        </w:rPr>
        <w:tab/>
      </w:r>
      <w:r>
        <w:rPr>
          <w:noProof/>
        </w:rPr>
        <w:t>Progress against Objectives in the Strategy</w:t>
      </w:r>
      <w:r>
        <w:rPr>
          <w:noProof/>
        </w:rPr>
        <w:tab/>
      </w:r>
      <w:r>
        <w:rPr>
          <w:noProof/>
        </w:rPr>
        <w:fldChar w:fldCharType="begin"/>
      </w:r>
      <w:r>
        <w:rPr>
          <w:noProof/>
        </w:rPr>
        <w:instrText xml:space="preserve"> PAGEREF _Toc76469805 \h </w:instrText>
      </w:r>
      <w:r>
        <w:rPr>
          <w:noProof/>
        </w:rPr>
      </w:r>
      <w:r>
        <w:rPr>
          <w:noProof/>
        </w:rPr>
        <w:fldChar w:fldCharType="separate"/>
      </w:r>
      <w:r w:rsidR="0012689C">
        <w:rPr>
          <w:noProof/>
        </w:rPr>
        <w:t>49</w:t>
      </w:r>
      <w:r>
        <w:rPr>
          <w:noProof/>
        </w:rPr>
        <w:fldChar w:fldCharType="end"/>
      </w:r>
    </w:p>
    <w:p w14:paraId="3C09E94A" w14:textId="1C7D1D85"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9.1</w:t>
      </w:r>
      <w:r>
        <w:rPr>
          <w:rFonts w:asciiTheme="minorHAnsi" w:eastAsiaTheme="minorEastAsia" w:hAnsiTheme="minorHAnsi" w:cstheme="minorBidi"/>
          <w:noProof/>
          <w:lang w:val="en-NZ"/>
        </w:rPr>
        <w:tab/>
      </w:r>
      <w:r>
        <w:rPr>
          <w:noProof/>
        </w:rPr>
        <w:t>Objective 4 – focus on policy</w:t>
      </w:r>
      <w:r>
        <w:rPr>
          <w:noProof/>
        </w:rPr>
        <w:tab/>
      </w:r>
      <w:r>
        <w:rPr>
          <w:noProof/>
        </w:rPr>
        <w:fldChar w:fldCharType="begin"/>
      </w:r>
      <w:r>
        <w:rPr>
          <w:noProof/>
        </w:rPr>
        <w:instrText xml:space="preserve"> PAGEREF _Toc76469806 \h </w:instrText>
      </w:r>
      <w:r>
        <w:rPr>
          <w:noProof/>
        </w:rPr>
      </w:r>
      <w:r>
        <w:rPr>
          <w:noProof/>
        </w:rPr>
        <w:fldChar w:fldCharType="separate"/>
      </w:r>
      <w:r w:rsidR="0012689C">
        <w:rPr>
          <w:noProof/>
        </w:rPr>
        <w:t>51</w:t>
      </w:r>
      <w:r>
        <w:rPr>
          <w:noProof/>
        </w:rPr>
        <w:fldChar w:fldCharType="end"/>
      </w:r>
    </w:p>
    <w:p w14:paraId="63478B28" w14:textId="30A9DBBA"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9.2</w:t>
      </w:r>
      <w:r>
        <w:rPr>
          <w:rFonts w:asciiTheme="minorHAnsi" w:eastAsiaTheme="minorEastAsia" w:hAnsiTheme="minorHAnsi" w:cstheme="minorBidi"/>
          <w:noProof/>
          <w:lang w:val="en-NZ"/>
        </w:rPr>
        <w:tab/>
      </w:r>
      <w:r>
        <w:rPr>
          <w:noProof/>
        </w:rPr>
        <w:t>Objectives 1 and 2 – focus on outcomes</w:t>
      </w:r>
      <w:r>
        <w:rPr>
          <w:noProof/>
        </w:rPr>
        <w:tab/>
      </w:r>
      <w:r>
        <w:rPr>
          <w:noProof/>
        </w:rPr>
        <w:fldChar w:fldCharType="begin"/>
      </w:r>
      <w:r>
        <w:rPr>
          <w:noProof/>
        </w:rPr>
        <w:instrText xml:space="preserve"> PAGEREF _Toc76469807 \h </w:instrText>
      </w:r>
      <w:r>
        <w:rPr>
          <w:noProof/>
        </w:rPr>
      </w:r>
      <w:r>
        <w:rPr>
          <w:noProof/>
        </w:rPr>
        <w:fldChar w:fldCharType="separate"/>
      </w:r>
      <w:r w:rsidR="0012689C">
        <w:rPr>
          <w:noProof/>
        </w:rPr>
        <w:t>54</w:t>
      </w:r>
      <w:r>
        <w:rPr>
          <w:noProof/>
        </w:rPr>
        <w:fldChar w:fldCharType="end"/>
      </w:r>
    </w:p>
    <w:p w14:paraId="4AB26C80" w14:textId="019E2188"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9.3</w:t>
      </w:r>
      <w:r>
        <w:rPr>
          <w:rFonts w:asciiTheme="minorHAnsi" w:eastAsiaTheme="minorEastAsia" w:hAnsiTheme="minorHAnsi" w:cstheme="minorBidi"/>
          <w:noProof/>
          <w:lang w:val="en-NZ"/>
        </w:rPr>
        <w:tab/>
      </w:r>
      <w:r>
        <w:rPr>
          <w:noProof/>
        </w:rPr>
        <w:t>Objective 3 - focus on participation</w:t>
      </w:r>
      <w:r>
        <w:rPr>
          <w:noProof/>
        </w:rPr>
        <w:tab/>
      </w:r>
      <w:r>
        <w:rPr>
          <w:noProof/>
        </w:rPr>
        <w:fldChar w:fldCharType="begin"/>
      </w:r>
      <w:r>
        <w:rPr>
          <w:noProof/>
        </w:rPr>
        <w:instrText xml:space="preserve"> PAGEREF _Toc76469808 \h </w:instrText>
      </w:r>
      <w:r>
        <w:rPr>
          <w:noProof/>
        </w:rPr>
      </w:r>
      <w:r>
        <w:rPr>
          <w:noProof/>
        </w:rPr>
        <w:fldChar w:fldCharType="separate"/>
      </w:r>
      <w:r w:rsidR="0012689C">
        <w:rPr>
          <w:noProof/>
        </w:rPr>
        <w:t>56</w:t>
      </w:r>
      <w:r>
        <w:rPr>
          <w:noProof/>
        </w:rPr>
        <w:fldChar w:fldCharType="end"/>
      </w:r>
    </w:p>
    <w:p w14:paraId="39F944B7" w14:textId="0364C91F"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9.4</w:t>
      </w:r>
      <w:r>
        <w:rPr>
          <w:rFonts w:asciiTheme="minorHAnsi" w:eastAsiaTheme="minorEastAsia" w:hAnsiTheme="minorHAnsi" w:cstheme="minorBidi"/>
          <w:noProof/>
          <w:lang w:val="en-NZ"/>
        </w:rPr>
        <w:tab/>
      </w:r>
      <w:r>
        <w:rPr>
          <w:noProof/>
        </w:rPr>
        <w:t>Objective 6 – focus on practice (workforce capacity and capability)</w:t>
      </w:r>
      <w:r>
        <w:rPr>
          <w:noProof/>
        </w:rPr>
        <w:tab/>
      </w:r>
      <w:r>
        <w:rPr>
          <w:noProof/>
        </w:rPr>
        <w:fldChar w:fldCharType="begin"/>
      </w:r>
      <w:r>
        <w:rPr>
          <w:noProof/>
        </w:rPr>
        <w:instrText xml:space="preserve"> PAGEREF _Toc76469809 \h </w:instrText>
      </w:r>
      <w:r>
        <w:rPr>
          <w:noProof/>
        </w:rPr>
      </w:r>
      <w:r>
        <w:rPr>
          <w:noProof/>
        </w:rPr>
        <w:fldChar w:fldCharType="separate"/>
      </w:r>
      <w:r w:rsidR="0012689C">
        <w:rPr>
          <w:noProof/>
        </w:rPr>
        <w:t>58</w:t>
      </w:r>
      <w:r>
        <w:rPr>
          <w:noProof/>
        </w:rPr>
        <w:fldChar w:fldCharType="end"/>
      </w:r>
    </w:p>
    <w:p w14:paraId="2ACDEEA2" w14:textId="0CD1FFFD"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9.6</w:t>
      </w:r>
      <w:r>
        <w:rPr>
          <w:rFonts w:asciiTheme="minorHAnsi" w:eastAsiaTheme="minorEastAsia" w:hAnsiTheme="minorHAnsi" w:cstheme="minorBidi"/>
          <w:noProof/>
          <w:lang w:val="en-NZ"/>
        </w:rPr>
        <w:tab/>
      </w:r>
      <w:r>
        <w:rPr>
          <w:noProof/>
        </w:rPr>
        <w:t>Objective 7 - focus on practice (enhancing wellbeing, life skills and resilience)</w:t>
      </w:r>
      <w:r>
        <w:rPr>
          <w:noProof/>
        </w:rPr>
        <w:tab/>
      </w:r>
      <w:r>
        <w:rPr>
          <w:noProof/>
        </w:rPr>
        <w:fldChar w:fldCharType="begin"/>
      </w:r>
      <w:r>
        <w:rPr>
          <w:noProof/>
        </w:rPr>
        <w:instrText xml:space="preserve"> PAGEREF _Toc76469810 \h </w:instrText>
      </w:r>
      <w:r>
        <w:rPr>
          <w:noProof/>
        </w:rPr>
      </w:r>
      <w:r>
        <w:rPr>
          <w:noProof/>
        </w:rPr>
        <w:fldChar w:fldCharType="separate"/>
      </w:r>
      <w:r w:rsidR="0012689C">
        <w:rPr>
          <w:noProof/>
        </w:rPr>
        <w:t>62</w:t>
      </w:r>
      <w:r>
        <w:rPr>
          <w:noProof/>
        </w:rPr>
        <w:fldChar w:fldCharType="end"/>
      </w:r>
    </w:p>
    <w:p w14:paraId="394881A3" w14:textId="5927DC33"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9.7</w:t>
      </w:r>
      <w:r>
        <w:rPr>
          <w:rFonts w:asciiTheme="minorHAnsi" w:eastAsiaTheme="minorEastAsia" w:hAnsiTheme="minorHAnsi" w:cstheme="minorBidi"/>
          <w:noProof/>
          <w:lang w:val="en-NZ"/>
        </w:rPr>
        <w:tab/>
      </w:r>
      <w:r>
        <w:rPr>
          <w:noProof/>
        </w:rPr>
        <w:t>Objective 10 - focus on practice (intervention services)</w:t>
      </w:r>
      <w:r>
        <w:rPr>
          <w:noProof/>
        </w:rPr>
        <w:tab/>
      </w:r>
      <w:r>
        <w:rPr>
          <w:noProof/>
        </w:rPr>
        <w:fldChar w:fldCharType="begin"/>
      </w:r>
      <w:r>
        <w:rPr>
          <w:noProof/>
        </w:rPr>
        <w:instrText xml:space="preserve"> PAGEREF _Toc76469811 \h </w:instrText>
      </w:r>
      <w:r>
        <w:rPr>
          <w:noProof/>
        </w:rPr>
      </w:r>
      <w:r>
        <w:rPr>
          <w:noProof/>
        </w:rPr>
        <w:fldChar w:fldCharType="separate"/>
      </w:r>
      <w:r w:rsidR="0012689C">
        <w:rPr>
          <w:noProof/>
        </w:rPr>
        <w:t>64</w:t>
      </w:r>
      <w:r>
        <w:rPr>
          <w:noProof/>
        </w:rPr>
        <w:fldChar w:fldCharType="end"/>
      </w:r>
    </w:p>
    <w:p w14:paraId="2DA21A51" w14:textId="0E5FE52B"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9.8</w:t>
      </w:r>
      <w:r>
        <w:rPr>
          <w:rFonts w:asciiTheme="minorHAnsi" w:eastAsiaTheme="minorEastAsia" w:hAnsiTheme="minorHAnsi" w:cstheme="minorBidi"/>
          <w:noProof/>
          <w:lang w:val="en-NZ"/>
        </w:rPr>
        <w:tab/>
      </w:r>
      <w:r>
        <w:rPr>
          <w:noProof/>
        </w:rPr>
        <w:t>Objectives 5, 8 and 9 - focus on practice (public health)</w:t>
      </w:r>
      <w:r>
        <w:rPr>
          <w:noProof/>
        </w:rPr>
        <w:tab/>
      </w:r>
      <w:r>
        <w:rPr>
          <w:noProof/>
        </w:rPr>
        <w:fldChar w:fldCharType="begin"/>
      </w:r>
      <w:r>
        <w:rPr>
          <w:noProof/>
        </w:rPr>
        <w:instrText xml:space="preserve"> PAGEREF _Toc76469812 \h </w:instrText>
      </w:r>
      <w:r>
        <w:rPr>
          <w:noProof/>
        </w:rPr>
      </w:r>
      <w:r>
        <w:rPr>
          <w:noProof/>
        </w:rPr>
        <w:fldChar w:fldCharType="separate"/>
      </w:r>
      <w:r w:rsidR="0012689C">
        <w:rPr>
          <w:noProof/>
        </w:rPr>
        <w:t>66</w:t>
      </w:r>
      <w:r>
        <w:rPr>
          <w:noProof/>
        </w:rPr>
        <w:fldChar w:fldCharType="end"/>
      </w:r>
    </w:p>
    <w:p w14:paraId="3ED84F92" w14:textId="399106BD" w:rsidR="00AD4A6C" w:rsidRDefault="00AD4A6C" w:rsidP="0012689C">
      <w:pPr>
        <w:pStyle w:val="TOC2"/>
        <w:tabs>
          <w:tab w:val="clear" w:pos="7620"/>
          <w:tab w:val="right" w:pos="8647"/>
        </w:tabs>
        <w:rPr>
          <w:rFonts w:asciiTheme="minorHAnsi" w:eastAsiaTheme="minorEastAsia" w:hAnsiTheme="minorHAnsi" w:cstheme="minorBidi"/>
          <w:noProof/>
          <w:lang w:val="en-NZ"/>
        </w:rPr>
      </w:pPr>
      <w:r>
        <w:rPr>
          <w:noProof/>
        </w:rPr>
        <w:t>9.9</w:t>
      </w:r>
      <w:r>
        <w:rPr>
          <w:rFonts w:asciiTheme="minorHAnsi" w:eastAsiaTheme="minorEastAsia" w:hAnsiTheme="minorHAnsi" w:cstheme="minorBidi"/>
          <w:noProof/>
          <w:lang w:val="en-NZ"/>
        </w:rPr>
        <w:tab/>
      </w:r>
      <w:r>
        <w:rPr>
          <w:noProof/>
        </w:rPr>
        <w:t>Objective 11 - focus on research and evaluation</w:t>
      </w:r>
      <w:r>
        <w:rPr>
          <w:noProof/>
        </w:rPr>
        <w:tab/>
      </w:r>
      <w:r>
        <w:rPr>
          <w:noProof/>
        </w:rPr>
        <w:fldChar w:fldCharType="begin"/>
      </w:r>
      <w:r>
        <w:rPr>
          <w:noProof/>
        </w:rPr>
        <w:instrText xml:space="preserve"> PAGEREF _Toc76469813 \h </w:instrText>
      </w:r>
      <w:r>
        <w:rPr>
          <w:noProof/>
        </w:rPr>
      </w:r>
      <w:r>
        <w:rPr>
          <w:noProof/>
        </w:rPr>
        <w:fldChar w:fldCharType="separate"/>
      </w:r>
      <w:r w:rsidR="0012689C">
        <w:rPr>
          <w:noProof/>
        </w:rPr>
        <w:t>71</w:t>
      </w:r>
      <w:r>
        <w:rPr>
          <w:noProof/>
        </w:rPr>
        <w:fldChar w:fldCharType="end"/>
      </w:r>
    </w:p>
    <w:p w14:paraId="0B716C15" w14:textId="500BDEA9"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lang w:val="en-NZ"/>
        </w:rPr>
        <w:t>References</w:t>
      </w:r>
      <w:r>
        <w:rPr>
          <w:noProof/>
        </w:rPr>
        <w:tab/>
      </w:r>
      <w:r>
        <w:rPr>
          <w:noProof/>
        </w:rPr>
        <w:fldChar w:fldCharType="begin"/>
      </w:r>
      <w:r>
        <w:rPr>
          <w:noProof/>
        </w:rPr>
        <w:instrText xml:space="preserve"> PAGEREF _Toc76469814 \h </w:instrText>
      </w:r>
      <w:r>
        <w:rPr>
          <w:noProof/>
        </w:rPr>
      </w:r>
      <w:r>
        <w:rPr>
          <w:noProof/>
        </w:rPr>
        <w:fldChar w:fldCharType="separate"/>
      </w:r>
      <w:r w:rsidR="0012689C">
        <w:rPr>
          <w:noProof/>
        </w:rPr>
        <w:t>76</w:t>
      </w:r>
      <w:r>
        <w:rPr>
          <w:noProof/>
        </w:rPr>
        <w:fldChar w:fldCharType="end"/>
      </w:r>
    </w:p>
    <w:p w14:paraId="194C2584" w14:textId="60833A59"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rPr>
        <w:t>Appendix 1: Gambling behaviour and harm: the continuum of prevention and harm reduction (Ministry of Health, 2019)</w:t>
      </w:r>
      <w:r>
        <w:rPr>
          <w:noProof/>
        </w:rPr>
        <w:tab/>
      </w:r>
      <w:r>
        <w:rPr>
          <w:noProof/>
        </w:rPr>
        <w:fldChar w:fldCharType="begin"/>
      </w:r>
      <w:r>
        <w:rPr>
          <w:noProof/>
        </w:rPr>
        <w:instrText xml:space="preserve"> PAGEREF _Toc76469815 \h </w:instrText>
      </w:r>
      <w:r>
        <w:rPr>
          <w:noProof/>
        </w:rPr>
      </w:r>
      <w:r>
        <w:rPr>
          <w:noProof/>
        </w:rPr>
        <w:fldChar w:fldCharType="separate"/>
      </w:r>
      <w:r w:rsidR="0012689C">
        <w:rPr>
          <w:noProof/>
        </w:rPr>
        <w:t>82</w:t>
      </w:r>
      <w:r>
        <w:rPr>
          <w:noProof/>
        </w:rPr>
        <w:fldChar w:fldCharType="end"/>
      </w:r>
    </w:p>
    <w:p w14:paraId="19480229" w14:textId="46C7D5B0"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rPr>
        <w:t>Appendix 2: Community and sports funding sub-categories – 2019</w:t>
      </w:r>
      <w:r>
        <w:rPr>
          <w:noProof/>
        </w:rPr>
        <w:tab/>
      </w:r>
      <w:r>
        <w:rPr>
          <w:noProof/>
        </w:rPr>
        <w:fldChar w:fldCharType="begin"/>
      </w:r>
      <w:r>
        <w:rPr>
          <w:noProof/>
        </w:rPr>
        <w:instrText xml:space="preserve"> PAGEREF _Toc76469816 \h </w:instrText>
      </w:r>
      <w:r>
        <w:rPr>
          <w:noProof/>
        </w:rPr>
      </w:r>
      <w:r>
        <w:rPr>
          <w:noProof/>
        </w:rPr>
        <w:fldChar w:fldCharType="separate"/>
      </w:r>
      <w:r w:rsidR="0012689C">
        <w:rPr>
          <w:noProof/>
        </w:rPr>
        <w:t>83</w:t>
      </w:r>
      <w:r>
        <w:rPr>
          <w:noProof/>
        </w:rPr>
        <w:fldChar w:fldCharType="end"/>
      </w:r>
    </w:p>
    <w:p w14:paraId="7A87A420" w14:textId="5340BC5C" w:rsidR="00AD4A6C" w:rsidRDefault="00AD4A6C" w:rsidP="0012689C">
      <w:pPr>
        <w:pStyle w:val="TOC1"/>
        <w:tabs>
          <w:tab w:val="clear" w:pos="7608"/>
          <w:tab w:val="right" w:pos="8647"/>
        </w:tabs>
        <w:rPr>
          <w:rFonts w:asciiTheme="minorHAnsi" w:eastAsiaTheme="minorEastAsia" w:hAnsiTheme="minorHAnsi" w:cstheme="minorBidi"/>
          <w:noProof/>
          <w:lang w:val="en-NZ"/>
        </w:rPr>
      </w:pPr>
      <w:r w:rsidRPr="001A3EC7">
        <w:rPr>
          <w:noProof/>
        </w:rPr>
        <w:t>Appendix 3: Online workforce survey</w:t>
      </w:r>
      <w:r>
        <w:rPr>
          <w:noProof/>
        </w:rPr>
        <w:tab/>
      </w:r>
      <w:r>
        <w:rPr>
          <w:noProof/>
        </w:rPr>
        <w:fldChar w:fldCharType="begin"/>
      </w:r>
      <w:r>
        <w:rPr>
          <w:noProof/>
        </w:rPr>
        <w:instrText xml:space="preserve"> PAGEREF _Toc76469817 \h </w:instrText>
      </w:r>
      <w:r>
        <w:rPr>
          <w:noProof/>
        </w:rPr>
      </w:r>
      <w:r>
        <w:rPr>
          <w:noProof/>
        </w:rPr>
        <w:fldChar w:fldCharType="separate"/>
      </w:r>
      <w:r w:rsidR="0012689C">
        <w:rPr>
          <w:noProof/>
        </w:rPr>
        <w:t>85</w:t>
      </w:r>
      <w:r>
        <w:rPr>
          <w:noProof/>
        </w:rPr>
        <w:fldChar w:fldCharType="end"/>
      </w:r>
    </w:p>
    <w:p w14:paraId="31DDD749" w14:textId="730B95D1" w:rsidR="00143DD1" w:rsidRPr="003C2BEB" w:rsidRDefault="00AD4A6C" w:rsidP="0012689C">
      <w:pPr>
        <w:tabs>
          <w:tab w:val="right" w:pos="8647"/>
        </w:tabs>
        <w:rPr>
          <w:b/>
          <w:color w:val="0F243E"/>
          <w:sz w:val="28"/>
          <w:szCs w:val="28"/>
          <w:lang w:val="en-NZ" w:eastAsia="en-GB"/>
        </w:rPr>
      </w:pPr>
      <w:r>
        <w:rPr>
          <w:b/>
          <w:lang w:val="en-NZ"/>
        </w:rPr>
        <w:fldChar w:fldCharType="end"/>
      </w:r>
      <w:r w:rsidR="00143DD1" w:rsidRPr="003C2BEB">
        <w:rPr>
          <w:b/>
          <w:color w:val="0F243E"/>
          <w:sz w:val="28"/>
          <w:szCs w:val="28"/>
          <w:lang w:val="en-NZ" w:eastAsia="en-GB"/>
        </w:rPr>
        <w:t>List of Tables</w:t>
      </w:r>
    </w:p>
    <w:p w14:paraId="212A32A9" w14:textId="05CC4F61" w:rsidR="00FC1FC2" w:rsidRDefault="00383FC2" w:rsidP="0012689C">
      <w:pPr>
        <w:pStyle w:val="TableofFigures"/>
        <w:tabs>
          <w:tab w:val="right" w:leader="dot" w:pos="8789"/>
        </w:tabs>
        <w:rPr>
          <w:rFonts w:asciiTheme="minorHAnsi" w:eastAsiaTheme="minorEastAsia" w:hAnsiTheme="minorHAnsi" w:cstheme="minorBidi"/>
          <w:noProof/>
          <w:lang w:val="en-US" w:eastAsia="en-US"/>
        </w:rPr>
      </w:pPr>
      <w:r w:rsidRPr="002F108B">
        <w:rPr>
          <w:lang w:val="en-NZ"/>
        </w:rPr>
        <w:fldChar w:fldCharType="begin"/>
      </w:r>
      <w:r w:rsidRPr="002F108B">
        <w:rPr>
          <w:lang w:val="en-NZ"/>
        </w:rPr>
        <w:instrText xml:space="preserve"> TOC \h \z \c "Table" </w:instrText>
      </w:r>
      <w:r w:rsidRPr="002F108B">
        <w:rPr>
          <w:lang w:val="en-NZ"/>
        </w:rPr>
        <w:fldChar w:fldCharType="separate"/>
      </w:r>
      <w:hyperlink w:anchor="_Toc69809942" w:history="1">
        <w:r w:rsidR="00FC1FC2" w:rsidRPr="00F40EA0">
          <w:rPr>
            <w:rStyle w:val="Hyperlink"/>
            <w:noProof/>
            <w:lang w:val="en-NZ"/>
          </w:rPr>
          <w:t>Table 1: Individual and group interviews</w:t>
        </w:r>
        <w:r w:rsidR="00FC1FC2">
          <w:rPr>
            <w:noProof/>
            <w:webHidden/>
          </w:rPr>
          <w:tab/>
        </w:r>
        <w:r w:rsidR="00FC1FC2">
          <w:rPr>
            <w:noProof/>
            <w:webHidden/>
          </w:rPr>
          <w:fldChar w:fldCharType="begin"/>
        </w:r>
        <w:r w:rsidR="00FC1FC2">
          <w:rPr>
            <w:noProof/>
            <w:webHidden/>
          </w:rPr>
          <w:instrText xml:space="preserve"> PAGEREF _Toc69809942 \h </w:instrText>
        </w:r>
        <w:r w:rsidR="00FC1FC2">
          <w:rPr>
            <w:noProof/>
            <w:webHidden/>
          </w:rPr>
        </w:r>
        <w:r w:rsidR="00FC1FC2">
          <w:rPr>
            <w:noProof/>
            <w:webHidden/>
          </w:rPr>
          <w:fldChar w:fldCharType="separate"/>
        </w:r>
        <w:r w:rsidR="0012689C">
          <w:rPr>
            <w:noProof/>
            <w:webHidden/>
          </w:rPr>
          <w:t>12</w:t>
        </w:r>
        <w:r w:rsidR="00FC1FC2">
          <w:rPr>
            <w:noProof/>
            <w:webHidden/>
          </w:rPr>
          <w:fldChar w:fldCharType="end"/>
        </w:r>
      </w:hyperlink>
    </w:p>
    <w:p w14:paraId="6AE6525C" w14:textId="3299A7E9" w:rsidR="00FC1FC2" w:rsidRDefault="000024E2" w:rsidP="0012689C">
      <w:pPr>
        <w:pStyle w:val="TableofFigures"/>
        <w:tabs>
          <w:tab w:val="right" w:leader="dot" w:pos="8789"/>
        </w:tabs>
        <w:rPr>
          <w:rFonts w:asciiTheme="minorHAnsi" w:eastAsiaTheme="minorEastAsia" w:hAnsiTheme="minorHAnsi" w:cstheme="minorBidi"/>
          <w:noProof/>
          <w:lang w:val="en-US" w:eastAsia="en-US"/>
        </w:rPr>
      </w:pPr>
      <w:hyperlink w:anchor="_Toc69809943" w:history="1">
        <w:r w:rsidR="00FC1FC2" w:rsidRPr="00F40EA0">
          <w:rPr>
            <w:rStyle w:val="Hyperlink"/>
            <w:noProof/>
            <w:lang w:val="en-NZ"/>
          </w:rPr>
          <w:t>Table 2: Gambling policies adopted by territorial authorities</w:t>
        </w:r>
        <w:r w:rsidR="00FC1FC2">
          <w:rPr>
            <w:noProof/>
            <w:webHidden/>
          </w:rPr>
          <w:tab/>
        </w:r>
        <w:r w:rsidR="00FC1FC2">
          <w:rPr>
            <w:noProof/>
            <w:webHidden/>
          </w:rPr>
          <w:fldChar w:fldCharType="begin"/>
        </w:r>
        <w:r w:rsidR="00FC1FC2">
          <w:rPr>
            <w:noProof/>
            <w:webHidden/>
          </w:rPr>
          <w:instrText xml:space="preserve"> PAGEREF _Toc69809943 \h </w:instrText>
        </w:r>
        <w:r w:rsidR="00FC1FC2">
          <w:rPr>
            <w:noProof/>
            <w:webHidden/>
          </w:rPr>
        </w:r>
        <w:r w:rsidR="00FC1FC2">
          <w:rPr>
            <w:noProof/>
            <w:webHidden/>
          </w:rPr>
          <w:fldChar w:fldCharType="separate"/>
        </w:r>
        <w:r w:rsidR="0012689C">
          <w:rPr>
            <w:noProof/>
            <w:webHidden/>
          </w:rPr>
          <w:t>23</w:t>
        </w:r>
        <w:r w:rsidR="00FC1FC2">
          <w:rPr>
            <w:noProof/>
            <w:webHidden/>
          </w:rPr>
          <w:fldChar w:fldCharType="end"/>
        </w:r>
      </w:hyperlink>
    </w:p>
    <w:p w14:paraId="20F292E1" w14:textId="3EFB02FC" w:rsidR="00FC1FC2" w:rsidRDefault="000024E2" w:rsidP="0012689C">
      <w:pPr>
        <w:pStyle w:val="TableofFigures"/>
        <w:tabs>
          <w:tab w:val="right" w:leader="dot" w:pos="8789"/>
        </w:tabs>
        <w:rPr>
          <w:rFonts w:asciiTheme="minorHAnsi" w:eastAsiaTheme="minorEastAsia" w:hAnsiTheme="minorHAnsi" w:cstheme="minorBidi"/>
          <w:noProof/>
          <w:lang w:val="en-US" w:eastAsia="en-US"/>
        </w:rPr>
      </w:pPr>
      <w:hyperlink w:anchor="_Toc69809944" w:history="1">
        <w:r w:rsidR="00FC1FC2" w:rsidRPr="00F40EA0">
          <w:rPr>
            <w:rStyle w:val="Hyperlink"/>
            <w:noProof/>
            <w:lang w:val="en-NZ"/>
          </w:rPr>
          <w:t>Table 3: Total gambling expenditure by gambling type</w:t>
        </w:r>
        <w:r w:rsidR="00FC1FC2">
          <w:rPr>
            <w:noProof/>
            <w:webHidden/>
          </w:rPr>
          <w:tab/>
        </w:r>
        <w:r w:rsidR="00FC1FC2">
          <w:rPr>
            <w:noProof/>
            <w:webHidden/>
          </w:rPr>
          <w:fldChar w:fldCharType="begin"/>
        </w:r>
        <w:r w:rsidR="00FC1FC2">
          <w:rPr>
            <w:noProof/>
            <w:webHidden/>
          </w:rPr>
          <w:instrText xml:space="preserve"> PAGEREF _Toc69809944 \h </w:instrText>
        </w:r>
        <w:r w:rsidR="00FC1FC2">
          <w:rPr>
            <w:noProof/>
            <w:webHidden/>
          </w:rPr>
        </w:r>
        <w:r w:rsidR="00FC1FC2">
          <w:rPr>
            <w:noProof/>
            <w:webHidden/>
          </w:rPr>
          <w:fldChar w:fldCharType="separate"/>
        </w:r>
        <w:r w:rsidR="0012689C">
          <w:rPr>
            <w:noProof/>
            <w:webHidden/>
          </w:rPr>
          <w:t>29</w:t>
        </w:r>
        <w:r w:rsidR="00FC1FC2">
          <w:rPr>
            <w:noProof/>
            <w:webHidden/>
          </w:rPr>
          <w:fldChar w:fldCharType="end"/>
        </w:r>
      </w:hyperlink>
    </w:p>
    <w:p w14:paraId="14F9742B" w14:textId="2A750C4D" w:rsidR="00FC1FC2" w:rsidRDefault="000024E2" w:rsidP="0012689C">
      <w:pPr>
        <w:pStyle w:val="TableofFigures"/>
        <w:tabs>
          <w:tab w:val="right" w:leader="dot" w:pos="8789"/>
        </w:tabs>
        <w:rPr>
          <w:rFonts w:asciiTheme="minorHAnsi" w:eastAsiaTheme="minorEastAsia" w:hAnsiTheme="minorHAnsi" w:cstheme="minorBidi"/>
          <w:noProof/>
          <w:lang w:val="en-US" w:eastAsia="en-US"/>
        </w:rPr>
      </w:pPr>
      <w:hyperlink w:anchor="_Toc69809945" w:history="1">
        <w:r w:rsidR="00FC1FC2" w:rsidRPr="00F40EA0">
          <w:rPr>
            <w:rStyle w:val="Hyperlink"/>
            <w:noProof/>
            <w:lang w:val="en-NZ"/>
          </w:rPr>
          <w:t>Table 4: Intervention clients assisted by primary problem gambling mode</w:t>
        </w:r>
        <w:r w:rsidR="00FC1FC2">
          <w:rPr>
            <w:noProof/>
            <w:webHidden/>
          </w:rPr>
          <w:tab/>
        </w:r>
        <w:r w:rsidR="00FC1FC2">
          <w:rPr>
            <w:noProof/>
            <w:webHidden/>
          </w:rPr>
          <w:fldChar w:fldCharType="begin"/>
        </w:r>
        <w:r w:rsidR="00FC1FC2">
          <w:rPr>
            <w:noProof/>
            <w:webHidden/>
          </w:rPr>
          <w:instrText xml:space="preserve"> PAGEREF _Toc69809945 \h </w:instrText>
        </w:r>
        <w:r w:rsidR="00FC1FC2">
          <w:rPr>
            <w:noProof/>
            <w:webHidden/>
          </w:rPr>
        </w:r>
        <w:r w:rsidR="00FC1FC2">
          <w:rPr>
            <w:noProof/>
            <w:webHidden/>
          </w:rPr>
          <w:fldChar w:fldCharType="separate"/>
        </w:r>
        <w:r w:rsidR="0012689C">
          <w:rPr>
            <w:noProof/>
            <w:webHidden/>
          </w:rPr>
          <w:t>44</w:t>
        </w:r>
        <w:r w:rsidR="00FC1FC2">
          <w:rPr>
            <w:noProof/>
            <w:webHidden/>
          </w:rPr>
          <w:fldChar w:fldCharType="end"/>
        </w:r>
      </w:hyperlink>
    </w:p>
    <w:p w14:paraId="1C1751D5" w14:textId="40EA5277" w:rsidR="00383FC2" w:rsidRPr="002F108B" w:rsidRDefault="00383FC2" w:rsidP="0012689C">
      <w:pPr>
        <w:tabs>
          <w:tab w:val="right" w:leader="dot" w:pos="8789"/>
        </w:tabs>
        <w:rPr>
          <w:lang w:val="en-NZ"/>
        </w:rPr>
      </w:pPr>
      <w:r w:rsidRPr="002F108B">
        <w:rPr>
          <w:lang w:val="en-NZ"/>
        </w:rPr>
        <w:fldChar w:fldCharType="end"/>
      </w:r>
    </w:p>
    <w:p w14:paraId="07D3B59E" w14:textId="77777777" w:rsidR="0012689C" w:rsidRDefault="0012689C" w:rsidP="00BE490C">
      <w:pPr>
        <w:rPr>
          <w:b/>
          <w:color w:val="0F243E"/>
          <w:sz w:val="28"/>
          <w:szCs w:val="28"/>
          <w:lang w:val="en-NZ" w:eastAsia="en-GB"/>
        </w:rPr>
      </w:pPr>
    </w:p>
    <w:p w14:paraId="473CCBA2" w14:textId="0FE2B8AE" w:rsidR="00C45DC6" w:rsidRPr="003C2BEB" w:rsidRDefault="00143DD1" w:rsidP="00BE490C">
      <w:pPr>
        <w:rPr>
          <w:b/>
          <w:color w:val="0F243E"/>
          <w:sz w:val="28"/>
          <w:szCs w:val="28"/>
          <w:lang w:val="en-NZ" w:eastAsia="en-GB"/>
        </w:rPr>
      </w:pPr>
      <w:r w:rsidRPr="003C2BEB">
        <w:rPr>
          <w:b/>
          <w:color w:val="0F243E"/>
          <w:sz w:val="28"/>
          <w:szCs w:val="28"/>
          <w:lang w:val="en-NZ" w:eastAsia="en-GB"/>
        </w:rPr>
        <w:lastRenderedPageBreak/>
        <w:t>List of Figures</w:t>
      </w:r>
    </w:p>
    <w:p w14:paraId="08583101" w14:textId="7F5A24A4" w:rsidR="007C61A6" w:rsidRDefault="00C45DC6" w:rsidP="00F45A35">
      <w:pPr>
        <w:pStyle w:val="TableofFigures"/>
        <w:tabs>
          <w:tab w:val="right" w:leader="dot" w:pos="8931"/>
        </w:tabs>
        <w:rPr>
          <w:rFonts w:asciiTheme="minorHAnsi" w:eastAsiaTheme="minorEastAsia" w:hAnsiTheme="minorHAnsi" w:cstheme="minorBidi"/>
          <w:noProof/>
          <w:lang w:val="en-US" w:eastAsia="en-US"/>
        </w:rPr>
      </w:pPr>
      <w:r w:rsidRPr="002F108B">
        <w:rPr>
          <w:lang w:val="en-NZ"/>
        </w:rPr>
        <w:fldChar w:fldCharType="begin"/>
      </w:r>
      <w:r w:rsidRPr="002F108B">
        <w:rPr>
          <w:lang w:val="en-NZ"/>
        </w:rPr>
        <w:instrText xml:space="preserve"> TOC \h \z \c "Figure" </w:instrText>
      </w:r>
      <w:r w:rsidRPr="002F108B">
        <w:rPr>
          <w:lang w:val="en-NZ"/>
        </w:rPr>
        <w:fldChar w:fldCharType="separate"/>
      </w:r>
      <w:hyperlink w:anchor="_Toc72752866" w:history="1">
        <w:r w:rsidR="007C61A6" w:rsidRPr="002A6E17">
          <w:rPr>
            <w:rStyle w:val="Hyperlink"/>
            <w:noProof/>
            <w:lang w:val="en-NZ"/>
          </w:rPr>
          <w:t>Figure 1: Number of Class 4 venues</w:t>
        </w:r>
        <w:r w:rsidR="007C61A6">
          <w:rPr>
            <w:noProof/>
            <w:webHidden/>
          </w:rPr>
          <w:tab/>
        </w:r>
        <w:r w:rsidR="007C61A6">
          <w:rPr>
            <w:noProof/>
            <w:webHidden/>
          </w:rPr>
          <w:fldChar w:fldCharType="begin"/>
        </w:r>
        <w:r w:rsidR="007C61A6">
          <w:rPr>
            <w:noProof/>
            <w:webHidden/>
          </w:rPr>
          <w:instrText xml:space="preserve"> PAGEREF _Toc72752866 \h </w:instrText>
        </w:r>
        <w:r w:rsidR="007C61A6">
          <w:rPr>
            <w:noProof/>
            <w:webHidden/>
          </w:rPr>
        </w:r>
        <w:r w:rsidR="007C61A6">
          <w:rPr>
            <w:noProof/>
            <w:webHidden/>
          </w:rPr>
          <w:fldChar w:fldCharType="separate"/>
        </w:r>
        <w:r w:rsidR="0012689C">
          <w:rPr>
            <w:noProof/>
            <w:webHidden/>
          </w:rPr>
          <w:t>20</w:t>
        </w:r>
        <w:r w:rsidR="007C61A6">
          <w:rPr>
            <w:noProof/>
            <w:webHidden/>
          </w:rPr>
          <w:fldChar w:fldCharType="end"/>
        </w:r>
      </w:hyperlink>
    </w:p>
    <w:p w14:paraId="3A5CAAA9" w14:textId="74950EEF"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67" w:history="1">
        <w:r w:rsidR="007C61A6" w:rsidRPr="002A6E17">
          <w:rPr>
            <w:rStyle w:val="Hyperlink"/>
            <w:noProof/>
          </w:rPr>
          <w:t>Figure 2</w:t>
        </w:r>
        <w:r w:rsidR="007C61A6" w:rsidRPr="002A6E17">
          <w:rPr>
            <w:rStyle w:val="Hyperlink"/>
            <w:noProof/>
            <w:lang w:val="en-NZ"/>
          </w:rPr>
          <w:t>: Number of Class 4 EGMs</w:t>
        </w:r>
        <w:r w:rsidR="007C61A6">
          <w:rPr>
            <w:noProof/>
            <w:webHidden/>
          </w:rPr>
          <w:tab/>
        </w:r>
        <w:r w:rsidR="007C61A6">
          <w:rPr>
            <w:noProof/>
            <w:webHidden/>
          </w:rPr>
          <w:fldChar w:fldCharType="begin"/>
        </w:r>
        <w:r w:rsidR="007C61A6">
          <w:rPr>
            <w:noProof/>
            <w:webHidden/>
          </w:rPr>
          <w:instrText xml:space="preserve"> PAGEREF _Toc72752867 \h </w:instrText>
        </w:r>
        <w:r w:rsidR="007C61A6">
          <w:rPr>
            <w:noProof/>
            <w:webHidden/>
          </w:rPr>
        </w:r>
        <w:r w:rsidR="007C61A6">
          <w:rPr>
            <w:noProof/>
            <w:webHidden/>
          </w:rPr>
          <w:fldChar w:fldCharType="separate"/>
        </w:r>
        <w:r w:rsidR="0012689C">
          <w:rPr>
            <w:noProof/>
            <w:webHidden/>
          </w:rPr>
          <w:t>21</w:t>
        </w:r>
        <w:r w:rsidR="007C61A6">
          <w:rPr>
            <w:noProof/>
            <w:webHidden/>
          </w:rPr>
          <w:fldChar w:fldCharType="end"/>
        </w:r>
      </w:hyperlink>
    </w:p>
    <w:p w14:paraId="100BF12F" w14:textId="78F69A7D"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68" w:history="1">
        <w:r w:rsidR="007C61A6" w:rsidRPr="002A6E17">
          <w:rPr>
            <w:rStyle w:val="Hyperlink"/>
            <w:noProof/>
            <w:lang w:val="en-NZ"/>
          </w:rPr>
          <w:t>Figure 3: Raw number of venues by deprivation rating</w:t>
        </w:r>
        <w:r w:rsidR="007C61A6">
          <w:rPr>
            <w:noProof/>
            <w:webHidden/>
          </w:rPr>
          <w:tab/>
        </w:r>
        <w:r w:rsidR="007C61A6">
          <w:rPr>
            <w:noProof/>
            <w:webHidden/>
          </w:rPr>
          <w:fldChar w:fldCharType="begin"/>
        </w:r>
        <w:r w:rsidR="007C61A6">
          <w:rPr>
            <w:noProof/>
            <w:webHidden/>
          </w:rPr>
          <w:instrText xml:space="preserve"> PAGEREF _Toc72752868 \h </w:instrText>
        </w:r>
        <w:r w:rsidR="007C61A6">
          <w:rPr>
            <w:noProof/>
            <w:webHidden/>
          </w:rPr>
        </w:r>
        <w:r w:rsidR="007C61A6">
          <w:rPr>
            <w:noProof/>
            <w:webHidden/>
          </w:rPr>
          <w:fldChar w:fldCharType="separate"/>
        </w:r>
        <w:r w:rsidR="0012689C">
          <w:rPr>
            <w:noProof/>
            <w:webHidden/>
          </w:rPr>
          <w:t>22</w:t>
        </w:r>
        <w:r w:rsidR="007C61A6">
          <w:rPr>
            <w:noProof/>
            <w:webHidden/>
          </w:rPr>
          <w:fldChar w:fldCharType="end"/>
        </w:r>
      </w:hyperlink>
    </w:p>
    <w:p w14:paraId="35305F1B" w14:textId="0DC6E03B"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69" w:history="1">
        <w:r w:rsidR="007C61A6" w:rsidRPr="002A6E17">
          <w:rPr>
            <w:rStyle w:val="Hyperlink"/>
            <w:noProof/>
            <w:lang w:val="en-NZ"/>
          </w:rPr>
          <w:t>Figure 4: Offshore gambling spend by type of merchant</w:t>
        </w:r>
        <w:r w:rsidR="007C61A6">
          <w:rPr>
            <w:noProof/>
            <w:webHidden/>
          </w:rPr>
          <w:tab/>
        </w:r>
        <w:r w:rsidR="007C61A6">
          <w:rPr>
            <w:noProof/>
            <w:webHidden/>
          </w:rPr>
          <w:fldChar w:fldCharType="begin"/>
        </w:r>
        <w:r w:rsidR="007C61A6">
          <w:rPr>
            <w:noProof/>
            <w:webHidden/>
          </w:rPr>
          <w:instrText xml:space="preserve"> PAGEREF _Toc72752869 \h </w:instrText>
        </w:r>
        <w:r w:rsidR="007C61A6">
          <w:rPr>
            <w:noProof/>
            <w:webHidden/>
          </w:rPr>
        </w:r>
        <w:r w:rsidR="007C61A6">
          <w:rPr>
            <w:noProof/>
            <w:webHidden/>
          </w:rPr>
          <w:fldChar w:fldCharType="separate"/>
        </w:r>
        <w:r w:rsidR="0012689C">
          <w:rPr>
            <w:noProof/>
            <w:webHidden/>
          </w:rPr>
          <w:t>24</w:t>
        </w:r>
        <w:r w:rsidR="007C61A6">
          <w:rPr>
            <w:noProof/>
            <w:webHidden/>
          </w:rPr>
          <w:fldChar w:fldCharType="end"/>
        </w:r>
      </w:hyperlink>
    </w:p>
    <w:p w14:paraId="1BBD7025" w14:textId="1B21D8E3"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0" w:history="1">
        <w:r w:rsidR="007C61A6" w:rsidRPr="002A6E17">
          <w:rPr>
            <w:rStyle w:val="Hyperlink"/>
            <w:noProof/>
            <w:lang w:val="en-NZ"/>
          </w:rPr>
          <w:t>Figure 5: New Zealand online gambling spend</w:t>
        </w:r>
        <w:r w:rsidR="007C61A6">
          <w:rPr>
            <w:noProof/>
            <w:webHidden/>
          </w:rPr>
          <w:tab/>
        </w:r>
        <w:r w:rsidR="007C61A6">
          <w:rPr>
            <w:noProof/>
            <w:webHidden/>
          </w:rPr>
          <w:fldChar w:fldCharType="begin"/>
        </w:r>
        <w:r w:rsidR="007C61A6">
          <w:rPr>
            <w:noProof/>
            <w:webHidden/>
          </w:rPr>
          <w:instrText xml:space="preserve"> PAGEREF _Toc72752870 \h </w:instrText>
        </w:r>
        <w:r w:rsidR="007C61A6">
          <w:rPr>
            <w:noProof/>
            <w:webHidden/>
          </w:rPr>
        </w:r>
        <w:r w:rsidR="007C61A6">
          <w:rPr>
            <w:noProof/>
            <w:webHidden/>
          </w:rPr>
          <w:fldChar w:fldCharType="separate"/>
        </w:r>
        <w:r w:rsidR="0012689C">
          <w:rPr>
            <w:noProof/>
            <w:webHidden/>
          </w:rPr>
          <w:t>30</w:t>
        </w:r>
        <w:r w:rsidR="007C61A6">
          <w:rPr>
            <w:noProof/>
            <w:webHidden/>
          </w:rPr>
          <w:fldChar w:fldCharType="end"/>
        </w:r>
      </w:hyperlink>
    </w:p>
    <w:p w14:paraId="4D83ED0B" w14:textId="73E3D141" w:rsidR="007C61A6" w:rsidRP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1" w:history="1">
        <w:r w:rsidR="007C61A6" w:rsidRPr="007C61A6">
          <w:rPr>
            <w:rStyle w:val="Hyperlink"/>
            <w:noProof/>
          </w:rPr>
          <w:t xml:space="preserve">Figure 6: </w:t>
        </w:r>
        <w:r w:rsidR="007C61A6" w:rsidRPr="007C61A6">
          <w:rPr>
            <w:rStyle w:val="Hyperlink"/>
            <w:noProof/>
            <w:lang w:val="en-NZ"/>
          </w:rPr>
          <w:t>Gaming machine profit (GMP per quarter)</w:t>
        </w:r>
        <w:r w:rsidR="007C61A6" w:rsidRPr="007C61A6">
          <w:rPr>
            <w:noProof/>
            <w:webHidden/>
          </w:rPr>
          <w:tab/>
        </w:r>
        <w:r w:rsidR="007C61A6" w:rsidRPr="007C61A6">
          <w:rPr>
            <w:noProof/>
            <w:webHidden/>
          </w:rPr>
          <w:fldChar w:fldCharType="begin"/>
        </w:r>
        <w:r w:rsidR="007C61A6" w:rsidRPr="007C61A6">
          <w:rPr>
            <w:noProof/>
            <w:webHidden/>
          </w:rPr>
          <w:instrText xml:space="preserve"> PAGEREF _Toc72752871 \h </w:instrText>
        </w:r>
        <w:r w:rsidR="007C61A6" w:rsidRPr="007C61A6">
          <w:rPr>
            <w:noProof/>
            <w:webHidden/>
          </w:rPr>
        </w:r>
        <w:r w:rsidR="007C61A6" w:rsidRPr="007C61A6">
          <w:rPr>
            <w:noProof/>
            <w:webHidden/>
          </w:rPr>
          <w:fldChar w:fldCharType="separate"/>
        </w:r>
        <w:r w:rsidR="0012689C">
          <w:rPr>
            <w:noProof/>
            <w:webHidden/>
          </w:rPr>
          <w:t>31</w:t>
        </w:r>
        <w:r w:rsidR="007C61A6" w:rsidRPr="007C61A6">
          <w:rPr>
            <w:noProof/>
            <w:webHidden/>
          </w:rPr>
          <w:fldChar w:fldCharType="end"/>
        </w:r>
      </w:hyperlink>
    </w:p>
    <w:p w14:paraId="5929A246" w14:textId="78D75273"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2" w:history="1">
        <w:r w:rsidR="007C61A6" w:rsidRPr="002A6E17">
          <w:rPr>
            <w:rStyle w:val="Hyperlink"/>
            <w:noProof/>
          </w:rPr>
          <w:t>Figure 7: Quarterly GMP</w:t>
        </w:r>
        <w:r w:rsidR="007C61A6">
          <w:rPr>
            <w:noProof/>
            <w:webHidden/>
          </w:rPr>
          <w:tab/>
        </w:r>
        <w:r w:rsidR="007C61A6">
          <w:rPr>
            <w:noProof/>
            <w:webHidden/>
          </w:rPr>
          <w:fldChar w:fldCharType="begin"/>
        </w:r>
        <w:r w:rsidR="007C61A6">
          <w:rPr>
            <w:noProof/>
            <w:webHidden/>
          </w:rPr>
          <w:instrText xml:space="preserve"> PAGEREF _Toc72752872 \h </w:instrText>
        </w:r>
        <w:r w:rsidR="007C61A6">
          <w:rPr>
            <w:noProof/>
            <w:webHidden/>
          </w:rPr>
        </w:r>
        <w:r w:rsidR="007C61A6">
          <w:rPr>
            <w:noProof/>
            <w:webHidden/>
          </w:rPr>
          <w:fldChar w:fldCharType="separate"/>
        </w:r>
        <w:r w:rsidR="0012689C">
          <w:rPr>
            <w:noProof/>
            <w:webHidden/>
          </w:rPr>
          <w:t>31</w:t>
        </w:r>
        <w:r w:rsidR="007C61A6">
          <w:rPr>
            <w:noProof/>
            <w:webHidden/>
          </w:rPr>
          <w:fldChar w:fldCharType="end"/>
        </w:r>
      </w:hyperlink>
    </w:p>
    <w:p w14:paraId="2D434B1F" w14:textId="44E2E252"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3" w:history="1">
        <w:r w:rsidR="007C61A6" w:rsidRPr="002A6E17">
          <w:rPr>
            <w:rStyle w:val="Hyperlink"/>
            <w:noProof/>
          </w:rPr>
          <w:t>Figure 8</w:t>
        </w:r>
        <w:r w:rsidR="007C61A6" w:rsidRPr="002A6E17">
          <w:rPr>
            <w:rStyle w:val="Hyperlink"/>
            <w:noProof/>
            <w:lang w:val="en-NZ"/>
          </w:rPr>
          <w:t>: Gambling prevalence of 15-24-year-olds</w:t>
        </w:r>
        <w:r w:rsidR="007C61A6">
          <w:rPr>
            <w:noProof/>
            <w:webHidden/>
          </w:rPr>
          <w:tab/>
        </w:r>
        <w:r w:rsidR="007C61A6">
          <w:rPr>
            <w:noProof/>
            <w:webHidden/>
          </w:rPr>
          <w:fldChar w:fldCharType="begin"/>
        </w:r>
        <w:r w:rsidR="007C61A6">
          <w:rPr>
            <w:noProof/>
            <w:webHidden/>
          </w:rPr>
          <w:instrText xml:space="preserve"> PAGEREF _Toc72752873 \h </w:instrText>
        </w:r>
        <w:r w:rsidR="007C61A6">
          <w:rPr>
            <w:noProof/>
            <w:webHidden/>
          </w:rPr>
        </w:r>
        <w:r w:rsidR="007C61A6">
          <w:rPr>
            <w:noProof/>
            <w:webHidden/>
          </w:rPr>
          <w:fldChar w:fldCharType="separate"/>
        </w:r>
        <w:r w:rsidR="0012689C">
          <w:rPr>
            <w:noProof/>
            <w:webHidden/>
          </w:rPr>
          <w:t>33</w:t>
        </w:r>
        <w:r w:rsidR="007C61A6">
          <w:rPr>
            <w:noProof/>
            <w:webHidden/>
          </w:rPr>
          <w:fldChar w:fldCharType="end"/>
        </w:r>
      </w:hyperlink>
    </w:p>
    <w:p w14:paraId="09A5A920" w14:textId="75FE7029"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4" w:history="1">
        <w:r w:rsidR="007C61A6" w:rsidRPr="002A6E17">
          <w:rPr>
            <w:rStyle w:val="Hyperlink"/>
            <w:noProof/>
          </w:rPr>
          <w:t xml:space="preserve">Figure 9: </w:t>
        </w:r>
        <w:r w:rsidR="007C61A6" w:rsidRPr="002A6E17">
          <w:rPr>
            <w:rStyle w:val="Hyperlink"/>
            <w:noProof/>
            <w:lang w:val="en-NZ"/>
          </w:rPr>
          <w:t>Origin of Gaming Machine Profit and destination of community and sports grants by deprivation.</w:t>
        </w:r>
        <w:r w:rsidR="007C61A6">
          <w:rPr>
            <w:noProof/>
            <w:webHidden/>
          </w:rPr>
          <w:tab/>
        </w:r>
        <w:r w:rsidR="007C61A6">
          <w:rPr>
            <w:noProof/>
            <w:webHidden/>
          </w:rPr>
          <w:fldChar w:fldCharType="begin"/>
        </w:r>
        <w:r w:rsidR="007C61A6">
          <w:rPr>
            <w:noProof/>
            <w:webHidden/>
          </w:rPr>
          <w:instrText xml:space="preserve"> PAGEREF _Toc72752874 \h </w:instrText>
        </w:r>
        <w:r w:rsidR="007C61A6">
          <w:rPr>
            <w:noProof/>
            <w:webHidden/>
          </w:rPr>
        </w:r>
        <w:r w:rsidR="007C61A6">
          <w:rPr>
            <w:noProof/>
            <w:webHidden/>
          </w:rPr>
          <w:fldChar w:fldCharType="separate"/>
        </w:r>
        <w:r w:rsidR="0012689C">
          <w:rPr>
            <w:noProof/>
            <w:webHidden/>
          </w:rPr>
          <w:t>39</w:t>
        </w:r>
        <w:r w:rsidR="007C61A6">
          <w:rPr>
            <w:noProof/>
            <w:webHidden/>
          </w:rPr>
          <w:fldChar w:fldCharType="end"/>
        </w:r>
      </w:hyperlink>
    </w:p>
    <w:p w14:paraId="3355E154" w14:textId="6DF19BD3"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5" w:history="1">
        <w:r w:rsidR="007C61A6" w:rsidRPr="002A6E17">
          <w:rPr>
            <w:rStyle w:val="Hyperlink"/>
            <w:noProof/>
          </w:rPr>
          <w:t>Figure 10: Types of support provided (n=66)</w:t>
        </w:r>
        <w:r w:rsidR="007C61A6">
          <w:rPr>
            <w:noProof/>
            <w:webHidden/>
          </w:rPr>
          <w:tab/>
        </w:r>
        <w:r w:rsidR="007C61A6">
          <w:rPr>
            <w:noProof/>
            <w:webHidden/>
          </w:rPr>
          <w:fldChar w:fldCharType="begin"/>
        </w:r>
        <w:r w:rsidR="007C61A6">
          <w:rPr>
            <w:noProof/>
            <w:webHidden/>
          </w:rPr>
          <w:instrText xml:space="preserve"> PAGEREF _Toc72752875 \h </w:instrText>
        </w:r>
        <w:r w:rsidR="007C61A6">
          <w:rPr>
            <w:noProof/>
            <w:webHidden/>
          </w:rPr>
        </w:r>
        <w:r w:rsidR="007C61A6">
          <w:rPr>
            <w:noProof/>
            <w:webHidden/>
          </w:rPr>
          <w:fldChar w:fldCharType="separate"/>
        </w:r>
        <w:r w:rsidR="0012689C">
          <w:rPr>
            <w:noProof/>
            <w:webHidden/>
          </w:rPr>
          <w:t>41</w:t>
        </w:r>
        <w:r w:rsidR="007C61A6">
          <w:rPr>
            <w:noProof/>
            <w:webHidden/>
          </w:rPr>
          <w:fldChar w:fldCharType="end"/>
        </w:r>
      </w:hyperlink>
    </w:p>
    <w:p w14:paraId="00B22FE8" w14:textId="0B69F64B"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6" w:history="1">
        <w:r w:rsidR="007C61A6" w:rsidRPr="002A6E17">
          <w:rPr>
            <w:rStyle w:val="Hyperlink"/>
            <w:noProof/>
          </w:rPr>
          <w:t>Figure 11: Respondent’s views about progress made against Objectives in the Strategy.</w:t>
        </w:r>
        <w:r w:rsidR="007C61A6">
          <w:rPr>
            <w:noProof/>
            <w:webHidden/>
          </w:rPr>
          <w:tab/>
        </w:r>
        <w:r w:rsidR="007C61A6">
          <w:rPr>
            <w:noProof/>
            <w:webHidden/>
          </w:rPr>
          <w:fldChar w:fldCharType="begin"/>
        </w:r>
        <w:r w:rsidR="007C61A6">
          <w:rPr>
            <w:noProof/>
            <w:webHidden/>
          </w:rPr>
          <w:instrText xml:space="preserve"> PAGEREF _Toc72752876 \h </w:instrText>
        </w:r>
        <w:r w:rsidR="007C61A6">
          <w:rPr>
            <w:noProof/>
            <w:webHidden/>
          </w:rPr>
        </w:r>
        <w:r w:rsidR="007C61A6">
          <w:rPr>
            <w:noProof/>
            <w:webHidden/>
          </w:rPr>
          <w:fldChar w:fldCharType="separate"/>
        </w:r>
        <w:r w:rsidR="0012689C">
          <w:rPr>
            <w:noProof/>
            <w:webHidden/>
          </w:rPr>
          <w:t>86</w:t>
        </w:r>
        <w:r w:rsidR="007C61A6">
          <w:rPr>
            <w:noProof/>
            <w:webHidden/>
          </w:rPr>
          <w:fldChar w:fldCharType="end"/>
        </w:r>
      </w:hyperlink>
    </w:p>
    <w:p w14:paraId="4EE48955" w14:textId="2F209436" w:rsidR="007C61A6" w:rsidRDefault="000024E2" w:rsidP="00F45A35">
      <w:pPr>
        <w:pStyle w:val="TableofFigures"/>
        <w:tabs>
          <w:tab w:val="right" w:leader="dot" w:pos="8931"/>
        </w:tabs>
        <w:rPr>
          <w:rFonts w:asciiTheme="minorHAnsi" w:eastAsiaTheme="minorEastAsia" w:hAnsiTheme="minorHAnsi" w:cstheme="minorBidi"/>
          <w:noProof/>
          <w:lang w:val="en-US" w:eastAsia="en-US"/>
        </w:rPr>
      </w:pPr>
      <w:hyperlink w:anchor="_Toc72752877" w:history="1">
        <w:r w:rsidR="007C61A6" w:rsidRPr="002A6E17">
          <w:rPr>
            <w:rStyle w:val="Hyperlink"/>
            <w:noProof/>
          </w:rPr>
          <w:t>Figure 12: Respondents’ views about challenges faced in delivering services and support to clients</w:t>
        </w:r>
        <w:r w:rsidR="007C61A6">
          <w:rPr>
            <w:noProof/>
            <w:webHidden/>
          </w:rPr>
          <w:tab/>
        </w:r>
        <w:r w:rsidR="007C61A6">
          <w:rPr>
            <w:noProof/>
            <w:webHidden/>
          </w:rPr>
          <w:fldChar w:fldCharType="begin"/>
        </w:r>
        <w:r w:rsidR="007C61A6">
          <w:rPr>
            <w:noProof/>
            <w:webHidden/>
          </w:rPr>
          <w:instrText xml:space="preserve"> PAGEREF _Toc72752877 \h </w:instrText>
        </w:r>
        <w:r w:rsidR="007C61A6">
          <w:rPr>
            <w:noProof/>
            <w:webHidden/>
          </w:rPr>
        </w:r>
        <w:r w:rsidR="007C61A6">
          <w:rPr>
            <w:noProof/>
            <w:webHidden/>
          </w:rPr>
          <w:fldChar w:fldCharType="separate"/>
        </w:r>
        <w:r w:rsidR="0012689C">
          <w:rPr>
            <w:noProof/>
            <w:webHidden/>
          </w:rPr>
          <w:t>87</w:t>
        </w:r>
        <w:r w:rsidR="007C61A6">
          <w:rPr>
            <w:noProof/>
            <w:webHidden/>
          </w:rPr>
          <w:fldChar w:fldCharType="end"/>
        </w:r>
      </w:hyperlink>
    </w:p>
    <w:p w14:paraId="5ACC201F" w14:textId="3075689C" w:rsidR="00F653C0" w:rsidRPr="002F108B" w:rsidRDefault="00C45DC6" w:rsidP="001260EF">
      <w:pPr>
        <w:pStyle w:val="TableofFigures"/>
        <w:tabs>
          <w:tab w:val="right" w:leader="dot" w:pos="7598"/>
        </w:tabs>
        <w:rPr>
          <w:lang w:val="en-NZ"/>
        </w:rPr>
      </w:pPr>
      <w:r w:rsidRPr="002F108B">
        <w:rPr>
          <w:lang w:val="en-NZ"/>
        </w:rPr>
        <w:fldChar w:fldCharType="end"/>
      </w:r>
    </w:p>
    <w:p w14:paraId="25317FB7" w14:textId="77777777" w:rsidR="00F653C0" w:rsidRPr="002F108B" w:rsidRDefault="00F653C0">
      <w:pPr>
        <w:spacing w:before="0" w:after="0" w:line="240" w:lineRule="auto"/>
        <w:rPr>
          <w:lang w:val="en-NZ"/>
        </w:rPr>
      </w:pPr>
      <w:r w:rsidRPr="002F108B">
        <w:rPr>
          <w:lang w:val="en-NZ"/>
        </w:rPr>
        <w:br w:type="page"/>
      </w:r>
    </w:p>
    <w:p w14:paraId="4423F8D2" w14:textId="6E3AA94A" w:rsidR="00C8452C" w:rsidRDefault="00F653C0" w:rsidP="00BE490C">
      <w:pPr>
        <w:rPr>
          <w:b/>
          <w:color w:val="0F243E"/>
          <w:sz w:val="28"/>
          <w:szCs w:val="28"/>
          <w:lang w:val="en-NZ" w:eastAsia="en-GB"/>
        </w:rPr>
      </w:pPr>
      <w:r w:rsidRPr="00F653C0">
        <w:rPr>
          <w:b/>
          <w:color w:val="0F243E"/>
          <w:sz w:val="28"/>
          <w:szCs w:val="28"/>
          <w:lang w:val="en-NZ" w:eastAsia="en-GB"/>
        </w:rPr>
        <w:lastRenderedPageBreak/>
        <w:t>Glossary</w:t>
      </w:r>
    </w:p>
    <w:p w14:paraId="5B7D5FB0" w14:textId="5C74C94C" w:rsidR="00F653C0" w:rsidRDefault="00F653C0" w:rsidP="00F653C0">
      <w:pPr>
        <w:tabs>
          <w:tab w:val="right" w:leader="dot" w:pos="7608"/>
        </w:tabs>
        <w:rPr>
          <w:lang w:val="en-NZ" w:eastAsia="en-GB"/>
        </w:rPr>
      </w:pPr>
      <w:r>
        <w:rPr>
          <w:lang w:val="en-NZ" w:eastAsia="en-GB"/>
        </w:rPr>
        <w:t xml:space="preserve">EGM </w:t>
      </w:r>
      <w:r>
        <w:rPr>
          <w:lang w:val="en-NZ" w:eastAsia="en-GB"/>
        </w:rPr>
        <w:tab/>
      </w:r>
      <w:r w:rsidR="00A00CAC">
        <w:rPr>
          <w:lang w:val="en-NZ" w:eastAsia="en-GB"/>
        </w:rPr>
        <w:t>E</w:t>
      </w:r>
      <w:r>
        <w:rPr>
          <w:lang w:val="en-NZ" w:eastAsia="en-GB"/>
        </w:rPr>
        <w:t xml:space="preserve">lectronic </w:t>
      </w:r>
      <w:r w:rsidR="00A00CAC">
        <w:rPr>
          <w:lang w:val="en-NZ" w:eastAsia="en-GB"/>
        </w:rPr>
        <w:t>G</w:t>
      </w:r>
      <w:r>
        <w:rPr>
          <w:lang w:val="en-NZ" w:eastAsia="en-GB"/>
        </w:rPr>
        <w:t xml:space="preserve">aming </w:t>
      </w:r>
      <w:r w:rsidR="00A00CAC">
        <w:rPr>
          <w:lang w:val="en-NZ" w:eastAsia="en-GB"/>
        </w:rPr>
        <w:t>M</w:t>
      </w:r>
      <w:r>
        <w:rPr>
          <w:lang w:val="en-NZ" w:eastAsia="en-GB"/>
        </w:rPr>
        <w:t>achine</w:t>
      </w:r>
    </w:p>
    <w:p w14:paraId="67D81FBE" w14:textId="1C7AC56A" w:rsidR="00F653C0" w:rsidRDefault="00F653C0" w:rsidP="00F653C0">
      <w:pPr>
        <w:tabs>
          <w:tab w:val="right" w:leader="dot" w:pos="7608"/>
        </w:tabs>
        <w:rPr>
          <w:lang w:val="en-NZ" w:eastAsia="en-GB"/>
        </w:rPr>
      </w:pPr>
      <w:r>
        <w:rPr>
          <w:lang w:val="en-NZ" w:eastAsia="en-GB"/>
        </w:rPr>
        <w:t xml:space="preserve">HLS </w:t>
      </w:r>
      <w:r>
        <w:rPr>
          <w:lang w:val="en-NZ" w:eastAsia="en-GB"/>
        </w:rPr>
        <w:tab/>
        <w:t>Health and Lifestyle Survey</w:t>
      </w:r>
    </w:p>
    <w:p w14:paraId="612EC0EE" w14:textId="7F522D51" w:rsidR="00137851" w:rsidRDefault="00137851" w:rsidP="00F653C0">
      <w:pPr>
        <w:tabs>
          <w:tab w:val="right" w:leader="dot" w:pos="7608"/>
        </w:tabs>
        <w:rPr>
          <w:lang w:val="en-NZ" w:eastAsia="en-GB"/>
        </w:rPr>
      </w:pPr>
      <w:r>
        <w:rPr>
          <w:lang w:val="en-NZ" w:eastAsia="en-GB"/>
        </w:rPr>
        <w:t>Lotto NZ</w:t>
      </w:r>
      <w:r>
        <w:rPr>
          <w:lang w:val="en-NZ" w:eastAsia="en-GB"/>
        </w:rPr>
        <w:tab/>
        <w:t xml:space="preserve">New Zealand </w:t>
      </w:r>
      <w:r w:rsidRPr="002F108B">
        <w:rPr>
          <w:lang w:val="en-NZ" w:eastAsia="en-GB"/>
        </w:rPr>
        <w:t>Lott</w:t>
      </w:r>
      <w:r w:rsidR="00CE2A9D">
        <w:rPr>
          <w:lang w:val="en-NZ" w:eastAsia="en-GB"/>
        </w:rPr>
        <w:t>e</w:t>
      </w:r>
      <w:r w:rsidRPr="002F108B">
        <w:rPr>
          <w:lang w:val="en-NZ" w:eastAsia="en-GB"/>
        </w:rPr>
        <w:t>ries</w:t>
      </w:r>
      <w:r>
        <w:rPr>
          <w:lang w:val="en-NZ" w:eastAsia="en-GB"/>
        </w:rPr>
        <w:t xml:space="preserve"> Commission</w:t>
      </w:r>
    </w:p>
    <w:p w14:paraId="34C50AA8" w14:textId="46368956" w:rsidR="00F653C0" w:rsidRDefault="00F653C0" w:rsidP="00F653C0">
      <w:pPr>
        <w:tabs>
          <w:tab w:val="right" w:leader="dot" w:pos="7608"/>
        </w:tabs>
        <w:rPr>
          <w:lang w:val="en-NZ" w:eastAsia="en-GB"/>
        </w:rPr>
      </w:pPr>
      <w:r>
        <w:rPr>
          <w:lang w:val="en-NZ" w:eastAsia="en-GB"/>
        </w:rPr>
        <w:t xml:space="preserve">MVE </w:t>
      </w:r>
      <w:r>
        <w:rPr>
          <w:lang w:val="en-NZ" w:eastAsia="en-GB"/>
        </w:rPr>
        <w:tab/>
        <w:t>Multi-</w:t>
      </w:r>
      <w:r w:rsidR="00391594">
        <w:rPr>
          <w:lang w:val="en-NZ" w:eastAsia="en-GB"/>
        </w:rPr>
        <w:t xml:space="preserve">Venue </w:t>
      </w:r>
      <w:r>
        <w:rPr>
          <w:lang w:val="en-NZ" w:eastAsia="en-GB"/>
        </w:rPr>
        <w:t>Exclusions</w:t>
      </w:r>
    </w:p>
    <w:p w14:paraId="43F3C1CE" w14:textId="159C528F" w:rsidR="00F653C0" w:rsidRDefault="00F653C0" w:rsidP="00F653C0">
      <w:pPr>
        <w:tabs>
          <w:tab w:val="right" w:leader="dot" w:pos="7608"/>
        </w:tabs>
        <w:rPr>
          <w:lang w:val="en-NZ" w:eastAsia="en-GB"/>
        </w:rPr>
      </w:pPr>
      <w:r>
        <w:rPr>
          <w:lang w:val="en-NZ" w:eastAsia="en-GB"/>
        </w:rPr>
        <w:t xml:space="preserve">NGS </w:t>
      </w:r>
      <w:r>
        <w:rPr>
          <w:lang w:val="en-NZ" w:eastAsia="en-GB"/>
        </w:rPr>
        <w:tab/>
        <w:t>National Gambling Study</w:t>
      </w:r>
    </w:p>
    <w:p w14:paraId="2D98A5A1" w14:textId="2917E8E1" w:rsidR="00F653C0" w:rsidRDefault="00F653C0" w:rsidP="00F653C0">
      <w:pPr>
        <w:tabs>
          <w:tab w:val="right" w:leader="dot" w:pos="7608"/>
        </w:tabs>
        <w:rPr>
          <w:lang w:val="en-NZ" w:eastAsia="en-GB"/>
        </w:rPr>
      </w:pPr>
      <w:r>
        <w:rPr>
          <w:lang w:val="en-NZ" w:eastAsia="en-GB"/>
        </w:rPr>
        <w:t xml:space="preserve">NPS </w:t>
      </w:r>
      <w:r>
        <w:rPr>
          <w:lang w:val="en-NZ" w:eastAsia="en-GB"/>
        </w:rPr>
        <w:tab/>
        <w:t>National Prevalence Survey</w:t>
      </w:r>
    </w:p>
    <w:p w14:paraId="154DCAAB" w14:textId="58F67C4E" w:rsidR="00F653C0" w:rsidRDefault="00F653C0" w:rsidP="00F653C0">
      <w:pPr>
        <w:tabs>
          <w:tab w:val="right" w:leader="dot" w:pos="7608"/>
        </w:tabs>
        <w:rPr>
          <w:lang w:val="en-NZ" w:eastAsia="en-GB"/>
        </w:rPr>
      </w:pPr>
      <w:r>
        <w:rPr>
          <w:lang w:val="en-NZ" w:eastAsia="en-GB"/>
        </w:rPr>
        <w:t xml:space="preserve">PGSI </w:t>
      </w:r>
      <w:r>
        <w:rPr>
          <w:lang w:val="en-NZ" w:eastAsia="en-GB"/>
        </w:rPr>
        <w:tab/>
        <w:t>Problem Gambling Severity Index</w:t>
      </w:r>
    </w:p>
    <w:p w14:paraId="030BAE9B" w14:textId="15EE8643" w:rsidR="00F653C0" w:rsidRDefault="00F653C0" w:rsidP="00F653C0">
      <w:pPr>
        <w:tabs>
          <w:tab w:val="right" w:leader="dot" w:pos="7608"/>
        </w:tabs>
        <w:rPr>
          <w:lang w:val="en-NZ" w:eastAsia="en-GB"/>
        </w:rPr>
      </w:pPr>
      <w:r>
        <w:rPr>
          <w:lang w:val="en-NZ" w:eastAsia="en-GB"/>
        </w:rPr>
        <w:t xml:space="preserve">SOGS-R </w:t>
      </w:r>
      <w:r>
        <w:rPr>
          <w:lang w:val="en-NZ" w:eastAsia="en-GB"/>
        </w:rPr>
        <w:tab/>
        <w:t>South Oaks Gambling Screen – Revised</w:t>
      </w:r>
    </w:p>
    <w:p w14:paraId="09F64A81" w14:textId="49D1F560" w:rsidR="00624D72" w:rsidRPr="00624D72" w:rsidRDefault="00F653C0" w:rsidP="00624D72">
      <w:pPr>
        <w:tabs>
          <w:tab w:val="right" w:leader="dot" w:pos="7608"/>
        </w:tabs>
        <w:rPr>
          <w:lang w:val="en-NZ" w:eastAsia="en-GB"/>
        </w:rPr>
      </w:pPr>
      <w:r>
        <w:rPr>
          <w:lang w:val="en-NZ" w:eastAsia="en-GB"/>
        </w:rPr>
        <w:t xml:space="preserve">TA </w:t>
      </w:r>
      <w:r>
        <w:rPr>
          <w:lang w:val="en-NZ" w:eastAsia="en-GB"/>
        </w:rPr>
        <w:tab/>
        <w:t>Territorial Authorit</w:t>
      </w:r>
      <w:r w:rsidR="006A79E2">
        <w:rPr>
          <w:lang w:val="en-NZ" w:eastAsia="en-GB"/>
        </w:rPr>
        <w:t>y</w:t>
      </w:r>
    </w:p>
    <w:p w14:paraId="5144F6A8" w14:textId="029C5D9F" w:rsidR="006A79E2" w:rsidRDefault="006A79E2" w:rsidP="00F653C0">
      <w:pPr>
        <w:tabs>
          <w:tab w:val="right" w:leader="dot" w:pos="7608"/>
        </w:tabs>
        <w:rPr>
          <w:lang w:val="en-NZ" w:eastAsia="en-GB"/>
        </w:rPr>
      </w:pPr>
      <w:r>
        <w:rPr>
          <w:lang w:val="en-NZ" w:eastAsia="en-GB"/>
        </w:rPr>
        <w:t>TAB NZ</w:t>
      </w:r>
      <w:r>
        <w:rPr>
          <w:lang w:val="en-NZ" w:eastAsia="en-GB"/>
        </w:rPr>
        <w:tab/>
        <w:t>T</w:t>
      </w:r>
      <w:r w:rsidR="000C463E">
        <w:rPr>
          <w:lang w:val="en-NZ" w:eastAsia="en-GB"/>
        </w:rPr>
        <w:t>otalisator Agency Board</w:t>
      </w:r>
      <w:r>
        <w:rPr>
          <w:lang w:val="en-NZ" w:eastAsia="en-GB"/>
        </w:rPr>
        <w:t xml:space="preserve"> New Zealand</w:t>
      </w:r>
    </w:p>
    <w:p w14:paraId="33623718" w14:textId="77777777" w:rsidR="00F653C0" w:rsidRPr="00F653C0" w:rsidRDefault="00F653C0" w:rsidP="00F653C0">
      <w:pPr>
        <w:tabs>
          <w:tab w:val="right" w:leader="dot" w:pos="7608"/>
        </w:tabs>
        <w:rPr>
          <w:lang w:val="en-NZ" w:eastAsia="en-GB"/>
        </w:rPr>
      </w:pPr>
    </w:p>
    <w:p w14:paraId="0C02D1D3" w14:textId="77777777" w:rsidR="00F653C0" w:rsidRPr="002F108B" w:rsidRDefault="00F653C0" w:rsidP="00BE490C">
      <w:pPr>
        <w:rPr>
          <w:lang w:val="en-NZ"/>
        </w:rPr>
      </w:pPr>
    </w:p>
    <w:p w14:paraId="2563F9BA" w14:textId="77777777" w:rsidR="00B06C47" w:rsidRPr="002F108B" w:rsidRDefault="00B06C47" w:rsidP="00B06C47">
      <w:pPr>
        <w:rPr>
          <w:lang w:val="en-NZ"/>
        </w:rPr>
      </w:pPr>
      <w:bookmarkStart w:id="1" w:name="_Ref65069376"/>
      <w:bookmarkStart w:id="2" w:name="_Toc65250294"/>
    </w:p>
    <w:p w14:paraId="73360065" w14:textId="77777777" w:rsidR="00B06C47" w:rsidRPr="002F108B" w:rsidRDefault="00B06C47" w:rsidP="00B06C47">
      <w:pPr>
        <w:rPr>
          <w:lang w:val="en-NZ"/>
        </w:rPr>
      </w:pPr>
    </w:p>
    <w:p w14:paraId="7349EED6" w14:textId="77777777" w:rsidR="00B06C47" w:rsidRPr="002F108B" w:rsidRDefault="00B06C47" w:rsidP="00B06C47">
      <w:pPr>
        <w:rPr>
          <w:lang w:val="en-NZ"/>
        </w:rPr>
      </w:pPr>
    </w:p>
    <w:p w14:paraId="566525D5" w14:textId="77777777" w:rsidR="00B06C47" w:rsidRPr="002F108B" w:rsidRDefault="00B06C47" w:rsidP="00B06C47">
      <w:pPr>
        <w:rPr>
          <w:lang w:val="en-NZ"/>
        </w:rPr>
      </w:pPr>
    </w:p>
    <w:p w14:paraId="3F03B4FA" w14:textId="77777777" w:rsidR="00B06C47" w:rsidRPr="002F108B" w:rsidRDefault="00B06C47" w:rsidP="00B06C47">
      <w:pPr>
        <w:rPr>
          <w:lang w:val="en-NZ"/>
        </w:rPr>
      </w:pPr>
    </w:p>
    <w:p w14:paraId="774A46D2" w14:textId="77777777" w:rsidR="00B06C47" w:rsidRPr="002F108B" w:rsidRDefault="00B06C47" w:rsidP="00B06C47">
      <w:pPr>
        <w:rPr>
          <w:lang w:val="en-NZ"/>
        </w:rPr>
      </w:pPr>
    </w:p>
    <w:p w14:paraId="499849AA" w14:textId="77777777" w:rsidR="00B06C47" w:rsidRPr="002F108B" w:rsidRDefault="00B06C47" w:rsidP="00B06C47">
      <w:pPr>
        <w:rPr>
          <w:lang w:val="en-NZ"/>
        </w:rPr>
      </w:pPr>
    </w:p>
    <w:p w14:paraId="58229CDF" w14:textId="77777777" w:rsidR="00B06C47" w:rsidRPr="002F108B" w:rsidRDefault="00B06C47" w:rsidP="00B06C47">
      <w:pPr>
        <w:rPr>
          <w:lang w:val="en-NZ"/>
        </w:rPr>
      </w:pPr>
    </w:p>
    <w:p w14:paraId="7DDFA7B1" w14:textId="77777777" w:rsidR="00B06C47" w:rsidRPr="002F108B" w:rsidRDefault="00B06C47" w:rsidP="00B06C47">
      <w:pPr>
        <w:rPr>
          <w:lang w:val="en-NZ"/>
        </w:rPr>
      </w:pPr>
    </w:p>
    <w:p w14:paraId="607EC80B" w14:textId="77777777" w:rsidR="00B06C47" w:rsidRPr="002F108B" w:rsidRDefault="00B06C47" w:rsidP="00B06C47">
      <w:pPr>
        <w:rPr>
          <w:lang w:val="en-NZ"/>
        </w:rPr>
      </w:pPr>
    </w:p>
    <w:p w14:paraId="2C4FE4FA" w14:textId="77777777" w:rsidR="00B06C47" w:rsidRPr="002F108B" w:rsidRDefault="00B06C47" w:rsidP="00B06C47">
      <w:pPr>
        <w:rPr>
          <w:lang w:val="en-NZ"/>
        </w:rPr>
      </w:pPr>
    </w:p>
    <w:p w14:paraId="5175F174" w14:textId="77777777" w:rsidR="00B06C47" w:rsidRPr="002F108B" w:rsidRDefault="00B06C47" w:rsidP="00B06C47">
      <w:pPr>
        <w:rPr>
          <w:lang w:val="en-NZ"/>
        </w:rPr>
      </w:pPr>
    </w:p>
    <w:p w14:paraId="4874627F" w14:textId="77777777" w:rsidR="00B06C47" w:rsidRPr="002F108B" w:rsidRDefault="00B06C47" w:rsidP="00B06C47">
      <w:pPr>
        <w:rPr>
          <w:lang w:val="en-NZ"/>
        </w:rPr>
      </w:pPr>
    </w:p>
    <w:p w14:paraId="1CEE0E42" w14:textId="77777777" w:rsidR="00B06C47" w:rsidRPr="002F108B" w:rsidRDefault="00B06C47" w:rsidP="00B06C47">
      <w:pPr>
        <w:rPr>
          <w:lang w:val="en-NZ"/>
        </w:rPr>
      </w:pPr>
    </w:p>
    <w:p w14:paraId="3560D3CC" w14:textId="77777777" w:rsidR="00B06C47" w:rsidRPr="002F108B" w:rsidRDefault="00B06C47" w:rsidP="00B06C47">
      <w:pPr>
        <w:rPr>
          <w:lang w:val="en-NZ"/>
        </w:rPr>
      </w:pPr>
    </w:p>
    <w:p w14:paraId="3C6F53EB" w14:textId="77777777" w:rsidR="00B06C47" w:rsidRPr="002F108B" w:rsidRDefault="00B06C47" w:rsidP="00B06C47">
      <w:pPr>
        <w:rPr>
          <w:lang w:val="en-NZ"/>
        </w:rPr>
      </w:pPr>
    </w:p>
    <w:p w14:paraId="2C649C73" w14:textId="77777777" w:rsidR="00B06C47" w:rsidRPr="002F108B" w:rsidRDefault="00B06C47" w:rsidP="00B06C47">
      <w:pPr>
        <w:rPr>
          <w:lang w:val="en-NZ"/>
        </w:rPr>
      </w:pPr>
    </w:p>
    <w:p w14:paraId="3C286097" w14:textId="6F48CE7F" w:rsidR="001635E2" w:rsidRPr="002F108B" w:rsidRDefault="001635E2" w:rsidP="001635E2">
      <w:pPr>
        <w:pStyle w:val="Heading1"/>
        <w:numPr>
          <w:ilvl w:val="0"/>
          <w:numId w:val="0"/>
        </w:numPr>
        <w:rPr>
          <w:lang w:val="en-NZ"/>
        </w:rPr>
      </w:pPr>
      <w:bookmarkStart w:id="3" w:name="_Toc76469764"/>
      <w:r w:rsidRPr="002F108B">
        <w:rPr>
          <w:lang w:val="en-NZ"/>
        </w:rPr>
        <w:lastRenderedPageBreak/>
        <w:t>Executive summary</w:t>
      </w:r>
      <w:bookmarkEnd w:id="3"/>
    </w:p>
    <w:p w14:paraId="58ECB5E9" w14:textId="5EF3E53C" w:rsidR="001635E2" w:rsidRPr="002F108B" w:rsidRDefault="001635E2" w:rsidP="001635E2">
      <w:pPr>
        <w:pStyle w:val="Heading2"/>
        <w:numPr>
          <w:ilvl w:val="0"/>
          <w:numId w:val="0"/>
        </w:numPr>
        <w:ind w:left="-9"/>
        <w:rPr>
          <w:lang w:val="en-NZ"/>
        </w:rPr>
      </w:pPr>
      <w:bookmarkStart w:id="4" w:name="_Toc68846834"/>
      <w:bookmarkStart w:id="5" w:name="_Toc69210385"/>
      <w:bookmarkStart w:id="6" w:name="_Toc69219328"/>
      <w:bookmarkStart w:id="7" w:name="_Toc69238630"/>
      <w:bookmarkStart w:id="8" w:name="_Toc69238716"/>
      <w:bookmarkStart w:id="9" w:name="_Toc69239007"/>
      <w:bookmarkStart w:id="10" w:name="_Toc69239140"/>
      <w:bookmarkStart w:id="11" w:name="_Toc69464062"/>
      <w:bookmarkStart w:id="12" w:name="_Toc69735880"/>
      <w:bookmarkStart w:id="13" w:name="_Toc69739507"/>
      <w:bookmarkStart w:id="14" w:name="_Toc69803324"/>
      <w:bookmarkStart w:id="15" w:name="_Toc69809889"/>
      <w:bookmarkStart w:id="16" w:name="_Toc72152554"/>
      <w:bookmarkStart w:id="17" w:name="_Toc72752791"/>
      <w:bookmarkStart w:id="18" w:name="_Toc76391441"/>
      <w:bookmarkStart w:id="19" w:name="_Toc76469765"/>
      <w:r w:rsidRPr="002F108B">
        <w:rPr>
          <w:lang w:val="en-NZ"/>
        </w:rPr>
        <w:t>Background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5A5C1F7" w14:textId="3C005413" w:rsidR="007A6B09" w:rsidRPr="002F108B" w:rsidRDefault="007A6B09" w:rsidP="007A6B09">
      <w:pPr>
        <w:rPr>
          <w:lang w:val="en-NZ"/>
        </w:rPr>
      </w:pPr>
      <w:r w:rsidRPr="002F108B">
        <w:rPr>
          <w:lang w:val="en-NZ"/>
        </w:rPr>
        <w:t xml:space="preserve">Under the Gambling Act 2003 (s318), the Ministry of Health (the Ministry) is required to undertake a </w:t>
      </w:r>
      <w:r w:rsidR="007C396C">
        <w:rPr>
          <w:lang w:val="en-NZ"/>
        </w:rPr>
        <w:t>N</w:t>
      </w:r>
      <w:r w:rsidRPr="002F108B">
        <w:rPr>
          <w:lang w:val="en-NZ"/>
        </w:rPr>
        <w:t xml:space="preserve">eeds </w:t>
      </w:r>
      <w:r w:rsidR="007C396C">
        <w:rPr>
          <w:lang w:val="en-NZ"/>
        </w:rPr>
        <w:t>A</w:t>
      </w:r>
      <w:r w:rsidRPr="002F108B">
        <w:rPr>
          <w:lang w:val="en-NZ"/>
        </w:rPr>
        <w:t>ssessment to inform the development of the three-year Strategy to Prevent and Minimise Gambling Harm</w:t>
      </w:r>
      <w:r w:rsidR="007C396C">
        <w:rPr>
          <w:lang w:val="en-NZ"/>
        </w:rPr>
        <w:t xml:space="preserve"> (the Strategy)</w:t>
      </w:r>
      <w:r w:rsidRPr="002F108B">
        <w:rPr>
          <w:lang w:val="en-NZ"/>
        </w:rPr>
        <w:t xml:space="preserve">. </w:t>
      </w:r>
      <w:r w:rsidR="00E91A26">
        <w:rPr>
          <w:lang w:val="en-NZ"/>
        </w:rPr>
        <w:t>In late December 20</w:t>
      </w:r>
      <w:r w:rsidR="00EB06FF">
        <w:rPr>
          <w:lang w:val="en-NZ"/>
        </w:rPr>
        <w:t>20</w:t>
      </w:r>
      <w:r w:rsidR="00E91A26">
        <w:rPr>
          <w:lang w:val="en-NZ"/>
        </w:rPr>
        <w:t>, t</w:t>
      </w:r>
      <w:r w:rsidRPr="002F108B">
        <w:rPr>
          <w:lang w:val="en-NZ"/>
        </w:rPr>
        <w:t xml:space="preserve">he Ministry commissioned Malatest International to conduct the Gambling Harm Needs Assessment 2021 to inform the Strategy </w:t>
      </w:r>
      <w:r w:rsidR="007C396C">
        <w:rPr>
          <w:lang w:val="en-NZ"/>
        </w:rPr>
        <w:t>for 2</w:t>
      </w:r>
      <w:r w:rsidRPr="002F108B">
        <w:rPr>
          <w:lang w:val="en-NZ"/>
        </w:rPr>
        <w:t>022/23-2024/25.</w:t>
      </w:r>
    </w:p>
    <w:p w14:paraId="730F1D55" w14:textId="191F3A2C" w:rsidR="007A6B09" w:rsidRPr="002F108B" w:rsidRDefault="007A6B09" w:rsidP="007A6B09">
      <w:pPr>
        <w:rPr>
          <w:lang w:val="en-NZ"/>
        </w:rPr>
      </w:pPr>
      <w:r w:rsidRPr="002F108B">
        <w:rPr>
          <w:lang w:val="en-NZ"/>
        </w:rPr>
        <w:t xml:space="preserve">As with previous years, the </w:t>
      </w:r>
      <w:r w:rsidR="007C396C">
        <w:rPr>
          <w:lang w:val="en-NZ"/>
        </w:rPr>
        <w:t>N</w:t>
      </w:r>
      <w:r w:rsidRPr="002F108B">
        <w:rPr>
          <w:lang w:val="en-NZ"/>
        </w:rPr>
        <w:t xml:space="preserve">eeds </w:t>
      </w:r>
      <w:r w:rsidR="007C396C">
        <w:rPr>
          <w:lang w:val="en-NZ"/>
        </w:rPr>
        <w:t>A</w:t>
      </w:r>
      <w:r w:rsidRPr="002F108B">
        <w:rPr>
          <w:lang w:val="en-NZ"/>
        </w:rPr>
        <w:t xml:space="preserve">ssessment is purposed to: </w:t>
      </w:r>
    </w:p>
    <w:p w14:paraId="25E548C8" w14:textId="1CD192E0" w:rsidR="007A6B09" w:rsidRPr="002F108B" w:rsidRDefault="007A6B09" w:rsidP="007A6B09">
      <w:pPr>
        <w:pStyle w:val="Bulletpointindented"/>
        <w:rPr>
          <w:lang w:val="en-NZ"/>
        </w:rPr>
      </w:pPr>
      <w:r w:rsidRPr="002F108B">
        <w:rPr>
          <w:lang w:val="en-NZ"/>
        </w:rPr>
        <w:t xml:space="preserve">Identify changes in the evidence since the last </w:t>
      </w:r>
      <w:r w:rsidR="007C396C">
        <w:rPr>
          <w:lang w:val="en-NZ"/>
        </w:rPr>
        <w:t>N</w:t>
      </w:r>
      <w:r w:rsidRPr="002F108B">
        <w:rPr>
          <w:lang w:val="en-NZ"/>
        </w:rPr>
        <w:t xml:space="preserve">eeds </w:t>
      </w:r>
      <w:r w:rsidR="007C396C">
        <w:rPr>
          <w:lang w:val="en-NZ"/>
        </w:rPr>
        <w:t>A</w:t>
      </w:r>
      <w:r w:rsidRPr="002F108B">
        <w:rPr>
          <w:lang w:val="en-NZ"/>
        </w:rPr>
        <w:t>ssessment completed in 2018</w:t>
      </w:r>
    </w:p>
    <w:p w14:paraId="6825E0B8" w14:textId="5E0772E3" w:rsidR="007A6B09" w:rsidRDefault="007A6B09" w:rsidP="007A6B09">
      <w:pPr>
        <w:pStyle w:val="Bulletpointindented"/>
        <w:rPr>
          <w:lang w:val="en-NZ"/>
        </w:rPr>
      </w:pPr>
      <w:r w:rsidRPr="002F108B">
        <w:rPr>
          <w:lang w:val="en-NZ"/>
        </w:rPr>
        <w:t>Identify gaps in service delivery.</w:t>
      </w:r>
    </w:p>
    <w:p w14:paraId="5ECF648D" w14:textId="1C33CDDE" w:rsidR="007C396C" w:rsidRPr="002F108B" w:rsidRDefault="007C396C" w:rsidP="007C396C">
      <w:pPr>
        <w:rPr>
          <w:lang w:val="en-NZ"/>
        </w:rPr>
      </w:pPr>
      <w:r>
        <w:t xml:space="preserve">An additional requirement of the 2021 </w:t>
      </w:r>
      <w:r w:rsidR="00E44DA6">
        <w:t>N</w:t>
      </w:r>
      <w:r>
        <w:t xml:space="preserve">eeds </w:t>
      </w:r>
      <w:r w:rsidR="00E44DA6">
        <w:t>A</w:t>
      </w:r>
      <w:r>
        <w:t>ssessment was to s</w:t>
      </w:r>
      <w:r w:rsidRPr="008A605E">
        <w:t xml:space="preserve">ummarise the Ministry’s progress across the 11 </w:t>
      </w:r>
      <w:r w:rsidR="001D6A9F">
        <w:t>Objective</w:t>
      </w:r>
      <w:r w:rsidRPr="008A605E">
        <w:t>s set out in the current Strategy 2019/20-2021/22</w:t>
      </w:r>
      <w:r>
        <w:t>.</w:t>
      </w:r>
    </w:p>
    <w:p w14:paraId="6D47C75B" w14:textId="773D5CC6" w:rsidR="001635E2" w:rsidRDefault="000155DF" w:rsidP="000155DF">
      <w:pPr>
        <w:pStyle w:val="Heading2"/>
        <w:numPr>
          <w:ilvl w:val="0"/>
          <w:numId w:val="0"/>
        </w:numPr>
        <w:ind w:left="-9"/>
      </w:pPr>
      <w:bookmarkStart w:id="20" w:name="_Toc69219329"/>
      <w:bookmarkStart w:id="21" w:name="_Toc69238631"/>
      <w:bookmarkStart w:id="22" w:name="_Toc69238717"/>
      <w:bookmarkStart w:id="23" w:name="_Toc69239008"/>
      <w:bookmarkStart w:id="24" w:name="_Toc69239141"/>
      <w:bookmarkStart w:id="25" w:name="_Toc69464063"/>
      <w:bookmarkStart w:id="26" w:name="_Toc69735881"/>
      <w:bookmarkStart w:id="27" w:name="_Toc69739508"/>
      <w:bookmarkStart w:id="28" w:name="_Toc69803325"/>
      <w:bookmarkStart w:id="29" w:name="_Toc69809890"/>
      <w:bookmarkStart w:id="30" w:name="_Toc72152555"/>
      <w:bookmarkStart w:id="31" w:name="_Toc72752792"/>
      <w:bookmarkStart w:id="32" w:name="_Toc76391442"/>
      <w:bookmarkStart w:id="33" w:name="_Toc76469766"/>
      <w:r>
        <w:t>Method</w:t>
      </w:r>
      <w:bookmarkEnd w:id="20"/>
      <w:bookmarkEnd w:id="21"/>
      <w:bookmarkEnd w:id="22"/>
      <w:bookmarkEnd w:id="23"/>
      <w:bookmarkEnd w:id="24"/>
      <w:r w:rsidR="0056529C">
        <w:t>s</w:t>
      </w:r>
      <w:bookmarkEnd w:id="25"/>
      <w:bookmarkEnd w:id="26"/>
      <w:bookmarkEnd w:id="27"/>
      <w:bookmarkEnd w:id="28"/>
      <w:bookmarkEnd w:id="29"/>
      <w:bookmarkEnd w:id="30"/>
      <w:bookmarkEnd w:id="31"/>
      <w:bookmarkEnd w:id="32"/>
      <w:bookmarkEnd w:id="33"/>
    </w:p>
    <w:p w14:paraId="2AA65A64" w14:textId="435DF161" w:rsidR="00A40A50" w:rsidRDefault="005E7673" w:rsidP="00A40A50">
      <w:pPr>
        <w:rPr>
          <w:lang w:val="en-US"/>
        </w:rPr>
      </w:pPr>
      <w:r>
        <w:rPr>
          <w:lang w:val="en-US"/>
        </w:rPr>
        <w:t xml:space="preserve">Methods used to inform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Pr>
          <w:lang w:val="en-US"/>
        </w:rPr>
        <w:t xml:space="preserve"> included:</w:t>
      </w:r>
    </w:p>
    <w:p w14:paraId="342DBCF6" w14:textId="4C904566" w:rsidR="00A40A50" w:rsidRPr="002F108B" w:rsidRDefault="00A40A50" w:rsidP="00A40A50">
      <w:pPr>
        <w:spacing w:before="240"/>
        <w:rPr>
          <w:rFonts w:eastAsia="Acumin Pro"/>
          <w:lang w:val="en-NZ"/>
        </w:rPr>
      </w:pPr>
      <w:r>
        <w:rPr>
          <w:b/>
          <w:bCs/>
          <w:lang w:val="en-US"/>
        </w:rPr>
        <w:t xml:space="preserve">Literature review: </w:t>
      </w:r>
      <w:r w:rsidRPr="00A40A50">
        <w:rPr>
          <w:lang w:val="en-NZ"/>
        </w:rPr>
        <w:t xml:space="preserve">This </w:t>
      </w:r>
      <w:r w:rsidR="007C396C">
        <w:rPr>
          <w:lang w:val="en-NZ"/>
        </w:rPr>
        <w:t>N</w:t>
      </w:r>
      <w:r w:rsidRPr="00A40A50">
        <w:rPr>
          <w:lang w:val="en-NZ"/>
        </w:rPr>
        <w:t xml:space="preserve">eeds </w:t>
      </w:r>
      <w:r w:rsidR="007C396C">
        <w:rPr>
          <w:lang w:val="en-NZ"/>
        </w:rPr>
        <w:t>A</w:t>
      </w:r>
      <w:r w:rsidRPr="00A40A50">
        <w:rPr>
          <w:lang w:val="en-NZ"/>
        </w:rPr>
        <w:t xml:space="preserve">ssessment provides an updated review of the literature since the last </w:t>
      </w:r>
      <w:r w:rsidR="000A4DD7">
        <w:rPr>
          <w:lang w:val="en-NZ"/>
        </w:rPr>
        <w:t>N</w:t>
      </w:r>
      <w:r w:rsidRPr="00A40A50">
        <w:rPr>
          <w:lang w:val="en-NZ"/>
        </w:rPr>
        <w:t xml:space="preserve">eeds </w:t>
      </w:r>
      <w:r w:rsidR="000A4DD7">
        <w:rPr>
          <w:lang w:val="en-NZ"/>
        </w:rPr>
        <w:t>A</w:t>
      </w:r>
      <w:r w:rsidRPr="00A40A50">
        <w:rPr>
          <w:lang w:val="en-NZ"/>
        </w:rPr>
        <w:t xml:space="preserve">ssessment in 2018. It focuses on literature published between March 2018 and February 2021 relevant to gambling </w:t>
      </w:r>
      <w:r w:rsidRPr="00A40A50">
        <w:rPr>
          <w:rFonts w:eastAsia="Acumin Pro"/>
          <w:lang w:val="en-NZ"/>
        </w:rPr>
        <w:t>participation</w:t>
      </w:r>
      <w:r w:rsidRPr="00A40A50">
        <w:rPr>
          <w:lang w:val="en-NZ"/>
        </w:rPr>
        <w:t>, access to different gambling forms (including online gambling and changing technologies) and expenditure. It also examines recent evidence relating to harmful gambling prevalence,</w:t>
      </w:r>
      <w:r w:rsidRPr="00A40A50">
        <w:rPr>
          <w:rFonts w:eastAsia="Acumin Pro"/>
          <w:lang w:val="en-NZ"/>
        </w:rPr>
        <w:t xml:space="preserve"> </w:t>
      </w:r>
      <w:r w:rsidRPr="00A40A50">
        <w:rPr>
          <w:lang w:val="en-NZ"/>
        </w:rPr>
        <w:t>motivations,</w:t>
      </w:r>
      <w:r w:rsidRPr="00A40A50">
        <w:rPr>
          <w:rFonts w:eastAsia="Acumin Pro"/>
          <w:lang w:val="en-NZ"/>
        </w:rPr>
        <w:t xml:space="preserve"> risks, provider services and clients and gaps in services.</w:t>
      </w:r>
      <w:r w:rsidRPr="002F108B">
        <w:rPr>
          <w:rFonts w:eastAsia="Acumin Pro"/>
          <w:lang w:val="en-NZ"/>
        </w:rPr>
        <w:t xml:space="preserve"> </w:t>
      </w:r>
    </w:p>
    <w:p w14:paraId="08677248" w14:textId="7BA32BC5" w:rsidR="00A40A50" w:rsidRDefault="00D13FB2" w:rsidP="00A40A50">
      <w:pPr>
        <w:rPr>
          <w:lang w:val="en-US"/>
        </w:rPr>
      </w:pPr>
      <w:r>
        <w:rPr>
          <w:b/>
          <w:bCs/>
          <w:lang w:val="en-US"/>
        </w:rPr>
        <w:t xml:space="preserve">Interviews and focus groups: </w:t>
      </w:r>
      <w:r w:rsidR="009477D3">
        <w:rPr>
          <w:lang w:val="en-US"/>
        </w:rPr>
        <w:t xml:space="preserve">Ten </w:t>
      </w:r>
      <w:r>
        <w:rPr>
          <w:lang w:val="en-US"/>
        </w:rPr>
        <w:t>individual and 1</w:t>
      </w:r>
      <w:r w:rsidR="00543D3F">
        <w:rPr>
          <w:lang w:val="en-US"/>
        </w:rPr>
        <w:t>4</w:t>
      </w:r>
      <w:r>
        <w:rPr>
          <w:lang w:val="en-US"/>
        </w:rPr>
        <w:t xml:space="preserve"> group interviews </w:t>
      </w:r>
      <w:r w:rsidR="00C46F71">
        <w:rPr>
          <w:lang w:val="en-US"/>
        </w:rPr>
        <w:t xml:space="preserve">were conducted </w:t>
      </w:r>
      <w:r>
        <w:rPr>
          <w:lang w:val="en-US"/>
        </w:rPr>
        <w:t xml:space="preserve">with a total of </w:t>
      </w:r>
      <w:r w:rsidR="009477D3">
        <w:rPr>
          <w:lang w:val="en-US"/>
        </w:rPr>
        <w:t xml:space="preserve">67 </w:t>
      </w:r>
      <w:r w:rsidR="00EA2606">
        <w:rPr>
          <w:lang w:val="en-US"/>
        </w:rPr>
        <w:t>representatives</w:t>
      </w:r>
      <w:r>
        <w:rPr>
          <w:lang w:val="en-US"/>
        </w:rPr>
        <w:t xml:space="preserve"> from </w:t>
      </w:r>
      <w:r w:rsidR="00EA2606">
        <w:rPr>
          <w:lang w:val="en-US"/>
        </w:rPr>
        <w:t>gambling</w:t>
      </w:r>
      <w:r w:rsidR="00C93B9D">
        <w:rPr>
          <w:lang w:val="en-US"/>
        </w:rPr>
        <w:t xml:space="preserve"> agencies</w:t>
      </w:r>
      <w:r w:rsidR="00EA2606">
        <w:rPr>
          <w:lang w:val="en-US"/>
        </w:rPr>
        <w:t xml:space="preserve"> (</w:t>
      </w:r>
      <w:r w:rsidR="00426D96">
        <w:rPr>
          <w:lang w:val="en-US"/>
        </w:rPr>
        <w:t xml:space="preserve">government agencies, research institutions and gambling </w:t>
      </w:r>
      <w:r w:rsidR="00976AA2">
        <w:rPr>
          <w:lang w:val="en-US"/>
        </w:rPr>
        <w:t>harm service</w:t>
      </w:r>
      <w:r w:rsidR="00426D96">
        <w:rPr>
          <w:lang w:val="en-US"/>
        </w:rPr>
        <w:t>s)</w:t>
      </w:r>
      <w:r w:rsidR="00C93B9D">
        <w:rPr>
          <w:lang w:val="en-US"/>
        </w:rPr>
        <w:t>,</w:t>
      </w:r>
      <w:r w:rsidR="005816F1">
        <w:rPr>
          <w:lang w:val="en-US"/>
        </w:rPr>
        <w:t xml:space="preserve"> the gambling industry (</w:t>
      </w:r>
      <w:r w:rsidR="008B3862">
        <w:rPr>
          <w:lang w:val="en-US"/>
        </w:rPr>
        <w:t>Class 4</w:t>
      </w:r>
      <w:r w:rsidR="00EF46B2">
        <w:rPr>
          <w:lang w:val="en-US"/>
        </w:rPr>
        <w:t xml:space="preserve"> societies, </w:t>
      </w:r>
      <w:r w:rsidR="009477D3">
        <w:rPr>
          <w:lang w:val="en-US"/>
        </w:rPr>
        <w:t xml:space="preserve">Lotto NZ, </w:t>
      </w:r>
      <w:r w:rsidR="00F37434">
        <w:rPr>
          <w:lang w:val="en-US"/>
        </w:rPr>
        <w:t>hospitality</w:t>
      </w:r>
      <w:r w:rsidR="00B951A7">
        <w:rPr>
          <w:lang w:val="en-US"/>
        </w:rPr>
        <w:t xml:space="preserve"> and </w:t>
      </w:r>
      <w:r w:rsidR="00EF46B2">
        <w:rPr>
          <w:lang w:val="en-US"/>
        </w:rPr>
        <w:t>casino</w:t>
      </w:r>
      <w:r w:rsidR="0065590F">
        <w:rPr>
          <w:lang w:val="en-US"/>
        </w:rPr>
        <w:t>s)</w:t>
      </w:r>
      <w:r w:rsidR="0030206E">
        <w:rPr>
          <w:lang w:val="en-US"/>
        </w:rPr>
        <w:t>,</w:t>
      </w:r>
      <w:r w:rsidR="00D81E6D">
        <w:rPr>
          <w:lang w:val="en-US"/>
        </w:rPr>
        <w:t xml:space="preserve"> </w:t>
      </w:r>
      <w:r w:rsidR="005734FC">
        <w:rPr>
          <w:lang w:val="en-US"/>
        </w:rPr>
        <w:t xml:space="preserve">gambling harm service providers (public health and/or clinical intervention), </w:t>
      </w:r>
      <w:r w:rsidR="003C5AAC">
        <w:rPr>
          <w:lang w:val="en-US"/>
        </w:rPr>
        <w:t>consumers and lived experience</w:t>
      </w:r>
      <w:r w:rsidR="002D083C">
        <w:rPr>
          <w:lang w:val="en-US"/>
        </w:rPr>
        <w:t xml:space="preserve"> representatives</w:t>
      </w:r>
      <w:r w:rsidR="00AC0A76">
        <w:rPr>
          <w:lang w:val="en-US"/>
        </w:rPr>
        <w:t xml:space="preserve"> (</w:t>
      </w:r>
      <w:r w:rsidR="001854E3">
        <w:rPr>
          <w:lang w:val="en-US"/>
        </w:rPr>
        <w:t>current and historical harmful gambling experiences)</w:t>
      </w:r>
      <w:r w:rsidR="00C46F71">
        <w:rPr>
          <w:lang w:val="en-US"/>
        </w:rPr>
        <w:t>.</w:t>
      </w:r>
    </w:p>
    <w:p w14:paraId="3649EB24" w14:textId="0D13E5FD" w:rsidR="00C46F71" w:rsidRDefault="00C46F71" w:rsidP="00A40A50">
      <w:pPr>
        <w:rPr>
          <w:lang w:val="en-NZ"/>
        </w:rPr>
      </w:pPr>
      <w:r>
        <w:rPr>
          <w:b/>
          <w:bCs/>
          <w:lang w:val="en-US"/>
        </w:rPr>
        <w:t xml:space="preserve">Online surveys: </w:t>
      </w:r>
      <w:r>
        <w:rPr>
          <w:lang w:val="en-US"/>
        </w:rPr>
        <w:t xml:space="preserve">The </w:t>
      </w:r>
      <w:r w:rsidR="00CA4D6E">
        <w:rPr>
          <w:lang w:val="en-US"/>
        </w:rPr>
        <w:t>N</w:t>
      </w:r>
      <w:r>
        <w:rPr>
          <w:lang w:val="en-US"/>
        </w:rPr>
        <w:t xml:space="preserve">eeds </w:t>
      </w:r>
      <w:r w:rsidR="00CA4D6E">
        <w:rPr>
          <w:lang w:val="en-US"/>
        </w:rPr>
        <w:t>A</w:t>
      </w:r>
      <w:r>
        <w:rPr>
          <w:lang w:val="en-US"/>
        </w:rPr>
        <w:t xml:space="preserve">ssessment was expected to replicate the </w:t>
      </w:r>
      <w:r w:rsidR="008B6CE9">
        <w:rPr>
          <w:lang w:val="en-NZ"/>
        </w:rPr>
        <w:t xml:space="preserve">online workforce and consumer surveys conducted in the 2018 </w:t>
      </w:r>
      <w:r w:rsidR="00CA4D6E">
        <w:rPr>
          <w:lang w:val="en-NZ"/>
        </w:rPr>
        <w:t>N</w:t>
      </w:r>
      <w:r w:rsidR="008B6CE9">
        <w:rPr>
          <w:lang w:val="en-NZ"/>
        </w:rPr>
        <w:t xml:space="preserve">eeds </w:t>
      </w:r>
      <w:r w:rsidR="00CA4D6E">
        <w:rPr>
          <w:lang w:val="en-NZ"/>
        </w:rPr>
        <w:t>A</w:t>
      </w:r>
      <w:r w:rsidR="008B6CE9">
        <w:rPr>
          <w:lang w:val="en-NZ"/>
        </w:rPr>
        <w:t xml:space="preserve">ssessment. </w:t>
      </w:r>
    </w:p>
    <w:p w14:paraId="468BAD12" w14:textId="5B20D0A2" w:rsidR="008E7962" w:rsidRDefault="008E7962" w:rsidP="008E7962">
      <w:pPr>
        <w:pStyle w:val="Bulletpointindented"/>
        <w:rPr>
          <w:lang w:val="en-NZ"/>
        </w:rPr>
      </w:pPr>
      <w:r>
        <w:rPr>
          <w:b/>
          <w:bCs/>
          <w:lang w:val="en-NZ"/>
        </w:rPr>
        <w:t xml:space="preserve">Workforce survey: </w:t>
      </w:r>
      <w:r>
        <w:rPr>
          <w:lang w:val="en-NZ"/>
        </w:rPr>
        <w:t xml:space="preserve">A total of 67 responses were received for the workforce survey. </w:t>
      </w:r>
    </w:p>
    <w:p w14:paraId="4CC37958" w14:textId="1A235DF4" w:rsidR="008E7962" w:rsidRPr="00C46F71" w:rsidRDefault="008E7962" w:rsidP="008E7962">
      <w:pPr>
        <w:pStyle w:val="Bulletpointindented"/>
      </w:pPr>
      <w:r>
        <w:rPr>
          <w:b/>
          <w:bCs/>
          <w:lang w:val="en-NZ"/>
        </w:rPr>
        <w:t xml:space="preserve">Consumer survey: </w:t>
      </w:r>
      <w:r>
        <w:rPr>
          <w:lang w:val="en-NZ"/>
        </w:rPr>
        <w:t xml:space="preserve">A total of 12 responses were received for the consumer survey. </w:t>
      </w:r>
      <w:r w:rsidRPr="00DB1D27">
        <w:rPr>
          <w:lang w:val="en-NZ"/>
        </w:rPr>
        <w:t>Due to a low response</w:t>
      </w:r>
      <w:r w:rsidR="00CD3D72">
        <w:rPr>
          <w:lang w:val="en-NZ"/>
        </w:rPr>
        <w:t xml:space="preserve"> </w:t>
      </w:r>
      <w:r w:rsidRPr="00DB1D27">
        <w:rPr>
          <w:lang w:val="en-NZ"/>
        </w:rPr>
        <w:t>rate</w:t>
      </w:r>
      <w:r w:rsidR="00CD3D72">
        <w:rPr>
          <w:lang w:val="en-NZ"/>
        </w:rPr>
        <w:t>,</w:t>
      </w:r>
      <w:r w:rsidRPr="00DB1D27">
        <w:rPr>
          <w:lang w:val="en-NZ"/>
        </w:rPr>
        <w:t xml:space="preserve"> consumer survey responses were not analysed or included in the </w:t>
      </w:r>
      <w:r w:rsidR="00CA4D6E">
        <w:rPr>
          <w:lang w:val="en-NZ"/>
        </w:rPr>
        <w:t>N</w:t>
      </w:r>
      <w:r w:rsidRPr="00DB1D27">
        <w:rPr>
          <w:lang w:val="en-NZ"/>
        </w:rPr>
        <w:t xml:space="preserve">eeds </w:t>
      </w:r>
      <w:r w:rsidR="00CA4D6E">
        <w:rPr>
          <w:lang w:val="en-NZ"/>
        </w:rPr>
        <w:t>A</w:t>
      </w:r>
      <w:r w:rsidRPr="00DB1D27">
        <w:rPr>
          <w:lang w:val="en-NZ"/>
        </w:rPr>
        <w:t xml:space="preserve">ssessment. However, </w:t>
      </w:r>
      <w:r w:rsidR="00B60B67">
        <w:rPr>
          <w:lang w:val="en-NZ"/>
        </w:rPr>
        <w:t>open-text qualitative survey feedback was included in analysis and</w:t>
      </w:r>
      <w:r w:rsidR="00B60B67" w:rsidRPr="00DB1D27">
        <w:rPr>
          <w:lang w:val="en-NZ"/>
        </w:rPr>
        <w:t xml:space="preserve"> </w:t>
      </w:r>
      <w:r w:rsidRPr="00DB1D27">
        <w:rPr>
          <w:lang w:val="en-NZ"/>
        </w:rPr>
        <w:t>detailed consumer and lived experience representation w</w:t>
      </w:r>
      <w:r w:rsidR="00300C39">
        <w:rPr>
          <w:lang w:val="en-NZ"/>
        </w:rPr>
        <w:t>ere</w:t>
      </w:r>
      <w:r w:rsidRPr="00DB1D27">
        <w:rPr>
          <w:lang w:val="en-NZ"/>
        </w:rPr>
        <w:t xml:space="preserve"> sought through the qualitative in-depth interviews.</w:t>
      </w:r>
    </w:p>
    <w:p w14:paraId="0B238952" w14:textId="66841DEA" w:rsidR="008E7962" w:rsidRDefault="008E7962" w:rsidP="008E7962">
      <w:pPr>
        <w:rPr>
          <w:lang w:val="en-US"/>
        </w:rPr>
      </w:pPr>
      <w:r>
        <w:rPr>
          <w:lang w:val="en-US"/>
        </w:rPr>
        <w:t xml:space="preserve">Ethics approval for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008E0D60">
        <w:rPr>
          <w:lang w:val="en-US"/>
        </w:rPr>
        <w:t xml:space="preserve"> </w:t>
      </w:r>
      <w:r>
        <w:rPr>
          <w:lang w:val="en-US"/>
        </w:rPr>
        <w:t>was received from the New Zealand Ethics Committee on 15 Feb</w:t>
      </w:r>
      <w:r w:rsidR="00562FED">
        <w:rPr>
          <w:lang w:val="en-US"/>
        </w:rPr>
        <w:t>ru</w:t>
      </w:r>
      <w:r>
        <w:rPr>
          <w:lang w:val="en-US"/>
        </w:rPr>
        <w:t>ary 2021</w:t>
      </w:r>
      <w:r w:rsidR="0061241A">
        <w:rPr>
          <w:lang w:val="en-US"/>
        </w:rPr>
        <w:t xml:space="preserve"> for consumer engagement</w:t>
      </w:r>
      <w:r>
        <w:rPr>
          <w:lang w:val="en-US"/>
        </w:rPr>
        <w:t>.</w:t>
      </w:r>
    </w:p>
    <w:p w14:paraId="147389BD" w14:textId="159ACB79" w:rsidR="00752DA5" w:rsidRDefault="00DF1C73" w:rsidP="00752DA5">
      <w:pPr>
        <w:pStyle w:val="Heading2"/>
        <w:numPr>
          <w:ilvl w:val="0"/>
          <w:numId w:val="0"/>
        </w:numPr>
        <w:ind w:left="-9"/>
      </w:pPr>
      <w:bookmarkStart w:id="34" w:name="_Toc69739509"/>
      <w:bookmarkStart w:id="35" w:name="_Toc69803326"/>
      <w:bookmarkStart w:id="36" w:name="_Toc69809891"/>
      <w:bookmarkStart w:id="37" w:name="_Toc72152556"/>
      <w:bookmarkStart w:id="38" w:name="_Toc72752793"/>
      <w:bookmarkStart w:id="39" w:name="_Toc76391443"/>
      <w:bookmarkStart w:id="40" w:name="_Toc76469767"/>
      <w:r>
        <w:lastRenderedPageBreak/>
        <w:t>What does the evidence tell us?</w:t>
      </w:r>
      <w:bookmarkEnd w:id="34"/>
      <w:bookmarkEnd w:id="35"/>
      <w:bookmarkEnd w:id="36"/>
      <w:bookmarkEnd w:id="37"/>
      <w:bookmarkEnd w:id="38"/>
      <w:bookmarkEnd w:id="39"/>
      <w:bookmarkEnd w:id="40"/>
    </w:p>
    <w:p w14:paraId="5A310227" w14:textId="3DD31868" w:rsidR="0026514C" w:rsidRPr="004714F7" w:rsidRDefault="0026514C" w:rsidP="0026514C">
      <w:r>
        <w:rPr>
          <w:b/>
          <w:bCs/>
          <w:lang w:val="en-NZ"/>
        </w:rPr>
        <w:t>M</w:t>
      </w:r>
      <w:r w:rsidRPr="00FD1CE1">
        <w:rPr>
          <w:b/>
          <w:bCs/>
          <w:lang w:val="en-NZ"/>
        </w:rPr>
        <w:t>ost people gamble for leisure and recreation.</w:t>
      </w:r>
      <w:r w:rsidRPr="00347501">
        <w:rPr>
          <w:lang w:val="en-NZ"/>
        </w:rPr>
        <w:t xml:space="preserve"> Harmful gambling affects a small proportion of those participating and can have detrimental effects on individuals, families and wider communities. Although gambling participation has decreased for the general population, harmful gambling prevalence has not changed.</w:t>
      </w:r>
    </w:p>
    <w:p w14:paraId="252C8928" w14:textId="1CC38BD2" w:rsidR="0026514C" w:rsidRPr="00E24C75" w:rsidRDefault="0026514C" w:rsidP="0026514C">
      <w:r>
        <w:rPr>
          <w:b/>
          <w:bCs/>
        </w:rPr>
        <w:t>A</w:t>
      </w:r>
      <w:r w:rsidRPr="00144D9C">
        <w:rPr>
          <w:b/>
          <w:bCs/>
        </w:rPr>
        <w:t>ll forms of gambling</w:t>
      </w:r>
      <w:r w:rsidRPr="00E24C75">
        <w:t xml:space="preserve"> </w:t>
      </w:r>
      <w:r>
        <w:rPr>
          <w:b/>
          <w:bCs/>
        </w:rPr>
        <w:t>remain</w:t>
      </w:r>
      <w:r w:rsidRPr="00FD23F6">
        <w:rPr>
          <w:b/>
          <w:bCs/>
        </w:rPr>
        <w:t xml:space="preserve"> widely accessible</w:t>
      </w:r>
      <w:r w:rsidRPr="00E24C75">
        <w:t xml:space="preserve"> - COVID-19 lockdowns led to increased national and offshore online gambling participation. Class 4 </w:t>
      </w:r>
      <w:r w:rsidR="00363259" w:rsidRPr="00F128CC">
        <w:t>Electronic Gaming Machines (“</w:t>
      </w:r>
      <w:r w:rsidRPr="00E24C75">
        <w:t>EGMs</w:t>
      </w:r>
      <w:r w:rsidR="00363259" w:rsidRPr="00F128CC">
        <w:t>”, also known as “pokie machines”</w:t>
      </w:r>
      <w:r w:rsidR="00D106FD">
        <w:t xml:space="preserve"> and “non-casino gaming machines”</w:t>
      </w:r>
      <w:r w:rsidR="00363259" w:rsidRPr="00F128CC">
        <w:t xml:space="preserve">) </w:t>
      </w:r>
      <w:r w:rsidRPr="00E24C75">
        <w:t>remain the most frequently cited form of gambling that causes harm</w:t>
      </w:r>
      <w:r w:rsidR="00D81E6D">
        <w:t>,</w:t>
      </w:r>
      <w:r w:rsidRPr="00E24C75">
        <w:t xml:space="preserve"> </w:t>
      </w:r>
      <w:r w:rsidR="006B1593">
        <w:t>cited</w:t>
      </w:r>
      <w:r w:rsidRPr="00E24C75">
        <w:t xml:space="preserve"> by both gambler</w:t>
      </w:r>
      <w:r w:rsidR="006B1593">
        <w:t>s</w:t>
      </w:r>
      <w:r w:rsidRPr="00E24C75">
        <w:t xml:space="preserve"> and family/affected other clients. Class 4 venues remain inequitably distributed in areas of high deprivation. Evidence </w:t>
      </w:r>
      <w:r w:rsidR="00AE4714">
        <w:t>is mixed about</w:t>
      </w:r>
      <w:r w:rsidRPr="00E24C75">
        <w:t xml:space="preserve"> the effectiveness of policies restricting access to Class 4 EGMs.</w:t>
      </w:r>
    </w:p>
    <w:p w14:paraId="3A8215D5" w14:textId="08BEC718" w:rsidR="008C0501" w:rsidRDefault="0026514C" w:rsidP="0026514C">
      <w:pPr>
        <w:rPr>
          <w:u w:val="single"/>
          <w:lang w:val="en-NZ"/>
        </w:rPr>
      </w:pPr>
      <w:r w:rsidRPr="002F108B">
        <w:rPr>
          <w:lang w:val="en-NZ"/>
        </w:rPr>
        <w:t xml:space="preserve">Access to online gambling </w:t>
      </w:r>
      <w:r w:rsidRPr="002F108B">
        <w:rPr>
          <w:u w:val="single"/>
          <w:lang w:val="en-NZ"/>
        </w:rPr>
        <w:t>for money</w:t>
      </w:r>
      <w:r w:rsidRPr="002F108B">
        <w:rPr>
          <w:lang w:val="en-NZ"/>
        </w:rPr>
        <w:t xml:space="preserve"> has increased.</w:t>
      </w:r>
      <w:r>
        <w:rPr>
          <w:lang w:val="en-NZ"/>
        </w:rPr>
        <w:t xml:space="preserve"> </w:t>
      </w:r>
      <w:r w:rsidRPr="002F108B">
        <w:rPr>
          <w:lang w:val="en-NZ"/>
        </w:rPr>
        <w:t>Offshore online gambling participation has increased slightly.</w:t>
      </w:r>
      <w:r>
        <w:rPr>
          <w:lang w:val="en-NZ"/>
        </w:rPr>
        <w:t xml:space="preserve"> </w:t>
      </w:r>
      <w:r w:rsidRPr="002F108B">
        <w:rPr>
          <w:lang w:val="en-NZ"/>
        </w:rPr>
        <w:t xml:space="preserve">New Zealanders are accessing </w:t>
      </w:r>
      <w:r w:rsidR="00451777">
        <w:rPr>
          <w:lang w:val="en-NZ"/>
        </w:rPr>
        <w:t xml:space="preserve">‘free to play’ </w:t>
      </w:r>
      <w:r w:rsidRPr="002F108B">
        <w:rPr>
          <w:lang w:val="en-NZ"/>
        </w:rPr>
        <w:t>online gambling</w:t>
      </w:r>
      <w:r>
        <w:rPr>
          <w:lang w:val="en-NZ"/>
        </w:rPr>
        <w:t>,</w:t>
      </w:r>
      <w:r w:rsidRPr="002F108B">
        <w:rPr>
          <w:lang w:val="en-NZ"/>
        </w:rPr>
        <w:t xml:space="preserve"> </w:t>
      </w:r>
      <w:r w:rsidR="00451777">
        <w:rPr>
          <w:lang w:val="en-NZ"/>
        </w:rPr>
        <w:t xml:space="preserve">(i.e. </w:t>
      </w:r>
      <w:r w:rsidRPr="002F108B">
        <w:rPr>
          <w:u w:val="single"/>
          <w:lang w:val="en-NZ"/>
        </w:rPr>
        <w:t>not for money</w:t>
      </w:r>
      <w:r w:rsidR="00451777">
        <w:rPr>
          <w:u w:val="single"/>
          <w:lang w:val="en-NZ"/>
        </w:rPr>
        <w:t>)</w:t>
      </w:r>
      <w:r w:rsidRPr="002F108B">
        <w:rPr>
          <w:u w:val="single"/>
          <w:lang w:val="en-NZ"/>
        </w:rPr>
        <w:t>.</w:t>
      </w:r>
      <w:r>
        <w:rPr>
          <w:u w:val="single"/>
          <w:lang w:val="en-NZ"/>
        </w:rPr>
        <w:t xml:space="preserve"> </w:t>
      </w:r>
    </w:p>
    <w:p w14:paraId="38968817" w14:textId="4B8AD725" w:rsidR="0026514C" w:rsidRDefault="0026514C" w:rsidP="0026514C">
      <w:pPr>
        <w:rPr>
          <w:lang w:val="en-NZ"/>
        </w:rPr>
      </w:pPr>
      <w:r w:rsidRPr="002F108B">
        <w:rPr>
          <w:lang w:val="en-NZ"/>
        </w:rPr>
        <w:t xml:space="preserve">Evidence shows a link between online gaming </w:t>
      </w:r>
      <w:r w:rsidR="00D91E1F">
        <w:rPr>
          <w:lang w:val="en-NZ"/>
        </w:rPr>
        <w:t>a</w:t>
      </w:r>
      <w:r w:rsidR="0038424A">
        <w:rPr>
          <w:lang w:val="en-NZ"/>
        </w:rPr>
        <w:t>nd</w:t>
      </w:r>
      <w:r w:rsidRPr="002F108B">
        <w:rPr>
          <w:lang w:val="en-NZ"/>
        </w:rPr>
        <w:t xml:space="preserve"> harmful gambling</w:t>
      </w:r>
      <w:r w:rsidR="00637C39">
        <w:rPr>
          <w:lang w:val="en-NZ"/>
        </w:rPr>
        <w:t xml:space="preserve">. </w:t>
      </w:r>
      <w:r w:rsidR="00A36B28">
        <w:rPr>
          <w:lang w:val="en-NZ"/>
        </w:rPr>
        <w:t xml:space="preserve">Recent research has </w:t>
      </w:r>
      <w:r w:rsidR="00451DB0">
        <w:rPr>
          <w:lang w:val="en-NZ"/>
        </w:rPr>
        <w:t xml:space="preserve">identified </w:t>
      </w:r>
      <w:r w:rsidR="00A36B28">
        <w:rPr>
          <w:lang w:val="en-NZ"/>
        </w:rPr>
        <w:t xml:space="preserve">gaming </w:t>
      </w:r>
      <w:r w:rsidR="00451DB0">
        <w:rPr>
          <w:lang w:val="en-NZ"/>
        </w:rPr>
        <w:t>as</w:t>
      </w:r>
      <w:r w:rsidR="00AC443D">
        <w:rPr>
          <w:lang w:val="en-NZ"/>
        </w:rPr>
        <w:t xml:space="preserve"> a potential </w:t>
      </w:r>
      <w:r w:rsidR="007B238D">
        <w:rPr>
          <w:lang w:val="en-NZ"/>
        </w:rPr>
        <w:t>gateway behaviour to harmful gambling</w:t>
      </w:r>
      <w:r w:rsidR="00283E6D">
        <w:rPr>
          <w:lang w:val="en-NZ"/>
        </w:rPr>
        <w:t xml:space="preserve">, and </w:t>
      </w:r>
      <w:r w:rsidR="002D3C3A">
        <w:rPr>
          <w:lang w:val="en-NZ"/>
        </w:rPr>
        <w:t>higher</w:t>
      </w:r>
      <w:r w:rsidR="00B241F6">
        <w:rPr>
          <w:lang w:val="en-NZ"/>
        </w:rPr>
        <w:t xml:space="preserve"> rates of </w:t>
      </w:r>
      <w:r w:rsidR="003F3E5C">
        <w:rPr>
          <w:lang w:val="en-NZ"/>
        </w:rPr>
        <w:t xml:space="preserve">at-risk and </w:t>
      </w:r>
      <w:r w:rsidR="00B241F6">
        <w:rPr>
          <w:lang w:val="en-NZ"/>
        </w:rPr>
        <w:t xml:space="preserve">harmful </w:t>
      </w:r>
      <w:r w:rsidR="00174E4A">
        <w:rPr>
          <w:lang w:val="en-NZ"/>
        </w:rPr>
        <w:t xml:space="preserve">online </w:t>
      </w:r>
      <w:r w:rsidR="00B241F6">
        <w:rPr>
          <w:lang w:val="en-NZ"/>
        </w:rPr>
        <w:t xml:space="preserve">gambling among adults who </w:t>
      </w:r>
      <w:r w:rsidR="00173B28">
        <w:rPr>
          <w:lang w:val="en-NZ"/>
        </w:rPr>
        <w:t>bet on gaming enhancements as children compared with those who did not</w:t>
      </w:r>
      <w:r w:rsidR="009A38C7">
        <w:rPr>
          <w:lang w:val="en-NZ"/>
        </w:rPr>
        <w:t xml:space="preserve">. </w:t>
      </w:r>
      <w:r w:rsidR="008C0501">
        <w:rPr>
          <w:lang w:val="en-NZ"/>
        </w:rPr>
        <w:t>Interviewed participants highlighted increasing numbers of parents asking for support for young people ‘addicted’ to gaming. G</w:t>
      </w:r>
      <w:r w:rsidR="008C0501" w:rsidRPr="00B30B7C">
        <w:rPr>
          <w:lang w:val="en-NZ"/>
        </w:rPr>
        <w:t xml:space="preserve">aming is not currently recognised as gambling </w:t>
      </w:r>
      <w:r w:rsidR="008C0501" w:rsidRPr="002F108B">
        <w:rPr>
          <w:lang w:val="en-NZ"/>
        </w:rPr>
        <w:t xml:space="preserve">and </w:t>
      </w:r>
      <w:r w:rsidR="008C0501" w:rsidRPr="00B30B7C">
        <w:rPr>
          <w:lang w:val="en-NZ"/>
        </w:rPr>
        <w:t>therefore not funded by the gambling levy</w:t>
      </w:r>
      <w:r w:rsidR="008C0501">
        <w:rPr>
          <w:lang w:val="en-NZ"/>
        </w:rPr>
        <w:t>.</w:t>
      </w:r>
    </w:p>
    <w:p w14:paraId="01EFBBEB" w14:textId="660B855D" w:rsidR="0026514C" w:rsidRDefault="0026514C" w:rsidP="0026514C">
      <w:pPr>
        <w:rPr>
          <w:lang w:val="en-NZ"/>
        </w:rPr>
      </w:pPr>
      <w:r w:rsidRPr="0000187F">
        <w:rPr>
          <w:b/>
          <w:bCs/>
          <w:lang w:val="en-NZ"/>
        </w:rPr>
        <w:t>Gambling expenditure decreased during COVID-19 lockdowns but returned to pre-COVID levels shortly after lockdown lifted.</w:t>
      </w:r>
      <w:r>
        <w:rPr>
          <w:lang w:val="en-NZ"/>
        </w:rPr>
        <w:t xml:space="preserve"> </w:t>
      </w:r>
      <w:r w:rsidRPr="0000187F">
        <w:rPr>
          <w:lang w:val="en-NZ"/>
        </w:rPr>
        <w:t>Gambling expenditure across all forms of gambling continued to increase (pre-COVID).</w:t>
      </w:r>
      <w:r>
        <w:rPr>
          <w:lang w:val="en-NZ"/>
        </w:rPr>
        <w:t xml:space="preserve"> Post-COVID-19, d</w:t>
      </w:r>
      <w:r w:rsidRPr="002F108B">
        <w:rPr>
          <w:lang w:val="en-NZ"/>
        </w:rPr>
        <w:t>espite a decline in Class 4 venues and EGM machine numbers, gambling expenditure on these forms of gambling continued to increase.</w:t>
      </w:r>
      <w:r>
        <w:rPr>
          <w:lang w:val="en-NZ"/>
        </w:rPr>
        <w:t xml:space="preserve"> </w:t>
      </w:r>
      <w:r w:rsidRPr="002F108B">
        <w:rPr>
          <w:lang w:val="en-NZ"/>
        </w:rPr>
        <w:t xml:space="preserve">EGM profits have returned to </w:t>
      </w:r>
      <w:r w:rsidR="00E75B1D">
        <w:rPr>
          <w:lang w:val="en-NZ"/>
        </w:rPr>
        <w:t>p</w:t>
      </w:r>
      <w:r w:rsidR="00E75B1D" w:rsidRPr="002F108B">
        <w:rPr>
          <w:lang w:val="en-NZ"/>
        </w:rPr>
        <w:t>re</w:t>
      </w:r>
      <w:r w:rsidRPr="002F108B">
        <w:rPr>
          <w:lang w:val="en-NZ"/>
        </w:rPr>
        <w:t>-COVID levels</w:t>
      </w:r>
      <w:r>
        <w:rPr>
          <w:lang w:val="en-NZ"/>
        </w:rPr>
        <w:t>.</w:t>
      </w:r>
    </w:p>
    <w:p w14:paraId="6508C683" w14:textId="437D42F1" w:rsidR="0026514C" w:rsidRPr="00D77951" w:rsidRDefault="0026514C" w:rsidP="0026514C">
      <w:pPr>
        <w:rPr>
          <w:lang w:val="en-NZ"/>
        </w:rPr>
      </w:pPr>
      <w:r w:rsidRPr="00D77951">
        <w:rPr>
          <w:b/>
          <w:bCs/>
          <w:lang w:val="en-NZ"/>
        </w:rPr>
        <w:t>Māori, Pacific and young people continue to have the highest prevalence of harmful gambling compared with other groups.</w:t>
      </w:r>
      <w:r>
        <w:rPr>
          <w:lang w:val="en-NZ"/>
        </w:rPr>
        <w:t xml:space="preserve"> </w:t>
      </w:r>
      <w:r w:rsidRPr="00D32479">
        <w:rPr>
          <w:lang w:val="en-NZ"/>
        </w:rPr>
        <w:t xml:space="preserve">The prevalence of harmful gambling remains relatively unchanged. </w:t>
      </w:r>
      <w:r w:rsidRPr="00D77951">
        <w:rPr>
          <w:lang w:val="en-NZ"/>
        </w:rPr>
        <w:t xml:space="preserve">A focus on harmful gambling neglects low to moderate gambling and impacts. </w:t>
      </w:r>
    </w:p>
    <w:p w14:paraId="1CB48CE0" w14:textId="77777777" w:rsidR="0026514C" w:rsidRDefault="0026514C" w:rsidP="0026514C">
      <w:pPr>
        <w:rPr>
          <w:lang w:val="en-NZ"/>
        </w:rPr>
      </w:pPr>
      <w:r w:rsidRPr="00D80472">
        <w:rPr>
          <w:b/>
          <w:bCs/>
          <w:lang w:val="en-NZ"/>
        </w:rPr>
        <w:t>Harmful gambling risks remain extensive</w:t>
      </w:r>
      <w:r w:rsidRPr="00AD7A98">
        <w:rPr>
          <w:lang w:val="en-NZ"/>
        </w:rPr>
        <w:t xml:space="preserve"> and can be categorised into individual and environmental factors.</w:t>
      </w:r>
      <w:r>
        <w:rPr>
          <w:lang w:val="en-NZ"/>
        </w:rPr>
        <w:t xml:space="preserve"> </w:t>
      </w:r>
      <w:r w:rsidRPr="00AD7A98">
        <w:rPr>
          <w:lang w:val="en-NZ"/>
        </w:rPr>
        <w:t>Māori and Pacific peoples remain the most at-risk of harmful gambling. New evidence has identified comorbidities as a risk in transitioning into risky gambling behaviour. Online gambling and changing technologies present a new risk.</w:t>
      </w:r>
    </w:p>
    <w:p w14:paraId="558D2C77" w14:textId="045DC5B5" w:rsidR="0026514C" w:rsidRDefault="00451777" w:rsidP="0026514C">
      <w:pPr>
        <w:rPr>
          <w:lang w:val="en-NZ"/>
        </w:rPr>
      </w:pPr>
      <w:r>
        <w:rPr>
          <w:b/>
          <w:bCs/>
          <w:lang w:val="en-NZ"/>
        </w:rPr>
        <w:t>Much evidence infers that s</w:t>
      </w:r>
      <w:r w:rsidR="0026514C" w:rsidRPr="005A1266">
        <w:rPr>
          <w:b/>
          <w:bCs/>
          <w:lang w:val="en-NZ"/>
        </w:rPr>
        <w:t>upporting one social problem (i.e.</w:t>
      </w:r>
      <w:r w:rsidR="0026514C">
        <w:rPr>
          <w:b/>
          <w:bCs/>
          <w:lang w:val="en-NZ"/>
        </w:rPr>
        <w:t>,</w:t>
      </w:r>
      <w:r w:rsidR="0026514C" w:rsidRPr="005A1266">
        <w:rPr>
          <w:b/>
          <w:bCs/>
          <w:lang w:val="en-NZ"/>
        </w:rPr>
        <w:t xml:space="preserve"> distributing gambling funds to community and sports groups) through the support/creation of another (harmful gambling and expenditure) is not real progress for our society.</w:t>
      </w:r>
      <w:r w:rsidR="0026514C">
        <w:rPr>
          <w:b/>
          <w:bCs/>
          <w:lang w:val="en-NZ"/>
        </w:rPr>
        <w:t xml:space="preserve"> </w:t>
      </w:r>
      <w:r w:rsidR="006744A6">
        <w:rPr>
          <w:lang w:val="en-NZ"/>
        </w:rPr>
        <w:t>Much evidence suggests t</w:t>
      </w:r>
      <w:r w:rsidR="0026514C" w:rsidRPr="001B144E">
        <w:rPr>
          <w:lang w:val="en-NZ"/>
        </w:rPr>
        <w:t>he costs (individual, family and community harms) associated with gambling outweigh the benefits (e.g.</w:t>
      </w:r>
      <w:r w:rsidR="0026514C">
        <w:rPr>
          <w:lang w:val="en-NZ"/>
        </w:rPr>
        <w:t>,</w:t>
      </w:r>
      <w:r w:rsidR="0026514C" w:rsidRPr="001B144E">
        <w:rPr>
          <w:lang w:val="en-NZ"/>
        </w:rPr>
        <w:t xml:space="preserve"> employment, community funding)</w:t>
      </w:r>
      <w:r w:rsidR="0026514C">
        <w:rPr>
          <w:lang w:val="en-NZ"/>
        </w:rPr>
        <w:t xml:space="preserve">. </w:t>
      </w:r>
      <w:r w:rsidR="0026514C" w:rsidRPr="001B144E">
        <w:rPr>
          <w:lang w:val="en-NZ"/>
        </w:rPr>
        <w:t>Harmful gambling continues to impact all aspects of wellbeing for individuals and their whānau.</w:t>
      </w:r>
    </w:p>
    <w:p w14:paraId="23EFA8D3" w14:textId="692384B0" w:rsidR="0026514C" w:rsidRDefault="0026514C" w:rsidP="0026514C">
      <w:pPr>
        <w:rPr>
          <w:lang w:val="en-NZ"/>
        </w:rPr>
      </w:pPr>
      <w:r>
        <w:rPr>
          <w:b/>
          <w:bCs/>
          <w:lang w:val="en-NZ"/>
        </w:rPr>
        <w:t>T</w:t>
      </w:r>
      <w:r w:rsidRPr="00FC312D">
        <w:rPr>
          <w:b/>
          <w:bCs/>
          <w:lang w:val="en-NZ"/>
        </w:rPr>
        <w:t>he enablers and barriers to help-seeking remain the same – understanding the barriers within cultural contexts remains critical.</w:t>
      </w:r>
      <w:r>
        <w:rPr>
          <w:lang w:val="en-NZ"/>
        </w:rPr>
        <w:t xml:space="preserve"> </w:t>
      </w:r>
      <w:r w:rsidRPr="00FC312D">
        <w:rPr>
          <w:lang w:val="en-NZ"/>
        </w:rPr>
        <w:t>Since 2018</w:t>
      </w:r>
      <w:r>
        <w:rPr>
          <w:b/>
          <w:bCs/>
          <w:lang w:val="en-NZ"/>
        </w:rPr>
        <w:t xml:space="preserve"> </w:t>
      </w:r>
      <w:r>
        <w:rPr>
          <w:lang w:val="en-NZ"/>
        </w:rPr>
        <w:t xml:space="preserve">there have been </w:t>
      </w:r>
      <w:r w:rsidRPr="005C5506">
        <w:rPr>
          <w:lang w:val="en-NZ"/>
        </w:rPr>
        <w:t>slight decreases in the number of clients accessing intervention services</w:t>
      </w:r>
      <w:r>
        <w:rPr>
          <w:lang w:val="en-NZ"/>
        </w:rPr>
        <w:t xml:space="preserve"> and </w:t>
      </w:r>
      <w:r w:rsidRPr="005C5506">
        <w:rPr>
          <w:lang w:val="en-NZ"/>
        </w:rPr>
        <w:t xml:space="preserve">significant decreases in those accessing the Gambling </w:t>
      </w:r>
      <w:r w:rsidRPr="005C5506">
        <w:rPr>
          <w:lang w:val="en-NZ"/>
        </w:rPr>
        <w:lastRenderedPageBreak/>
        <w:t xml:space="preserve">Helpline. Gaps in gambling harm </w:t>
      </w:r>
      <w:r w:rsidR="00AD1820">
        <w:rPr>
          <w:lang w:val="en-NZ"/>
        </w:rPr>
        <w:t xml:space="preserve">provider </w:t>
      </w:r>
      <w:r w:rsidRPr="005C5506">
        <w:rPr>
          <w:lang w:val="en-NZ"/>
        </w:rPr>
        <w:t>services exist in relation to residential treatment services and the peer support workforce.</w:t>
      </w:r>
    </w:p>
    <w:p w14:paraId="70325986" w14:textId="3ECD06AC" w:rsidR="00FE0EAE" w:rsidRPr="004D1A5C" w:rsidRDefault="007F2250" w:rsidP="004D1A5C">
      <w:pPr>
        <w:pStyle w:val="Heading2"/>
        <w:numPr>
          <w:ilvl w:val="0"/>
          <w:numId w:val="0"/>
        </w:numPr>
        <w:ind w:left="-9"/>
      </w:pPr>
      <w:bookmarkStart w:id="41" w:name="_Toc69464065"/>
      <w:bookmarkStart w:id="42" w:name="_Toc69735883"/>
      <w:bookmarkStart w:id="43" w:name="_Toc69739510"/>
      <w:bookmarkStart w:id="44" w:name="_Toc69803327"/>
      <w:bookmarkStart w:id="45" w:name="_Toc69809892"/>
      <w:bookmarkStart w:id="46" w:name="_Toc72152557"/>
      <w:bookmarkStart w:id="47" w:name="_Toc72752794"/>
      <w:bookmarkStart w:id="48" w:name="_Toc76391444"/>
      <w:bookmarkStart w:id="49" w:name="_Toc76469768"/>
      <w:r>
        <w:t xml:space="preserve">What progress has been made against </w:t>
      </w:r>
      <w:r w:rsidR="005C55E9" w:rsidRPr="004D1A5C">
        <w:t>Objectives set out in the Strategy</w:t>
      </w:r>
      <w:bookmarkEnd w:id="41"/>
      <w:bookmarkEnd w:id="42"/>
      <w:bookmarkEnd w:id="43"/>
      <w:bookmarkEnd w:id="44"/>
      <w:bookmarkEnd w:id="45"/>
      <w:bookmarkEnd w:id="46"/>
      <w:bookmarkEnd w:id="47"/>
      <w:bookmarkEnd w:id="48"/>
      <w:bookmarkEnd w:id="49"/>
      <w:r>
        <w:t xml:space="preserve"> </w:t>
      </w:r>
    </w:p>
    <w:p w14:paraId="3C2C6717" w14:textId="39BE77E8" w:rsidR="0026514C" w:rsidRDefault="00261EAA" w:rsidP="00252BD0">
      <w:pPr>
        <w:rPr>
          <w:lang w:val="en-NZ"/>
        </w:rPr>
      </w:pPr>
      <w:r w:rsidRPr="00365E7F">
        <w:rPr>
          <w:lang w:val="en-NZ"/>
        </w:rPr>
        <w:t>T</w:t>
      </w:r>
      <w:r w:rsidR="0026514C" w:rsidRPr="00365E7F">
        <w:rPr>
          <w:lang w:val="en-NZ"/>
        </w:rPr>
        <w:t xml:space="preserve">here was a common perception among interviewed </w:t>
      </w:r>
      <w:r w:rsidR="00B1516A" w:rsidRPr="00365E7F">
        <w:rPr>
          <w:lang w:val="en-NZ"/>
        </w:rPr>
        <w:t xml:space="preserve">participants from all </w:t>
      </w:r>
      <w:r w:rsidR="0026514C" w:rsidRPr="00365E7F">
        <w:rPr>
          <w:lang w:val="en-NZ"/>
        </w:rPr>
        <w:t>gambling stakeholder</w:t>
      </w:r>
      <w:r w:rsidR="00B1516A" w:rsidRPr="00365E7F">
        <w:rPr>
          <w:lang w:val="en-NZ"/>
        </w:rPr>
        <w:t xml:space="preserve"> group</w:t>
      </w:r>
      <w:r w:rsidR="0026514C" w:rsidRPr="00365E7F">
        <w:rPr>
          <w:lang w:val="en-NZ"/>
        </w:rPr>
        <w:t>s</w:t>
      </w:r>
      <w:r w:rsidR="009F0948">
        <w:rPr>
          <w:lang w:val="en-NZ"/>
        </w:rPr>
        <w:t>,</w:t>
      </w:r>
      <w:r w:rsidR="0026514C" w:rsidRPr="00365E7F">
        <w:rPr>
          <w:lang w:val="en-NZ"/>
        </w:rPr>
        <w:t xml:space="preserve"> </w:t>
      </w:r>
      <w:r w:rsidR="004963A4">
        <w:rPr>
          <w:lang w:val="en-NZ"/>
        </w:rPr>
        <w:t xml:space="preserve">and many workforce survey respondents </w:t>
      </w:r>
      <w:r w:rsidR="0026514C" w:rsidRPr="00365E7F">
        <w:rPr>
          <w:lang w:val="en-NZ"/>
        </w:rPr>
        <w:t xml:space="preserve">that </w:t>
      </w:r>
      <w:r w:rsidR="00D91272">
        <w:rPr>
          <w:lang w:val="en-NZ"/>
        </w:rPr>
        <w:t xml:space="preserve">limited </w:t>
      </w:r>
      <w:r w:rsidR="0026514C" w:rsidRPr="00365E7F">
        <w:rPr>
          <w:lang w:val="en-NZ"/>
        </w:rPr>
        <w:t>progress ha</w:t>
      </w:r>
      <w:r w:rsidR="00B1516A" w:rsidRPr="00365E7F">
        <w:rPr>
          <w:lang w:val="en-NZ"/>
        </w:rPr>
        <w:t xml:space="preserve">d </w:t>
      </w:r>
      <w:r w:rsidR="0026514C" w:rsidRPr="00365E7F">
        <w:rPr>
          <w:lang w:val="en-NZ"/>
        </w:rPr>
        <w:t xml:space="preserve">been made across most </w:t>
      </w:r>
      <w:r w:rsidR="005D2081" w:rsidRPr="00365E7F">
        <w:rPr>
          <w:lang w:val="en-NZ"/>
        </w:rPr>
        <w:t>O</w:t>
      </w:r>
      <w:r w:rsidR="0026514C" w:rsidRPr="00365E7F">
        <w:rPr>
          <w:lang w:val="en-NZ"/>
        </w:rPr>
        <w:t>bjectives set out in the Strategy to Prevent and Minimise Gambling Harm 2019/20-2021/22.</w:t>
      </w:r>
      <w:r w:rsidR="0026514C">
        <w:rPr>
          <w:lang w:val="en-NZ"/>
        </w:rPr>
        <w:t xml:space="preserve"> Participants’ views were </w:t>
      </w:r>
      <w:r w:rsidR="005832DF">
        <w:rPr>
          <w:lang w:val="en-NZ"/>
        </w:rPr>
        <w:t>contextualised within</w:t>
      </w:r>
      <w:r w:rsidR="0026514C">
        <w:rPr>
          <w:lang w:val="en-NZ"/>
        </w:rPr>
        <w:t xml:space="preserve"> perceived service gaps and risks</w:t>
      </w:r>
      <w:r w:rsidR="00015E30">
        <w:rPr>
          <w:lang w:val="en-NZ"/>
        </w:rPr>
        <w:t>,</w:t>
      </w:r>
      <w:r w:rsidR="0026514C">
        <w:rPr>
          <w:lang w:val="en-NZ"/>
        </w:rPr>
        <w:t xml:space="preserve"> </w:t>
      </w:r>
      <w:r w:rsidR="00D7479B">
        <w:rPr>
          <w:lang w:val="en-NZ"/>
        </w:rPr>
        <w:t>which also informed opportunities to strengthen</w:t>
      </w:r>
      <w:r w:rsidR="00D92E81">
        <w:rPr>
          <w:lang w:val="en-NZ"/>
        </w:rPr>
        <w:t xml:space="preserve"> </w:t>
      </w:r>
      <w:r w:rsidR="00630593">
        <w:rPr>
          <w:lang w:val="en-NZ"/>
        </w:rPr>
        <w:t xml:space="preserve">harmful gambling </w:t>
      </w:r>
      <w:r w:rsidR="00BA6C49">
        <w:rPr>
          <w:lang w:val="en-NZ"/>
        </w:rPr>
        <w:t xml:space="preserve">policy, outcomes, </w:t>
      </w:r>
      <w:r w:rsidR="00826202">
        <w:rPr>
          <w:lang w:val="en-NZ"/>
        </w:rPr>
        <w:t xml:space="preserve">participation, </w:t>
      </w:r>
      <w:r w:rsidR="0026514C">
        <w:rPr>
          <w:lang w:val="en-NZ"/>
        </w:rPr>
        <w:t xml:space="preserve">practice and research. </w:t>
      </w:r>
    </w:p>
    <w:p w14:paraId="16B8B512" w14:textId="4BD35971" w:rsidR="00CF0FED" w:rsidRPr="00484BF1" w:rsidRDefault="00B46700" w:rsidP="00484BF1">
      <w:r w:rsidRPr="00484BF1">
        <w:t>T</w:t>
      </w:r>
      <w:r w:rsidR="0006553E" w:rsidRPr="00484BF1">
        <w:t>wo</w:t>
      </w:r>
      <w:r w:rsidR="00CF0FED" w:rsidRPr="00484BF1">
        <w:t xml:space="preserve"> overarching factors </w:t>
      </w:r>
      <w:r w:rsidR="00CF0FED" w:rsidRPr="00484BF1">
        <w:rPr>
          <w:lang w:val="en-NZ"/>
        </w:rPr>
        <w:t xml:space="preserve">pertinent to </w:t>
      </w:r>
      <w:r w:rsidR="00E34E89" w:rsidRPr="00484BF1">
        <w:rPr>
          <w:lang w:val="en-NZ"/>
        </w:rPr>
        <w:t>strengthening</w:t>
      </w:r>
      <w:r w:rsidR="00CF0FED" w:rsidRPr="00484BF1">
        <w:t xml:space="preserve"> progress against Objectives in the Strategy</w:t>
      </w:r>
      <w:r w:rsidR="00CF0FED" w:rsidRPr="00484BF1">
        <w:rPr>
          <w:lang w:val="en-NZ"/>
        </w:rPr>
        <w:t xml:space="preserve"> include</w:t>
      </w:r>
      <w:r w:rsidR="00484BF1">
        <w:rPr>
          <w:lang w:val="en-NZ"/>
        </w:rPr>
        <w:t>d</w:t>
      </w:r>
      <w:r w:rsidR="00CF0FED" w:rsidRPr="00484BF1">
        <w:rPr>
          <w:lang w:val="en-NZ"/>
        </w:rPr>
        <w:t>:</w:t>
      </w:r>
    </w:p>
    <w:p w14:paraId="25124ED5" w14:textId="061B0F95" w:rsidR="00270878" w:rsidRPr="00383FBA" w:rsidRDefault="00270878" w:rsidP="00383FBA">
      <w:pPr>
        <w:pStyle w:val="Bulletpointindented"/>
        <w:rPr>
          <w:lang w:val="en-NZ"/>
        </w:rPr>
      </w:pPr>
      <w:r w:rsidRPr="00383FBA">
        <w:rPr>
          <w:lang w:val="en-NZ"/>
        </w:rPr>
        <w:t>Developing and maintaining genuine and mutually respectful partnerships and relationships</w:t>
      </w:r>
      <w:r w:rsidR="00383FBA" w:rsidRPr="00383FBA">
        <w:rPr>
          <w:lang w:val="en-NZ"/>
        </w:rPr>
        <w:t xml:space="preserve">, </w:t>
      </w:r>
      <w:r w:rsidR="00383FBA">
        <w:rPr>
          <w:lang w:val="en-NZ"/>
        </w:rPr>
        <w:t>c</w:t>
      </w:r>
      <w:r w:rsidR="006777F8" w:rsidRPr="00383FBA">
        <w:rPr>
          <w:lang w:val="en-NZ"/>
        </w:rPr>
        <w:t>onsultation and engagement between the Ministry, gambling harm services, industry, researchers and communities</w:t>
      </w:r>
    </w:p>
    <w:p w14:paraId="787935BC" w14:textId="2C74FDF3" w:rsidR="00CF0FED" w:rsidRDefault="00CF0FED" w:rsidP="00413C0E">
      <w:pPr>
        <w:pStyle w:val="Bulletpointindented"/>
        <w:rPr>
          <w:lang w:val="en-NZ"/>
        </w:rPr>
      </w:pPr>
      <w:r w:rsidRPr="00484BF1">
        <w:t>Stronger gambling harm sector leadership and stakeholder relationships</w:t>
      </w:r>
      <w:r w:rsidR="00484BF1">
        <w:t xml:space="preserve">. </w:t>
      </w:r>
      <w:r>
        <w:rPr>
          <w:lang w:val="en-NZ"/>
        </w:rPr>
        <w:t xml:space="preserve">Qualities for effective leadership included sector knowledge </w:t>
      </w:r>
      <w:r w:rsidR="00653DFB">
        <w:rPr>
          <w:lang w:val="en-NZ"/>
        </w:rPr>
        <w:t xml:space="preserve">and </w:t>
      </w:r>
      <w:r>
        <w:rPr>
          <w:lang w:val="en-NZ"/>
        </w:rPr>
        <w:t xml:space="preserve">open and frequent </w:t>
      </w:r>
      <w:r w:rsidRPr="002F108B">
        <w:rPr>
          <w:lang w:val="en-NZ"/>
        </w:rPr>
        <w:t>communication</w:t>
      </w:r>
      <w:r>
        <w:rPr>
          <w:lang w:val="en-NZ"/>
        </w:rPr>
        <w:t>s</w:t>
      </w:r>
      <w:r w:rsidR="00653DFB">
        <w:rPr>
          <w:lang w:val="en-NZ"/>
        </w:rPr>
        <w:t>.</w:t>
      </w:r>
    </w:p>
    <w:p w14:paraId="1F3F2567" w14:textId="57914300" w:rsidR="004F2B9D" w:rsidRDefault="004F2B9D" w:rsidP="004F2B9D">
      <w:pPr>
        <w:rPr>
          <w:lang w:val="en-NZ"/>
        </w:rPr>
      </w:pPr>
      <w:r>
        <w:rPr>
          <w:lang w:val="en-NZ"/>
        </w:rPr>
        <w:t>It is important to note that the current Strategy will be in place until 30 June 2022. This needs assessment was undertaken part way into the delivery period for the current Objectives. The Government’s Response to COVID-19 has impacted on the Ministry’s ability to deliver the current Strategy and resulted in delays to the delivery of key commitments. The Ministry remains committed to delivering these commitments.</w:t>
      </w:r>
    </w:p>
    <w:p w14:paraId="65A12F7F" w14:textId="644B3045" w:rsidR="00DE42F4" w:rsidRPr="004D1A5C" w:rsidRDefault="00DE42F4" w:rsidP="00DE42F4">
      <w:pPr>
        <w:pStyle w:val="Heading2"/>
        <w:numPr>
          <w:ilvl w:val="0"/>
          <w:numId w:val="0"/>
        </w:numPr>
        <w:ind w:left="-9"/>
      </w:pPr>
      <w:bookmarkStart w:id="50" w:name="_Toc69739511"/>
      <w:bookmarkStart w:id="51" w:name="_Toc69803328"/>
      <w:bookmarkStart w:id="52" w:name="_Toc69809893"/>
      <w:bookmarkStart w:id="53" w:name="_Toc72152558"/>
      <w:bookmarkStart w:id="54" w:name="_Toc72752795"/>
      <w:bookmarkStart w:id="55" w:name="_Toc76391445"/>
      <w:bookmarkStart w:id="56" w:name="_Toc76469769"/>
      <w:r>
        <w:t>How can gaps in service delivery be addressed?</w:t>
      </w:r>
      <w:bookmarkEnd w:id="50"/>
      <w:bookmarkEnd w:id="51"/>
      <w:bookmarkEnd w:id="52"/>
      <w:bookmarkEnd w:id="53"/>
      <w:bookmarkEnd w:id="54"/>
      <w:bookmarkEnd w:id="55"/>
      <w:bookmarkEnd w:id="56"/>
    </w:p>
    <w:p w14:paraId="4F4C14F8" w14:textId="17970C25" w:rsidR="00413C0E" w:rsidRPr="00BE79E0" w:rsidRDefault="00485838" w:rsidP="00C02631">
      <w:pPr>
        <w:shd w:val="clear" w:color="auto" w:fill="D9D9D9" w:themeFill="background1" w:themeFillShade="D9"/>
      </w:pPr>
      <w:r>
        <w:rPr>
          <w:b/>
          <w:bCs/>
        </w:rPr>
        <w:t>Addressing</w:t>
      </w:r>
      <w:r w:rsidR="00385328">
        <w:rPr>
          <w:b/>
          <w:bCs/>
        </w:rPr>
        <w:t xml:space="preserve"> gaps in </w:t>
      </w:r>
      <w:r w:rsidR="007A27A9">
        <w:rPr>
          <w:b/>
          <w:bCs/>
        </w:rPr>
        <w:t>‘</w:t>
      </w:r>
      <w:r w:rsidR="00DB7BC9">
        <w:rPr>
          <w:b/>
          <w:bCs/>
        </w:rPr>
        <w:t>policy</w:t>
      </w:r>
      <w:r w:rsidR="007A27A9">
        <w:rPr>
          <w:b/>
          <w:bCs/>
        </w:rPr>
        <w:t>’</w:t>
      </w:r>
      <w:r w:rsidR="00DB7BC9">
        <w:rPr>
          <w:b/>
          <w:bCs/>
        </w:rPr>
        <w:t xml:space="preserve"> </w:t>
      </w:r>
      <w:r>
        <w:rPr>
          <w:b/>
          <w:bCs/>
        </w:rPr>
        <w:t>relating to</w:t>
      </w:r>
      <w:r w:rsidR="009B2DD0">
        <w:rPr>
          <w:b/>
          <w:bCs/>
        </w:rPr>
        <w:t xml:space="preserve"> Objective</w:t>
      </w:r>
      <w:r w:rsidR="000E1D95">
        <w:rPr>
          <w:b/>
          <w:bCs/>
        </w:rPr>
        <w:t xml:space="preserve"> 4</w:t>
      </w:r>
      <w:r w:rsidR="005D1D20" w:rsidRPr="00BE79E0">
        <w:t>:</w:t>
      </w:r>
      <w:r w:rsidR="005965B1" w:rsidRPr="00BE79E0">
        <w:t xml:space="preserve"> </w:t>
      </w:r>
      <w:r w:rsidR="00451777">
        <w:t>Healthy policy at the national, regional and loc</w:t>
      </w:r>
      <w:r w:rsidR="00B03231">
        <w:t>a</w:t>
      </w:r>
      <w:r w:rsidR="00451777">
        <w:t>l level prevents and minimises gambling harm</w:t>
      </w:r>
    </w:p>
    <w:p w14:paraId="7B85A099" w14:textId="41BC8377" w:rsidR="00022986" w:rsidRPr="008A7740" w:rsidRDefault="00F965C4" w:rsidP="00107FB8">
      <w:pPr>
        <w:rPr>
          <w:lang w:val="en-NZ"/>
        </w:rPr>
      </w:pPr>
      <w:r>
        <w:rPr>
          <w:b/>
          <w:bCs/>
          <w:lang w:val="en-NZ"/>
        </w:rPr>
        <w:t>Addressing policy gaps</w:t>
      </w:r>
      <w:r w:rsidR="00022986">
        <w:rPr>
          <w:b/>
          <w:bCs/>
          <w:lang w:val="en-NZ"/>
        </w:rPr>
        <w:t xml:space="preserve">: </w:t>
      </w:r>
      <w:r w:rsidR="004810B4">
        <w:rPr>
          <w:lang w:val="en-NZ"/>
        </w:rPr>
        <w:t>Develop</w:t>
      </w:r>
      <w:r w:rsidR="008A7740">
        <w:rPr>
          <w:lang w:val="en-NZ"/>
        </w:rPr>
        <w:t xml:space="preserve"> proactive policies and strategies, and </w:t>
      </w:r>
      <w:r w:rsidR="009C3C81">
        <w:rPr>
          <w:lang w:val="en-NZ"/>
        </w:rPr>
        <w:t xml:space="preserve">respond to </w:t>
      </w:r>
      <w:r w:rsidR="008A7740">
        <w:rPr>
          <w:lang w:val="en-NZ"/>
        </w:rPr>
        <w:t>policy gaps relating to offshore online gambling</w:t>
      </w:r>
      <w:r w:rsidR="007907F0">
        <w:rPr>
          <w:lang w:val="en-NZ"/>
        </w:rPr>
        <w:t>,</w:t>
      </w:r>
      <w:r w:rsidR="00B03231">
        <w:rPr>
          <w:lang w:val="en-NZ"/>
        </w:rPr>
        <w:t xml:space="preserve"> as well as</w:t>
      </w:r>
      <w:r w:rsidR="008A7740">
        <w:rPr>
          <w:lang w:val="en-NZ"/>
        </w:rPr>
        <w:t xml:space="preserve"> gaming</w:t>
      </w:r>
      <w:r w:rsidR="009C3C81">
        <w:rPr>
          <w:lang w:val="en-NZ"/>
        </w:rPr>
        <w:t xml:space="preserve"> and gambling</w:t>
      </w:r>
      <w:r w:rsidR="008A7740">
        <w:rPr>
          <w:lang w:val="en-NZ"/>
        </w:rPr>
        <w:t>.</w:t>
      </w:r>
    </w:p>
    <w:p w14:paraId="1A137E75" w14:textId="780C3C40" w:rsidR="00F05138" w:rsidRDefault="00941B8B" w:rsidP="00107FB8">
      <w:pPr>
        <w:rPr>
          <w:lang w:val="en-NZ"/>
        </w:rPr>
      </w:pPr>
      <w:r>
        <w:rPr>
          <w:b/>
          <w:bCs/>
          <w:lang w:val="en-NZ"/>
        </w:rPr>
        <w:t>Acknowledgement and i</w:t>
      </w:r>
      <w:r w:rsidR="00F20C6E">
        <w:rPr>
          <w:b/>
          <w:bCs/>
          <w:lang w:val="en-NZ"/>
        </w:rPr>
        <w:t xml:space="preserve">nclusion of </w:t>
      </w:r>
      <w:r>
        <w:rPr>
          <w:b/>
          <w:bCs/>
          <w:lang w:val="en-NZ"/>
        </w:rPr>
        <w:t>gambling services in m</w:t>
      </w:r>
      <w:r w:rsidR="00F05138">
        <w:rPr>
          <w:b/>
          <w:bCs/>
          <w:lang w:val="en-NZ"/>
        </w:rPr>
        <w:t>ental health and addiction</w:t>
      </w:r>
      <w:r w:rsidR="000632EF">
        <w:rPr>
          <w:b/>
          <w:bCs/>
          <w:lang w:val="en-NZ"/>
        </w:rPr>
        <w:t xml:space="preserve"> </w:t>
      </w:r>
      <w:r w:rsidR="005A6BB4">
        <w:rPr>
          <w:b/>
          <w:bCs/>
          <w:lang w:val="en-NZ"/>
        </w:rPr>
        <w:t xml:space="preserve">services and </w:t>
      </w:r>
      <w:r w:rsidR="000632EF">
        <w:rPr>
          <w:b/>
          <w:bCs/>
          <w:lang w:val="en-NZ"/>
        </w:rPr>
        <w:t>responses</w:t>
      </w:r>
      <w:r w:rsidR="009C3C81">
        <w:rPr>
          <w:b/>
          <w:bCs/>
          <w:lang w:val="en-NZ"/>
        </w:rPr>
        <w:t xml:space="preserve">: </w:t>
      </w:r>
      <w:r w:rsidR="00E321FD">
        <w:rPr>
          <w:lang w:val="en-NZ"/>
        </w:rPr>
        <w:t>Acknowled</w:t>
      </w:r>
      <w:r w:rsidR="00A608A2">
        <w:rPr>
          <w:lang w:val="en-NZ"/>
        </w:rPr>
        <w:t>g</w:t>
      </w:r>
      <w:r w:rsidR="007D4064">
        <w:rPr>
          <w:lang w:val="en-NZ"/>
        </w:rPr>
        <w:t>e</w:t>
      </w:r>
      <w:r w:rsidR="00E321FD">
        <w:rPr>
          <w:lang w:val="en-NZ"/>
        </w:rPr>
        <w:t xml:space="preserve"> </w:t>
      </w:r>
      <w:r w:rsidR="000632EF">
        <w:rPr>
          <w:lang w:val="en-NZ"/>
        </w:rPr>
        <w:t xml:space="preserve">gambling services as </w:t>
      </w:r>
      <w:r w:rsidR="00F05138" w:rsidRPr="002F108B">
        <w:rPr>
          <w:lang w:val="en-NZ"/>
        </w:rPr>
        <w:t>siloed and isolated from wider mental health and addictions services</w:t>
      </w:r>
      <w:r w:rsidR="00B03231">
        <w:rPr>
          <w:lang w:val="en-NZ"/>
        </w:rPr>
        <w:t>,</w:t>
      </w:r>
      <w:r w:rsidR="00F05138" w:rsidRPr="002F108B">
        <w:rPr>
          <w:lang w:val="en-NZ"/>
        </w:rPr>
        <w:t xml:space="preserve"> </w:t>
      </w:r>
      <w:r w:rsidR="00F523E7">
        <w:rPr>
          <w:lang w:val="en-NZ"/>
        </w:rPr>
        <w:t xml:space="preserve">and ensure inclusion for future </w:t>
      </w:r>
      <w:r w:rsidR="00F05138" w:rsidRPr="002F108B">
        <w:rPr>
          <w:lang w:val="en-NZ"/>
        </w:rPr>
        <w:t xml:space="preserve">strategies and </w:t>
      </w:r>
      <w:r w:rsidR="00F523E7">
        <w:rPr>
          <w:lang w:val="en-NZ"/>
        </w:rPr>
        <w:t xml:space="preserve">potential </w:t>
      </w:r>
      <w:r w:rsidR="00F05138" w:rsidRPr="002F108B">
        <w:rPr>
          <w:lang w:val="en-NZ"/>
        </w:rPr>
        <w:t>funding</w:t>
      </w:r>
      <w:r w:rsidR="00545A01">
        <w:rPr>
          <w:lang w:val="en-NZ"/>
        </w:rPr>
        <w:t>.</w:t>
      </w:r>
    </w:p>
    <w:p w14:paraId="5E87965B" w14:textId="38C576E3" w:rsidR="00820021" w:rsidRPr="008E7C35" w:rsidRDefault="00820021" w:rsidP="00107FB8">
      <w:pPr>
        <w:rPr>
          <w:lang w:val="en-NZ"/>
        </w:rPr>
      </w:pPr>
      <w:r>
        <w:rPr>
          <w:b/>
          <w:bCs/>
          <w:lang w:val="en-NZ"/>
        </w:rPr>
        <w:t xml:space="preserve">Responding to provider contracting gaps and risks: </w:t>
      </w:r>
      <w:r w:rsidR="00610143">
        <w:rPr>
          <w:lang w:val="en-NZ"/>
        </w:rPr>
        <w:t>Such as s</w:t>
      </w:r>
      <w:r w:rsidR="008E7C35">
        <w:rPr>
          <w:lang w:val="en-NZ"/>
        </w:rPr>
        <w:t>hort-term and non</w:t>
      </w:r>
      <w:r w:rsidR="004D4F4B">
        <w:rPr>
          <w:lang w:val="en-NZ"/>
        </w:rPr>
        <w:t>-</w:t>
      </w:r>
      <w:r w:rsidR="008E7C35">
        <w:rPr>
          <w:lang w:val="en-NZ"/>
        </w:rPr>
        <w:t xml:space="preserve">sustainable contracts, </w:t>
      </w:r>
      <w:r w:rsidR="00F37402">
        <w:rPr>
          <w:lang w:val="en-NZ"/>
        </w:rPr>
        <w:t>separate contracts for public health and intervention</w:t>
      </w:r>
      <w:r w:rsidR="00811270">
        <w:rPr>
          <w:lang w:val="en-NZ"/>
        </w:rPr>
        <w:t xml:space="preserve"> services</w:t>
      </w:r>
      <w:r w:rsidR="00F37402">
        <w:rPr>
          <w:lang w:val="en-NZ"/>
        </w:rPr>
        <w:t xml:space="preserve">, </w:t>
      </w:r>
      <w:r w:rsidR="003D4E46">
        <w:rPr>
          <w:lang w:val="en-NZ"/>
        </w:rPr>
        <w:t xml:space="preserve">narrow contract scope and </w:t>
      </w:r>
      <w:r w:rsidR="00F37402">
        <w:rPr>
          <w:lang w:val="en-NZ"/>
        </w:rPr>
        <w:t xml:space="preserve">Western contracting </w:t>
      </w:r>
      <w:r w:rsidR="004A3A49">
        <w:rPr>
          <w:lang w:val="en-NZ"/>
        </w:rPr>
        <w:t>and service specifications.</w:t>
      </w:r>
    </w:p>
    <w:p w14:paraId="77450486" w14:textId="77777777" w:rsidR="00451777" w:rsidRDefault="00E9517B" w:rsidP="00704C88">
      <w:pPr>
        <w:shd w:val="clear" w:color="auto" w:fill="D9D9D9" w:themeFill="background1" w:themeFillShade="D9"/>
        <w:rPr>
          <w:b/>
          <w:bCs/>
        </w:rPr>
      </w:pPr>
      <w:r>
        <w:rPr>
          <w:b/>
          <w:bCs/>
        </w:rPr>
        <w:t>Addressing</w:t>
      </w:r>
      <w:r w:rsidR="00DB7BC9">
        <w:rPr>
          <w:b/>
          <w:bCs/>
        </w:rPr>
        <w:t xml:space="preserve"> </w:t>
      </w:r>
      <w:r>
        <w:rPr>
          <w:b/>
          <w:bCs/>
        </w:rPr>
        <w:t>gaps</w:t>
      </w:r>
      <w:r w:rsidR="00385328">
        <w:rPr>
          <w:b/>
          <w:bCs/>
        </w:rPr>
        <w:t xml:space="preserve"> in </w:t>
      </w:r>
      <w:r w:rsidR="007A27A9">
        <w:rPr>
          <w:b/>
          <w:bCs/>
        </w:rPr>
        <w:t>‘</w:t>
      </w:r>
      <w:r w:rsidR="00385328">
        <w:rPr>
          <w:b/>
          <w:bCs/>
        </w:rPr>
        <w:t>outcomes</w:t>
      </w:r>
      <w:r w:rsidR="007A27A9">
        <w:rPr>
          <w:b/>
          <w:bCs/>
        </w:rPr>
        <w:t>’</w:t>
      </w:r>
      <w:r>
        <w:rPr>
          <w:b/>
          <w:bCs/>
        </w:rPr>
        <w:t xml:space="preserve"> relating to</w:t>
      </w:r>
      <w:r w:rsidR="00451777">
        <w:rPr>
          <w:b/>
          <w:bCs/>
        </w:rPr>
        <w:t>:</w:t>
      </w:r>
    </w:p>
    <w:p w14:paraId="5AD90209" w14:textId="08706328" w:rsidR="00451777" w:rsidRDefault="00451777" w:rsidP="00704C88">
      <w:pPr>
        <w:shd w:val="clear" w:color="auto" w:fill="D9D9D9" w:themeFill="background1" w:themeFillShade="D9"/>
      </w:pPr>
      <w:r>
        <w:rPr>
          <w:b/>
          <w:bCs/>
        </w:rPr>
        <w:t xml:space="preserve">Objective 1: </w:t>
      </w:r>
      <w:r>
        <w:t>There is a reduction in gambling-related-harm inequities between population groups (particularly Māori, Pacific and Asian peoples, as the populations that are most vulnerable to gambling harm).</w:t>
      </w:r>
    </w:p>
    <w:p w14:paraId="38FCC321" w14:textId="4AD059BB" w:rsidR="00827F5E" w:rsidRDefault="00451777" w:rsidP="00704C88">
      <w:pPr>
        <w:shd w:val="clear" w:color="auto" w:fill="D9D9D9" w:themeFill="background1" w:themeFillShade="D9"/>
        <w:rPr>
          <w:b/>
          <w:bCs/>
        </w:rPr>
      </w:pPr>
      <w:r>
        <w:rPr>
          <w:b/>
          <w:bCs/>
        </w:rPr>
        <w:lastRenderedPageBreak/>
        <w:t xml:space="preserve">Objective 2: </w:t>
      </w:r>
      <w:r>
        <w:t>Māori have healthier futures through the prevention and minimisation of gambling harm.</w:t>
      </w:r>
    </w:p>
    <w:p w14:paraId="73C3995F" w14:textId="25E6CDB2" w:rsidR="00704C88" w:rsidRDefault="00704C88" w:rsidP="00107FB8">
      <w:r>
        <w:rPr>
          <w:b/>
          <w:bCs/>
        </w:rPr>
        <w:t>Prioritising e</w:t>
      </w:r>
      <w:r w:rsidRPr="00F904B4">
        <w:rPr>
          <w:b/>
          <w:bCs/>
        </w:rPr>
        <w:t>quity</w:t>
      </w:r>
      <w:r>
        <w:rPr>
          <w:b/>
          <w:bCs/>
        </w:rPr>
        <w:t xml:space="preserve">: </w:t>
      </w:r>
      <w:r w:rsidR="00711B40">
        <w:t>Ensur</w:t>
      </w:r>
      <w:r w:rsidR="00AA5BEC">
        <w:t>e</w:t>
      </w:r>
      <w:r w:rsidR="00711B40">
        <w:t xml:space="preserve"> t</w:t>
      </w:r>
      <w:r>
        <w:t>he Strategy sit</w:t>
      </w:r>
      <w:r w:rsidR="00AA5BEC">
        <w:t>s</w:t>
      </w:r>
      <w:r>
        <w:t xml:space="preserve"> within an overarching equity framework and prioritise</w:t>
      </w:r>
      <w:r w:rsidR="00E5645D">
        <w:t>s</w:t>
      </w:r>
      <w:r>
        <w:t>:</w:t>
      </w:r>
    </w:p>
    <w:p w14:paraId="31DFD829" w14:textId="77777777" w:rsidR="00704C88" w:rsidRPr="00107FB8" w:rsidRDefault="00704C88" w:rsidP="00107FB8">
      <w:pPr>
        <w:pStyle w:val="Bulletpointindented"/>
      </w:pPr>
      <w:r w:rsidRPr="00107FB8">
        <w:t>Māori ownership and determination</w:t>
      </w:r>
    </w:p>
    <w:p w14:paraId="7374601A" w14:textId="77777777" w:rsidR="00704C88" w:rsidRPr="00107FB8" w:rsidRDefault="00704C88" w:rsidP="00107FB8">
      <w:pPr>
        <w:pStyle w:val="Bulletpointindented"/>
      </w:pPr>
      <w:r w:rsidRPr="00107FB8">
        <w:t>Gambling sector adherence to established equitable systems and process</w:t>
      </w:r>
    </w:p>
    <w:p w14:paraId="5297C306" w14:textId="77777777" w:rsidR="00704C88" w:rsidRPr="00107FB8" w:rsidRDefault="00704C88" w:rsidP="00107FB8">
      <w:pPr>
        <w:pStyle w:val="Bulletpointindented"/>
      </w:pPr>
      <w:r w:rsidRPr="00107FB8">
        <w:t>Meaningful and genuine engagement and relationships between the crown, iwi and ethnic-specific services</w:t>
      </w:r>
    </w:p>
    <w:p w14:paraId="2321A781" w14:textId="36942FC4" w:rsidR="00704C88" w:rsidRPr="00107FB8" w:rsidRDefault="00704C88" w:rsidP="00107FB8">
      <w:pPr>
        <w:pStyle w:val="Bulletpointindented"/>
      </w:pPr>
      <w:r w:rsidRPr="00107FB8">
        <w:t>Addressing inequities for Māori and ethnic-specific service providers and workforces in mainstream services</w:t>
      </w:r>
      <w:r w:rsidR="009B7DAF">
        <w:t>.</w:t>
      </w:r>
    </w:p>
    <w:p w14:paraId="751F2CAB" w14:textId="2A2C4A80" w:rsidR="00704C88" w:rsidRPr="00107FB8" w:rsidRDefault="008C2032" w:rsidP="00107FB8">
      <w:pPr>
        <w:shd w:val="clear" w:color="auto" w:fill="D9D9D9" w:themeFill="background1" w:themeFillShade="D9"/>
        <w:rPr>
          <w:b/>
          <w:bCs/>
        </w:rPr>
      </w:pPr>
      <w:r>
        <w:rPr>
          <w:b/>
          <w:bCs/>
        </w:rPr>
        <w:t xml:space="preserve">Addressing gaps in </w:t>
      </w:r>
      <w:r w:rsidR="007A27A9">
        <w:rPr>
          <w:b/>
          <w:bCs/>
        </w:rPr>
        <w:t>‘</w:t>
      </w:r>
      <w:r w:rsidR="00385328">
        <w:rPr>
          <w:b/>
          <w:bCs/>
        </w:rPr>
        <w:t>participation</w:t>
      </w:r>
      <w:r w:rsidR="007A27A9">
        <w:rPr>
          <w:b/>
          <w:bCs/>
        </w:rPr>
        <w:t>’</w:t>
      </w:r>
      <w:r>
        <w:rPr>
          <w:b/>
          <w:bCs/>
        </w:rPr>
        <w:t xml:space="preserve"> relating to</w:t>
      </w:r>
      <w:r w:rsidR="00107FB8" w:rsidRPr="00107FB8">
        <w:rPr>
          <w:b/>
          <w:bCs/>
        </w:rPr>
        <w:t xml:space="preserve"> Object</w:t>
      </w:r>
      <w:r w:rsidR="00E9517B">
        <w:rPr>
          <w:b/>
          <w:bCs/>
        </w:rPr>
        <w:t>ive</w:t>
      </w:r>
      <w:r w:rsidR="00107FB8" w:rsidRPr="00107FB8">
        <w:rPr>
          <w:b/>
          <w:bCs/>
        </w:rPr>
        <w:t xml:space="preserve"> 3</w:t>
      </w:r>
      <w:r w:rsidR="007907F0">
        <w:rPr>
          <w:b/>
          <w:bCs/>
        </w:rPr>
        <w:t xml:space="preserve">: </w:t>
      </w:r>
      <w:r w:rsidR="007907F0">
        <w:t>People participate in decision-making about activities in their communities that prevent and minimise gambling harm.</w:t>
      </w:r>
      <w:r w:rsidR="00107FB8" w:rsidRPr="00107FB8">
        <w:rPr>
          <w:b/>
          <w:bCs/>
        </w:rPr>
        <w:t xml:space="preserve"> </w:t>
      </w:r>
    </w:p>
    <w:p w14:paraId="76CFA041" w14:textId="2D323DFF" w:rsidR="00107FB8" w:rsidRDefault="00107FB8" w:rsidP="00107FB8">
      <w:pPr>
        <w:rPr>
          <w:lang w:val="en-NZ"/>
        </w:rPr>
      </w:pPr>
      <w:r>
        <w:rPr>
          <w:b/>
          <w:bCs/>
          <w:lang w:val="en-NZ"/>
        </w:rPr>
        <w:t xml:space="preserve">Broadening lived experience representation and input: </w:t>
      </w:r>
      <w:r w:rsidR="007254F4">
        <w:rPr>
          <w:lang w:val="en-NZ"/>
        </w:rPr>
        <w:t>Ensur</w:t>
      </w:r>
      <w:r w:rsidR="007F08FD">
        <w:rPr>
          <w:lang w:val="en-NZ"/>
        </w:rPr>
        <w:t xml:space="preserve">e </w:t>
      </w:r>
      <w:r w:rsidRPr="002F108B">
        <w:rPr>
          <w:lang w:val="en-NZ"/>
        </w:rPr>
        <w:t>interventions and public health approaches</w:t>
      </w:r>
      <w:r w:rsidR="007F08FD">
        <w:rPr>
          <w:lang w:val="en-NZ"/>
        </w:rPr>
        <w:t xml:space="preserve"> are</w:t>
      </w:r>
      <w:r w:rsidRPr="002F108B">
        <w:rPr>
          <w:lang w:val="en-NZ"/>
        </w:rPr>
        <w:t xml:space="preserve"> inform</w:t>
      </w:r>
      <w:r w:rsidR="007F4CEE">
        <w:rPr>
          <w:lang w:val="en-NZ"/>
        </w:rPr>
        <w:t>ed</w:t>
      </w:r>
      <w:r w:rsidRPr="002F108B">
        <w:rPr>
          <w:lang w:val="en-NZ"/>
        </w:rPr>
        <w:t xml:space="preserve"> by all stakeholders</w:t>
      </w:r>
      <w:r w:rsidR="00AA2365">
        <w:rPr>
          <w:lang w:val="en-NZ"/>
        </w:rPr>
        <w:t>,</w:t>
      </w:r>
      <w:r w:rsidRPr="002F108B">
        <w:rPr>
          <w:lang w:val="en-NZ"/>
        </w:rPr>
        <w:t xml:space="preserve"> </w:t>
      </w:r>
      <w:r>
        <w:rPr>
          <w:lang w:val="en-NZ"/>
        </w:rPr>
        <w:t>including</w:t>
      </w:r>
      <w:r w:rsidRPr="002F108B">
        <w:rPr>
          <w:lang w:val="en-NZ"/>
        </w:rPr>
        <w:t xml:space="preserve"> those with lived experience. </w:t>
      </w:r>
      <w:r w:rsidR="004812AC">
        <w:rPr>
          <w:lang w:val="en-NZ"/>
        </w:rPr>
        <w:t>It is commendable that the Ministry has established a Lived Experience Advisory Group – it would also be beneficial to p</w:t>
      </w:r>
      <w:r>
        <w:rPr>
          <w:lang w:val="en-NZ"/>
        </w:rPr>
        <w:t>romot</w:t>
      </w:r>
      <w:r w:rsidR="007F08FD">
        <w:rPr>
          <w:lang w:val="en-NZ"/>
        </w:rPr>
        <w:t xml:space="preserve">e </w:t>
      </w:r>
      <w:r w:rsidR="004812AC">
        <w:rPr>
          <w:lang w:val="en-NZ"/>
        </w:rPr>
        <w:t xml:space="preserve">and broaden </w:t>
      </w:r>
      <w:r>
        <w:rPr>
          <w:lang w:val="en-NZ"/>
        </w:rPr>
        <w:t>the value of lived experience perspectives across governance, gambling harm services, practice and research.</w:t>
      </w:r>
    </w:p>
    <w:p w14:paraId="1643D175" w14:textId="4146E56F" w:rsidR="00107FB8" w:rsidRPr="00BC7E26" w:rsidRDefault="00BC7E26" w:rsidP="00107FB8">
      <w:r>
        <w:rPr>
          <w:b/>
          <w:bCs/>
        </w:rPr>
        <w:t xml:space="preserve">Community action: </w:t>
      </w:r>
      <w:r w:rsidR="00107FB8" w:rsidRPr="00BC7E26">
        <w:t>Develop policies/practices that enable and empower local participation</w:t>
      </w:r>
      <w:r w:rsidRPr="00BC7E26">
        <w:t xml:space="preserve"> and</w:t>
      </w:r>
      <w:r w:rsidR="00107FB8" w:rsidRPr="00BC7E26">
        <w:t xml:space="preserve"> community action</w:t>
      </w:r>
      <w:r w:rsidR="00AA5BEC">
        <w:t xml:space="preserve"> within and across </w:t>
      </w:r>
      <w:r w:rsidR="00100C05">
        <w:t>Territorial Authorities (TA</w:t>
      </w:r>
      <w:r w:rsidR="009D49A4">
        <w:t>)</w:t>
      </w:r>
      <w:r w:rsidRPr="003532EF">
        <w:t>.</w:t>
      </w:r>
    </w:p>
    <w:p w14:paraId="4995D36B" w14:textId="64C9F0C4" w:rsidR="00107FB8" w:rsidRDefault="00E9517B" w:rsidP="008F622E">
      <w:pPr>
        <w:shd w:val="clear" w:color="auto" w:fill="D9D9D9" w:themeFill="background1" w:themeFillShade="D9"/>
        <w:rPr>
          <w:b/>
          <w:bCs/>
        </w:rPr>
      </w:pPr>
      <w:r>
        <w:rPr>
          <w:b/>
          <w:bCs/>
        </w:rPr>
        <w:t xml:space="preserve">Addressing gaps in </w:t>
      </w:r>
      <w:r w:rsidR="007A27A9">
        <w:rPr>
          <w:b/>
          <w:bCs/>
        </w:rPr>
        <w:t>‘</w:t>
      </w:r>
      <w:r w:rsidR="00D603AE">
        <w:rPr>
          <w:b/>
          <w:bCs/>
        </w:rPr>
        <w:t>practice (workforce capacity and capability)</w:t>
      </w:r>
      <w:r w:rsidR="007A27A9">
        <w:rPr>
          <w:b/>
          <w:bCs/>
        </w:rPr>
        <w:t>’</w:t>
      </w:r>
      <w:r>
        <w:rPr>
          <w:b/>
          <w:bCs/>
        </w:rPr>
        <w:t xml:space="preserve"> relating to </w:t>
      </w:r>
      <w:r w:rsidR="004B71E7">
        <w:rPr>
          <w:b/>
          <w:bCs/>
        </w:rPr>
        <w:t xml:space="preserve">Objective </w:t>
      </w:r>
      <w:r w:rsidR="008F622E">
        <w:rPr>
          <w:b/>
          <w:bCs/>
        </w:rPr>
        <w:t>6</w:t>
      </w:r>
      <w:r w:rsidR="007907F0">
        <w:rPr>
          <w:b/>
          <w:bCs/>
        </w:rPr>
        <w:t xml:space="preserve">: </w:t>
      </w:r>
      <w:r w:rsidR="007907F0">
        <w:t>A skilled workforce is developed to deliver effective services to prevent and minimse gambling harm.</w:t>
      </w:r>
      <w:r w:rsidR="008F622E">
        <w:rPr>
          <w:b/>
          <w:bCs/>
        </w:rPr>
        <w:t xml:space="preserve"> </w:t>
      </w:r>
    </w:p>
    <w:p w14:paraId="6DFA2799" w14:textId="3E0B98BB" w:rsidR="006179F4" w:rsidRDefault="00771384" w:rsidP="00771384">
      <w:pPr>
        <w:rPr>
          <w:lang w:val="en-NZ"/>
        </w:rPr>
      </w:pPr>
      <w:r>
        <w:rPr>
          <w:b/>
          <w:lang w:val="en-NZ"/>
        </w:rPr>
        <w:t xml:space="preserve">Gambling harm workforce capacity and reach: </w:t>
      </w:r>
      <w:r w:rsidR="007F3B1D">
        <w:rPr>
          <w:bCs/>
          <w:lang w:val="en-NZ"/>
        </w:rPr>
        <w:t>I</w:t>
      </w:r>
      <w:r w:rsidRPr="002F108B">
        <w:rPr>
          <w:lang w:val="en-NZ"/>
        </w:rPr>
        <w:t>mprove access to services in remote areas</w:t>
      </w:r>
      <w:r w:rsidR="006179F4">
        <w:rPr>
          <w:lang w:val="en-NZ"/>
        </w:rPr>
        <w:t xml:space="preserve">, </w:t>
      </w:r>
      <w:r w:rsidR="007F3B1D">
        <w:rPr>
          <w:lang w:val="en-NZ"/>
        </w:rPr>
        <w:t xml:space="preserve">review </w:t>
      </w:r>
      <w:r w:rsidR="006179F4">
        <w:rPr>
          <w:lang w:val="en-NZ"/>
        </w:rPr>
        <w:t xml:space="preserve">opportunities to </w:t>
      </w:r>
      <w:r w:rsidR="001540B0">
        <w:rPr>
          <w:lang w:val="en-NZ"/>
        </w:rPr>
        <w:t>share b</w:t>
      </w:r>
      <w:r w:rsidR="007F3B1D">
        <w:rPr>
          <w:lang w:val="en-NZ"/>
        </w:rPr>
        <w:t xml:space="preserve">ack-office functions across </w:t>
      </w:r>
      <w:r w:rsidR="006179F4">
        <w:rPr>
          <w:lang w:val="en-NZ"/>
        </w:rPr>
        <w:t>gambling harm service providers</w:t>
      </w:r>
      <w:r w:rsidR="001540B0">
        <w:rPr>
          <w:lang w:val="en-NZ"/>
        </w:rPr>
        <w:t xml:space="preserve">, </w:t>
      </w:r>
      <w:r w:rsidR="007D139D">
        <w:rPr>
          <w:lang w:val="en-NZ"/>
        </w:rPr>
        <w:t>recognise and broaden</w:t>
      </w:r>
      <w:r w:rsidR="001540B0">
        <w:rPr>
          <w:lang w:val="en-NZ"/>
        </w:rPr>
        <w:t xml:space="preserve"> the peer support workforce</w:t>
      </w:r>
      <w:r w:rsidR="006179F4">
        <w:rPr>
          <w:lang w:val="en-NZ"/>
        </w:rPr>
        <w:t>.</w:t>
      </w:r>
    </w:p>
    <w:p w14:paraId="57DBB170" w14:textId="380EC05D" w:rsidR="009F64D5" w:rsidRPr="002F108B" w:rsidRDefault="009F64D5" w:rsidP="009D350F">
      <w:pPr>
        <w:rPr>
          <w:lang w:val="en-NZ"/>
        </w:rPr>
      </w:pPr>
      <w:r w:rsidRPr="002F108B">
        <w:rPr>
          <w:b/>
          <w:lang w:val="en-NZ"/>
        </w:rPr>
        <w:t>Gambling harm workforce development</w:t>
      </w:r>
      <w:r w:rsidR="006C4E51">
        <w:rPr>
          <w:b/>
          <w:lang w:val="en-NZ"/>
        </w:rPr>
        <w:t xml:space="preserve"> and cultural safety</w:t>
      </w:r>
      <w:r w:rsidRPr="002F108B">
        <w:rPr>
          <w:b/>
          <w:lang w:val="en-NZ"/>
        </w:rPr>
        <w:t xml:space="preserve">: </w:t>
      </w:r>
      <w:r w:rsidR="00131307">
        <w:rPr>
          <w:lang w:val="en-NZ"/>
        </w:rPr>
        <w:t>R</w:t>
      </w:r>
      <w:r w:rsidRPr="002F108B">
        <w:rPr>
          <w:lang w:val="en-NZ"/>
        </w:rPr>
        <w:t>ecognis</w:t>
      </w:r>
      <w:r w:rsidR="00131307">
        <w:rPr>
          <w:lang w:val="en-NZ"/>
        </w:rPr>
        <w:t xml:space="preserve">e </w:t>
      </w:r>
      <w:r w:rsidRPr="002F108B">
        <w:rPr>
          <w:lang w:val="en-NZ"/>
        </w:rPr>
        <w:t>specialist skills</w:t>
      </w:r>
      <w:r w:rsidR="006C4E51">
        <w:rPr>
          <w:lang w:val="en-NZ"/>
        </w:rPr>
        <w:t xml:space="preserve">ets required </w:t>
      </w:r>
      <w:r w:rsidR="00FB6AD5">
        <w:rPr>
          <w:lang w:val="en-NZ"/>
        </w:rPr>
        <w:t>within</w:t>
      </w:r>
      <w:r w:rsidR="006C4E51">
        <w:rPr>
          <w:lang w:val="en-NZ"/>
        </w:rPr>
        <w:t xml:space="preserve"> </w:t>
      </w:r>
      <w:r w:rsidR="00131307">
        <w:rPr>
          <w:lang w:val="en-NZ"/>
        </w:rPr>
        <w:t xml:space="preserve">gambling harm services and </w:t>
      </w:r>
      <w:r w:rsidR="006C4E51">
        <w:rPr>
          <w:lang w:val="en-NZ"/>
        </w:rPr>
        <w:t xml:space="preserve">increase opportunities for </w:t>
      </w:r>
      <w:r w:rsidR="009D350F">
        <w:rPr>
          <w:lang w:val="en-NZ"/>
        </w:rPr>
        <w:t>workforce development</w:t>
      </w:r>
      <w:r w:rsidR="006C4E51">
        <w:rPr>
          <w:lang w:val="en-NZ"/>
        </w:rPr>
        <w:t xml:space="preserve"> and cultural </w:t>
      </w:r>
      <w:r w:rsidR="009D350F">
        <w:rPr>
          <w:lang w:val="en-NZ"/>
        </w:rPr>
        <w:t xml:space="preserve">safety. </w:t>
      </w:r>
      <w:r>
        <w:rPr>
          <w:bCs/>
          <w:lang w:val="en-NZ"/>
        </w:rPr>
        <w:t xml:space="preserve">Participants </w:t>
      </w:r>
      <w:r w:rsidRPr="002F108B">
        <w:rPr>
          <w:lang w:val="en-NZ"/>
        </w:rPr>
        <w:t xml:space="preserve">suggested a need for collaboration between training providers and ethnic-specific gambling services to ensure adequate cultural safety training </w:t>
      </w:r>
      <w:r w:rsidR="00631455">
        <w:rPr>
          <w:lang w:val="en-NZ"/>
        </w:rPr>
        <w:t>across the gambling sector</w:t>
      </w:r>
      <w:r w:rsidRPr="002F108B">
        <w:rPr>
          <w:lang w:val="en-NZ"/>
        </w:rPr>
        <w:t>.</w:t>
      </w:r>
    </w:p>
    <w:p w14:paraId="3CB71CE1" w14:textId="0EF0B995" w:rsidR="009F64D5" w:rsidRDefault="00E9517B" w:rsidP="00A02EBB">
      <w:pPr>
        <w:shd w:val="clear" w:color="auto" w:fill="D9D9D9" w:themeFill="background1" w:themeFillShade="D9"/>
        <w:rPr>
          <w:b/>
          <w:bCs/>
          <w:lang w:val="en-NZ"/>
        </w:rPr>
      </w:pPr>
      <w:r>
        <w:rPr>
          <w:b/>
          <w:bCs/>
        </w:rPr>
        <w:t xml:space="preserve">Addressing gaps in </w:t>
      </w:r>
      <w:r w:rsidR="007A27A9">
        <w:rPr>
          <w:b/>
          <w:bCs/>
        </w:rPr>
        <w:t>‘</w:t>
      </w:r>
      <w:r w:rsidR="00D603AE">
        <w:rPr>
          <w:b/>
          <w:bCs/>
          <w:lang w:val="en-NZ"/>
        </w:rPr>
        <w:t>practice (enhancing wellbeing, life skills and resilience)</w:t>
      </w:r>
      <w:r w:rsidR="007A27A9">
        <w:rPr>
          <w:b/>
          <w:bCs/>
          <w:lang w:val="en-NZ"/>
        </w:rPr>
        <w:t>’</w:t>
      </w:r>
      <w:r>
        <w:rPr>
          <w:b/>
          <w:bCs/>
        </w:rPr>
        <w:t xml:space="preserve"> relating to </w:t>
      </w:r>
      <w:r w:rsidR="004B48D8">
        <w:rPr>
          <w:b/>
          <w:bCs/>
          <w:lang w:val="en-NZ"/>
        </w:rPr>
        <w:t>Objective 7</w:t>
      </w:r>
      <w:r w:rsidR="007907F0">
        <w:rPr>
          <w:b/>
          <w:bCs/>
          <w:lang w:val="en-NZ"/>
        </w:rPr>
        <w:t xml:space="preserve">: </w:t>
      </w:r>
      <w:r w:rsidR="007907F0">
        <w:rPr>
          <w:lang w:val="en-NZ"/>
        </w:rPr>
        <w:t>Services enhance people’s mana and build life skills and resiliency to improve healthy choices that prevent and minimise gambling harm.</w:t>
      </w:r>
      <w:r w:rsidR="004B48D8">
        <w:rPr>
          <w:b/>
          <w:bCs/>
          <w:lang w:val="en-NZ"/>
        </w:rPr>
        <w:t xml:space="preserve"> </w:t>
      </w:r>
    </w:p>
    <w:p w14:paraId="6BBA44BE" w14:textId="360F3F6A" w:rsidR="00DF1AC9" w:rsidRPr="002F108B" w:rsidRDefault="00DF1AC9" w:rsidP="00DF1AC9">
      <w:pPr>
        <w:rPr>
          <w:lang w:val="en-NZ"/>
        </w:rPr>
      </w:pPr>
      <w:r>
        <w:rPr>
          <w:b/>
          <w:bCs/>
          <w:lang w:val="en-NZ"/>
        </w:rPr>
        <w:t xml:space="preserve">Multi-sectoral approaches and responses: </w:t>
      </w:r>
      <w:r>
        <w:rPr>
          <w:lang w:val="en-NZ"/>
        </w:rPr>
        <w:t>A</w:t>
      </w:r>
      <w:r w:rsidRPr="002F108B">
        <w:rPr>
          <w:lang w:val="en-NZ"/>
        </w:rPr>
        <w:t xml:space="preserve">cknowledge harmful gambling as a complex issue in need of systems change and multi-sectoral responses, commitment, action and potentially funding. </w:t>
      </w:r>
      <w:r w:rsidR="005A4307">
        <w:rPr>
          <w:lang w:val="en-NZ"/>
        </w:rPr>
        <w:t xml:space="preserve">Address the social determinants of health and wellbeing </w:t>
      </w:r>
      <w:r w:rsidR="004C5239">
        <w:rPr>
          <w:lang w:val="en-NZ"/>
        </w:rPr>
        <w:t>includ</w:t>
      </w:r>
      <w:r w:rsidR="00631455">
        <w:rPr>
          <w:lang w:val="en-NZ"/>
        </w:rPr>
        <w:t>ing a</w:t>
      </w:r>
      <w:r w:rsidR="004C5239">
        <w:rPr>
          <w:lang w:val="en-NZ"/>
        </w:rPr>
        <w:t xml:space="preserve"> focus on client’s holistic and cultural needs, mandating all sectors to screen for harmful gambling, and integrating gambling harm services into primary care and social service settings.</w:t>
      </w:r>
    </w:p>
    <w:p w14:paraId="609157CE" w14:textId="3F74A2DE" w:rsidR="004B48D8" w:rsidRPr="00152B15" w:rsidRDefault="00E9517B" w:rsidP="00A02EBB">
      <w:pPr>
        <w:shd w:val="clear" w:color="auto" w:fill="D9D9D9" w:themeFill="background1" w:themeFillShade="D9"/>
        <w:rPr>
          <w:lang w:val="en-NZ"/>
        </w:rPr>
      </w:pPr>
      <w:r>
        <w:rPr>
          <w:b/>
          <w:bCs/>
        </w:rPr>
        <w:t xml:space="preserve">Addressing gaps in </w:t>
      </w:r>
      <w:r w:rsidR="007A27A9">
        <w:rPr>
          <w:b/>
          <w:bCs/>
          <w:lang w:val="en-NZ"/>
        </w:rPr>
        <w:t>‘</w:t>
      </w:r>
      <w:r w:rsidR="00D603AE">
        <w:rPr>
          <w:b/>
          <w:bCs/>
          <w:lang w:val="en-NZ"/>
        </w:rPr>
        <w:t>practice (intervention services)</w:t>
      </w:r>
      <w:r w:rsidR="007A27A9">
        <w:rPr>
          <w:b/>
          <w:bCs/>
          <w:lang w:val="en-NZ"/>
        </w:rPr>
        <w:t>’</w:t>
      </w:r>
      <w:r>
        <w:rPr>
          <w:b/>
          <w:bCs/>
        </w:rPr>
        <w:t xml:space="preserve"> relating to </w:t>
      </w:r>
      <w:r w:rsidR="004B48D8">
        <w:rPr>
          <w:b/>
          <w:bCs/>
          <w:lang w:val="en-NZ"/>
        </w:rPr>
        <w:t>Objective 10</w:t>
      </w:r>
      <w:r w:rsidR="007907F0">
        <w:rPr>
          <w:b/>
          <w:bCs/>
          <w:lang w:val="en-NZ"/>
        </w:rPr>
        <w:t xml:space="preserve">: </w:t>
      </w:r>
      <w:r w:rsidR="007907F0">
        <w:rPr>
          <w:lang w:val="en-NZ"/>
        </w:rPr>
        <w:t>People access effective treatment and support services at the right time and place.</w:t>
      </w:r>
    </w:p>
    <w:p w14:paraId="6A7329FF" w14:textId="5C6A09C8" w:rsidR="004B48D8" w:rsidRDefault="00026D88" w:rsidP="009F64D5">
      <w:pPr>
        <w:rPr>
          <w:lang w:val="en-NZ"/>
        </w:rPr>
      </w:pPr>
      <w:r>
        <w:rPr>
          <w:b/>
          <w:bCs/>
          <w:lang w:val="en-NZ"/>
        </w:rPr>
        <w:t xml:space="preserve">Improve services: </w:t>
      </w:r>
      <w:r w:rsidR="00417AD5">
        <w:rPr>
          <w:lang w:val="en-NZ"/>
        </w:rPr>
        <w:t>F</w:t>
      </w:r>
      <w:r>
        <w:rPr>
          <w:lang w:val="en-NZ"/>
        </w:rPr>
        <w:t>or relapse and drop-out clients, wh</w:t>
      </w:r>
      <w:r w:rsidR="00663359">
        <w:rPr>
          <w:rFonts w:cs="Calibri"/>
          <w:lang w:val="en-NZ"/>
        </w:rPr>
        <w:t>ā</w:t>
      </w:r>
      <w:r>
        <w:rPr>
          <w:lang w:val="en-NZ"/>
        </w:rPr>
        <w:t xml:space="preserve">nau/families, </w:t>
      </w:r>
      <w:r w:rsidR="00314C9D">
        <w:rPr>
          <w:lang w:val="en-NZ"/>
        </w:rPr>
        <w:t xml:space="preserve">whānau affected by </w:t>
      </w:r>
      <w:r>
        <w:rPr>
          <w:lang w:val="en-NZ"/>
        </w:rPr>
        <w:t>gaming and gambling</w:t>
      </w:r>
      <w:r w:rsidR="00C76085">
        <w:rPr>
          <w:lang w:val="en-NZ"/>
        </w:rPr>
        <w:t>, online self-help and intervention services.</w:t>
      </w:r>
    </w:p>
    <w:p w14:paraId="2B8F2E28" w14:textId="7C0EE9C3" w:rsidR="00C76085" w:rsidRPr="00BC14AE" w:rsidRDefault="00C76085" w:rsidP="009F64D5">
      <w:pPr>
        <w:rPr>
          <w:lang w:val="en-NZ"/>
        </w:rPr>
      </w:pPr>
      <w:r>
        <w:rPr>
          <w:b/>
          <w:bCs/>
          <w:lang w:val="en-NZ"/>
        </w:rPr>
        <w:lastRenderedPageBreak/>
        <w:t>Integrate responses for comorbidities and co-ex</w:t>
      </w:r>
      <w:r w:rsidR="00BC14AE">
        <w:rPr>
          <w:b/>
          <w:bCs/>
          <w:lang w:val="en-NZ"/>
        </w:rPr>
        <w:t>i</w:t>
      </w:r>
      <w:r>
        <w:rPr>
          <w:b/>
          <w:bCs/>
          <w:lang w:val="en-NZ"/>
        </w:rPr>
        <w:t xml:space="preserve">sting issues: </w:t>
      </w:r>
      <w:r w:rsidR="00417AD5">
        <w:rPr>
          <w:lang w:val="en-NZ"/>
        </w:rPr>
        <w:t>T</w:t>
      </w:r>
      <w:r w:rsidR="00BC14AE">
        <w:rPr>
          <w:lang w:val="en-NZ"/>
        </w:rPr>
        <w:t xml:space="preserve">o minimise potential </w:t>
      </w:r>
      <w:r w:rsidR="00417AD5">
        <w:rPr>
          <w:lang w:val="en-NZ"/>
        </w:rPr>
        <w:t>client</w:t>
      </w:r>
      <w:r w:rsidR="00BC14AE">
        <w:rPr>
          <w:lang w:val="en-NZ"/>
        </w:rPr>
        <w:t xml:space="preserve"> re</w:t>
      </w:r>
      <w:r w:rsidR="00417AD5">
        <w:rPr>
          <w:lang w:val="en-NZ"/>
        </w:rPr>
        <w:t>-</w:t>
      </w:r>
      <w:r w:rsidR="00BC14AE">
        <w:rPr>
          <w:lang w:val="en-NZ"/>
        </w:rPr>
        <w:t>traumatis</w:t>
      </w:r>
      <w:r w:rsidR="00417AD5">
        <w:rPr>
          <w:lang w:val="en-NZ"/>
        </w:rPr>
        <w:t xml:space="preserve">ation </w:t>
      </w:r>
      <w:r w:rsidR="00BC14AE">
        <w:rPr>
          <w:lang w:val="en-NZ"/>
        </w:rPr>
        <w:t xml:space="preserve">and </w:t>
      </w:r>
      <w:r w:rsidR="00417AD5">
        <w:rPr>
          <w:lang w:val="en-NZ"/>
        </w:rPr>
        <w:t xml:space="preserve">deliver </w:t>
      </w:r>
      <w:r w:rsidR="00BC14AE">
        <w:rPr>
          <w:lang w:val="en-NZ"/>
        </w:rPr>
        <w:t>more efficient and effective service</w:t>
      </w:r>
      <w:r w:rsidR="00DA7D63">
        <w:rPr>
          <w:lang w:val="en-NZ"/>
        </w:rPr>
        <w:t>s</w:t>
      </w:r>
      <w:r w:rsidR="00BC14AE">
        <w:rPr>
          <w:lang w:val="en-NZ"/>
        </w:rPr>
        <w:t>.</w:t>
      </w:r>
    </w:p>
    <w:p w14:paraId="053D0C2A" w14:textId="77777777" w:rsidR="007907F0" w:rsidRDefault="00E9517B" w:rsidP="0043438C">
      <w:pPr>
        <w:shd w:val="clear" w:color="auto" w:fill="D9D9D9" w:themeFill="background1" w:themeFillShade="D9"/>
        <w:spacing w:after="60"/>
        <w:rPr>
          <w:b/>
          <w:bCs/>
        </w:rPr>
      </w:pPr>
      <w:r>
        <w:rPr>
          <w:b/>
          <w:bCs/>
        </w:rPr>
        <w:t>Addressing gaps in</w:t>
      </w:r>
      <w:r w:rsidR="00D603AE">
        <w:rPr>
          <w:b/>
          <w:bCs/>
        </w:rPr>
        <w:t xml:space="preserve"> </w:t>
      </w:r>
      <w:r w:rsidR="007A27A9">
        <w:rPr>
          <w:b/>
          <w:bCs/>
          <w:lang w:val="en-NZ"/>
        </w:rPr>
        <w:t>‘</w:t>
      </w:r>
      <w:r w:rsidR="00D603AE">
        <w:rPr>
          <w:b/>
          <w:bCs/>
          <w:lang w:val="en-NZ"/>
        </w:rPr>
        <w:t>practice (public health)</w:t>
      </w:r>
      <w:r w:rsidR="007A27A9">
        <w:rPr>
          <w:b/>
          <w:bCs/>
          <w:lang w:val="en-NZ"/>
        </w:rPr>
        <w:t>’</w:t>
      </w:r>
      <w:r w:rsidR="00D603AE">
        <w:rPr>
          <w:b/>
          <w:bCs/>
          <w:lang w:val="en-NZ"/>
        </w:rPr>
        <w:t xml:space="preserve"> </w:t>
      </w:r>
      <w:r>
        <w:rPr>
          <w:b/>
          <w:bCs/>
        </w:rPr>
        <w:t>relating to</w:t>
      </w:r>
      <w:r w:rsidR="007907F0">
        <w:rPr>
          <w:b/>
          <w:bCs/>
        </w:rPr>
        <w:t>:</w:t>
      </w:r>
    </w:p>
    <w:p w14:paraId="11B0DC46" w14:textId="6A83E6CF" w:rsidR="007907F0" w:rsidRDefault="007907F0" w:rsidP="0043438C">
      <w:pPr>
        <w:shd w:val="clear" w:color="auto" w:fill="D9D9D9" w:themeFill="background1" w:themeFillShade="D9"/>
        <w:spacing w:after="60"/>
        <w:rPr>
          <w:lang w:val="en-NZ"/>
        </w:rPr>
      </w:pPr>
      <w:r>
        <w:rPr>
          <w:b/>
          <w:bCs/>
          <w:lang w:val="en-NZ"/>
        </w:rPr>
        <w:t xml:space="preserve">Objective 5: </w:t>
      </w:r>
      <w:r>
        <w:rPr>
          <w:lang w:val="en-NZ"/>
        </w:rPr>
        <w:t>People understand and acknowledge the range of gambling harms that affect individuals, families, whānau and communities.</w:t>
      </w:r>
    </w:p>
    <w:p w14:paraId="66CCBF40" w14:textId="77777777" w:rsidR="007907F0" w:rsidRDefault="007907F0" w:rsidP="0043438C">
      <w:pPr>
        <w:shd w:val="clear" w:color="auto" w:fill="D9D9D9" w:themeFill="background1" w:themeFillShade="D9"/>
        <w:spacing w:after="60"/>
        <w:rPr>
          <w:lang w:val="en-NZ"/>
        </w:rPr>
      </w:pPr>
      <w:r>
        <w:rPr>
          <w:b/>
          <w:bCs/>
          <w:lang w:val="en-NZ"/>
        </w:rPr>
        <w:t xml:space="preserve">Objective 8: </w:t>
      </w:r>
      <w:r>
        <w:rPr>
          <w:lang w:val="en-NZ"/>
        </w:rPr>
        <w:t>Gambling environments are designed to prevent and minimise gambling harm.</w:t>
      </w:r>
    </w:p>
    <w:p w14:paraId="458A8F27" w14:textId="471D8D54" w:rsidR="004B48D8" w:rsidRDefault="007907F0" w:rsidP="0043438C">
      <w:pPr>
        <w:shd w:val="clear" w:color="auto" w:fill="D9D9D9" w:themeFill="background1" w:themeFillShade="D9"/>
        <w:spacing w:after="60"/>
        <w:rPr>
          <w:b/>
          <w:bCs/>
          <w:lang w:val="en-NZ"/>
        </w:rPr>
      </w:pPr>
      <w:r>
        <w:rPr>
          <w:b/>
          <w:bCs/>
          <w:lang w:val="en-NZ"/>
        </w:rPr>
        <w:t xml:space="preserve">Objective 9: </w:t>
      </w:r>
      <w:r>
        <w:rPr>
          <w:lang w:val="en-NZ"/>
        </w:rPr>
        <w:t>Services raise awareness about the signs and range of gambling harms that affect individuals, families, whānau and communities, and how to respond.</w:t>
      </w:r>
      <w:r w:rsidR="004B48D8">
        <w:rPr>
          <w:b/>
          <w:bCs/>
          <w:lang w:val="en-NZ"/>
        </w:rPr>
        <w:t xml:space="preserve"> </w:t>
      </w:r>
    </w:p>
    <w:p w14:paraId="6C77F7EB" w14:textId="6358B976" w:rsidR="004B48D8" w:rsidRDefault="00C03AB1" w:rsidP="009F64D5">
      <w:pPr>
        <w:rPr>
          <w:lang w:val="en-NZ"/>
        </w:rPr>
      </w:pPr>
      <w:r>
        <w:rPr>
          <w:b/>
          <w:bCs/>
          <w:lang w:val="en-NZ"/>
        </w:rPr>
        <w:t xml:space="preserve">Promotion and public health messaging: </w:t>
      </w:r>
      <w:r>
        <w:rPr>
          <w:lang w:val="en-NZ"/>
        </w:rPr>
        <w:t>Review public health activities, resources and messaging to ensure messages are consistent, informative and aligned with different cultural worldvi</w:t>
      </w:r>
      <w:r w:rsidR="00D2749E">
        <w:rPr>
          <w:lang w:val="en-NZ"/>
        </w:rPr>
        <w:t xml:space="preserve">ews, individuals, affected others and wider whānau. </w:t>
      </w:r>
      <w:r w:rsidR="00A24A25">
        <w:rPr>
          <w:lang w:val="en-NZ"/>
        </w:rPr>
        <w:t xml:space="preserve">Promote </w:t>
      </w:r>
      <w:r w:rsidR="00486F2B">
        <w:rPr>
          <w:lang w:val="en-NZ"/>
        </w:rPr>
        <w:t xml:space="preserve">key </w:t>
      </w:r>
      <w:r w:rsidR="00A24A25">
        <w:rPr>
          <w:lang w:val="en-NZ"/>
        </w:rPr>
        <w:t>messages to increase understandings about harmful gambling definitions and behaviours</w:t>
      </w:r>
      <w:r w:rsidR="00CA5D8D">
        <w:rPr>
          <w:lang w:val="en-NZ"/>
        </w:rPr>
        <w:t xml:space="preserve"> – and when to seek help, collective community connections and responsibility</w:t>
      </w:r>
      <w:r w:rsidR="00987317">
        <w:rPr>
          <w:lang w:val="en-NZ"/>
        </w:rPr>
        <w:t>, engaging in safe conversations about wellbeing, mana-enhancing and destigmatising themes</w:t>
      </w:r>
      <w:r w:rsidR="00486F2B">
        <w:rPr>
          <w:lang w:val="en-NZ"/>
        </w:rPr>
        <w:t>, whānau/family intervention services, community funds and gambling industry marketing</w:t>
      </w:r>
      <w:r w:rsidR="00987317">
        <w:rPr>
          <w:lang w:val="en-NZ"/>
        </w:rPr>
        <w:t>.</w:t>
      </w:r>
      <w:r w:rsidR="00D81E6D">
        <w:rPr>
          <w:lang w:val="en-NZ"/>
        </w:rPr>
        <w:t xml:space="preserve"> </w:t>
      </w:r>
    </w:p>
    <w:p w14:paraId="6ECCAA03" w14:textId="7F2B3738" w:rsidR="001650B9" w:rsidRDefault="001650B9" w:rsidP="009F64D5">
      <w:pPr>
        <w:rPr>
          <w:lang w:val="en-NZ"/>
        </w:rPr>
      </w:pPr>
      <w:r>
        <w:rPr>
          <w:b/>
          <w:bCs/>
          <w:lang w:val="en-NZ"/>
        </w:rPr>
        <w:t xml:space="preserve">Public health and health promotion capacity and capability: </w:t>
      </w:r>
      <w:r w:rsidR="00CD737D">
        <w:rPr>
          <w:lang w:val="en-NZ"/>
        </w:rPr>
        <w:t xml:space="preserve">Ensure adequate capacity to provide consistent health promotion outputs, resources and activities. </w:t>
      </w:r>
      <w:r w:rsidR="00E2144D">
        <w:rPr>
          <w:lang w:val="en-NZ"/>
        </w:rPr>
        <w:t xml:space="preserve">Reconsider the production of merchandise for public health </w:t>
      </w:r>
      <w:r w:rsidR="0052566A">
        <w:rPr>
          <w:lang w:val="en-NZ"/>
        </w:rPr>
        <w:t xml:space="preserve">and intervention service </w:t>
      </w:r>
      <w:r w:rsidR="00E2144D">
        <w:rPr>
          <w:lang w:val="en-NZ"/>
        </w:rPr>
        <w:t>provider and community engagements.</w:t>
      </w:r>
    </w:p>
    <w:p w14:paraId="54371789" w14:textId="47AC1106" w:rsidR="00A02EBB" w:rsidRPr="004B48D8" w:rsidRDefault="00E9517B" w:rsidP="00BC14AE">
      <w:pPr>
        <w:shd w:val="clear" w:color="auto" w:fill="D9D9D9" w:themeFill="background1" w:themeFillShade="D9"/>
        <w:rPr>
          <w:b/>
          <w:bCs/>
          <w:lang w:val="en-NZ"/>
        </w:rPr>
      </w:pPr>
      <w:r>
        <w:rPr>
          <w:b/>
          <w:bCs/>
        </w:rPr>
        <w:t xml:space="preserve">Addressing gaps in </w:t>
      </w:r>
      <w:r w:rsidR="007A27A9">
        <w:rPr>
          <w:b/>
          <w:bCs/>
        </w:rPr>
        <w:t>‘</w:t>
      </w:r>
      <w:r w:rsidR="00D603AE">
        <w:rPr>
          <w:b/>
          <w:bCs/>
        </w:rPr>
        <w:t>research and evaluation</w:t>
      </w:r>
      <w:r w:rsidR="007A27A9">
        <w:rPr>
          <w:b/>
          <w:bCs/>
        </w:rPr>
        <w:t>’</w:t>
      </w:r>
      <w:r>
        <w:rPr>
          <w:b/>
          <w:bCs/>
        </w:rPr>
        <w:t xml:space="preserve"> relating to </w:t>
      </w:r>
      <w:r w:rsidR="00A02EBB">
        <w:rPr>
          <w:b/>
          <w:bCs/>
          <w:lang w:val="en-NZ"/>
        </w:rPr>
        <w:t>Objective 11</w:t>
      </w:r>
      <w:r w:rsidR="007907F0">
        <w:rPr>
          <w:b/>
          <w:bCs/>
          <w:lang w:val="en-NZ"/>
        </w:rPr>
        <w:t xml:space="preserve">: </w:t>
      </w:r>
      <w:r w:rsidR="007907F0">
        <w:rPr>
          <w:lang w:val="en-NZ"/>
        </w:rPr>
        <w:t>A programme of research and evaluation establishes an evidence base that underpins all activities to prevent and minimise gambling harm.</w:t>
      </w:r>
      <w:r w:rsidR="00A02EBB">
        <w:rPr>
          <w:b/>
          <w:bCs/>
          <w:lang w:val="en-NZ"/>
        </w:rPr>
        <w:t xml:space="preserve"> </w:t>
      </w:r>
    </w:p>
    <w:p w14:paraId="1CC59BAC" w14:textId="7F00C749" w:rsidR="00771384" w:rsidRPr="00F04EAD" w:rsidRDefault="00F04EAD" w:rsidP="00771384">
      <w:pPr>
        <w:rPr>
          <w:lang w:val="en-NZ"/>
        </w:rPr>
      </w:pPr>
      <w:r>
        <w:rPr>
          <w:b/>
          <w:bCs/>
          <w:lang w:val="en-NZ"/>
        </w:rPr>
        <w:t>E</w:t>
      </w:r>
      <w:r w:rsidRPr="007F6ACE">
        <w:rPr>
          <w:b/>
          <w:bCs/>
          <w:lang w:val="en-NZ"/>
        </w:rPr>
        <w:t xml:space="preserve">vidence to inform </w:t>
      </w:r>
      <w:r>
        <w:rPr>
          <w:b/>
          <w:bCs/>
          <w:lang w:val="en-NZ"/>
        </w:rPr>
        <w:t>provider contracting and procurement</w:t>
      </w:r>
      <w:r w:rsidRPr="007F6ACE">
        <w:rPr>
          <w:b/>
          <w:bCs/>
          <w:lang w:val="en-NZ"/>
        </w:rPr>
        <w:t>:</w:t>
      </w:r>
      <w:r>
        <w:rPr>
          <w:b/>
          <w:bCs/>
          <w:lang w:val="en-NZ"/>
        </w:rPr>
        <w:t xml:space="preserve"> </w:t>
      </w:r>
      <w:r>
        <w:rPr>
          <w:lang w:val="en-NZ"/>
        </w:rPr>
        <w:t xml:space="preserve">Ensure adequate evidence </w:t>
      </w:r>
      <w:r w:rsidR="0060316D">
        <w:rPr>
          <w:lang w:val="en-NZ"/>
        </w:rPr>
        <w:t xml:space="preserve">is available/provided to ensure funding and service models measure service delivery in </w:t>
      </w:r>
      <w:r w:rsidR="006B73BC">
        <w:rPr>
          <w:lang w:val="en-NZ"/>
        </w:rPr>
        <w:t xml:space="preserve">equitable and </w:t>
      </w:r>
      <w:r w:rsidR="0060316D">
        <w:rPr>
          <w:lang w:val="en-NZ"/>
        </w:rPr>
        <w:t xml:space="preserve">culturally responsive ways. </w:t>
      </w:r>
    </w:p>
    <w:p w14:paraId="49DF9DC7" w14:textId="30F39584" w:rsidR="008F622E" w:rsidRDefault="005107B3" w:rsidP="0026514C">
      <w:r>
        <w:rPr>
          <w:b/>
          <w:bCs/>
        </w:rPr>
        <w:t xml:space="preserve">Evaluation: </w:t>
      </w:r>
      <w:r>
        <w:t>Embed evaluation into all pilot projects and services</w:t>
      </w:r>
      <w:r w:rsidR="007963F6">
        <w:t>. Ensure research and evaluation projects are coordinated and</w:t>
      </w:r>
      <w:r w:rsidR="00A84677">
        <w:t xml:space="preserve"> </w:t>
      </w:r>
      <w:r w:rsidR="00FE120D">
        <w:t>well-</w:t>
      </w:r>
      <w:r w:rsidR="00A84677">
        <w:t>timed to inform policy and practice development and strategy.</w:t>
      </w:r>
    </w:p>
    <w:p w14:paraId="251D1E69" w14:textId="3E4EB749" w:rsidR="00A84677" w:rsidRPr="002F108B" w:rsidRDefault="00A84677" w:rsidP="00A84677">
      <w:pPr>
        <w:rPr>
          <w:b/>
          <w:lang w:val="en-NZ"/>
        </w:rPr>
      </w:pPr>
      <w:r w:rsidRPr="002F108B">
        <w:rPr>
          <w:b/>
          <w:lang w:val="en-NZ"/>
        </w:rPr>
        <w:t xml:space="preserve">A commitment to action from the Ministry/Government in response to research </w:t>
      </w:r>
      <w:r w:rsidRPr="00DE219E">
        <w:rPr>
          <w:b/>
          <w:lang w:val="en-NZ"/>
        </w:rPr>
        <w:t>recommendations</w:t>
      </w:r>
      <w:r w:rsidRPr="002F108B">
        <w:rPr>
          <w:b/>
          <w:lang w:val="en-NZ"/>
        </w:rPr>
        <w:t>:</w:t>
      </w:r>
      <w:r w:rsidRPr="002F108B">
        <w:rPr>
          <w:lang w:val="en-NZ"/>
        </w:rPr>
        <w:t xml:space="preserve"> </w:t>
      </w:r>
      <w:r w:rsidR="00985AEB">
        <w:rPr>
          <w:lang w:val="en-NZ"/>
        </w:rPr>
        <w:t>Strongly encourage</w:t>
      </w:r>
      <w:r w:rsidRPr="002F108B">
        <w:rPr>
          <w:lang w:val="en-NZ"/>
        </w:rPr>
        <w:t xml:space="preserve"> government </w:t>
      </w:r>
      <w:r w:rsidR="002B1B8E">
        <w:rPr>
          <w:lang w:val="en-NZ"/>
        </w:rPr>
        <w:t>agency feedback on how</w:t>
      </w:r>
      <w:r w:rsidRPr="002F108B">
        <w:rPr>
          <w:lang w:val="en-NZ"/>
        </w:rPr>
        <w:t xml:space="preserve"> research findings have/will be used to inform strategic thinking, practice and policy.</w:t>
      </w:r>
    </w:p>
    <w:p w14:paraId="6924644E" w14:textId="0BBBC2B9" w:rsidR="00A84677" w:rsidRDefault="00BC78C6" w:rsidP="00A84677">
      <w:pPr>
        <w:rPr>
          <w:lang w:val="en-NZ"/>
        </w:rPr>
      </w:pPr>
      <w:r>
        <w:rPr>
          <w:b/>
          <w:lang w:val="en-NZ"/>
        </w:rPr>
        <w:t>Accessible r</w:t>
      </w:r>
      <w:r w:rsidR="00A84677" w:rsidRPr="002F108B">
        <w:rPr>
          <w:b/>
          <w:lang w:val="en-NZ"/>
        </w:rPr>
        <w:t>esearch findings</w:t>
      </w:r>
      <w:r>
        <w:rPr>
          <w:b/>
          <w:lang w:val="en-NZ"/>
        </w:rPr>
        <w:t xml:space="preserve">: </w:t>
      </w:r>
      <w:r>
        <w:rPr>
          <w:bCs/>
          <w:lang w:val="en-NZ"/>
        </w:rPr>
        <w:t xml:space="preserve">Ensure research </w:t>
      </w:r>
      <w:r w:rsidRPr="00BC78C6">
        <w:rPr>
          <w:bCs/>
          <w:lang w:val="en-NZ"/>
        </w:rPr>
        <w:t>findings</w:t>
      </w:r>
      <w:r w:rsidR="00A84677" w:rsidRPr="00BC78C6">
        <w:rPr>
          <w:bCs/>
          <w:lang w:val="en-NZ"/>
        </w:rPr>
        <w:t xml:space="preserve"> are disseminated and accessible to the entire gambling sector</w:t>
      </w:r>
      <w:r w:rsidR="009F6F16">
        <w:rPr>
          <w:bCs/>
          <w:lang w:val="en-NZ"/>
        </w:rPr>
        <w:t xml:space="preserve"> and communicated in ways that</w:t>
      </w:r>
      <w:r w:rsidR="00D81E6D">
        <w:rPr>
          <w:bCs/>
          <w:lang w:val="en-NZ"/>
        </w:rPr>
        <w:t xml:space="preserve"> </w:t>
      </w:r>
      <w:r w:rsidR="00A84677" w:rsidRPr="002F108B">
        <w:rPr>
          <w:lang w:val="en-NZ"/>
        </w:rPr>
        <w:t xml:space="preserve">resonate with different communities. </w:t>
      </w:r>
    </w:p>
    <w:p w14:paraId="54FA5C86" w14:textId="7BDFC360" w:rsidR="00A84677" w:rsidRPr="005107B3" w:rsidRDefault="007659EA" w:rsidP="0026514C">
      <w:r>
        <w:rPr>
          <w:b/>
          <w:bCs/>
          <w:lang w:val="en-NZ"/>
        </w:rPr>
        <w:t xml:space="preserve">Addressing research gaps: </w:t>
      </w:r>
      <w:r w:rsidR="00CE2D3B">
        <w:rPr>
          <w:lang w:val="en-NZ"/>
        </w:rPr>
        <w:t>Broaden the evidence-base for g</w:t>
      </w:r>
      <w:r w:rsidR="00CE2D3B" w:rsidRPr="00CE2D3B">
        <w:rPr>
          <w:lang w:val="en-NZ"/>
        </w:rPr>
        <w:t xml:space="preserve">aming and gambling, clients who relapse/drop-out or do not attend, </w:t>
      </w:r>
      <w:r w:rsidR="007E7725">
        <w:rPr>
          <w:lang w:val="en-NZ"/>
        </w:rPr>
        <w:t xml:space="preserve">and </w:t>
      </w:r>
      <w:r w:rsidR="00CE2D3B" w:rsidRPr="00CE2D3B">
        <w:rPr>
          <w:lang w:val="en-NZ"/>
        </w:rPr>
        <w:t>gambling harm</w:t>
      </w:r>
      <w:r w:rsidR="00CE2D3B">
        <w:rPr>
          <w:lang w:val="en-NZ"/>
        </w:rPr>
        <w:t>.</w:t>
      </w:r>
      <w:r w:rsidR="006A6703">
        <w:rPr>
          <w:lang w:val="en-NZ"/>
        </w:rPr>
        <w:t xml:space="preserve"> Provide frequent data collection and monitoring of robust</w:t>
      </w:r>
      <w:r w:rsidR="00CE2D3B" w:rsidRPr="00CE2D3B">
        <w:rPr>
          <w:lang w:val="en-NZ"/>
        </w:rPr>
        <w:t xml:space="preserve"> prevalence </w:t>
      </w:r>
      <w:r w:rsidR="006A6703">
        <w:rPr>
          <w:lang w:val="en-NZ"/>
        </w:rPr>
        <w:t xml:space="preserve">data </w:t>
      </w:r>
      <w:r w:rsidR="00CE2D3B" w:rsidRPr="00CE2D3B">
        <w:rPr>
          <w:lang w:val="en-NZ"/>
        </w:rPr>
        <w:t>– synthesise multiple and conflicting databases and analysis.</w:t>
      </w:r>
    </w:p>
    <w:p w14:paraId="0A49D2F3" w14:textId="034C04A1" w:rsidR="00476EBA" w:rsidRPr="002F108B" w:rsidRDefault="00E02EA6" w:rsidP="00BE490C">
      <w:pPr>
        <w:pStyle w:val="Heading1"/>
        <w:rPr>
          <w:lang w:val="en-NZ"/>
        </w:rPr>
      </w:pPr>
      <w:bookmarkStart w:id="57" w:name="_Toc76469770"/>
      <w:r w:rsidRPr="002F108B">
        <w:rPr>
          <w:lang w:val="en-NZ"/>
        </w:rPr>
        <w:lastRenderedPageBreak/>
        <w:t>Background</w:t>
      </w:r>
      <w:bookmarkEnd w:id="1"/>
      <w:bookmarkEnd w:id="2"/>
      <w:bookmarkEnd w:id="57"/>
    </w:p>
    <w:p w14:paraId="2DA3751A" w14:textId="15DB8767" w:rsidR="007B54B6" w:rsidRPr="002F108B" w:rsidRDefault="007B54B6" w:rsidP="00A83AE9">
      <w:pPr>
        <w:rPr>
          <w:lang w:val="en-NZ"/>
        </w:rPr>
      </w:pPr>
      <w:r w:rsidRPr="002F108B">
        <w:rPr>
          <w:lang w:val="en-NZ"/>
        </w:rPr>
        <w:t xml:space="preserve">Under the Gambling Act 2003 (s318), the Ministry is required to undertake a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Pr="002F108B">
        <w:rPr>
          <w:lang w:val="en-NZ"/>
        </w:rPr>
        <w:t xml:space="preserve"> to inform the development of the three-year Strategy to Prevent and Minimise Gambling Harm</w:t>
      </w:r>
      <w:r w:rsidR="007C396C">
        <w:rPr>
          <w:lang w:val="en-NZ"/>
        </w:rPr>
        <w:t xml:space="preserve">. </w:t>
      </w:r>
      <w:r w:rsidRPr="002F108B">
        <w:rPr>
          <w:lang w:val="en-NZ"/>
        </w:rPr>
        <w:t xml:space="preserve">The Ministry commissioned external agencies to conduct </w:t>
      </w:r>
      <w:r w:rsidR="005117BF" w:rsidRPr="002F108B">
        <w:rPr>
          <w:lang w:val="en-NZ"/>
        </w:rPr>
        <w:t>N</w:t>
      </w:r>
      <w:r w:rsidRPr="002F108B">
        <w:rPr>
          <w:lang w:val="en-NZ"/>
        </w:rPr>
        <w:t xml:space="preserve">eeds </w:t>
      </w:r>
      <w:r w:rsidR="005117BF" w:rsidRPr="002F108B">
        <w:rPr>
          <w:lang w:val="en-NZ"/>
        </w:rPr>
        <w:t>A</w:t>
      </w:r>
      <w:r w:rsidRPr="002F108B">
        <w:rPr>
          <w:lang w:val="en-NZ"/>
        </w:rPr>
        <w:t>ssessment reports in 2009</w:t>
      </w:r>
      <w:r w:rsidRPr="002F108B">
        <w:rPr>
          <w:rStyle w:val="FootnoteReference"/>
          <w:sz w:val="20"/>
          <w:szCs w:val="20"/>
          <w:lang w:val="en-NZ"/>
        </w:rPr>
        <w:footnoteReference w:id="2"/>
      </w:r>
      <w:r w:rsidRPr="002F108B">
        <w:rPr>
          <w:lang w:val="en-NZ"/>
        </w:rPr>
        <w:t>, 2012</w:t>
      </w:r>
      <w:r w:rsidRPr="002F108B">
        <w:rPr>
          <w:rStyle w:val="FootnoteReference"/>
          <w:sz w:val="20"/>
          <w:szCs w:val="20"/>
          <w:lang w:val="en-NZ"/>
        </w:rPr>
        <w:footnoteReference w:id="3"/>
      </w:r>
      <w:r w:rsidRPr="002F108B">
        <w:rPr>
          <w:lang w:val="en-NZ"/>
        </w:rPr>
        <w:t>, 2015</w:t>
      </w:r>
      <w:r w:rsidRPr="002F108B">
        <w:rPr>
          <w:rStyle w:val="FootnoteReference"/>
          <w:lang w:val="en-NZ"/>
        </w:rPr>
        <w:footnoteReference w:id="4"/>
      </w:r>
      <w:r w:rsidRPr="002F108B">
        <w:rPr>
          <w:lang w:val="en-NZ"/>
        </w:rPr>
        <w:t xml:space="preserve"> and 2018</w:t>
      </w:r>
      <w:r w:rsidRPr="002F108B">
        <w:rPr>
          <w:rStyle w:val="FootnoteReference"/>
          <w:rFonts w:ascii="Arial" w:eastAsiaTheme="majorEastAsia" w:hAnsi="Arial" w:cs="Arial"/>
          <w:lang w:val="en-NZ"/>
        </w:rPr>
        <w:footnoteReference w:id="5"/>
      </w:r>
      <w:r w:rsidRPr="002F108B">
        <w:rPr>
          <w:lang w:val="en-NZ"/>
        </w:rPr>
        <w:t xml:space="preserve"> for consultation and </w:t>
      </w:r>
      <w:r w:rsidR="00391594">
        <w:rPr>
          <w:lang w:val="en-NZ"/>
        </w:rPr>
        <w:t xml:space="preserve">to inform </w:t>
      </w:r>
      <w:r w:rsidR="00FC3EB5">
        <w:rPr>
          <w:lang w:val="en-NZ"/>
        </w:rPr>
        <w:t xml:space="preserve">the </w:t>
      </w:r>
      <w:r w:rsidRPr="002F108B">
        <w:rPr>
          <w:lang w:val="en-NZ"/>
        </w:rPr>
        <w:t xml:space="preserve">development of the respective three-year strategies. The Ministry </w:t>
      </w:r>
      <w:r w:rsidR="0070601A" w:rsidRPr="002F108B">
        <w:rPr>
          <w:lang w:val="en-NZ"/>
        </w:rPr>
        <w:t xml:space="preserve">commissioned Malatest International to </w:t>
      </w:r>
      <w:r w:rsidRPr="002F108B">
        <w:rPr>
          <w:lang w:val="en-NZ"/>
        </w:rPr>
        <w:t xml:space="preserve">conduct </w:t>
      </w:r>
      <w:r w:rsidR="005117BF" w:rsidRPr="002F108B">
        <w:rPr>
          <w:lang w:val="en-NZ"/>
        </w:rPr>
        <w:t>the</w:t>
      </w:r>
      <w:r w:rsidRPr="002F108B">
        <w:rPr>
          <w:lang w:val="en-NZ"/>
        </w:rPr>
        <w:t xml:space="preserve"> </w:t>
      </w:r>
      <w:r w:rsidR="0070601A" w:rsidRPr="002F108B">
        <w:rPr>
          <w:lang w:val="en-NZ"/>
        </w:rPr>
        <w:t xml:space="preserve">Gambling Harm </w:t>
      </w:r>
      <w:r w:rsidR="00FC26F9" w:rsidRPr="002F108B">
        <w:rPr>
          <w:lang w:val="en-NZ"/>
        </w:rPr>
        <w:t>N</w:t>
      </w:r>
      <w:r w:rsidRPr="002F108B">
        <w:rPr>
          <w:lang w:val="en-NZ"/>
        </w:rPr>
        <w:t xml:space="preserve">eeds </w:t>
      </w:r>
      <w:r w:rsidR="00FC26F9" w:rsidRPr="002F108B">
        <w:rPr>
          <w:lang w:val="en-NZ"/>
        </w:rPr>
        <w:t>A</w:t>
      </w:r>
      <w:r w:rsidRPr="002F108B">
        <w:rPr>
          <w:lang w:val="en-NZ"/>
        </w:rPr>
        <w:t xml:space="preserve">ssessment </w:t>
      </w:r>
      <w:r w:rsidR="00FC26F9" w:rsidRPr="002F108B">
        <w:rPr>
          <w:lang w:val="en-NZ"/>
        </w:rPr>
        <w:t>2021</w:t>
      </w:r>
      <w:r w:rsidRPr="002F108B">
        <w:rPr>
          <w:lang w:val="en-NZ"/>
        </w:rPr>
        <w:t xml:space="preserve"> to inform the 2022/23-2024/25</w:t>
      </w:r>
      <w:r w:rsidR="00391594">
        <w:rPr>
          <w:lang w:val="en-NZ"/>
        </w:rPr>
        <w:t xml:space="preserve"> Strategy</w:t>
      </w:r>
      <w:r w:rsidRPr="002F108B">
        <w:rPr>
          <w:lang w:val="en-NZ"/>
        </w:rPr>
        <w:t>.</w:t>
      </w:r>
    </w:p>
    <w:p w14:paraId="72D02B3A" w14:textId="044591DE" w:rsidR="007B54B6" w:rsidRPr="002F108B" w:rsidRDefault="007B54B6" w:rsidP="00A83AE9">
      <w:pPr>
        <w:rPr>
          <w:lang w:val="en-NZ"/>
        </w:rPr>
      </w:pPr>
      <w:r w:rsidRPr="002F108B">
        <w:rPr>
          <w:lang w:val="en-NZ"/>
        </w:rPr>
        <w:t xml:space="preserve">As with previous years, the </w:t>
      </w:r>
      <w:r w:rsidR="00290E14">
        <w:rPr>
          <w:lang w:val="en-NZ"/>
        </w:rPr>
        <w:t>N</w:t>
      </w:r>
      <w:r w:rsidRPr="002F108B">
        <w:rPr>
          <w:lang w:val="en-NZ"/>
        </w:rPr>
        <w:t xml:space="preserve">eeds </w:t>
      </w:r>
      <w:r w:rsidR="00290E14">
        <w:rPr>
          <w:lang w:val="en-NZ"/>
        </w:rPr>
        <w:t>A</w:t>
      </w:r>
      <w:r w:rsidRPr="002F108B">
        <w:rPr>
          <w:lang w:val="en-NZ"/>
        </w:rPr>
        <w:t xml:space="preserve">ssessment </w:t>
      </w:r>
      <w:r w:rsidR="00FC26F9" w:rsidRPr="002F108B">
        <w:rPr>
          <w:lang w:val="en-NZ"/>
        </w:rPr>
        <w:t>is purposed to</w:t>
      </w:r>
      <w:r w:rsidRPr="002F108B">
        <w:rPr>
          <w:lang w:val="en-NZ"/>
        </w:rPr>
        <w:t xml:space="preserve">: </w:t>
      </w:r>
    </w:p>
    <w:p w14:paraId="37174688" w14:textId="4C9292FA" w:rsidR="007B54B6" w:rsidRPr="002F108B" w:rsidRDefault="007B54B6" w:rsidP="00045413">
      <w:pPr>
        <w:pStyle w:val="Bulletpointindented"/>
      </w:pPr>
      <w:r w:rsidRPr="002F108B">
        <w:t xml:space="preserve">Identify changes in the evidence since the last </w:t>
      </w:r>
      <w:r w:rsidR="00290E14">
        <w:t>N</w:t>
      </w:r>
      <w:r w:rsidRPr="002F108B">
        <w:t xml:space="preserve">eeds </w:t>
      </w:r>
      <w:r w:rsidR="00290E14">
        <w:t>A</w:t>
      </w:r>
      <w:r w:rsidRPr="002F108B">
        <w:t>ssessment completed in 2018</w:t>
      </w:r>
    </w:p>
    <w:p w14:paraId="12F9AFFE" w14:textId="7620CC56" w:rsidR="007B54B6" w:rsidRDefault="007B54B6" w:rsidP="00045413">
      <w:pPr>
        <w:pStyle w:val="Bulletpointindented"/>
      </w:pPr>
      <w:r w:rsidRPr="002F108B">
        <w:t>Identify gaps in service delivery</w:t>
      </w:r>
      <w:r w:rsidR="00FC26F9" w:rsidRPr="002F108B">
        <w:t>.</w:t>
      </w:r>
    </w:p>
    <w:p w14:paraId="291C2A71" w14:textId="0ACCAF13" w:rsidR="00C1621F" w:rsidRPr="002F108B" w:rsidRDefault="00C1621F" w:rsidP="00C1621F">
      <w:pPr>
        <w:rPr>
          <w:lang w:val="en-NZ"/>
        </w:rPr>
      </w:pPr>
      <w:r>
        <w:t xml:space="preserve">An additional requirement of the 2021 </w:t>
      </w:r>
      <w:r w:rsidR="00290E14">
        <w:t>N</w:t>
      </w:r>
      <w:r>
        <w:t xml:space="preserve">eeds </w:t>
      </w:r>
      <w:r w:rsidR="00290E14">
        <w:t>A</w:t>
      </w:r>
      <w:r>
        <w:t xml:space="preserve">ssessment </w:t>
      </w:r>
      <w:r w:rsidR="00E14503">
        <w:t>wa</w:t>
      </w:r>
      <w:r>
        <w:t>s to s</w:t>
      </w:r>
      <w:r w:rsidRPr="008A605E">
        <w:t xml:space="preserve">ummarise the Ministry’s progress across the 11 </w:t>
      </w:r>
      <w:r w:rsidR="001D6A9F">
        <w:t>Objective</w:t>
      </w:r>
      <w:r w:rsidRPr="008A605E">
        <w:t>s set out in the current Strategy 2019/20-2021/22</w:t>
      </w:r>
      <w:r w:rsidR="00E14503">
        <w:t>.</w:t>
      </w:r>
    </w:p>
    <w:p w14:paraId="7AEAB50D" w14:textId="16A8FCFF" w:rsidR="001635E2" w:rsidRPr="002F108B" w:rsidRDefault="001635E2" w:rsidP="00C1621F">
      <w:pPr>
        <w:pStyle w:val="Heading2"/>
      </w:pPr>
      <w:bookmarkStart w:id="58" w:name="_Toc76469771"/>
      <w:r w:rsidRPr="002F108B">
        <w:t>Method</w:t>
      </w:r>
      <w:r w:rsidR="000105DA">
        <w:t>s</w:t>
      </w:r>
      <w:bookmarkEnd w:id="58"/>
    </w:p>
    <w:p w14:paraId="36856DFC" w14:textId="16E0C099" w:rsidR="004A11AD" w:rsidRDefault="004A11AD" w:rsidP="00C1621F">
      <w:pPr>
        <w:pStyle w:val="Heading3"/>
      </w:pPr>
      <w:r>
        <w:t>Literature review</w:t>
      </w:r>
    </w:p>
    <w:p w14:paraId="286AA604" w14:textId="77777777" w:rsidR="00C36C3C" w:rsidRDefault="00C36C3C" w:rsidP="00C36C3C">
      <w:pPr>
        <w:rPr>
          <w:lang w:val="en-NZ"/>
        </w:rPr>
      </w:pPr>
      <w:r>
        <w:rPr>
          <w:lang w:val="en-NZ"/>
        </w:rPr>
        <w:t>A literature review was conducted to provide an update of national and international literature published between 2018 and December 2020. The literature reviewed recent evidence of relevance to prevalence and participation, harmful gambling risks, gambling venues and expenditure, gambling harm minimisation services, forms of gambling and changing technologies and potential impacts, social and cultural impacts, and comorbidities.</w:t>
      </w:r>
    </w:p>
    <w:p w14:paraId="2E83A0B7" w14:textId="4663C8FC" w:rsidR="005663E5" w:rsidRPr="005663E5" w:rsidRDefault="005663E5" w:rsidP="005663E5">
      <w:pPr>
        <w:rPr>
          <w:lang w:val="en-NZ"/>
        </w:rPr>
      </w:pPr>
      <w:r w:rsidRPr="002F108B">
        <w:rPr>
          <w:lang w:val="en-NZ"/>
        </w:rPr>
        <w:t>The search methods and sources used to identify and access relevant literature include</w:t>
      </w:r>
      <w:r w:rsidR="00922756" w:rsidRPr="002F108B">
        <w:rPr>
          <w:lang w:val="en-NZ"/>
        </w:rPr>
        <w:t xml:space="preserve"> but are not limited to</w:t>
      </w:r>
      <w:r w:rsidRPr="002F108B">
        <w:rPr>
          <w:lang w:val="en-NZ"/>
        </w:rPr>
        <w:t>:</w:t>
      </w:r>
    </w:p>
    <w:p w14:paraId="495132E6" w14:textId="08DF93B8" w:rsidR="00C22A13" w:rsidRPr="00045413" w:rsidRDefault="00FC3F40" w:rsidP="00045413">
      <w:pPr>
        <w:pStyle w:val="Bulletpointindented"/>
        <w:rPr>
          <w:rFonts w:eastAsia="Acumin Pro"/>
        </w:rPr>
      </w:pPr>
      <w:r w:rsidRPr="00045413">
        <w:rPr>
          <w:rFonts w:eastAsia="Acumin Pro"/>
        </w:rPr>
        <w:t>R</w:t>
      </w:r>
      <w:r w:rsidR="00385D50" w:rsidRPr="00045413">
        <w:rPr>
          <w:rFonts w:eastAsia="Acumin Pro"/>
        </w:rPr>
        <w:t>ecent</w:t>
      </w:r>
      <w:r w:rsidR="00C0334A" w:rsidRPr="00045413">
        <w:rPr>
          <w:rFonts w:eastAsia="Acumin Pro"/>
        </w:rPr>
        <w:t xml:space="preserve"> </w:t>
      </w:r>
      <w:r w:rsidR="00C36C3C">
        <w:rPr>
          <w:rFonts w:eastAsia="Acumin Pro"/>
        </w:rPr>
        <w:t xml:space="preserve">issues </w:t>
      </w:r>
      <w:r w:rsidR="00462B45" w:rsidRPr="00045413">
        <w:rPr>
          <w:rFonts w:eastAsia="Acumin Pro"/>
        </w:rPr>
        <w:t xml:space="preserve">of </w:t>
      </w:r>
      <w:r w:rsidR="009F6428" w:rsidRPr="00045413">
        <w:rPr>
          <w:rFonts w:eastAsia="Acumin Pro"/>
        </w:rPr>
        <w:t>the</w:t>
      </w:r>
      <w:r w:rsidR="00462B45" w:rsidRPr="00045413">
        <w:rPr>
          <w:rFonts w:eastAsia="Acumin Pro"/>
        </w:rPr>
        <w:t xml:space="preserve"> </w:t>
      </w:r>
      <w:r w:rsidR="00AB3C6A" w:rsidRPr="00045413">
        <w:rPr>
          <w:rFonts w:eastAsia="Acumin Pro"/>
        </w:rPr>
        <w:t>four main</w:t>
      </w:r>
      <w:r w:rsidR="006335D2" w:rsidRPr="00045413">
        <w:rPr>
          <w:rFonts w:eastAsia="Acumin Pro"/>
        </w:rPr>
        <w:t xml:space="preserve"> </w:t>
      </w:r>
      <w:r w:rsidR="00B3398A" w:rsidRPr="00045413">
        <w:rPr>
          <w:rFonts w:eastAsia="Acumin Pro"/>
        </w:rPr>
        <w:t xml:space="preserve">gambling journals: </w:t>
      </w:r>
      <w:r w:rsidR="00B7587A" w:rsidRPr="00045413">
        <w:rPr>
          <w:rFonts w:eastAsia="Acumin Pro"/>
        </w:rPr>
        <w:t xml:space="preserve">Journal of Gambling Studies, International Journal of Mental Health and Addiction, </w:t>
      </w:r>
      <w:r w:rsidR="00BF0C50" w:rsidRPr="00045413">
        <w:rPr>
          <w:rFonts w:eastAsia="Acumin Pro"/>
        </w:rPr>
        <w:t xml:space="preserve">Journal </w:t>
      </w:r>
      <w:r w:rsidR="008C4F65" w:rsidRPr="00045413">
        <w:rPr>
          <w:rFonts w:eastAsia="Acumin Pro"/>
        </w:rPr>
        <w:t xml:space="preserve">of </w:t>
      </w:r>
      <w:r w:rsidR="00BF0C50" w:rsidRPr="00045413">
        <w:rPr>
          <w:rFonts w:eastAsia="Acumin Pro"/>
        </w:rPr>
        <w:t xml:space="preserve">Gambling Issues, and International </w:t>
      </w:r>
      <w:r w:rsidR="001C1281" w:rsidRPr="00045413">
        <w:rPr>
          <w:rFonts w:eastAsia="Acumin Pro"/>
        </w:rPr>
        <w:t>Gambling Studies</w:t>
      </w:r>
    </w:p>
    <w:p w14:paraId="32B2F882" w14:textId="71F55BEF" w:rsidR="004A6492" w:rsidRPr="00045413" w:rsidRDefault="00C22A13" w:rsidP="00045413">
      <w:pPr>
        <w:pStyle w:val="Bulletpointindented"/>
        <w:rPr>
          <w:rFonts w:eastAsia="Acumin Pro"/>
        </w:rPr>
      </w:pPr>
      <w:r w:rsidRPr="00045413">
        <w:rPr>
          <w:rFonts w:eastAsia="Acumin Pro"/>
        </w:rPr>
        <w:t>A</w:t>
      </w:r>
      <w:r w:rsidR="00E147DD" w:rsidRPr="00045413">
        <w:rPr>
          <w:rFonts w:eastAsia="Acumin Pro"/>
        </w:rPr>
        <w:t xml:space="preserve"> supplementary search of t</w:t>
      </w:r>
      <w:r w:rsidR="00D77E1E" w:rsidRPr="00045413">
        <w:rPr>
          <w:rFonts w:eastAsia="Acumin Pro"/>
        </w:rPr>
        <w:t xml:space="preserve">he </w:t>
      </w:r>
      <w:r w:rsidR="00892604" w:rsidRPr="00045413">
        <w:rPr>
          <w:rFonts w:eastAsia="Acumin Pro"/>
        </w:rPr>
        <w:t xml:space="preserve">Cochrane Library </w:t>
      </w:r>
      <w:r w:rsidR="00A668A5" w:rsidRPr="00045413">
        <w:rPr>
          <w:rFonts w:eastAsia="Acumin Pro"/>
        </w:rPr>
        <w:t>database</w:t>
      </w:r>
      <w:r w:rsidR="00892604" w:rsidRPr="00045413">
        <w:rPr>
          <w:rFonts w:eastAsia="Acumin Pro"/>
        </w:rPr>
        <w:t xml:space="preserve"> </w:t>
      </w:r>
      <w:r w:rsidR="00C91C1D" w:rsidRPr="00045413">
        <w:rPr>
          <w:rFonts w:eastAsia="Acumin Pro"/>
        </w:rPr>
        <w:t>and other journals that may include New Zealand specific articles</w:t>
      </w:r>
      <w:r w:rsidR="002A1258" w:rsidRPr="00045413">
        <w:rPr>
          <w:rFonts w:eastAsia="Acumin Pro"/>
        </w:rPr>
        <w:t xml:space="preserve"> </w:t>
      </w:r>
    </w:p>
    <w:p w14:paraId="1F478FF8" w14:textId="7DDF401C" w:rsidR="00FB065F" w:rsidRPr="00045413" w:rsidRDefault="00FB065F" w:rsidP="00045413">
      <w:pPr>
        <w:pStyle w:val="Bulletpointindented"/>
        <w:rPr>
          <w:rFonts w:eastAsia="Acumin Pro"/>
        </w:rPr>
      </w:pPr>
      <w:r w:rsidRPr="00045413">
        <w:rPr>
          <w:rFonts w:eastAsia="Acumin Pro"/>
        </w:rPr>
        <w:t>M</w:t>
      </w:r>
      <w:r w:rsidR="00FC2D9D" w:rsidRPr="00045413">
        <w:rPr>
          <w:rFonts w:eastAsia="Acumin Pro"/>
        </w:rPr>
        <w:t>inistry</w:t>
      </w:r>
      <w:r w:rsidRPr="00045413">
        <w:rPr>
          <w:rFonts w:eastAsia="Acumin Pro"/>
        </w:rPr>
        <w:t xml:space="preserve"> funded gambling harm research and evaluation</w:t>
      </w:r>
      <w:r w:rsidR="00DE34C6" w:rsidRPr="00045413">
        <w:rPr>
          <w:rFonts w:eastAsia="Acumin Pro"/>
        </w:rPr>
        <w:t>s</w:t>
      </w:r>
      <w:r w:rsidRPr="00045413">
        <w:rPr>
          <w:rFonts w:eastAsia="Acumin Pro"/>
        </w:rPr>
        <w:t xml:space="preserve"> </w:t>
      </w:r>
      <w:r w:rsidR="00F706FE" w:rsidRPr="00045413">
        <w:rPr>
          <w:rFonts w:eastAsia="Acumin Pro"/>
        </w:rPr>
        <w:t>(completed between 2018 and February 2021</w:t>
      </w:r>
      <w:r w:rsidR="00632CBA" w:rsidRPr="00045413">
        <w:rPr>
          <w:rFonts w:eastAsia="Acumin Pro"/>
        </w:rPr>
        <w:t xml:space="preserve"> – including unpublished reports</w:t>
      </w:r>
      <w:r w:rsidR="00F706FE" w:rsidRPr="00045413">
        <w:rPr>
          <w:rFonts w:eastAsia="Acumin Pro"/>
        </w:rPr>
        <w:t>)</w:t>
      </w:r>
    </w:p>
    <w:p w14:paraId="433FF95F" w14:textId="1262FA3A" w:rsidR="00CA5B2F" w:rsidRPr="00C7612C" w:rsidRDefault="00CA5B2F" w:rsidP="000C3840">
      <w:pPr>
        <w:pStyle w:val="Bulletpointindented"/>
        <w:rPr>
          <w:lang w:val="en-NZ"/>
        </w:rPr>
      </w:pPr>
      <w:r w:rsidRPr="002F108B">
        <w:rPr>
          <w:lang w:val="en-NZ"/>
        </w:rPr>
        <w:t xml:space="preserve">Key websites involved in </w:t>
      </w:r>
      <w:r w:rsidR="00C45873" w:rsidRPr="002F108B">
        <w:rPr>
          <w:lang w:val="en-NZ"/>
        </w:rPr>
        <w:t>New</w:t>
      </w:r>
      <w:r w:rsidRPr="002F108B">
        <w:rPr>
          <w:lang w:val="en-NZ"/>
        </w:rPr>
        <w:t xml:space="preserve"> Zealand </w:t>
      </w:r>
      <w:r w:rsidR="00C45873" w:rsidRPr="002F108B">
        <w:rPr>
          <w:lang w:val="en-NZ"/>
        </w:rPr>
        <w:t xml:space="preserve">gambling </w:t>
      </w:r>
      <w:r w:rsidRPr="002F108B">
        <w:rPr>
          <w:lang w:val="en-NZ"/>
        </w:rPr>
        <w:t xml:space="preserve">(e.g., The </w:t>
      </w:r>
      <w:r w:rsidRPr="002F108B">
        <w:rPr>
          <w:rFonts w:eastAsia="Acumin Pro"/>
          <w:lang w:val="en-NZ"/>
        </w:rPr>
        <w:t>Department</w:t>
      </w:r>
      <w:r w:rsidRPr="002F108B">
        <w:rPr>
          <w:lang w:val="en-NZ"/>
        </w:rPr>
        <w:t xml:space="preserve"> of Internal Affairs,</w:t>
      </w:r>
      <w:r w:rsidR="00DB5D1B" w:rsidRPr="002F108B">
        <w:rPr>
          <w:lang w:val="en-NZ"/>
        </w:rPr>
        <w:t xml:space="preserve"> Te Hiringa Hauora/</w:t>
      </w:r>
      <w:r w:rsidR="00C7612C" w:rsidRPr="002F108B">
        <w:rPr>
          <w:lang w:val="en-NZ"/>
        </w:rPr>
        <w:t>Health Promotion Agency</w:t>
      </w:r>
      <w:r w:rsidR="00960BBF">
        <w:rPr>
          <w:lang w:val="en-NZ"/>
        </w:rPr>
        <w:t xml:space="preserve"> </w:t>
      </w:r>
      <w:bookmarkStart w:id="59" w:name="_Hlk72133952"/>
      <w:r w:rsidR="00960BBF">
        <w:rPr>
          <w:lang w:val="en-NZ"/>
        </w:rPr>
        <w:t>(</w:t>
      </w:r>
      <w:r w:rsidR="00755724">
        <w:rPr>
          <w:lang w:val="en-NZ"/>
        </w:rPr>
        <w:t>Te Hiringa Hauora</w:t>
      </w:r>
      <w:bookmarkEnd w:id="59"/>
      <w:r w:rsidR="00960BBF">
        <w:rPr>
          <w:lang w:val="en-NZ"/>
        </w:rPr>
        <w:t>)</w:t>
      </w:r>
      <w:r w:rsidR="00C7612C" w:rsidRPr="002F108B">
        <w:rPr>
          <w:lang w:val="en-NZ"/>
        </w:rPr>
        <w:t xml:space="preserve">, </w:t>
      </w:r>
      <w:r w:rsidR="00044BD8" w:rsidRPr="002F108B">
        <w:rPr>
          <w:lang w:val="en-NZ"/>
        </w:rPr>
        <w:t xml:space="preserve">TAB NZ </w:t>
      </w:r>
      <w:r w:rsidR="00C7612C" w:rsidRPr="002F108B">
        <w:rPr>
          <w:lang w:val="en-NZ"/>
        </w:rPr>
        <w:t>and</w:t>
      </w:r>
      <w:r w:rsidRPr="002F108B">
        <w:rPr>
          <w:lang w:val="en-NZ"/>
        </w:rPr>
        <w:t xml:space="preserve"> </w:t>
      </w:r>
      <w:r w:rsidR="0023284A" w:rsidRPr="002F108B">
        <w:rPr>
          <w:lang w:val="en-NZ"/>
        </w:rPr>
        <w:t>Lotto NZ</w:t>
      </w:r>
      <w:r w:rsidRPr="002F108B">
        <w:rPr>
          <w:lang w:val="en-NZ"/>
        </w:rPr>
        <w:t xml:space="preserve"> for relevant reports</w:t>
      </w:r>
      <w:r w:rsidR="00391594">
        <w:rPr>
          <w:lang w:val="en-NZ"/>
        </w:rPr>
        <w:t>)</w:t>
      </w:r>
    </w:p>
    <w:p w14:paraId="5712887E" w14:textId="6AB24BA3" w:rsidR="008715BE" w:rsidRPr="002F108B" w:rsidRDefault="00FC2D9D" w:rsidP="000C3840">
      <w:pPr>
        <w:pStyle w:val="Bulletpointindented"/>
        <w:rPr>
          <w:rFonts w:eastAsia="Acumin Pro"/>
          <w:lang w:val="en-NZ"/>
        </w:rPr>
      </w:pPr>
      <w:r w:rsidRPr="002F108B">
        <w:rPr>
          <w:rFonts w:eastAsia="Acumin Pro"/>
          <w:lang w:val="en-NZ"/>
        </w:rPr>
        <w:lastRenderedPageBreak/>
        <w:t>G</w:t>
      </w:r>
      <w:r w:rsidR="002673C6" w:rsidRPr="002F108B">
        <w:rPr>
          <w:rFonts w:eastAsia="Acumin Pro"/>
          <w:lang w:val="en-NZ"/>
        </w:rPr>
        <w:t>ambling harm services clinical and public health provider reports and decision documents about service implementation</w:t>
      </w:r>
    </w:p>
    <w:p w14:paraId="73A25288" w14:textId="78AB7AFD" w:rsidR="008F0A36" w:rsidRPr="002F108B" w:rsidRDefault="008F0A36" w:rsidP="000C3840">
      <w:pPr>
        <w:pStyle w:val="Bulletpointindented"/>
        <w:rPr>
          <w:rFonts w:eastAsia="Acumin Pro"/>
          <w:lang w:val="en-NZ"/>
        </w:rPr>
      </w:pPr>
      <w:r w:rsidRPr="002F108B">
        <w:rPr>
          <w:rFonts w:eastAsia="Acumin Pro"/>
          <w:lang w:val="en-NZ"/>
        </w:rPr>
        <w:t>Ministry gambling intervention services data</w:t>
      </w:r>
    </w:p>
    <w:p w14:paraId="32D9E75B" w14:textId="0A634377" w:rsidR="008F0A36" w:rsidRPr="002F108B" w:rsidRDefault="008F0A36" w:rsidP="000C3840">
      <w:pPr>
        <w:pStyle w:val="Bulletpointindented"/>
        <w:rPr>
          <w:rFonts w:eastAsia="Acumin Pro"/>
          <w:lang w:val="en-NZ"/>
        </w:rPr>
      </w:pPr>
      <w:r w:rsidRPr="002F108B">
        <w:rPr>
          <w:rFonts w:eastAsia="Acumin Pro"/>
          <w:lang w:val="en-NZ"/>
        </w:rPr>
        <w:t xml:space="preserve">National Telehealth Service </w:t>
      </w:r>
      <w:r w:rsidR="00632CBA" w:rsidRPr="002F108B">
        <w:rPr>
          <w:rFonts w:eastAsia="Acumin Pro"/>
          <w:lang w:val="en-NZ"/>
        </w:rPr>
        <w:t>quarterly</w:t>
      </w:r>
      <w:r w:rsidRPr="002F108B">
        <w:rPr>
          <w:rFonts w:eastAsia="Acumin Pro"/>
          <w:lang w:val="en-NZ"/>
        </w:rPr>
        <w:t xml:space="preserve"> reports</w:t>
      </w:r>
    </w:p>
    <w:p w14:paraId="6BFC4260" w14:textId="45194F17" w:rsidR="00615699" w:rsidRPr="002F108B" w:rsidRDefault="00615699" w:rsidP="000C3840">
      <w:pPr>
        <w:pStyle w:val="Bulletpointindented"/>
        <w:rPr>
          <w:rFonts w:eastAsia="Acumin Pro"/>
          <w:lang w:val="en-NZ"/>
        </w:rPr>
      </w:pPr>
      <w:r w:rsidRPr="002F108B">
        <w:rPr>
          <w:rFonts w:eastAsia="Acumin Pro"/>
          <w:lang w:val="en-NZ"/>
        </w:rPr>
        <w:t>Routinely collected synthesi</w:t>
      </w:r>
      <w:r w:rsidR="002C354F" w:rsidRPr="002F108B">
        <w:rPr>
          <w:rFonts w:eastAsia="Acumin Pro"/>
          <w:lang w:val="en-NZ"/>
        </w:rPr>
        <w:t>s</w:t>
      </w:r>
      <w:r w:rsidRPr="002F108B">
        <w:rPr>
          <w:rFonts w:eastAsia="Acumin Pro"/>
          <w:lang w:val="en-NZ"/>
        </w:rPr>
        <w:t xml:space="preserve">ed data on gambling prevalence, </w:t>
      </w:r>
      <w:r w:rsidR="002265A1" w:rsidRPr="002F108B">
        <w:rPr>
          <w:rFonts w:eastAsia="Acumin Pro"/>
          <w:lang w:val="en-NZ"/>
        </w:rPr>
        <w:t xml:space="preserve">participation in gambling and </w:t>
      </w:r>
      <w:r w:rsidR="00391594">
        <w:rPr>
          <w:rFonts w:eastAsia="Acumin Pro"/>
          <w:lang w:val="en-NZ"/>
        </w:rPr>
        <w:t xml:space="preserve">the </w:t>
      </w:r>
      <w:r w:rsidR="002265A1" w:rsidRPr="002F108B">
        <w:rPr>
          <w:rFonts w:eastAsia="Acumin Pro"/>
          <w:lang w:val="en-NZ"/>
        </w:rPr>
        <w:t xml:space="preserve">risks of </w:t>
      </w:r>
      <w:r w:rsidR="00923A46" w:rsidRPr="002F108B">
        <w:rPr>
          <w:rFonts w:eastAsia="Acumin Pro"/>
          <w:lang w:val="en-NZ"/>
        </w:rPr>
        <w:t>harmful</w:t>
      </w:r>
      <w:r w:rsidR="002265A1" w:rsidRPr="002F108B">
        <w:rPr>
          <w:rFonts w:eastAsia="Acumin Pro"/>
          <w:lang w:val="en-NZ"/>
        </w:rPr>
        <w:t xml:space="preserve"> gambling</w:t>
      </w:r>
      <w:r w:rsidR="00CE20C7" w:rsidRPr="002F108B">
        <w:rPr>
          <w:rFonts w:eastAsia="Acumin Pro"/>
          <w:lang w:val="en-NZ"/>
        </w:rPr>
        <w:t xml:space="preserve"> </w:t>
      </w:r>
    </w:p>
    <w:p w14:paraId="1A0A2484" w14:textId="5072B74B" w:rsidR="002F1D56" w:rsidRDefault="00AD4AF0" w:rsidP="000C3840">
      <w:pPr>
        <w:pStyle w:val="Bulletpointindented"/>
        <w:rPr>
          <w:rFonts w:eastAsia="Acumin Pro"/>
          <w:lang w:val="en-NZ"/>
        </w:rPr>
      </w:pPr>
      <w:r w:rsidRPr="002F108B">
        <w:rPr>
          <w:rFonts w:eastAsia="Acumin Pro"/>
          <w:lang w:val="en-NZ"/>
        </w:rPr>
        <w:t>R</w:t>
      </w:r>
      <w:r w:rsidR="002F1D56" w:rsidRPr="002F108B">
        <w:rPr>
          <w:rFonts w:eastAsia="Acumin Pro"/>
          <w:lang w:val="en-NZ"/>
        </w:rPr>
        <w:t xml:space="preserve">eview of the references </w:t>
      </w:r>
      <w:r w:rsidR="00391594">
        <w:rPr>
          <w:rFonts w:eastAsia="Acumin Pro"/>
          <w:lang w:val="en-NZ"/>
        </w:rPr>
        <w:t>included in</w:t>
      </w:r>
      <w:r w:rsidR="00391594" w:rsidRPr="002F108B">
        <w:rPr>
          <w:rFonts w:eastAsia="Acumin Pro"/>
          <w:lang w:val="en-NZ"/>
        </w:rPr>
        <w:t xml:space="preserve"> </w:t>
      </w:r>
      <w:r w:rsidR="002F1D56" w:rsidRPr="002F108B">
        <w:rPr>
          <w:rFonts w:eastAsia="Acumin Pro"/>
          <w:lang w:val="en-NZ"/>
        </w:rPr>
        <w:t>recent key publications</w:t>
      </w:r>
      <w:r w:rsidR="00632CBA" w:rsidRPr="002F108B">
        <w:rPr>
          <w:rFonts w:eastAsia="Acumin Pro"/>
          <w:lang w:val="en-NZ"/>
        </w:rPr>
        <w:t>.</w:t>
      </w:r>
    </w:p>
    <w:p w14:paraId="66A71C67" w14:textId="77777777" w:rsidR="004A11AD" w:rsidRDefault="001635E2" w:rsidP="00C1621F">
      <w:pPr>
        <w:pStyle w:val="Heading3"/>
      </w:pPr>
      <w:bookmarkStart w:id="60" w:name="_Toc68846839"/>
      <w:bookmarkStart w:id="61" w:name="_Toc69210390"/>
      <w:r w:rsidRPr="00EB03BE">
        <w:t>Interviews and focus groups</w:t>
      </w:r>
      <w:bookmarkEnd w:id="60"/>
      <w:bookmarkEnd w:id="61"/>
    </w:p>
    <w:p w14:paraId="1B3BA805" w14:textId="40D2DFA1" w:rsidR="00971D05" w:rsidRPr="002F108B" w:rsidRDefault="009477D3" w:rsidP="008D5E26">
      <w:pPr>
        <w:rPr>
          <w:lang w:val="en-NZ"/>
        </w:rPr>
      </w:pPr>
      <w:r>
        <w:rPr>
          <w:lang w:val="en-NZ"/>
        </w:rPr>
        <w:t>Ten</w:t>
      </w:r>
      <w:r w:rsidRPr="002F108B">
        <w:rPr>
          <w:lang w:val="en-NZ"/>
        </w:rPr>
        <w:t xml:space="preserve"> </w:t>
      </w:r>
      <w:r w:rsidR="00337D66" w:rsidRPr="002F108B">
        <w:rPr>
          <w:lang w:val="en-NZ"/>
        </w:rPr>
        <w:t>i</w:t>
      </w:r>
      <w:r w:rsidR="000074ED" w:rsidRPr="002F108B">
        <w:rPr>
          <w:lang w:val="en-NZ"/>
        </w:rPr>
        <w:t xml:space="preserve">ndividual and </w:t>
      </w:r>
      <w:r w:rsidR="00337D66" w:rsidRPr="002F108B">
        <w:rPr>
          <w:lang w:val="en-NZ"/>
        </w:rPr>
        <w:t>1</w:t>
      </w:r>
      <w:r w:rsidR="00543D3F">
        <w:rPr>
          <w:lang w:val="en-NZ"/>
        </w:rPr>
        <w:t>4</w:t>
      </w:r>
      <w:r w:rsidR="00337D66" w:rsidRPr="002F108B">
        <w:rPr>
          <w:lang w:val="en-NZ"/>
        </w:rPr>
        <w:t xml:space="preserve"> </w:t>
      </w:r>
      <w:r w:rsidR="000074ED" w:rsidRPr="002F108B">
        <w:rPr>
          <w:lang w:val="en-NZ"/>
        </w:rPr>
        <w:t>group interviews</w:t>
      </w:r>
      <w:r w:rsidR="001F6766">
        <w:rPr>
          <w:rStyle w:val="FootnoteReference"/>
          <w:lang w:val="en-NZ"/>
        </w:rPr>
        <w:footnoteReference w:id="6"/>
      </w:r>
      <w:r w:rsidR="00891C8D">
        <w:rPr>
          <w:lang w:val="en-NZ"/>
        </w:rPr>
        <w:t xml:space="preserve"> </w:t>
      </w:r>
      <w:r w:rsidR="000074ED" w:rsidRPr="002F108B">
        <w:rPr>
          <w:lang w:val="en-NZ"/>
        </w:rPr>
        <w:t xml:space="preserve">were conducted with </w:t>
      </w:r>
      <w:r>
        <w:rPr>
          <w:lang w:val="en-NZ"/>
        </w:rPr>
        <w:t>67</w:t>
      </w:r>
      <w:r w:rsidRPr="002F108B">
        <w:rPr>
          <w:lang w:val="en-NZ"/>
        </w:rPr>
        <w:t xml:space="preserve"> </w:t>
      </w:r>
      <w:r w:rsidR="00334611" w:rsidRPr="002F108B">
        <w:rPr>
          <w:lang w:val="en-NZ"/>
        </w:rPr>
        <w:t xml:space="preserve">gambling </w:t>
      </w:r>
      <w:r w:rsidR="008E55AA" w:rsidRPr="002F108B">
        <w:rPr>
          <w:lang w:val="en-NZ"/>
        </w:rPr>
        <w:t>stakeholders</w:t>
      </w:r>
      <w:r w:rsidR="00E56984">
        <w:rPr>
          <w:lang w:val="en-NZ"/>
        </w:rPr>
        <w:t xml:space="preserve"> (</w:t>
      </w:r>
      <w:r w:rsidR="00363DF2" w:rsidRPr="002F108B">
        <w:rPr>
          <w:lang w:val="en-NZ"/>
        </w:rPr>
        <w:fldChar w:fldCharType="begin"/>
      </w:r>
      <w:r w:rsidR="00363DF2" w:rsidRPr="002F108B">
        <w:rPr>
          <w:lang w:val="en-NZ"/>
        </w:rPr>
        <w:instrText xml:space="preserve"> REF _Ref69120534 \h </w:instrText>
      </w:r>
      <w:r w:rsidR="00363DF2" w:rsidRPr="002F108B">
        <w:rPr>
          <w:lang w:val="en-NZ"/>
        </w:rPr>
      </w:r>
      <w:r w:rsidR="00363DF2" w:rsidRPr="002F108B">
        <w:rPr>
          <w:lang w:val="en-NZ"/>
        </w:rPr>
        <w:fldChar w:fldCharType="separate"/>
      </w:r>
      <w:r w:rsidR="009B1BDF" w:rsidRPr="002F108B">
        <w:rPr>
          <w:lang w:val="en-NZ"/>
        </w:rPr>
        <w:t xml:space="preserve">Table </w:t>
      </w:r>
      <w:r w:rsidR="009B1BDF">
        <w:rPr>
          <w:noProof/>
          <w:lang w:val="en-NZ"/>
        </w:rPr>
        <w:t>1</w:t>
      </w:r>
      <w:r w:rsidR="00363DF2" w:rsidRPr="002F108B">
        <w:rPr>
          <w:lang w:val="en-NZ"/>
        </w:rPr>
        <w:fldChar w:fldCharType="end"/>
      </w:r>
      <w:r w:rsidR="00E56984">
        <w:rPr>
          <w:lang w:val="en-NZ"/>
        </w:rPr>
        <w:t>)</w:t>
      </w:r>
      <w:r w:rsidR="00D67251" w:rsidRPr="002F108B">
        <w:rPr>
          <w:lang w:val="en-NZ"/>
        </w:rPr>
        <w:t>.</w:t>
      </w:r>
      <w:r w:rsidR="00D81E6D">
        <w:rPr>
          <w:lang w:val="en-NZ"/>
        </w:rPr>
        <w:t xml:space="preserve"> </w:t>
      </w:r>
    </w:p>
    <w:p w14:paraId="49EA4377" w14:textId="6A8056BB" w:rsidR="00C7488B" w:rsidRPr="002F108B" w:rsidRDefault="00C7488B" w:rsidP="002B4028">
      <w:pPr>
        <w:pStyle w:val="Caption"/>
        <w:rPr>
          <w:lang w:val="en-NZ"/>
        </w:rPr>
      </w:pPr>
      <w:bookmarkStart w:id="63" w:name="_Ref69120534"/>
      <w:bookmarkStart w:id="64" w:name="_Toc69809942"/>
      <w:r w:rsidRPr="002F108B">
        <w:rPr>
          <w:lang w:val="en-NZ"/>
        </w:rPr>
        <w:t xml:space="preserve">Table </w:t>
      </w:r>
      <w:r w:rsidRPr="002F108B">
        <w:rPr>
          <w:lang w:val="en-NZ"/>
        </w:rPr>
        <w:fldChar w:fldCharType="begin"/>
      </w:r>
      <w:r w:rsidRPr="002F108B">
        <w:rPr>
          <w:lang w:val="en-NZ"/>
        </w:rPr>
        <w:instrText xml:space="preserve"> SEQ Table \* ARABIC </w:instrText>
      </w:r>
      <w:r w:rsidRPr="002F108B">
        <w:rPr>
          <w:lang w:val="en-NZ"/>
        </w:rPr>
        <w:fldChar w:fldCharType="separate"/>
      </w:r>
      <w:r w:rsidR="009B1BDF">
        <w:rPr>
          <w:noProof/>
          <w:lang w:val="en-NZ"/>
        </w:rPr>
        <w:t>1</w:t>
      </w:r>
      <w:r w:rsidRPr="002F108B">
        <w:rPr>
          <w:lang w:val="en-NZ"/>
        </w:rPr>
        <w:fldChar w:fldCharType="end"/>
      </w:r>
      <w:bookmarkEnd w:id="63"/>
      <w:r w:rsidRPr="002F108B">
        <w:rPr>
          <w:lang w:val="en-NZ"/>
        </w:rPr>
        <w:t xml:space="preserve">: Individual and group </w:t>
      </w:r>
      <w:r w:rsidR="00692F9A" w:rsidRPr="002F108B">
        <w:rPr>
          <w:lang w:val="en-NZ"/>
        </w:rPr>
        <w:t>interviews</w:t>
      </w:r>
      <w:bookmarkEnd w:id="64"/>
    </w:p>
    <w:tbl>
      <w:tblPr>
        <w:tblStyle w:val="MITableClassic"/>
        <w:tblW w:w="0" w:type="auto"/>
        <w:tblLook w:val="04A0" w:firstRow="1" w:lastRow="0" w:firstColumn="1" w:lastColumn="0" w:noHBand="0" w:noVBand="1"/>
      </w:tblPr>
      <w:tblGrid>
        <w:gridCol w:w="2122"/>
        <w:gridCol w:w="5476"/>
      </w:tblGrid>
      <w:tr w:rsidR="00F627E9" w:rsidRPr="0057280E" w14:paraId="0FEA9142" w14:textId="77777777" w:rsidTr="00F627E9">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2122" w:type="dxa"/>
          </w:tcPr>
          <w:p w14:paraId="31AF0B4F" w14:textId="56D8053A" w:rsidR="00F627E9" w:rsidRPr="0057280E" w:rsidRDefault="00F627E9" w:rsidP="00F627E9">
            <w:pPr>
              <w:spacing w:before="0" w:after="0"/>
              <w:rPr>
                <w:b w:val="0"/>
                <w:lang w:val="en-NZ"/>
              </w:rPr>
            </w:pPr>
            <w:r w:rsidRPr="0057280E">
              <w:rPr>
                <w:lang w:val="en-NZ"/>
              </w:rPr>
              <w:t>Stakeholder group</w:t>
            </w:r>
            <w:r w:rsidR="00BB49FB" w:rsidRPr="0057280E">
              <w:rPr>
                <w:lang w:val="en-NZ"/>
              </w:rPr>
              <w:t xml:space="preserve"> representatives</w:t>
            </w:r>
          </w:p>
        </w:tc>
        <w:tc>
          <w:tcPr>
            <w:tcW w:w="5476" w:type="dxa"/>
          </w:tcPr>
          <w:p w14:paraId="2351B071" w14:textId="100BE160" w:rsidR="00F627E9" w:rsidRPr="0057280E" w:rsidRDefault="00F627E9" w:rsidP="00F627E9">
            <w:pPr>
              <w:spacing w:before="0" w:after="0"/>
              <w:cnfStyle w:val="100000000000" w:firstRow="1" w:lastRow="0" w:firstColumn="0" w:lastColumn="0" w:oddVBand="0" w:evenVBand="0" w:oddHBand="0" w:evenHBand="0" w:firstRowFirstColumn="0" w:firstRowLastColumn="0" w:lastRowFirstColumn="0" w:lastRowLastColumn="0"/>
              <w:rPr>
                <w:rStyle w:val="cf01"/>
                <w:rFonts w:ascii="Calibri" w:hAnsi="Calibri"/>
                <w:sz w:val="22"/>
                <w:szCs w:val="22"/>
                <w:lang w:val="en-NZ"/>
              </w:rPr>
            </w:pPr>
            <w:r w:rsidRPr="0057280E">
              <w:rPr>
                <w:rStyle w:val="cf01"/>
                <w:rFonts w:ascii="Calibri" w:hAnsi="Calibri"/>
                <w:sz w:val="22"/>
                <w:szCs w:val="22"/>
                <w:lang w:val="en-NZ"/>
              </w:rPr>
              <w:t>D</w:t>
            </w:r>
            <w:r w:rsidRPr="0057280E">
              <w:rPr>
                <w:rStyle w:val="cf01"/>
                <w:rFonts w:ascii="Calibri" w:hAnsi="Calibri"/>
                <w:sz w:val="22"/>
                <w:szCs w:val="22"/>
              </w:rPr>
              <w:t>escription</w:t>
            </w:r>
          </w:p>
        </w:tc>
      </w:tr>
      <w:tr w:rsidR="007C1C70" w:rsidRPr="0057280E" w14:paraId="4F432571" w14:textId="77777777" w:rsidTr="00F627E9">
        <w:trPr>
          <w:trHeight w:val="366"/>
        </w:trPr>
        <w:tc>
          <w:tcPr>
            <w:cnfStyle w:val="001000000000" w:firstRow="0" w:lastRow="0" w:firstColumn="1" w:lastColumn="0" w:oddVBand="0" w:evenVBand="0" w:oddHBand="0" w:evenHBand="0" w:firstRowFirstColumn="0" w:firstRowLastColumn="0" w:lastRowFirstColumn="0" w:lastRowLastColumn="0"/>
            <w:tcW w:w="2122" w:type="dxa"/>
          </w:tcPr>
          <w:p w14:paraId="7BEC66F6" w14:textId="0B102B45" w:rsidR="007C1C70" w:rsidRPr="0057280E" w:rsidRDefault="0023672E" w:rsidP="00F627E9">
            <w:pPr>
              <w:spacing w:before="0" w:after="0"/>
              <w:rPr>
                <w:b/>
                <w:sz w:val="20"/>
                <w:szCs w:val="20"/>
                <w:lang w:val="en-NZ"/>
              </w:rPr>
            </w:pPr>
            <w:r w:rsidRPr="0057280E">
              <w:rPr>
                <w:b/>
                <w:sz w:val="20"/>
                <w:szCs w:val="20"/>
                <w:lang w:val="en-NZ"/>
              </w:rPr>
              <w:t>Gambling agency</w:t>
            </w:r>
            <w:r w:rsidR="005C1AA9" w:rsidRPr="0057280E">
              <w:rPr>
                <w:b/>
                <w:sz w:val="20"/>
                <w:szCs w:val="20"/>
                <w:lang w:val="en-NZ"/>
              </w:rPr>
              <w:t xml:space="preserve"> </w:t>
            </w:r>
          </w:p>
        </w:tc>
        <w:tc>
          <w:tcPr>
            <w:tcW w:w="5476" w:type="dxa"/>
          </w:tcPr>
          <w:p w14:paraId="3736E02E" w14:textId="7BC08A1E" w:rsidR="008D10A9" w:rsidRPr="0057280E" w:rsidRDefault="00721CAA" w:rsidP="00F627E9">
            <w:pPr>
              <w:spacing w:before="0" w:after="0"/>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rStyle w:val="cf01"/>
                <w:rFonts w:ascii="Calibri" w:hAnsi="Calibri"/>
                <w:sz w:val="20"/>
                <w:szCs w:val="20"/>
                <w:lang w:val="en-NZ"/>
              </w:rPr>
              <w:t xml:space="preserve">Individual and group interviews with </w:t>
            </w:r>
            <w:r w:rsidR="00B60B67" w:rsidRPr="0057280E">
              <w:rPr>
                <w:rStyle w:val="cf01"/>
                <w:rFonts w:ascii="Calibri" w:hAnsi="Calibri"/>
                <w:sz w:val="20"/>
                <w:szCs w:val="20"/>
                <w:lang w:val="en-NZ"/>
              </w:rPr>
              <w:t>f</w:t>
            </w:r>
            <w:r w:rsidR="00B60B67" w:rsidRPr="0057280E">
              <w:rPr>
                <w:rStyle w:val="cf01"/>
                <w:rFonts w:ascii="Calibri" w:hAnsi="Calibri"/>
                <w:sz w:val="20"/>
                <w:szCs w:val="20"/>
              </w:rPr>
              <w:t>ive</w:t>
            </w:r>
            <w:r w:rsidR="00B60B67" w:rsidRPr="0057280E">
              <w:rPr>
                <w:rStyle w:val="cf01"/>
                <w:rFonts w:ascii="Calibri" w:hAnsi="Calibri"/>
                <w:sz w:val="20"/>
                <w:szCs w:val="20"/>
                <w:lang w:val="en-NZ"/>
              </w:rPr>
              <w:t xml:space="preserve"> </w:t>
            </w:r>
            <w:r w:rsidRPr="0057280E">
              <w:rPr>
                <w:rStyle w:val="cf01"/>
                <w:rFonts w:ascii="Calibri" w:hAnsi="Calibri"/>
                <w:sz w:val="20"/>
                <w:szCs w:val="20"/>
                <w:lang w:val="en-NZ"/>
              </w:rPr>
              <w:t xml:space="preserve">providers (government agencies, research </w:t>
            </w:r>
            <w:r w:rsidR="00646151" w:rsidRPr="0057280E">
              <w:rPr>
                <w:rStyle w:val="cf01"/>
                <w:rFonts w:ascii="Calibri" w:hAnsi="Calibri"/>
                <w:sz w:val="20"/>
                <w:szCs w:val="20"/>
                <w:lang w:val="en-NZ"/>
              </w:rPr>
              <w:t>a</w:t>
            </w:r>
            <w:r w:rsidR="00646151" w:rsidRPr="0057280E">
              <w:rPr>
                <w:rStyle w:val="cf01"/>
                <w:rFonts w:ascii="Calibri" w:hAnsi="Calibri"/>
                <w:sz w:val="20"/>
                <w:szCs w:val="20"/>
              </w:rPr>
              <w:t>nd training institutions).</w:t>
            </w:r>
          </w:p>
        </w:tc>
      </w:tr>
      <w:tr w:rsidR="00B30193" w:rsidRPr="0057280E" w14:paraId="2845DFB4" w14:textId="77777777" w:rsidTr="00F627E9">
        <w:tc>
          <w:tcPr>
            <w:cnfStyle w:val="001000000000" w:firstRow="0" w:lastRow="0" w:firstColumn="1" w:lastColumn="0" w:oddVBand="0" w:evenVBand="0" w:oddHBand="0" w:evenHBand="0" w:firstRowFirstColumn="0" w:firstRowLastColumn="0" w:lastRowFirstColumn="0" w:lastRowLastColumn="0"/>
            <w:tcW w:w="2122" w:type="dxa"/>
          </w:tcPr>
          <w:p w14:paraId="693A6CB1" w14:textId="0658A354" w:rsidR="00B30193" w:rsidRPr="0057280E" w:rsidRDefault="00B30193" w:rsidP="00F627E9">
            <w:pPr>
              <w:spacing w:before="0" w:after="0"/>
              <w:rPr>
                <w:b/>
                <w:sz w:val="20"/>
                <w:szCs w:val="20"/>
                <w:lang w:val="en-NZ"/>
              </w:rPr>
            </w:pPr>
            <w:r w:rsidRPr="0057280E">
              <w:rPr>
                <w:b/>
                <w:sz w:val="20"/>
                <w:szCs w:val="20"/>
                <w:lang w:val="en-NZ"/>
              </w:rPr>
              <w:t xml:space="preserve">Gambling industry </w:t>
            </w:r>
          </w:p>
        </w:tc>
        <w:tc>
          <w:tcPr>
            <w:tcW w:w="5476" w:type="dxa"/>
          </w:tcPr>
          <w:p w14:paraId="0168B073" w14:textId="20AE040C" w:rsidR="00B30193" w:rsidRPr="0057280E" w:rsidRDefault="00EF66CB" w:rsidP="00F627E9">
            <w:pPr>
              <w:spacing w:before="0" w:after="0"/>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 xml:space="preserve">Individual and group interviews </w:t>
            </w:r>
            <w:r w:rsidR="00BB24DD" w:rsidRPr="0057280E">
              <w:rPr>
                <w:sz w:val="20"/>
                <w:szCs w:val="20"/>
                <w:lang w:val="en-NZ"/>
              </w:rPr>
              <w:t xml:space="preserve">with </w:t>
            </w:r>
            <w:r w:rsidR="009477D3" w:rsidRPr="0057280E">
              <w:rPr>
                <w:sz w:val="20"/>
                <w:szCs w:val="20"/>
                <w:lang w:val="en-NZ"/>
              </w:rPr>
              <w:t xml:space="preserve">five </w:t>
            </w:r>
            <w:r w:rsidR="00EF46B2" w:rsidRPr="0057280E">
              <w:rPr>
                <w:sz w:val="20"/>
                <w:szCs w:val="20"/>
                <w:lang w:val="en-NZ"/>
              </w:rPr>
              <w:t>providers (</w:t>
            </w:r>
            <w:r w:rsidR="008B3862" w:rsidRPr="0057280E">
              <w:rPr>
                <w:sz w:val="20"/>
                <w:szCs w:val="20"/>
                <w:lang w:val="en-NZ"/>
              </w:rPr>
              <w:t>Class 4</w:t>
            </w:r>
            <w:r w:rsidR="001A0647" w:rsidRPr="0057280E">
              <w:rPr>
                <w:sz w:val="20"/>
                <w:szCs w:val="20"/>
                <w:lang w:val="en-NZ"/>
              </w:rPr>
              <w:t xml:space="preserve"> s</w:t>
            </w:r>
            <w:r w:rsidR="00CE38F2" w:rsidRPr="0057280E">
              <w:rPr>
                <w:sz w:val="20"/>
                <w:szCs w:val="20"/>
                <w:lang w:val="en-NZ"/>
              </w:rPr>
              <w:t>ocieties,</w:t>
            </w:r>
            <w:r w:rsidR="008B3862" w:rsidRPr="0057280E">
              <w:rPr>
                <w:sz w:val="20"/>
                <w:szCs w:val="20"/>
                <w:lang w:val="en-NZ"/>
              </w:rPr>
              <w:t xml:space="preserve"> Lotto NZ, hospitality and </w:t>
            </w:r>
            <w:r w:rsidR="001A0647" w:rsidRPr="0057280E">
              <w:rPr>
                <w:sz w:val="20"/>
                <w:szCs w:val="20"/>
                <w:lang w:val="en-NZ"/>
              </w:rPr>
              <w:t>c</w:t>
            </w:r>
            <w:r w:rsidR="00CE38F2" w:rsidRPr="0057280E">
              <w:rPr>
                <w:sz w:val="20"/>
                <w:szCs w:val="20"/>
                <w:lang w:val="en-NZ"/>
              </w:rPr>
              <w:t>asinos</w:t>
            </w:r>
            <w:r w:rsidR="00646151" w:rsidRPr="0057280E">
              <w:rPr>
                <w:sz w:val="20"/>
                <w:szCs w:val="20"/>
                <w:lang w:val="en-NZ"/>
              </w:rPr>
              <w:t>)</w:t>
            </w:r>
            <w:r w:rsidR="00152B15" w:rsidRPr="0057280E">
              <w:rPr>
                <w:sz w:val="20"/>
                <w:szCs w:val="20"/>
                <w:lang w:val="en-NZ"/>
              </w:rPr>
              <w:t>.</w:t>
            </w:r>
            <w:r w:rsidR="008B3862" w:rsidRPr="0057280E">
              <w:rPr>
                <w:sz w:val="20"/>
                <w:szCs w:val="20"/>
                <w:lang w:val="en-NZ"/>
              </w:rPr>
              <w:t xml:space="preserve"> </w:t>
            </w:r>
          </w:p>
        </w:tc>
      </w:tr>
      <w:tr w:rsidR="00C607E7" w:rsidRPr="0057280E" w14:paraId="5A0B7D3C" w14:textId="77777777" w:rsidTr="00F627E9">
        <w:tc>
          <w:tcPr>
            <w:cnfStyle w:val="001000000000" w:firstRow="0" w:lastRow="0" w:firstColumn="1" w:lastColumn="0" w:oddVBand="0" w:evenVBand="0" w:oddHBand="0" w:evenHBand="0" w:firstRowFirstColumn="0" w:firstRowLastColumn="0" w:lastRowFirstColumn="0" w:lastRowLastColumn="0"/>
            <w:tcW w:w="2122" w:type="dxa"/>
          </w:tcPr>
          <w:p w14:paraId="1BA3D183" w14:textId="117E75E8" w:rsidR="00C607E7" w:rsidRPr="0057280E" w:rsidRDefault="00C607E7" w:rsidP="00F627E9">
            <w:pPr>
              <w:spacing w:before="0" w:after="0"/>
              <w:rPr>
                <w:b/>
                <w:sz w:val="20"/>
                <w:szCs w:val="20"/>
                <w:lang w:val="en-NZ"/>
              </w:rPr>
            </w:pPr>
            <w:r w:rsidRPr="0057280E">
              <w:rPr>
                <w:b/>
                <w:sz w:val="20"/>
                <w:szCs w:val="20"/>
                <w:lang w:val="en-NZ"/>
              </w:rPr>
              <w:t xml:space="preserve">Gambling harm service provider </w:t>
            </w:r>
          </w:p>
        </w:tc>
        <w:tc>
          <w:tcPr>
            <w:tcW w:w="5476" w:type="dxa"/>
          </w:tcPr>
          <w:p w14:paraId="76A95AC0" w14:textId="2CED48CC" w:rsidR="00C607E7" w:rsidRPr="0057280E" w:rsidRDefault="00C607E7" w:rsidP="00F627E9">
            <w:pPr>
              <w:spacing w:before="0" w:after="0"/>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 xml:space="preserve">Nine </w:t>
            </w:r>
            <w:r w:rsidR="00C6753B" w:rsidRPr="0057280E">
              <w:rPr>
                <w:sz w:val="20"/>
                <w:szCs w:val="20"/>
                <w:lang w:val="en-NZ"/>
              </w:rPr>
              <w:t>i</w:t>
            </w:r>
            <w:r w:rsidRPr="0057280E">
              <w:rPr>
                <w:sz w:val="20"/>
                <w:szCs w:val="20"/>
                <w:lang w:val="en-NZ"/>
              </w:rPr>
              <w:t>ndividual and group interviews with seven national and regional service providers</w:t>
            </w:r>
            <w:r w:rsidR="00930AB1" w:rsidRPr="0057280E">
              <w:rPr>
                <w:sz w:val="20"/>
                <w:szCs w:val="20"/>
                <w:lang w:val="en-NZ"/>
              </w:rPr>
              <w:t xml:space="preserve"> (</w:t>
            </w:r>
            <w:r w:rsidRPr="0057280E">
              <w:rPr>
                <w:sz w:val="20"/>
                <w:szCs w:val="20"/>
                <w:lang w:val="en-NZ"/>
              </w:rPr>
              <w:t xml:space="preserve">including </w:t>
            </w:r>
            <w:r w:rsidR="00720632" w:rsidRPr="0057280E">
              <w:rPr>
                <w:sz w:val="20"/>
                <w:szCs w:val="20"/>
                <w:lang w:val="en-NZ"/>
              </w:rPr>
              <w:t>ethnic-specific service providers</w:t>
            </w:r>
            <w:r w:rsidR="00930AB1" w:rsidRPr="0057280E">
              <w:rPr>
                <w:sz w:val="20"/>
                <w:szCs w:val="20"/>
                <w:lang w:val="en-NZ"/>
              </w:rPr>
              <w:t>)</w:t>
            </w:r>
            <w:r w:rsidR="00720632" w:rsidRPr="0057280E">
              <w:rPr>
                <w:sz w:val="20"/>
                <w:szCs w:val="20"/>
                <w:lang w:val="en-NZ"/>
              </w:rPr>
              <w:t>.</w:t>
            </w:r>
          </w:p>
        </w:tc>
      </w:tr>
      <w:tr w:rsidR="006D0F84" w:rsidRPr="0057280E" w14:paraId="3BE07E9B" w14:textId="77777777" w:rsidTr="00F627E9">
        <w:tc>
          <w:tcPr>
            <w:cnfStyle w:val="001000000000" w:firstRow="0" w:lastRow="0" w:firstColumn="1" w:lastColumn="0" w:oddVBand="0" w:evenVBand="0" w:oddHBand="0" w:evenHBand="0" w:firstRowFirstColumn="0" w:firstRowLastColumn="0" w:lastRowFirstColumn="0" w:lastRowLastColumn="0"/>
            <w:tcW w:w="2122" w:type="dxa"/>
          </w:tcPr>
          <w:p w14:paraId="05D0443D" w14:textId="3B7DF516" w:rsidR="006D0F84" w:rsidRPr="0057280E" w:rsidRDefault="006D0F84" w:rsidP="00F627E9">
            <w:pPr>
              <w:spacing w:before="0" w:after="0"/>
              <w:rPr>
                <w:b/>
                <w:sz w:val="20"/>
                <w:szCs w:val="20"/>
                <w:lang w:val="en-NZ"/>
              </w:rPr>
            </w:pPr>
            <w:r w:rsidRPr="0057280E">
              <w:rPr>
                <w:b/>
                <w:sz w:val="20"/>
                <w:szCs w:val="20"/>
                <w:lang w:val="en-NZ"/>
              </w:rPr>
              <w:t xml:space="preserve">Consumer/lived experience </w:t>
            </w:r>
          </w:p>
        </w:tc>
        <w:tc>
          <w:tcPr>
            <w:tcW w:w="5476" w:type="dxa"/>
          </w:tcPr>
          <w:p w14:paraId="21D678AE" w14:textId="0BDB7DCC" w:rsidR="006D0F84" w:rsidRPr="0057280E" w:rsidRDefault="006D0F84" w:rsidP="00F627E9">
            <w:pPr>
              <w:spacing w:before="0" w:after="0"/>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 xml:space="preserve">Seven individual and group interviews </w:t>
            </w:r>
            <w:r w:rsidR="001854E3" w:rsidRPr="0057280E">
              <w:rPr>
                <w:sz w:val="20"/>
                <w:szCs w:val="20"/>
                <w:lang w:val="en-NZ"/>
              </w:rPr>
              <w:t xml:space="preserve">with </w:t>
            </w:r>
            <w:r w:rsidR="007F39FC" w:rsidRPr="0057280E">
              <w:rPr>
                <w:sz w:val="20"/>
                <w:szCs w:val="20"/>
                <w:lang w:val="en-NZ"/>
              </w:rPr>
              <w:t xml:space="preserve">consumers and lived experience representatives </w:t>
            </w:r>
            <w:r w:rsidR="00E83740" w:rsidRPr="0057280E">
              <w:rPr>
                <w:sz w:val="20"/>
                <w:szCs w:val="20"/>
                <w:lang w:val="en-NZ"/>
              </w:rPr>
              <w:t>(representing both current and historical harmful gambling experiences).</w:t>
            </w:r>
          </w:p>
        </w:tc>
      </w:tr>
    </w:tbl>
    <w:p w14:paraId="23CD4F37" w14:textId="093EF360" w:rsidR="007F2759" w:rsidRDefault="00466634" w:rsidP="007C396C">
      <w:pPr>
        <w:spacing w:before="240"/>
      </w:pPr>
      <w:r>
        <w:rPr>
          <w:b/>
          <w:bCs/>
        </w:rPr>
        <w:t xml:space="preserve">Gambling sector </w:t>
      </w:r>
      <w:r w:rsidR="003B62DA">
        <w:rPr>
          <w:b/>
          <w:bCs/>
        </w:rPr>
        <w:t xml:space="preserve">and lived experience (historical) </w:t>
      </w:r>
      <w:r w:rsidR="00FA3C7B">
        <w:rPr>
          <w:b/>
          <w:bCs/>
        </w:rPr>
        <w:t>recruitment</w:t>
      </w:r>
      <w:r w:rsidR="003B62DA">
        <w:rPr>
          <w:b/>
          <w:bCs/>
        </w:rPr>
        <w:t xml:space="preserve"> and engagement</w:t>
      </w:r>
      <w:r>
        <w:rPr>
          <w:b/>
          <w:bCs/>
        </w:rPr>
        <w:t xml:space="preserve">: </w:t>
      </w:r>
      <w:r w:rsidR="00F90221" w:rsidRPr="00135DF0">
        <w:t xml:space="preserve">The research team </w:t>
      </w:r>
      <w:r w:rsidR="008B32EB" w:rsidRPr="00135DF0">
        <w:t>worked</w:t>
      </w:r>
      <w:r w:rsidR="00F90221" w:rsidRPr="00135DF0">
        <w:t xml:space="preserve"> with the Ministry to identify </w:t>
      </w:r>
      <w:r w:rsidR="00BA06E0" w:rsidRPr="00135DF0">
        <w:t xml:space="preserve">key contacts </w:t>
      </w:r>
      <w:r w:rsidR="00C17095">
        <w:t xml:space="preserve">across </w:t>
      </w:r>
      <w:r w:rsidR="00E56984">
        <w:t xml:space="preserve">the range of </w:t>
      </w:r>
      <w:r w:rsidR="008A6AFF">
        <w:t xml:space="preserve">gambling sector </w:t>
      </w:r>
      <w:r w:rsidR="00E56984">
        <w:t>stakeholder groups</w:t>
      </w:r>
      <w:r w:rsidR="005D0231">
        <w:t>.</w:t>
      </w:r>
      <w:r w:rsidR="007F2759">
        <w:t xml:space="preserve"> The research team engaged with </w:t>
      </w:r>
      <w:r w:rsidR="00247C31">
        <w:t xml:space="preserve">stakeholder representatives </w:t>
      </w:r>
      <w:r w:rsidR="00037E0E">
        <w:t xml:space="preserve">from their own </w:t>
      </w:r>
      <w:r w:rsidR="00A1318D">
        <w:t xml:space="preserve">professional networks </w:t>
      </w:r>
      <w:r w:rsidR="00037E0E">
        <w:t xml:space="preserve">and the Ministry’s database to promote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008E0D60">
        <w:t xml:space="preserve"> </w:t>
      </w:r>
      <w:r w:rsidR="0001717A">
        <w:t xml:space="preserve">and invite potential participants to </w:t>
      </w:r>
      <w:r w:rsidR="00E254AD">
        <w:t>partake in individual and/or group interviews and focus groups</w:t>
      </w:r>
      <w:r w:rsidR="00267352">
        <w:t xml:space="preserve"> – information sheets about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008E0D60">
        <w:t xml:space="preserve"> </w:t>
      </w:r>
      <w:r w:rsidR="00267352">
        <w:t>were disseminated</w:t>
      </w:r>
      <w:r w:rsidR="00E254AD">
        <w:t>.</w:t>
      </w:r>
      <w:r w:rsidR="005D0231">
        <w:t xml:space="preserve"> </w:t>
      </w:r>
      <w:r w:rsidR="00DE50E0">
        <w:t xml:space="preserve">Verbal consent was sought before the start </w:t>
      </w:r>
      <w:r w:rsidR="00BB49FB">
        <w:t xml:space="preserve">of </w:t>
      </w:r>
      <w:r w:rsidR="00472B05">
        <w:t>interviews</w:t>
      </w:r>
      <w:r w:rsidR="00BB49FB">
        <w:t>,</w:t>
      </w:r>
      <w:r w:rsidR="00472B05">
        <w:t xml:space="preserve"> and focus groups commenced via </w:t>
      </w:r>
      <w:r w:rsidR="00BD764F">
        <w:t xml:space="preserve">Zoom </w:t>
      </w:r>
      <w:r w:rsidR="00472B05">
        <w:t>or in-person.</w:t>
      </w:r>
      <w:r w:rsidR="00D81E6D">
        <w:t xml:space="preserve"> </w:t>
      </w:r>
    </w:p>
    <w:p w14:paraId="7C72AE32" w14:textId="2B553695" w:rsidR="004D2373" w:rsidRPr="00AC60FD" w:rsidRDefault="00AC60FD" w:rsidP="007C396C">
      <w:r>
        <w:rPr>
          <w:b/>
          <w:bCs/>
        </w:rPr>
        <w:t>Ethnic-specific p</w:t>
      </w:r>
      <w:r w:rsidR="00FA3C7B" w:rsidRPr="00AC60FD">
        <w:rPr>
          <w:b/>
          <w:bCs/>
        </w:rPr>
        <w:t>rovider and</w:t>
      </w:r>
      <w:r w:rsidR="003B62DA">
        <w:rPr>
          <w:b/>
          <w:bCs/>
        </w:rPr>
        <w:t xml:space="preserve"> </w:t>
      </w:r>
      <w:r w:rsidR="00FA3C7B" w:rsidRPr="00AC60FD">
        <w:rPr>
          <w:b/>
          <w:bCs/>
        </w:rPr>
        <w:t xml:space="preserve">lived experience </w:t>
      </w:r>
      <w:r w:rsidR="003B62DA">
        <w:rPr>
          <w:b/>
          <w:bCs/>
        </w:rPr>
        <w:t xml:space="preserve">(current) </w:t>
      </w:r>
      <w:r w:rsidR="00FA3C7B" w:rsidRPr="00AC60FD">
        <w:rPr>
          <w:b/>
          <w:bCs/>
        </w:rPr>
        <w:t>recruitment and engagement:</w:t>
      </w:r>
      <w:r w:rsidR="00FA3C7B" w:rsidRPr="00AC60FD">
        <w:t xml:space="preserve"> </w:t>
      </w:r>
      <w:r w:rsidR="00C41561" w:rsidRPr="00AC60FD">
        <w:t xml:space="preserve">The research team </w:t>
      </w:r>
      <w:r w:rsidR="00FA3C7B" w:rsidRPr="00AC60FD">
        <w:t xml:space="preserve">engaged with </w:t>
      </w:r>
      <w:r w:rsidR="002926B3">
        <w:t>four</w:t>
      </w:r>
      <w:r w:rsidR="0000321C" w:rsidRPr="00AC60FD">
        <w:t xml:space="preserve"> </w:t>
      </w:r>
      <w:r w:rsidR="00FA3C7B" w:rsidRPr="00AC60FD">
        <w:t xml:space="preserve">ethnic-specific gambling harm service providers to </w:t>
      </w:r>
      <w:r w:rsidR="00146E49" w:rsidRPr="00AC60FD">
        <w:t>connect</w:t>
      </w:r>
      <w:r w:rsidR="00FA3C7B" w:rsidRPr="00AC60FD">
        <w:t xml:space="preserve"> with clients and staff</w:t>
      </w:r>
      <w:r w:rsidR="00640996" w:rsidRPr="00AC60FD">
        <w:t xml:space="preserve">. </w:t>
      </w:r>
      <w:r w:rsidR="0088549D" w:rsidRPr="00AC60FD">
        <w:t>Service providers were given promotional material to disseminate to clients</w:t>
      </w:r>
      <w:r w:rsidR="002E273C">
        <w:t>. T</w:t>
      </w:r>
      <w:r w:rsidR="00831074" w:rsidRPr="00AC60FD">
        <w:t>hose</w:t>
      </w:r>
      <w:r w:rsidR="0088549D" w:rsidRPr="00AC60FD">
        <w:t xml:space="preserve"> who</w:t>
      </w:r>
      <w:r w:rsidR="00CD27BB" w:rsidRPr="00AC60FD">
        <w:t xml:space="preserve"> expressed an interest in participating in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008E0D60" w:rsidRPr="00AC60FD">
        <w:t xml:space="preserve"> </w:t>
      </w:r>
      <w:r w:rsidR="00CD27BB" w:rsidRPr="00AC60FD">
        <w:t xml:space="preserve">were invited to a focus group </w:t>
      </w:r>
      <w:r w:rsidR="00CD27BB" w:rsidRPr="00AC60FD">
        <w:lastRenderedPageBreak/>
        <w:t xml:space="preserve">discussion held </w:t>
      </w:r>
      <w:r w:rsidR="00831074" w:rsidRPr="00AC60FD">
        <w:t>at</w:t>
      </w:r>
      <w:r w:rsidR="00CD27BB" w:rsidRPr="00AC60FD">
        <w:t xml:space="preserve"> the provider premises. </w:t>
      </w:r>
      <w:r w:rsidR="004D2373" w:rsidRPr="00AC60FD">
        <w:t>Information sheets and consent forms were shared with potential participants during this process, and they were given opportunities to ask questions.</w:t>
      </w:r>
    </w:p>
    <w:p w14:paraId="6982AAB8" w14:textId="15C3A1B1" w:rsidR="00055FE0" w:rsidRPr="00135DF0" w:rsidRDefault="000418C2" w:rsidP="007C396C">
      <w:pPr>
        <w:rPr>
          <w:lang w:val="en-NZ"/>
        </w:rPr>
      </w:pPr>
      <w:r w:rsidRPr="00135DF0">
        <w:rPr>
          <w:lang w:val="en-NZ"/>
        </w:rPr>
        <w:t xml:space="preserve">Interviews were audiotaped and transcribed. </w:t>
      </w:r>
      <w:r w:rsidR="003B62DA">
        <w:rPr>
          <w:lang w:val="en-NZ"/>
        </w:rPr>
        <w:t>All c</w:t>
      </w:r>
      <w:r w:rsidRPr="00135DF0">
        <w:rPr>
          <w:lang w:val="en-NZ"/>
        </w:rPr>
        <w:t>onsumer/lived experience participants received a koha</w:t>
      </w:r>
      <w:r w:rsidR="003B62DA">
        <w:rPr>
          <w:lang w:val="en-NZ"/>
        </w:rPr>
        <w:t>/meaalofa</w:t>
      </w:r>
      <w:r w:rsidRPr="00135DF0">
        <w:rPr>
          <w:lang w:val="en-NZ"/>
        </w:rPr>
        <w:t xml:space="preserve"> in the form of a gift voucher as a token of appreciation for their involvement.</w:t>
      </w:r>
    </w:p>
    <w:p w14:paraId="7D45C6AC" w14:textId="67CF09B4" w:rsidR="0017474D" w:rsidRDefault="00E04013" w:rsidP="00391594">
      <w:pPr>
        <w:rPr>
          <w:lang w:val="en-NZ"/>
        </w:rPr>
      </w:pPr>
      <w:r>
        <w:rPr>
          <w:b/>
          <w:bCs/>
          <w:lang w:val="en-NZ"/>
        </w:rPr>
        <w:t>Interview and focus group q</w:t>
      </w:r>
      <w:r w:rsidR="00F40B75" w:rsidRPr="00E04013">
        <w:rPr>
          <w:b/>
          <w:bCs/>
          <w:lang w:val="en-NZ"/>
        </w:rPr>
        <w:t>uestion guide</w:t>
      </w:r>
      <w:r>
        <w:rPr>
          <w:b/>
          <w:bCs/>
          <w:lang w:val="en-NZ"/>
        </w:rPr>
        <w:t xml:space="preserve">: </w:t>
      </w:r>
      <w:r w:rsidR="0017474D" w:rsidRPr="002F108B">
        <w:rPr>
          <w:lang w:val="en-NZ"/>
        </w:rPr>
        <w:t>A semi-structured</w:t>
      </w:r>
      <w:r w:rsidR="008E6BAB">
        <w:rPr>
          <w:lang w:val="en-NZ"/>
        </w:rPr>
        <w:t xml:space="preserve"> interview and</w:t>
      </w:r>
      <w:r w:rsidR="0017474D" w:rsidRPr="002F108B">
        <w:rPr>
          <w:lang w:val="en-NZ"/>
        </w:rPr>
        <w:t xml:space="preserve"> focus group guide was developed </w:t>
      </w:r>
      <w:r w:rsidR="00176D19" w:rsidRPr="002F108B">
        <w:rPr>
          <w:lang w:val="en-NZ"/>
        </w:rPr>
        <w:t>in collaboration with</w:t>
      </w:r>
      <w:r w:rsidR="00072FA4" w:rsidRPr="002F108B">
        <w:rPr>
          <w:lang w:val="en-NZ"/>
        </w:rPr>
        <w:t xml:space="preserve"> the Ministry</w:t>
      </w:r>
      <w:r w:rsidR="0017474D" w:rsidRPr="002F108B">
        <w:rPr>
          <w:lang w:val="en-NZ"/>
        </w:rPr>
        <w:t xml:space="preserve"> </w:t>
      </w:r>
      <w:r w:rsidR="00DF57B0" w:rsidRPr="002F108B">
        <w:rPr>
          <w:lang w:val="en-NZ"/>
        </w:rPr>
        <w:t xml:space="preserve">based </w:t>
      </w:r>
      <w:r w:rsidR="00A05B16" w:rsidRPr="002F108B">
        <w:rPr>
          <w:lang w:val="en-NZ"/>
        </w:rPr>
        <w:t xml:space="preserve">on the </w:t>
      </w:r>
      <w:r w:rsidR="00D93AC4">
        <w:rPr>
          <w:lang w:val="en-NZ"/>
        </w:rPr>
        <w:t>Needs Assessment aims</w:t>
      </w:r>
      <w:r w:rsidR="0033430F" w:rsidRPr="002F108B">
        <w:rPr>
          <w:lang w:val="en-NZ"/>
        </w:rPr>
        <w:t xml:space="preserve">. </w:t>
      </w:r>
      <w:r w:rsidR="00BE71AB" w:rsidRPr="002F108B">
        <w:rPr>
          <w:lang w:val="en-NZ"/>
        </w:rPr>
        <w:t xml:space="preserve">In addition to </w:t>
      </w:r>
      <w:r w:rsidR="00022E50" w:rsidRPr="002F108B">
        <w:rPr>
          <w:lang w:val="en-NZ"/>
        </w:rPr>
        <w:t>identify</w:t>
      </w:r>
      <w:r w:rsidR="00C03C16" w:rsidRPr="002F108B">
        <w:rPr>
          <w:lang w:val="en-NZ"/>
        </w:rPr>
        <w:t xml:space="preserve">ing gaps in service delivery, the question guide sought to </w:t>
      </w:r>
      <w:r w:rsidR="00B259F3" w:rsidRPr="002F108B">
        <w:rPr>
          <w:lang w:val="en-NZ"/>
        </w:rPr>
        <w:t xml:space="preserve">summarise the Ministry’s progress across the 11 </w:t>
      </w:r>
      <w:r w:rsidR="001D6A9F">
        <w:rPr>
          <w:lang w:val="en-NZ"/>
        </w:rPr>
        <w:t>Objective</w:t>
      </w:r>
      <w:r w:rsidR="00B259F3" w:rsidRPr="002F108B">
        <w:rPr>
          <w:lang w:val="en-NZ"/>
        </w:rPr>
        <w:t xml:space="preserve">s set out in the current Strategy to Prevent and Minimise Gambling Harm </w:t>
      </w:r>
      <w:r w:rsidR="0095269C" w:rsidRPr="002F108B">
        <w:rPr>
          <w:lang w:val="en-NZ"/>
        </w:rPr>
        <w:t>2019/20-2021/22.</w:t>
      </w:r>
      <w:r w:rsidR="00022E50" w:rsidRPr="002F108B">
        <w:rPr>
          <w:lang w:val="en-NZ"/>
        </w:rPr>
        <w:t xml:space="preserve"> </w:t>
      </w:r>
    </w:p>
    <w:p w14:paraId="457DA213" w14:textId="77777777" w:rsidR="004A11AD" w:rsidRDefault="001635E2" w:rsidP="00C1621F">
      <w:pPr>
        <w:pStyle w:val="Heading3"/>
      </w:pPr>
      <w:bookmarkStart w:id="65" w:name="_Toc68846841"/>
      <w:bookmarkStart w:id="66" w:name="_Toc69210392"/>
      <w:r w:rsidRPr="002972DF">
        <w:t>Online survey</w:t>
      </w:r>
      <w:bookmarkEnd w:id="65"/>
      <w:bookmarkEnd w:id="66"/>
      <w:r w:rsidR="002972DF">
        <w:t>s</w:t>
      </w:r>
    </w:p>
    <w:p w14:paraId="35D8CFD4" w14:textId="0D86EE2A" w:rsidR="00AB06E7" w:rsidRPr="002F108B" w:rsidRDefault="007C396C" w:rsidP="00AB06E7">
      <w:pPr>
        <w:rPr>
          <w:lang w:val="en-NZ"/>
        </w:rPr>
      </w:pPr>
      <w:r>
        <w:rPr>
          <w:lang w:val="en-NZ"/>
        </w:rPr>
        <w:t xml:space="preserve">The Ministry </w:t>
      </w:r>
      <w:r w:rsidR="00375410">
        <w:rPr>
          <w:lang w:val="en-NZ"/>
        </w:rPr>
        <w:t>expected the Needs Assessment 2021 would replicate the online workforce and consumer surveys conducte</w:t>
      </w:r>
      <w:r w:rsidR="002D0849">
        <w:rPr>
          <w:lang w:val="en-NZ"/>
        </w:rPr>
        <w:t xml:space="preserve">d in the last Needs Assessment in 2018. </w:t>
      </w:r>
      <w:r w:rsidR="00AA018F">
        <w:rPr>
          <w:lang w:val="en-NZ"/>
        </w:rPr>
        <w:t xml:space="preserve">The research team forwarded </w:t>
      </w:r>
      <w:r w:rsidR="00F847F7">
        <w:rPr>
          <w:lang w:val="en-NZ"/>
        </w:rPr>
        <w:t>the online workforce and consumer</w:t>
      </w:r>
      <w:r w:rsidR="00AA018F">
        <w:rPr>
          <w:lang w:val="en-NZ"/>
        </w:rPr>
        <w:t xml:space="preserve"> survey links to representatives from all gambling harm service providers</w:t>
      </w:r>
      <w:r w:rsidR="008D28B8">
        <w:rPr>
          <w:lang w:val="en-NZ"/>
        </w:rPr>
        <w:t xml:space="preserve"> (</w:t>
      </w:r>
      <w:r w:rsidR="00532078">
        <w:rPr>
          <w:lang w:val="en-NZ"/>
        </w:rPr>
        <w:t>service providers were asked to forward the consumer survey link to their staff and clients)</w:t>
      </w:r>
      <w:r w:rsidR="00AA018F">
        <w:rPr>
          <w:lang w:val="en-NZ"/>
        </w:rPr>
        <w:t xml:space="preserve"> </w:t>
      </w:r>
      <w:r w:rsidR="00126764">
        <w:rPr>
          <w:lang w:val="en-NZ"/>
        </w:rPr>
        <w:t xml:space="preserve">– data </w:t>
      </w:r>
      <w:r w:rsidR="00CB2134">
        <w:rPr>
          <w:lang w:val="en-NZ"/>
        </w:rPr>
        <w:t xml:space="preserve">were </w:t>
      </w:r>
      <w:r w:rsidR="00126764">
        <w:rPr>
          <w:lang w:val="en-NZ"/>
        </w:rPr>
        <w:t>collected in March 2021.</w:t>
      </w:r>
      <w:r w:rsidR="00532078">
        <w:rPr>
          <w:lang w:val="en-NZ"/>
        </w:rPr>
        <w:t xml:space="preserve"> </w:t>
      </w:r>
      <w:r w:rsidR="000B581E" w:rsidRPr="002F108B">
        <w:rPr>
          <w:lang w:val="en-NZ"/>
        </w:rPr>
        <w:t>Survey respondents who wished to enter a draw to win a $100 Prezzy card</w:t>
      </w:r>
      <w:r w:rsidR="00AA3A29" w:rsidRPr="002F108B">
        <w:rPr>
          <w:lang w:val="en-NZ"/>
        </w:rPr>
        <w:t xml:space="preserve"> were asked to provide a name and contact details</w:t>
      </w:r>
      <w:r w:rsidR="006F2F97" w:rsidRPr="002F108B">
        <w:rPr>
          <w:lang w:val="en-NZ"/>
        </w:rPr>
        <w:t xml:space="preserve"> </w:t>
      </w:r>
      <w:r w:rsidR="00AA3A29" w:rsidRPr="002F108B">
        <w:rPr>
          <w:lang w:val="en-NZ"/>
        </w:rPr>
        <w:t xml:space="preserve">stored separately </w:t>
      </w:r>
      <w:r w:rsidR="006F2F97" w:rsidRPr="002F108B">
        <w:rPr>
          <w:lang w:val="en-NZ"/>
        </w:rPr>
        <w:t xml:space="preserve">to survey data. </w:t>
      </w:r>
    </w:p>
    <w:p w14:paraId="22E65395" w14:textId="56CA8F46" w:rsidR="00F8533A" w:rsidRDefault="00F10767" w:rsidP="00F10767">
      <w:pPr>
        <w:pStyle w:val="Bulletpointindented"/>
        <w:rPr>
          <w:lang w:val="en-NZ"/>
        </w:rPr>
      </w:pPr>
      <w:r>
        <w:rPr>
          <w:b/>
          <w:bCs/>
          <w:lang w:val="en-NZ"/>
        </w:rPr>
        <w:t xml:space="preserve">Workforce survey: </w:t>
      </w:r>
      <w:r w:rsidR="00E8000C">
        <w:rPr>
          <w:lang w:val="en-NZ"/>
        </w:rPr>
        <w:t xml:space="preserve">A total of </w:t>
      </w:r>
      <w:r w:rsidR="00F8533A">
        <w:rPr>
          <w:lang w:val="en-NZ"/>
        </w:rPr>
        <w:t xml:space="preserve">67 responses were received for the workforce survey. </w:t>
      </w:r>
      <w:r w:rsidR="004A11AD">
        <w:rPr>
          <w:lang w:val="en-NZ"/>
        </w:rPr>
        <w:t xml:space="preserve">A profile of survey respondents is provided in </w:t>
      </w:r>
      <w:r w:rsidR="00AD4A6C">
        <w:rPr>
          <w:lang w:val="en-NZ"/>
        </w:rPr>
        <w:t>Appendix 3.</w:t>
      </w:r>
    </w:p>
    <w:p w14:paraId="0E248703" w14:textId="6B60B49D" w:rsidR="00F8533A" w:rsidRDefault="00F8533A" w:rsidP="00F10767">
      <w:pPr>
        <w:pStyle w:val="Bulletpointindented"/>
        <w:rPr>
          <w:lang w:val="en-NZ"/>
        </w:rPr>
      </w:pPr>
      <w:r>
        <w:rPr>
          <w:b/>
          <w:bCs/>
          <w:lang w:val="en-NZ"/>
        </w:rPr>
        <w:t xml:space="preserve">Consumer survey: </w:t>
      </w:r>
      <w:r>
        <w:rPr>
          <w:lang w:val="en-NZ"/>
        </w:rPr>
        <w:t xml:space="preserve">A total of 12 responses were received for the consumer survey. </w:t>
      </w:r>
    </w:p>
    <w:p w14:paraId="2C23055F" w14:textId="61874E73" w:rsidR="003E1110" w:rsidRPr="002F108B" w:rsidRDefault="00F40B75" w:rsidP="00C1621F">
      <w:pPr>
        <w:pStyle w:val="Heading3"/>
      </w:pPr>
      <w:bookmarkStart w:id="67" w:name="_Toc68846843"/>
      <w:r w:rsidRPr="002F108B">
        <w:t>Analysis</w:t>
      </w:r>
      <w:bookmarkEnd w:id="67"/>
    </w:p>
    <w:p w14:paraId="79A62905" w14:textId="697732DE" w:rsidR="00846358" w:rsidRDefault="00AB2E73" w:rsidP="00C30A56">
      <w:pPr>
        <w:rPr>
          <w:lang w:val="en-NZ"/>
        </w:rPr>
      </w:pPr>
      <w:r w:rsidRPr="002F108B">
        <w:rPr>
          <w:lang w:val="en-NZ"/>
        </w:rPr>
        <w:t>A general inductive approach</w:t>
      </w:r>
      <w:r w:rsidRPr="002F108B">
        <w:rPr>
          <w:rFonts w:eastAsia="Calibri"/>
          <w:lang w:val="en-NZ"/>
        </w:rPr>
        <w:t xml:space="preserve"> was used to g</w:t>
      </w:r>
      <w:r w:rsidRPr="002F108B">
        <w:rPr>
          <w:lang w:val="en-NZ"/>
        </w:rPr>
        <w:t xml:space="preserve">uide the analysis of </w:t>
      </w:r>
      <w:r w:rsidR="00657DC9" w:rsidRPr="002F108B">
        <w:rPr>
          <w:lang w:val="en-NZ"/>
        </w:rPr>
        <w:t>the interview</w:t>
      </w:r>
      <w:r w:rsidR="00676F7A">
        <w:rPr>
          <w:lang w:val="en-NZ"/>
        </w:rPr>
        <w:t xml:space="preserve"> and focus group</w:t>
      </w:r>
      <w:r w:rsidR="00657DC9" w:rsidRPr="002F108B">
        <w:rPr>
          <w:lang w:val="en-NZ"/>
        </w:rPr>
        <w:t xml:space="preserve"> data</w:t>
      </w:r>
      <w:r w:rsidRPr="002F108B">
        <w:rPr>
          <w:lang w:val="en-NZ"/>
        </w:rPr>
        <w:t xml:space="preserve">. </w:t>
      </w:r>
      <w:r w:rsidR="00CB2134">
        <w:rPr>
          <w:lang w:val="en-NZ"/>
        </w:rPr>
        <w:t>We developed a</w:t>
      </w:r>
      <w:r w:rsidRPr="002F108B">
        <w:rPr>
          <w:lang w:val="en-NZ"/>
        </w:rPr>
        <w:t xml:space="preserve"> coding framework </w:t>
      </w:r>
      <w:r w:rsidR="00CB2134">
        <w:rPr>
          <w:lang w:val="en-NZ"/>
        </w:rPr>
        <w:t xml:space="preserve">to </w:t>
      </w:r>
      <w:r w:rsidRPr="002F108B">
        <w:rPr>
          <w:lang w:val="en-NZ"/>
        </w:rPr>
        <w:t>identify</w:t>
      </w:r>
      <w:r w:rsidRPr="002F108B">
        <w:rPr>
          <w:rFonts w:eastAsia="Calibri"/>
          <w:lang w:val="en-NZ"/>
        </w:rPr>
        <w:t xml:space="preserve"> emergent themes</w:t>
      </w:r>
      <w:r w:rsidR="00B95830" w:rsidRPr="002F108B">
        <w:rPr>
          <w:rFonts w:eastAsia="Calibri"/>
          <w:lang w:val="en-NZ"/>
        </w:rPr>
        <w:t xml:space="preserve">. </w:t>
      </w:r>
      <w:r w:rsidR="00846358" w:rsidRPr="002F108B">
        <w:rPr>
          <w:lang w:val="en-NZ"/>
        </w:rPr>
        <w:t xml:space="preserve">Our team frequently </w:t>
      </w:r>
      <w:r w:rsidR="00042FA0" w:rsidRPr="002F108B">
        <w:rPr>
          <w:lang w:val="en-NZ"/>
        </w:rPr>
        <w:t>met</w:t>
      </w:r>
      <w:r w:rsidR="00846358" w:rsidRPr="002F108B">
        <w:rPr>
          <w:lang w:val="en-NZ"/>
        </w:rPr>
        <w:t xml:space="preserve"> throughout the </w:t>
      </w:r>
      <w:r w:rsidR="00290E14">
        <w:rPr>
          <w:lang w:val="en-NZ"/>
        </w:rPr>
        <w:t>Needs Assessment</w:t>
      </w:r>
      <w:r w:rsidR="00846358" w:rsidRPr="002F108B">
        <w:rPr>
          <w:lang w:val="en-NZ"/>
        </w:rPr>
        <w:t xml:space="preserve"> to discuss emergent themes and explore </w:t>
      </w:r>
      <w:r w:rsidR="00042FA0" w:rsidRPr="002F108B">
        <w:rPr>
          <w:lang w:val="en-NZ"/>
        </w:rPr>
        <w:t xml:space="preserve">similarities and differences between and across the different </w:t>
      </w:r>
      <w:r w:rsidR="00290E14">
        <w:rPr>
          <w:lang w:val="en-NZ"/>
        </w:rPr>
        <w:t xml:space="preserve">gambling </w:t>
      </w:r>
      <w:r w:rsidR="00042FA0" w:rsidRPr="002F108B">
        <w:rPr>
          <w:lang w:val="en-NZ"/>
        </w:rPr>
        <w:t xml:space="preserve">stakeholder groups. </w:t>
      </w:r>
    </w:p>
    <w:p w14:paraId="2A6409E8" w14:textId="1DAFD916" w:rsidR="00596130" w:rsidRPr="00B33E34" w:rsidRDefault="00FF0998" w:rsidP="00596130">
      <w:r w:rsidRPr="00B33E34">
        <w:t xml:space="preserve">Our culturally diverse team members </w:t>
      </w:r>
      <w:r w:rsidR="00CB2134">
        <w:t xml:space="preserve">of </w:t>
      </w:r>
      <w:r>
        <w:t>M</w:t>
      </w:r>
      <w:r w:rsidR="00D8487D">
        <w:t>ā</w:t>
      </w:r>
      <w:r>
        <w:t xml:space="preserve">ori, Pacific, </w:t>
      </w:r>
      <w:r w:rsidRPr="00FC0E6E">
        <w:t>Pākeh</w:t>
      </w:r>
      <w:r>
        <w:t xml:space="preserve">ā and Asian ethnicity and heritage, and immersion in their respective communities led </w:t>
      </w:r>
      <w:r w:rsidR="00737AF3">
        <w:t xml:space="preserve">the </w:t>
      </w:r>
      <w:r>
        <w:t>analysis</w:t>
      </w:r>
      <w:r w:rsidRPr="00B33E34">
        <w:t>, b</w:t>
      </w:r>
      <w:r>
        <w:t>rought</w:t>
      </w:r>
      <w:r w:rsidRPr="00B33E34">
        <w:t xml:space="preserve"> their interpretive frameworks, </w:t>
      </w:r>
      <w:r>
        <w:t xml:space="preserve">and reflective positioning to </w:t>
      </w:r>
      <w:r w:rsidRPr="00B33E34">
        <w:t xml:space="preserve">ensure that our interpretations </w:t>
      </w:r>
      <w:r>
        <w:t>we</w:t>
      </w:r>
      <w:r w:rsidRPr="00B33E34">
        <w:t xml:space="preserve">re contextualised within </w:t>
      </w:r>
      <w:r>
        <w:t xml:space="preserve">different </w:t>
      </w:r>
      <w:r w:rsidRPr="00B33E34">
        <w:t>cultur</w:t>
      </w:r>
      <w:r>
        <w:t>es where possible and t</w:t>
      </w:r>
      <w:r w:rsidRPr="00B33E34">
        <w:t xml:space="preserve">hat findings </w:t>
      </w:r>
      <w:r>
        <w:t>we</w:t>
      </w:r>
      <w:r w:rsidRPr="00B33E34">
        <w:t>re framed accordingly.</w:t>
      </w:r>
    </w:p>
    <w:p w14:paraId="5FA163C4" w14:textId="41494FFA" w:rsidR="00F40B75" w:rsidRPr="002F108B" w:rsidRDefault="00F40B75" w:rsidP="00222A11">
      <w:pPr>
        <w:pStyle w:val="Heading3"/>
        <w:rPr>
          <w:lang w:val="en-NZ"/>
        </w:rPr>
      </w:pPr>
      <w:bookmarkStart w:id="68" w:name="_Toc68846844"/>
      <w:r w:rsidRPr="002F108B">
        <w:rPr>
          <w:lang w:val="en-NZ"/>
        </w:rPr>
        <w:t>Ethics approval</w:t>
      </w:r>
      <w:bookmarkEnd w:id="68"/>
    </w:p>
    <w:p w14:paraId="7D1267C1" w14:textId="713F3DDE" w:rsidR="006C6BA8" w:rsidRPr="002F108B" w:rsidRDefault="00AA1C6F" w:rsidP="006C6BA8">
      <w:pPr>
        <w:rPr>
          <w:lang w:val="en-NZ"/>
        </w:rPr>
      </w:pPr>
      <w:r w:rsidRPr="002F108B">
        <w:rPr>
          <w:lang w:val="en-NZ"/>
        </w:rPr>
        <w:t xml:space="preserve">An ethics application for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008E0D60" w:rsidRPr="002F108B">
        <w:rPr>
          <w:lang w:val="en-NZ"/>
        </w:rPr>
        <w:t xml:space="preserve"> </w:t>
      </w:r>
      <w:r w:rsidRPr="002F108B">
        <w:rPr>
          <w:lang w:val="en-NZ"/>
        </w:rPr>
        <w:t>was submitted for review by the N</w:t>
      </w:r>
      <w:r w:rsidR="003937BE" w:rsidRPr="002F108B">
        <w:rPr>
          <w:lang w:val="en-NZ"/>
        </w:rPr>
        <w:t>ew Zealand Ethics Committee</w:t>
      </w:r>
      <w:r w:rsidR="001D4D9D">
        <w:rPr>
          <w:lang w:val="en-NZ"/>
        </w:rPr>
        <w:t xml:space="preserve"> on 15 January 2021</w:t>
      </w:r>
      <w:r w:rsidR="00760AF0" w:rsidRPr="002F108B">
        <w:rPr>
          <w:lang w:val="en-NZ"/>
        </w:rPr>
        <w:t>. A</w:t>
      </w:r>
      <w:r w:rsidR="00E63A49" w:rsidRPr="002F108B">
        <w:rPr>
          <w:lang w:val="en-NZ"/>
        </w:rPr>
        <w:t xml:space="preserve">pproval was received on </w:t>
      </w:r>
      <w:r w:rsidR="0081779B" w:rsidRPr="002F108B">
        <w:rPr>
          <w:lang w:val="en-NZ"/>
        </w:rPr>
        <w:t>15</w:t>
      </w:r>
      <w:r w:rsidR="00AD7188">
        <w:rPr>
          <w:lang w:val="en-NZ"/>
        </w:rPr>
        <w:t xml:space="preserve"> February </w:t>
      </w:r>
      <w:r w:rsidR="0081779B" w:rsidRPr="002F108B">
        <w:rPr>
          <w:lang w:val="en-NZ"/>
        </w:rPr>
        <w:t>2021.</w:t>
      </w:r>
    </w:p>
    <w:p w14:paraId="348E12A5" w14:textId="32DD25BB" w:rsidR="00F40B75" w:rsidRPr="004F4EA6" w:rsidRDefault="00F40B75" w:rsidP="00C1621F">
      <w:pPr>
        <w:pStyle w:val="Heading3"/>
        <w:rPr>
          <w:lang w:val="en-NZ"/>
        </w:rPr>
      </w:pPr>
      <w:bookmarkStart w:id="69" w:name="_Toc68846845"/>
      <w:bookmarkStart w:id="70" w:name="_Toc69210393"/>
      <w:r w:rsidRPr="004F4EA6">
        <w:rPr>
          <w:lang w:val="en-NZ"/>
        </w:rPr>
        <w:t>Strengths and limitations</w:t>
      </w:r>
      <w:bookmarkEnd w:id="69"/>
      <w:bookmarkEnd w:id="70"/>
    </w:p>
    <w:p w14:paraId="23FA91E2" w14:textId="10698B7E" w:rsidR="005007AB" w:rsidRPr="002F108B" w:rsidRDefault="005007AB" w:rsidP="00AF2AE7">
      <w:pPr>
        <w:rPr>
          <w:lang w:val="en-NZ"/>
        </w:rPr>
      </w:pPr>
      <w:r w:rsidRPr="002F108B">
        <w:rPr>
          <w:lang w:val="en-NZ"/>
        </w:rPr>
        <w:t>The strengths of this research included</w:t>
      </w:r>
      <w:r w:rsidR="00D85B04">
        <w:rPr>
          <w:lang w:val="en-NZ"/>
        </w:rPr>
        <w:t>:</w:t>
      </w:r>
    </w:p>
    <w:p w14:paraId="3946AADE" w14:textId="7573C525" w:rsidR="00D85B04" w:rsidRPr="00045413" w:rsidRDefault="00A75EF4" w:rsidP="00045413">
      <w:pPr>
        <w:pStyle w:val="Bulletpointindented"/>
      </w:pPr>
      <w:r w:rsidRPr="00045413">
        <w:t xml:space="preserve">A close </w:t>
      </w:r>
      <w:r w:rsidR="007C343C" w:rsidRPr="00045413">
        <w:t xml:space="preserve">working relationship with the Ministry throughout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p>
    <w:p w14:paraId="1A04E196" w14:textId="77777777" w:rsidR="00256B27" w:rsidRPr="00045413" w:rsidRDefault="004B41EB" w:rsidP="00045413">
      <w:pPr>
        <w:pStyle w:val="Bulletpointindented"/>
      </w:pPr>
      <w:r w:rsidRPr="00045413">
        <w:lastRenderedPageBreak/>
        <w:t xml:space="preserve">The research team’s experience and understanding of the harmful gambling sector and </w:t>
      </w:r>
      <w:r w:rsidR="005F3C31" w:rsidRPr="00045413">
        <w:t>networks across the sector</w:t>
      </w:r>
    </w:p>
    <w:p w14:paraId="581D2648" w14:textId="65C5F85A" w:rsidR="007A635E" w:rsidRPr="00045413" w:rsidRDefault="00256B27" w:rsidP="00045413">
      <w:pPr>
        <w:pStyle w:val="Bulletpointindented"/>
      </w:pPr>
      <w:r w:rsidRPr="00045413">
        <w:t>A mixed</w:t>
      </w:r>
      <w:r w:rsidR="00E45E2E">
        <w:t>-</w:t>
      </w:r>
      <w:r w:rsidRPr="00045413">
        <w:t xml:space="preserve">methods approach to </w:t>
      </w:r>
      <w:r w:rsidR="00646151">
        <w:t xml:space="preserve">gather </w:t>
      </w:r>
      <w:r w:rsidRPr="00045413">
        <w:t xml:space="preserve">information to inform the </w:t>
      </w:r>
      <w:r w:rsidR="008E0D60">
        <w:rPr>
          <w:lang w:val="en-NZ"/>
        </w:rPr>
        <w:t>N</w:t>
      </w:r>
      <w:r w:rsidR="008E0D60" w:rsidRPr="00A40A50">
        <w:rPr>
          <w:lang w:val="en-NZ"/>
        </w:rPr>
        <w:t xml:space="preserve">eeds </w:t>
      </w:r>
      <w:r w:rsidR="008E0D60">
        <w:rPr>
          <w:lang w:val="en-NZ"/>
        </w:rPr>
        <w:t>A</w:t>
      </w:r>
      <w:r w:rsidR="008E0D60" w:rsidRPr="00A40A50">
        <w:rPr>
          <w:lang w:val="en-NZ"/>
        </w:rPr>
        <w:t>ssessment</w:t>
      </w:r>
      <w:r w:rsidR="005F3C31" w:rsidRPr="00045413">
        <w:t>.</w:t>
      </w:r>
    </w:p>
    <w:p w14:paraId="71A5E1B7" w14:textId="1C6D7030" w:rsidR="000501A2" w:rsidRPr="002F108B" w:rsidRDefault="005007AB" w:rsidP="0008025B">
      <w:pPr>
        <w:rPr>
          <w:lang w:val="en-NZ"/>
        </w:rPr>
      </w:pPr>
      <w:r w:rsidRPr="002F108B">
        <w:rPr>
          <w:lang w:val="en-NZ"/>
        </w:rPr>
        <w:t>The limitations of this research included</w:t>
      </w:r>
      <w:r w:rsidR="00256B27">
        <w:rPr>
          <w:lang w:val="en-NZ"/>
        </w:rPr>
        <w:t>:</w:t>
      </w:r>
    </w:p>
    <w:p w14:paraId="18EABC81" w14:textId="2A7D7D5A" w:rsidR="004E20A1" w:rsidRPr="004E20A1" w:rsidRDefault="004E20A1" w:rsidP="00045413">
      <w:pPr>
        <w:pStyle w:val="Bulletpointindented"/>
        <w:rPr>
          <w:lang w:val="en-NZ"/>
        </w:rPr>
      </w:pPr>
      <w:r>
        <w:rPr>
          <w:b/>
          <w:bCs/>
          <w:lang w:val="en-NZ"/>
        </w:rPr>
        <w:t xml:space="preserve">Limited timeframes: </w:t>
      </w:r>
      <w:r w:rsidR="00E047F9">
        <w:rPr>
          <w:lang w:val="en-NZ"/>
        </w:rPr>
        <w:t>Data collection was between January-</w:t>
      </w:r>
      <w:r w:rsidR="003D3DDF">
        <w:rPr>
          <w:lang w:val="en-NZ"/>
        </w:rPr>
        <w:t xml:space="preserve">March 2021. The </w:t>
      </w:r>
      <w:r w:rsidR="008D51D3">
        <w:rPr>
          <w:lang w:val="en-NZ"/>
        </w:rPr>
        <w:t>N</w:t>
      </w:r>
      <w:r w:rsidR="008D51D3" w:rsidRPr="00A40A50">
        <w:rPr>
          <w:lang w:val="en-NZ"/>
        </w:rPr>
        <w:t xml:space="preserve">eeds </w:t>
      </w:r>
      <w:r w:rsidR="008D51D3">
        <w:rPr>
          <w:lang w:val="en-NZ"/>
        </w:rPr>
        <w:t>A</w:t>
      </w:r>
      <w:r w:rsidR="008D51D3" w:rsidRPr="00A40A50">
        <w:rPr>
          <w:lang w:val="en-NZ"/>
        </w:rPr>
        <w:t>ssessment</w:t>
      </w:r>
      <w:r w:rsidR="008D51D3">
        <w:rPr>
          <w:lang w:val="en-NZ"/>
        </w:rPr>
        <w:t xml:space="preserve"> </w:t>
      </w:r>
      <w:r w:rsidR="003D3DDF">
        <w:rPr>
          <w:lang w:val="en-NZ"/>
        </w:rPr>
        <w:t xml:space="preserve">examined a broad and sensitive topic with </w:t>
      </w:r>
      <w:r w:rsidR="00A06CE4">
        <w:rPr>
          <w:lang w:val="en-NZ"/>
        </w:rPr>
        <w:t>numerous stakeholders in a tight timeframe.</w:t>
      </w:r>
    </w:p>
    <w:p w14:paraId="05DBEFAE" w14:textId="01097B8F" w:rsidR="00917E1A" w:rsidRPr="00DB1D27" w:rsidRDefault="00DB1D27" w:rsidP="00045413">
      <w:pPr>
        <w:pStyle w:val="Bulletpointindented"/>
        <w:rPr>
          <w:lang w:val="en-NZ"/>
        </w:rPr>
      </w:pPr>
      <w:r w:rsidRPr="00DB1D27">
        <w:rPr>
          <w:b/>
          <w:bCs/>
          <w:lang w:val="en-NZ"/>
        </w:rPr>
        <w:t xml:space="preserve">Low consumer survey response rate: </w:t>
      </w:r>
      <w:r w:rsidR="005E1DE8" w:rsidRPr="00DB1D27">
        <w:rPr>
          <w:lang w:val="en-NZ"/>
        </w:rPr>
        <w:t>Due to a low response</w:t>
      </w:r>
      <w:r w:rsidR="00E45E2E">
        <w:rPr>
          <w:lang w:val="en-NZ"/>
        </w:rPr>
        <w:t xml:space="preserve"> </w:t>
      </w:r>
      <w:r w:rsidR="005E1DE8" w:rsidRPr="00DB1D27">
        <w:rPr>
          <w:lang w:val="en-NZ"/>
        </w:rPr>
        <w:t>rate</w:t>
      </w:r>
      <w:r w:rsidR="00E45E2E">
        <w:rPr>
          <w:lang w:val="en-NZ"/>
        </w:rPr>
        <w:t>,</w:t>
      </w:r>
      <w:r w:rsidR="005E1DE8" w:rsidRPr="00DB1D27">
        <w:rPr>
          <w:lang w:val="en-NZ"/>
        </w:rPr>
        <w:t xml:space="preserve"> consumer survey responses were not analysed or included in the </w:t>
      </w:r>
      <w:r w:rsidR="008D51D3">
        <w:rPr>
          <w:lang w:val="en-NZ"/>
        </w:rPr>
        <w:t>N</w:t>
      </w:r>
      <w:r w:rsidR="008D51D3" w:rsidRPr="00A40A50">
        <w:rPr>
          <w:lang w:val="en-NZ"/>
        </w:rPr>
        <w:t xml:space="preserve">eeds </w:t>
      </w:r>
      <w:r w:rsidR="008D51D3">
        <w:rPr>
          <w:lang w:val="en-NZ"/>
        </w:rPr>
        <w:t>A</w:t>
      </w:r>
      <w:r w:rsidR="008D51D3" w:rsidRPr="00A40A50">
        <w:rPr>
          <w:lang w:val="en-NZ"/>
        </w:rPr>
        <w:t>ssessment</w:t>
      </w:r>
      <w:r w:rsidR="005E1DE8" w:rsidRPr="00DB1D27">
        <w:rPr>
          <w:lang w:val="en-NZ"/>
        </w:rPr>
        <w:t xml:space="preserve">. However, </w:t>
      </w:r>
      <w:r w:rsidR="00B60B67">
        <w:rPr>
          <w:lang w:val="en-NZ"/>
        </w:rPr>
        <w:t xml:space="preserve">open-text qualitative survey feedback was included in analysis and </w:t>
      </w:r>
      <w:r w:rsidR="005E1DE8" w:rsidRPr="00DB1D27">
        <w:rPr>
          <w:lang w:val="en-NZ"/>
        </w:rPr>
        <w:t>detailed consumer and lived experience representation w</w:t>
      </w:r>
      <w:r w:rsidR="00E45E2E">
        <w:rPr>
          <w:lang w:val="en-NZ"/>
        </w:rPr>
        <w:t>ere</w:t>
      </w:r>
      <w:r w:rsidR="005E1DE8" w:rsidRPr="00DB1D27">
        <w:rPr>
          <w:lang w:val="en-NZ"/>
        </w:rPr>
        <w:t xml:space="preserve"> sought through the qualitative in-depth interviews.</w:t>
      </w:r>
      <w:r w:rsidR="003716BD">
        <w:rPr>
          <w:lang w:val="en-NZ"/>
        </w:rPr>
        <w:t xml:space="preserve"> Potential future consumer surveys may benefit from investing adequate time in promoting the Needs Assessment (and survey) and engagement with providers and potential respondents.</w:t>
      </w:r>
    </w:p>
    <w:p w14:paraId="0AA12A7A" w14:textId="3CEBACF5" w:rsidR="00AC4454" w:rsidRPr="004F4EA6" w:rsidRDefault="00026798" w:rsidP="00045413">
      <w:pPr>
        <w:pStyle w:val="Bulletpointindented"/>
        <w:rPr>
          <w:lang w:val="en-NZ"/>
        </w:rPr>
      </w:pPr>
      <w:r w:rsidRPr="004F4EA6">
        <w:rPr>
          <w:b/>
          <w:bCs/>
          <w:lang w:val="en-NZ"/>
        </w:rPr>
        <w:t xml:space="preserve">Limited workforce survey response rate: </w:t>
      </w:r>
      <w:r w:rsidR="00F10DD6" w:rsidRPr="004F4EA6">
        <w:rPr>
          <w:lang w:val="en-NZ"/>
        </w:rPr>
        <w:t xml:space="preserve">The workforce responses </w:t>
      </w:r>
      <w:r w:rsidR="004F4EA6" w:rsidRPr="004F4EA6">
        <w:rPr>
          <w:lang w:val="en-NZ"/>
        </w:rPr>
        <w:t>and findings</w:t>
      </w:r>
      <w:r w:rsidR="00256B27">
        <w:rPr>
          <w:lang w:val="en-NZ"/>
        </w:rPr>
        <w:t xml:space="preserve"> are</w:t>
      </w:r>
      <w:r w:rsidR="004F4EA6" w:rsidRPr="004F4EA6">
        <w:rPr>
          <w:lang w:val="en-NZ"/>
        </w:rPr>
        <w:t xml:space="preserve"> limited and cannot be </w:t>
      </w:r>
      <w:r w:rsidR="00226FE5" w:rsidRPr="004F4EA6">
        <w:rPr>
          <w:lang w:val="en-NZ"/>
        </w:rPr>
        <w:t xml:space="preserve">generalised across the harmful gambling </w:t>
      </w:r>
      <w:r w:rsidR="00133258" w:rsidRPr="004F4EA6">
        <w:rPr>
          <w:lang w:val="en-NZ"/>
        </w:rPr>
        <w:t>sector.</w:t>
      </w:r>
      <w:r w:rsidR="005C1468" w:rsidRPr="004F4EA6">
        <w:rPr>
          <w:lang w:val="en-NZ"/>
        </w:rPr>
        <w:t xml:space="preserve"> </w:t>
      </w:r>
      <w:r w:rsidR="006C6A4A" w:rsidRPr="004F4EA6">
        <w:rPr>
          <w:lang w:val="en-NZ"/>
        </w:rPr>
        <w:t xml:space="preserve">The online survey </w:t>
      </w:r>
      <w:r w:rsidR="00256B27">
        <w:rPr>
          <w:lang w:val="en-NZ"/>
        </w:rPr>
        <w:t>was complemented by</w:t>
      </w:r>
      <w:r w:rsidR="0099214E" w:rsidRPr="004F4EA6">
        <w:rPr>
          <w:lang w:val="en-NZ"/>
        </w:rPr>
        <w:t xml:space="preserve"> </w:t>
      </w:r>
      <w:r w:rsidR="00916D38" w:rsidRPr="004F4EA6">
        <w:rPr>
          <w:lang w:val="en-NZ"/>
        </w:rPr>
        <w:t>g</w:t>
      </w:r>
      <w:r w:rsidR="00AA28A6" w:rsidRPr="004F4EA6">
        <w:rPr>
          <w:lang w:val="en-NZ"/>
        </w:rPr>
        <w:t xml:space="preserve">ood coverage </w:t>
      </w:r>
      <w:r w:rsidR="0099214E" w:rsidRPr="004F4EA6">
        <w:rPr>
          <w:lang w:val="en-NZ"/>
        </w:rPr>
        <w:t xml:space="preserve">of </w:t>
      </w:r>
      <w:r w:rsidR="004F4EA6" w:rsidRPr="004F4EA6">
        <w:rPr>
          <w:lang w:val="en-NZ"/>
        </w:rPr>
        <w:t>provider and other stakeholders’</w:t>
      </w:r>
      <w:r w:rsidR="007B4220" w:rsidRPr="004F4EA6">
        <w:rPr>
          <w:lang w:val="en-NZ"/>
        </w:rPr>
        <w:t xml:space="preserve"> perspectives</w:t>
      </w:r>
      <w:r w:rsidR="0099214E" w:rsidRPr="004F4EA6">
        <w:rPr>
          <w:lang w:val="en-NZ"/>
        </w:rPr>
        <w:t xml:space="preserve"> </w:t>
      </w:r>
      <w:r w:rsidR="00AA28A6" w:rsidRPr="004F4EA6">
        <w:rPr>
          <w:lang w:val="en-NZ"/>
        </w:rPr>
        <w:t xml:space="preserve">through </w:t>
      </w:r>
      <w:r w:rsidR="004F4EA6" w:rsidRPr="004F4EA6">
        <w:rPr>
          <w:lang w:val="en-NZ"/>
        </w:rPr>
        <w:t>in-depth interviews</w:t>
      </w:r>
      <w:r w:rsidR="0099214E" w:rsidRPr="004F4EA6">
        <w:rPr>
          <w:lang w:val="en-NZ"/>
        </w:rPr>
        <w:t xml:space="preserve">. </w:t>
      </w:r>
    </w:p>
    <w:p w14:paraId="3EAF55AF" w14:textId="77777777" w:rsidR="00A83388" w:rsidRPr="002F108B" w:rsidRDefault="00A83388" w:rsidP="00A83388">
      <w:pPr>
        <w:pStyle w:val="ListParagraph"/>
        <w:rPr>
          <w:lang w:val="en-NZ"/>
        </w:rPr>
      </w:pPr>
    </w:p>
    <w:p w14:paraId="59FC61DC" w14:textId="6D0CD586" w:rsidR="00442A51" w:rsidRPr="002F108B" w:rsidRDefault="00CF0ECD" w:rsidP="00EC7A69">
      <w:pPr>
        <w:pStyle w:val="Heading1"/>
        <w:rPr>
          <w:lang w:val="en-NZ"/>
        </w:rPr>
      </w:pPr>
      <w:bookmarkStart w:id="71" w:name="_Toc65250297"/>
      <w:bookmarkStart w:id="72" w:name="_Toc76469772"/>
      <w:r w:rsidRPr="002F108B">
        <w:rPr>
          <w:lang w:val="en-NZ"/>
        </w:rPr>
        <w:lastRenderedPageBreak/>
        <w:t>G</w:t>
      </w:r>
      <w:r w:rsidR="00302F66" w:rsidRPr="002F108B">
        <w:rPr>
          <w:lang w:val="en-NZ"/>
        </w:rPr>
        <w:t xml:space="preserve">ambling in </w:t>
      </w:r>
      <w:r w:rsidR="00C51973" w:rsidRPr="002F108B">
        <w:rPr>
          <w:lang w:val="en-NZ"/>
        </w:rPr>
        <w:t>Aotearoa New Zealand</w:t>
      </w:r>
      <w:bookmarkEnd w:id="71"/>
      <w:bookmarkEnd w:id="72"/>
      <w:r w:rsidR="00C51973" w:rsidRPr="002F108B">
        <w:rPr>
          <w:lang w:val="en-NZ"/>
        </w:rPr>
        <w:t xml:space="preserve"> </w:t>
      </w:r>
    </w:p>
    <w:p w14:paraId="322C38C0" w14:textId="288BA06D" w:rsidR="004E05A0" w:rsidRPr="002F108B" w:rsidRDefault="004E05A0" w:rsidP="00C015A7">
      <w:pPr>
        <w:pStyle w:val="Heading2"/>
        <w:rPr>
          <w:lang w:val="en-NZ"/>
        </w:rPr>
      </w:pPr>
      <w:bookmarkStart w:id="73" w:name="_Ref65074882"/>
      <w:bookmarkStart w:id="74" w:name="_Toc65250298"/>
      <w:bookmarkStart w:id="75" w:name="_Toc76469773"/>
      <w:r w:rsidRPr="002F108B">
        <w:rPr>
          <w:lang w:val="en-NZ"/>
        </w:rPr>
        <w:t>Gambling participation</w:t>
      </w:r>
      <w:bookmarkEnd w:id="73"/>
      <w:bookmarkEnd w:id="74"/>
      <w:bookmarkEnd w:id="75"/>
    </w:p>
    <w:p w14:paraId="6E232277" w14:textId="0AC2C538" w:rsidR="00BF6027" w:rsidRPr="002F108B" w:rsidRDefault="00A05FC8" w:rsidP="00CF03FE">
      <w:pPr>
        <w:rPr>
          <w:lang w:val="en-NZ"/>
        </w:rPr>
      </w:pPr>
      <w:r w:rsidRPr="002F108B">
        <w:rPr>
          <w:lang w:val="en-NZ"/>
        </w:rPr>
        <w:t>Evidence shows that m</w:t>
      </w:r>
      <w:r w:rsidR="00B726AF" w:rsidRPr="002F108B">
        <w:rPr>
          <w:lang w:val="en-NZ"/>
        </w:rPr>
        <w:t>any</w:t>
      </w:r>
      <w:r w:rsidR="00B52CFC" w:rsidRPr="002F108B">
        <w:rPr>
          <w:lang w:val="en-NZ"/>
        </w:rPr>
        <w:t xml:space="preserve"> adults have engaged in gambling</w:t>
      </w:r>
      <w:r w:rsidR="00B726AF" w:rsidRPr="002F108B">
        <w:rPr>
          <w:lang w:val="en-NZ"/>
        </w:rPr>
        <w:t xml:space="preserve"> at some time in their lives</w:t>
      </w:r>
      <w:r w:rsidR="00B52CFC" w:rsidRPr="002F108B">
        <w:rPr>
          <w:lang w:val="en-NZ"/>
        </w:rPr>
        <w:t>.</w:t>
      </w:r>
      <w:r w:rsidR="00B726AF" w:rsidRPr="002F108B">
        <w:rPr>
          <w:lang w:val="en-NZ"/>
        </w:rPr>
        <w:t xml:space="preserve"> </w:t>
      </w:r>
      <w:r w:rsidR="00BF6027" w:rsidRPr="002F108B">
        <w:rPr>
          <w:lang w:val="en-NZ"/>
        </w:rPr>
        <w:t xml:space="preserve">New Zealand’s National </w:t>
      </w:r>
      <w:r w:rsidR="002E4154" w:rsidRPr="002F108B">
        <w:rPr>
          <w:lang w:val="en-NZ"/>
        </w:rPr>
        <w:t>Gambling Study (NGS</w:t>
      </w:r>
      <w:r w:rsidR="00A901FE" w:rsidRPr="002F108B">
        <w:rPr>
          <w:lang w:val="en-NZ"/>
        </w:rPr>
        <w:t>)</w:t>
      </w:r>
      <w:r w:rsidR="008B7F7E" w:rsidRPr="002F108B">
        <w:rPr>
          <w:rStyle w:val="FootnoteReference"/>
          <w:lang w:val="en-NZ"/>
        </w:rPr>
        <w:footnoteReference w:id="7"/>
      </w:r>
      <w:r w:rsidR="00BF6027" w:rsidRPr="002F108B">
        <w:rPr>
          <w:lang w:val="en-NZ"/>
        </w:rPr>
        <w:t xml:space="preserve"> </w:t>
      </w:r>
      <w:r w:rsidR="00256B27">
        <w:rPr>
          <w:lang w:val="en-NZ"/>
        </w:rPr>
        <w:t>found</w:t>
      </w:r>
      <w:r w:rsidR="00256B27" w:rsidRPr="002F108B">
        <w:rPr>
          <w:lang w:val="en-NZ"/>
        </w:rPr>
        <w:t xml:space="preserve"> </w:t>
      </w:r>
      <w:r w:rsidR="003728A0" w:rsidRPr="002F108B">
        <w:rPr>
          <w:lang w:val="en-NZ"/>
        </w:rPr>
        <w:t xml:space="preserve">that overall gambling </w:t>
      </w:r>
      <w:r w:rsidR="00B726AF" w:rsidRPr="002F108B">
        <w:rPr>
          <w:lang w:val="en-NZ"/>
        </w:rPr>
        <w:t>participation rates</w:t>
      </w:r>
      <w:r w:rsidR="003728A0" w:rsidRPr="002F108B">
        <w:rPr>
          <w:lang w:val="en-NZ"/>
        </w:rPr>
        <w:t xml:space="preserve"> continue to trend downwards</w:t>
      </w:r>
      <w:r w:rsidR="003728A0" w:rsidRPr="002F108B">
        <w:rPr>
          <w:rStyle w:val="FootnoteReference"/>
          <w:lang w:val="en-NZ"/>
        </w:rPr>
        <w:footnoteReference w:id="8"/>
      </w:r>
      <w:r w:rsidR="00151FFF" w:rsidRPr="002F108B">
        <w:rPr>
          <w:lang w:val="en-NZ"/>
        </w:rPr>
        <w:t xml:space="preserve"> </w:t>
      </w:r>
      <w:r w:rsidR="00240776" w:rsidRPr="002F108B">
        <w:rPr>
          <w:rFonts w:cs="Calibri"/>
          <w:lang w:val="en-NZ"/>
        </w:rPr>
        <w:t>(</w:t>
      </w:r>
      <w:r w:rsidR="00324B5E">
        <w:rPr>
          <w:rFonts w:cs="Calibri"/>
          <w:lang w:val="en-NZ"/>
        </w:rPr>
        <w:t>Abbott, Bellringer &amp; Garret (2018</w:t>
      </w:r>
      <w:r w:rsidR="00240776" w:rsidRPr="002F108B">
        <w:rPr>
          <w:rFonts w:cs="Calibri"/>
          <w:lang w:val="en-NZ"/>
        </w:rPr>
        <w:t>)</w:t>
      </w:r>
      <w:r w:rsidR="003728A0" w:rsidRPr="002F108B">
        <w:rPr>
          <w:lang w:val="en-NZ"/>
        </w:rPr>
        <w:t>.</w:t>
      </w:r>
      <w:r w:rsidR="00D81E6D">
        <w:rPr>
          <w:lang w:val="en-NZ"/>
        </w:rPr>
        <w:t xml:space="preserve"> </w:t>
      </w:r>
      <w:r w:rsidR="00C04466" w:rsidRPr="002F108B">
        <w:rPr>
          <w:lang w:val="en-NZ"/>
        </w:rPr>
        <w:t xml:space="preserve">The most recent gambling participation </w:t>
      </w:r>
      <w:r w:rsidR="001919D7" w:rsidRPr="002F108B">
        <w:rPr>
          <w:lang w:val="en-NZ"/>
        </w:rPr>
        <w:t xml:space="preserve">and prevalence </w:t>
      </w:r>
      <w:r w:rsidR="00C04466" w:rsidRPr="002F108B">
        <w:rPr>
          <w:lang w:val="en-NZ"/>
        </w:rPr>
        <w:t>data captured in the Health and Lifestyle Survey (HLS)</w:t>
      </w:r>
      <w:r w:rsidR="000F60D7" w:rsidRPr="002F108B">
        <w:rPr>
          <w:rStyle w:val="FootnoteReference"/>
          <w:lang w:val="en-NZ"/>
        </w:rPr>
        <w:t xml:space="preserve"> </w:t>
      </w:r>
      <w:r w:rsidR="000F60D7" w:rsidRPr="002F108B">
        <w:rPr>
          <w:rStyle w:val="FootnoteReference"/>
          <w:lang w:val="en-NZ"/>
        </w:rPr>
        <w:footnoteReference w:id="9"/>
      </w:r>
      <w:r w:rsidR="00025E26" w:rsidRPr="002F108B">
        <w:rPr>
          <w:lang w:val="en-NZ"/>
        </w:rPr>
        <w:t xml:space="preserve"> </w:t>
      </w:r>
      <w:r w:rsidR="003728A0" w:rsidRPr="002F108B">
        <w:rPr>
          <w:lang w:val="en-NZ"/>
        </w:rPr>
        <w:t>2018</w:t>
      </w:r>
      <w:r w:rsidR="00025E26" w:rsidRPr="002F108B">
        <w:rPr>
          <w:lang w:val="en-NZ"/>
        </w:rPr>
        <w:t xml:space="preserve"> </w:t>
      </w:r>
      <w:r w:rsidR="00256B27">
        <w:rPr>
          <w:lang w:val="en-NZ"/>
        </w:rPr>
        <w:t>found</w:t>
      </w:r>
      <w:r w:rsidR="00BF6027" w:rsidRPr="002F108B">
        <w:rPr>
          <w:lang w:val="en-NZ"/>
        </w:rPr>
        <w:t xml:space="preserve">: </w:t>
      </w:r>
    </w:p>
    <w:p w14:paraId="4A37009F" w14:textId="1F507EF4" w:rsidR="00750344" w:rsidRDefault="00BE571C" w:rsidP="00045413">
      <w:pPr>
        <w:pStyle w:val="Bulletpointindented"/>
      </w:pPr>
      <w:r>
        <w:t xml:space="preserve">67.2% of </w:t>
      </w:r>
      <w:r w:rsidR="00B42A0E">
        <w:t>adults participated in some form of gambling (an estimated 2,650,000 adults)</w:t>
      </w:r>
      <w:r w:rsidR="003728A0">
        <w:t>, a 3% decrease from the 2016 Survey results (70.2%) and a 15.5% decrease from 2006 (82.7%)</w:t>
      </w:r>
    </w:p>
    <w:p w14:paraId="637D25B0" w14:textId="1DEB115D" w:rsidR="00150629" w:rsidRDefault="00201BBD" w:rsidP="00045413">
      <w:pPr>
        <w:pStyle w:val="Bulletpointindented"/>
      </w:pPr>
      <w:r>
        <w:t>Gambling on lotteries</w:t>
      </w:r>
      <w:r w:rsidR="00150629">
        <w:t xml:space="preserve"> </w:t>
      </w:r>
      <w:r>
        <w:t xml:space="preserve">products </w:t>
      </w:r>
      <w:r w:rsidR="005856C0">
        <w:t>(including Strike, Powerball, Big Wednesday, Keno and Instant Kiwi) continues to be</w:t>
      </w:r>
      <w:r>
        <w:t xml:space="preserve"> the most </w:t>
      </w:r>
      <w:r w:rsidR="005856C0">
        <w:t>popular gambling activity for New Zealanders. Over half (55.5% or 2,172,000 adults) had bought a Lotto product in the last year (either in-store or online).</w:t>
      </w:r>
      <w:r w:rsidR="008041E3">
        <w:t xml:space="preserve"> The next most </w:t>
      </w:r>
      <w:r>
        <w:t>common form</w:t>
      </w:r>
      <w:r w:rsidR="008041E3">
        <w:t>s</w:t>
      </w:r>
      <w:r>
        <w:t xml:space="preserve"> of gambling </w:t>
      </w:r>
      <w:r w:rsidR="001821C6">
        <w:t>New Zealand adults participated in</w:t>
      </w:r>
      <w:r w:rsidR="00150629">
        <w:t xml:space="preserve"> </w:t>
      </w:r>
      <w:r w:rsidR="008041E3">
        <w:t>include</w:t>
      </w:r>
      <w:r w:rsidR="00150629">
        <w:t xml:space="preserve"> </w:t>
      </w:r>
      <w:r w:rsidR="00CD6DA6">
        <w:t>EGMs at pubs/clubs/casino (</w:t>
      </w:r>
      <w:r w:rsidR="00A935F0">
        <w:t xml:space="preserve">13%), </w:t>
      </w:r>
      <w:r w:rsidR="00CF03FE">
        <w:t>horse/dog/sports racing (11.3%) and online gambling on overseas websites (2.2%).</w:t>
      </w:r>
    </w:p>
    <w:p w14:paraId="72729859" w14:textId="24FE735E" w:rsidR="00311F73" w:rsidRDefault="00827E95" w:rsidP="00045413">
      <w:pPr>
        <w:pStyle w:val="Bulletpointindented"/>
      </w:pPr>
      <w:r>
        <w:t xml:space="preserve">Compared with </w:t>
      </w:r>
      <w:r w:rsidR="00256B27">
        <w:t xml:space="preserve">people from </w:t>
      </w:r>
      <w:r>
        <w:t>New Zealand European</w:t>
      </w:r>
      <w:r w:rsidR="00F11A37">
        <w:t xml:space="preserve"> and other</w:t>
      </w:r>
      <w:r w:rsidR="00256B27">
        <w:t xml:space="preserve"> ethnic group</w:t>
      </w:r>
      <w:r>
        <w:t xml:space="preserve">, slightly higher proportions of Māori and </w:t>
      </w:r>
      <w:r w:rsidRPr="00444DE4">
        <w:t>Pacific</w:t>
      </w:r>
      <w:r>
        <w:t xml:space="preserve"> participate in EGMs (casino and non-casino) and fewer participate in </w:t>
      </w:r>
      <w:r w:rsidR="00B715A6">
        <w:t xml:space="preserve">NZ Racing Board (TAB). </w:t>
      </w:r>
      <w:r w:rsidR="00E55E8A">
        <w:t>A higher proportion o</w:t>
      </w:r>
      <w:r w:rsidR="00BB681D">
        <w:t>f</w:t>
      </w:r>
      <w:r w:rsidR="00E55E8A">
        <w:t xml:space="preserve"> N</w:t>
      </w:r>
      <w:r w:rsidR="00EE79D7">
        <w:t xml:space="preserve">ew </w:t>
      </w:r>
      <w:r w:rsidR="00E55E8A">
        <w:t>Z</w:t>
      </w:r>
      <w:r w:rsidR="00EE79D7">
        <w:t>ealand</w:t>
      </w:r>
      <w:r w:rsidR="00E55E8A">
        <w:t xml:space="preserve"> Europeans and others </w:t>
      </w:r>
      <w:r w:rsidR="00671060">
        <w:t xml:space="preserve">participate in NZ Lotto products compared to Māori and Pacific, who participate in similar proportions. </w:t>
      </w:r>
      <w:r w:rsidR="002D6476">
        <w:t>Asians have the lowest participation across all three</w:t>
      </w:r>
      <w:r w:rsidR="003A451D">
        <w:t xml:space="preserve"> </w:t>
      </w:r>
      <w:r w:rsidR="008D48EF">
        <w:t>activities</w:t>
      </w:r>
      <w:r w:rsidR="002D6476">
        <w:t xml:space="preserve">. </w:t>
      </w:r>
    </w:p>
    <w:p w14:paraId="1FAD6DEB" w14:textId="495B36B2" w:rsidR="00750344" w:rsidRDefault="00750344" w:rsidP="00045413">
      <w:pPr>
        <w:pStyle w:val="Bulletpointindented"/>
      </w:pPr>
      <w:r>
        <w:t xml:space="preserve">Differences in gambling participation across ethnic groups remain unchanged. In 2018, 72.7% of </w:t>
      </w:r>
      <w:r w:rsidR="00EE79D7">
        <w:t>New Zealand European</w:t>
      </w:r>
      <w:r>
        <w:t xml:space="preserve">/Other adults, 69.3% of Māori adults, 60.4% of Pacific adults and 41.4% of Asian adults reported gambling in the last 12 months. This pattern of differences has not changed since the previous gambling harm </w:t>
      </w:r>
      <w:r w:rsidR="008D51D3">
        <w:rPr>
          <w:lang w:val="en-NZ"/>
        </w:rPr>
        <w:t>N</w:t>
      </w:r>
      <w:r w:rsidR="008D51D3" w:rsidRPr="00A40A50">
        <w:rPr>
          <w:lang w:val="en-NZ"/>
        </w:rPr>
        <w:t xml:space="preserve">eeds </w:t>
      </w:r>
      <w:r w:rsidR="008D51D3">
        <w:rPr>
          <w:lang w:val="en-NZ"/>
        </w:rPr>
        <w:t>A</w:t>
      </w:r>
      <w:r w:rsidR="008D51D3" w:rsidRPr="00A40A50">
        <w:rPr>
          <w:lang w:val="en-NZ"/>
        </w:rPr>
        <w:t>ssessment</w:t>
      </w:r>
      <w:r>
        <w:t xml:space="preserve">. </w:t>
      </w:r>
    </w:p>
    <w:p w14:paraId="6D9B4BDF" w14:textId="798403BA" w:rsidR="00EC6ACC" w:rsidRPr="002F108B" w:rsidRDefault="0073238E" w:rsidP="0073238E">
      <w:pPr>
        <w:rPr>
          <w:lang w:val="en-NZ"/>
        </w:rPr>
      </w:pPr>
      <w:r w:rsidRPr="002F108B">
        <w:rPr>
          <w:lang w:val="en-NZ"/>
        </w:rPr>
        <w:t xml:space="preserve">Between 2016-2018, the proportion of New Zealand adults gambling on </w:t>
      </w:r>
      <w:r w:rsidR="0089123B" w:rsidRPr="002F108B">
        <w:rPr>
          <w:lang w:val="en-NZ"/>
        </w:rPr>
        <w:t>EGMs</w:t>
      </w:r>
      <w:r w:rsidRPr="002F108B">
        <w:rPr>
          <w:lang w:val="en-NZ"/>
        </w:rPr>
        <w:t xml:space="preserve"> at pubs/clubs/casino increased slightly by 1.1%. </w:t>
      </w:r>
      <w:r w:rsidR="00F33C2F" w:rsidRPr="002F108B">
        <w:rPr>
          <w:lang w:val="en-NZ"/>
        </w:rPr>
        <w:t>G</w:t>
      </w:r>
      <w:r w:rsidRPr="002F108B">
        <w:rPr>
          <w:lang w:val="en-NZ"/>
        </w:rPr>
        <w:t>ambling on lotteries products, horse/dog/sports racing and online gambling on overseas websites decreased slightly by 5.7%, 0.9% and 1.0%</w:t>
      </w:r>
      <w:r w:rsidR="00974D45" w:rsidRPr="002F108B">
        <w:rPr>
          <w:lang w:val="en-NZ"/>
        </w:rPr>
        <w:t>,</w:t>
      </w:r>
      <w:r w:rsidRPr="002F108B">
        <w:rPr>
          <w:lang w:val="en-NZ"/>
        </w:rPr>
        <w:t xml:space="preserve"> respectively.</w:t>
      </w:r>
    </w:p>
    <w:p w14:paraId="036C619E" w14:textId="1F3BA166" w:rsidR="00992FBA" w:rsidRPr="002F108B" w:rsidRDefault="002B0CF7" w:rsidP="00C015A7">
      <w:pPr>
        <w:pStyle w:val="Heading2"/>
        <w:rPr>
          <w:lang w:val="en-NZ"/>
        </w:rPr>
      </w:pPr>
      <w:bookmarkStart w:id="76" w:name="_Ref65049010"/>
      <w:bookmarkStart w:id="77" w:name="_Ref65069389"/>
      <w:bookmarkStart w:id="78" w:name="_Toc65250299"/>
      <w:bookmarkStart w:id="79" w:name="_Toc76469774"/>
      <w:r w:rsidRPr="002F108B">
        <w:rPr>
          <w:lang w:val="en-NZ"/>
        </w:rPr>
        <w:lastRenderedPageBreak/>
        <w:t>Defining and measuring</w:t>
      </w:r>
      <w:r w:rsidR="00992FBA" w:rsidRPr="002F108B">
        <w:rPr>
          <w:lang w:val="en-NZ"/>
        </w:rPr>
        <w:t xml:space="preserve"> harmful gambling</w:t>
      </w:r>
      <w:bookmarkEnd w:id="76"/>
      <w:bookmarkEnd w:id="77"/>
      <w:bookmarkEnd w:id="78"/>
      <w:bookmarkEnd w:id="79"/>
    </w:p>
    <w:p w14:paraId="51633C8C" w14:textId="09FC76E3" w:rsidR="006B71DA" w:rsidRPr="002F108B" w:rsidRDefault="006B71DA" w:rsidP="006B71DA">
      <w:pPr>
        <w:rPr>
          <w:lang w:val="en-NZ"/>
        </w:rPr>
      </w:pPr>
      <w:r w:rsidRPr="002F108B">
        <w:rPr>
          <w:lang w:val="en-NZ"/>
        </w:rPr>
        <w:t xml:space="preserve">Interviewed </w:t>
      </w:r>
      <w:r w:rsidR="00F810C1" w:rsidRPr="002F108B">
        <w:rPr>
          <w:lang w:val="en-NZ"/>
        </w:rPr>
        <w:t>gambling harm service and lived experience representatives</w:t>
      </w:r>
      <w:r w:rsidRPr="002F108B">
        <w:rPr>
          <w:lang w:val="en-NZ"/>
        </w:rPr>
        <w:t xml:space="preserve"> commonly described gambling </w:t>
      </w:r>
      <w:r w:rsidR="00785FDE" w:rsidRPr="002F108B">
        <w:rPr>
          <w:lang w:val="en-NZ"/>
        </w:rPr>
        <w:t xml:space="preserve">participation in Aotearoa New Zealand </w:t>
      </w:r>
      <w:r w:rsidRPr="002F108B">
        <w:rPr>
          <w:lang w:val="en-NZ"/>
        </w:rPr>
        <w:t xml:space="preserve">as a normalised activity </w:t>
      </w:r>
      <w:r w:rsidR="00785FDE" w:rsidRPr="002F108B">
        <w:rPr>
          <w:lang w:val="en-NZ"/>
        </w:rPr>
        <w:t xml:space="preserve">which </w:t>
      </w:r>
      <w:r w:rsidR="002875E9" w:rsidRPr="002F108B">
        <w:rPr>
          <w:lang w:val="en-NZ"/>
        </w:rPr>
        <w:t xml:space="preserve">for some </w:t>
      </w:r>
      <w:r w:rsidR="006E434C" w:rsidRPr="002F108B">
        <w:rPr>
          <w:lang w:val="en-NZ"/>
        </w:rPr>
        <w:t xml:space="preserve">people </w:t>
      </w:r>
      <w:r w:rsidR="002875E9" w:rsidRPr="002F108B">
        <w:rPr>
          <w:lang w:val="en-NZ"/>
        </w:rPr>
        <w:t>can evolve into harmful gambling behaviour</w:t>
      </w:r>
      <w:r w:rsidRPr="002F108B">
        <w:rPr>
          <w:lang w:val="en-NZ"/>
        </w:rPr>
        <w:t>.</w:t>
      </w:r>
    </w:p>
    <w:p w14:paraId="67169C47" w14:textId="77777777" w:rsidR="006B71DA" w:rsidRPr="002F108B" w:rsidRDefault="006B71DA" w:rsidP="006B71DA">
      <w:pPr>
        <w:pStyle w:val="Quotes"/>
        <w:rPr>
          <w:lang w:val="en-NZ"/>
        </w:rPr>
      </w:pPr>
      <w:r w:rsidRPr="002F108B">
        <w:rPr>
          <w:lang w:val="en-NZ"/>
        </w:rPr>
        <w:t>You don’t look at scratchies as gambling, but it is. (Clients)</w:t>
      </w:r>
    </w:p>
    <w:p w14:paraId="6174A1B0" w14:textId="7E06B3B3" w:rsidR="002D1DFF" w:rsidRPr="002F108B" w:rsidRDefault="002D1DFF" w:rsidP="002D1DFF">
      <w:pPr>
        <w:pStyle w:val="Quotes"/>
        <w:rPr>
          <w:lang w:val="en-NZ"/>
        </w:rPr>
      </w:pPr>
      <w:r w:rsidRPr="002F108B">
        <w:rPr>
          <w:lang w:val="en-NZ"/>
        </w:rPr>
        <w:t>It’s all fun and games</w:t>
      </w:r>
      <w:r w:rsidR="00312EF8" w:rsidRPr="002F108B">
        <w:rPr>
          <w:lang w:val="en-NZ"/>
        </w:rPr>
        <w:t>,</w:t>
      </w:r>
      <w:r w:rsidRPr="002F108B">
        <w:rPr>
          <w:lang w:val="en-NZ"/>
        </w:rPr>
        <w:t xml:space="preserve"> and then it’s not fun and games. (</w:t>
      </w:r>
      <w:r w:rsidR="004068EB" w:rsidRPr="002F108B">
        <w:rPr>
          <w:lang w:val="en-NZ"/>
        </w:rPr>
        <w:t>Lived experience representative</w:t>
      </w:r>
      <w:r w:rsidRPr="002F108B">
        <w:rPr>
          <w:lang w:val="en-NZ"/>
        </w:rPr>
        <w:t>)</w:t>
      </w:r>
    </w:p>
    <w:p w14:paraId="6FE99A33" w14:textId="3EC134A5" w:rsidR="00992FBA" w:rsidRDefault="00992FBA" w:rsidP="00992FBA">
      <w:pPr>
        <w:rPr>
          <w:rFonts w:cs="Calibri"/>
          <w:lang w:val="en-NZ"/>
        </w:rPr>
      </w:pPr>
      <w:r w:rsidRPr="00F817FA">
        <w:rPr>
          <w:rFonts w:cs="Calibri"/>
          <w:lang w:val="en-NZ"/>
        </w:rPr>
        <w:t xml:space="preserve">The Gambling Act 2003 </w:t>
      </w:r>
      <w:r>
        <w:rPr>
          <w:rFonts w:cs="Calibri"/>
          <w:lang w:val="en-NZ"/>
        </w:rPr>
        <w:t xml:space="preserve">(Section 4, Part 1) </w:t>
      </w:r>
      <w:r w:rsidRPr="00F817FA">
        <w:rPr>
          <w:rFonts w:cs="Calibri"/>
          <w:lang w:val="en-NZ"/>
        </w:rPr>
        <w:t>defines gambling harm as “distress of any kind arising from or caused or exacerbated by, a person’s gambling” to themselves, their family, whānau, workplace or society</w:t>
      </w:r>
      <w:r>
        <w:rPr>
          <w:rFonts w:cs="Calibri"/>
          <w:lang w:val="en-NZ"/>
        </w:rPr>
        <w:t xml:space="preserve"> </w:t>
      </w:r>
      <w:r w:rsidRPr="002F108B">
        <w:rPr>
          <w:rFonts w:cs="Calibri"/>
          <w:lang w:val="en-NZ"/>
        </w:rPr>
        <w:t>(Parliamentary Counsel Office, 2003)</w:t>
      </w:r>
      <w:r>
        <w:rPr>
          <w:rFonts w:cs="Calibri"/>
          <w:lang w:val="en-NZ"/>
        </w:rPr>
        <w:t>.</w:t>
      </w:r>
    </w:p>
    <w:p w14:paraId="6FCD9262" w14:textId="77777777" w:rsidR="00992FBA" w:rsidRDefault="00992FBA" w:rsidP="00992FBA">
      <w:pPr>
        <w:rPr>
          <w:rFonts w:cs="Calibri"/>
          <w:lang w:val="en-NZ"/>
        </w:rPr>
      </w:pPr>
      <w:r>
        <w:rPr>
          <w:rFonts w:cs="Calibri"/>
          <w:lang w:val="en-NZ"/>
        </w:rPr>
        <w:t xml:space="preserve">The HLS, National Prevalence Survey </w:t>
      </w:r>
      <w:r w:rsidR="007E1151">
        <w:rPr>
          <w:rFonts w:cs="Calibri"/>
          <w:lang w:val="en-NZ"/>
        </w:rPr>
        <w:t>(NPS)</w:t>
      </w:r>
      <w:r>
        <w:rPr>
          <w:rFonts w:cs="Calibri"/>
          <w:lang w:val="en-NZ"/>
        </w:rPr>
        <w:t xml:space="preserve"> and NGS measure harmful gambling using the Problem Gambling Severity Index (PGSI). The NPS and NGS also use the South Oaks Gambling Screen-Revised (SOGS-R). Both include questions about problems that people might experience as a consequence of their gambling behaviour. The PGSI provides a measure of current (past 12 months) problems and classifies participants as:</w:t>
      </w:r>
    </w:p>
    <w:p w14:paraId="3C759D2F" w14:textId="77777777" w:rsidR="00992FBA" w:rsidRDefault="00992FBA" w:rsidP="00045413">
      <w:pPr>
        <w:pStyle w:val="Bulletpointindented"/>
      </w:pPr>
      <w:r>
        <w:t>Non-gamblers (not gambled in the past 12 months)</w:t>
      </w:r>
    </w:p>
    <w:p w14:paraId="071BD6FD" w14:textId="77777777" w:rsidR="00992FBA" w:rsidRDefault="00992FBA" w:rsidP="00045413">
      <w:pPr>
        <w:pStyle w:val="Bulletpointindented"/>
      </w:pPr>
      <w:r>
        <w:t>Non-problem gamblers (score 0)</w:t>
      </w:r>
    </w:p>
    <w:p w14:paraId="52136341" w14:textId="77777777" w:rsidR="00992FBA" w:rsidRDefault="00992FBA" w:rsidP="00045413">
      <w:pPr>
        <w:pStyle w:val="Bulletpointindented"/>
      </w:pPr>
      <w:r>
        <w:t>Low-risk gamblers (score 1-2)</w:t>
      </w:r>
    </w:p>
    <w:p w14:paraId="4CD3890F" w14:textId="77777777" w:rsidR="00992FBA" w:rsidRDefault="00992FBA" w:rsidP="00045413">
      <w:pPr>
        <w:pStyle w:val="Bulletpointindented"/>
      </w:pPr>
      <w:r>
        <w:t>Moderate-risk gamblers (score 3-7)</w:t>
      </w:r>
    </w:p>
    <w:p w14:paraId="6A3DD31F" w14:textId="44BCCB8D" w:rsidR="00992FBA" w:rsidRDefault="00992FBA" w:rsidP="00045413">
      <w:pPr>
        <w:pStyle w:val="Bulletpointindented"/>
      </w:pPr>
      <w:r>
        <w:t>Problem gamblers (score 8+)</w:t>
      </w:r>
      <w:r w:rsidR="0073742A">
        <w:t>.</w:t>
      </w:r>
    </w:p>
    <w:p w14:paraId="60D941D3" w14:textId="509CB497" w:rsidR="00992FBA" w:rsidRPr="002F108B" w:rsidRDefault="00992FBA" w:rsidP="00992FBA">
      <w:pPr>
        <w:jc w:val="both"/>
        <w:rPr>
          <w:lang w:val="en-NZ"/>
        </w:rPr>
      </w:pPr>
      <w:r w:rsidRPr="002F108B">
        <w:rPr>
          <w:lang w:val="en-NZ"/>
        </w:rPr>
        <w:t xml:space="preserve">The SOGS-R, as administered in the national prevalence surveys, provides a measure of </w:t>
      </w:r>
      <w:r w:rsidRPr="002F108B">
        <w:rPr>
          <w:u w:val="single"/>
          <w:lang w:val="en-NZ"/>
        </w:rPr>
        <w:t>lifetime</w:t>
      </w:r>
      <w:r w:rsidRPr="002F108B">
        <w:rPr>
          <w:lang w:val="en-NZ"/>
        </w:rPr>
        <w:t xml:space="preserve"> problems. Again depending on their scores, participants are classified as:</w:t>
      </w:r>
    </w:p>
    <w:p w14:paraId="09BF1545" w14:textId="77777777" w:rsidR="00992FBA" w:rsidRPr="002B0F86" w:rsidRDefault="00992FBA" w:rsidP="00045413">
      <w:pPr>
        <w:pStyle w:val="Bulletpointindented"/>
      </w:pPr>
      <w:r w:rsidRPr="002B0F86">
        <w:t>Non-problem gamblers</w:t>
      </w:r>
      <w:r>
        <w:t xml:space="preserve"> (score 0-2)</w:t>
      </w:r>
    </w:p>
    <w:p w14:paraId="029FB4D6" w14:textId="77777777" w:rsidR="00992FBA" w:rsidRPr="002B0F86" w:rsidRDefault="00992FBA" w:rsidP="00045413">
      <w:pPr>
        <w:pStyle w:val="Bulletpointindented"/>
      </w:pPr>
      <w:r w:rsidRPr="002B0F86">
        <w:t>Problem gamblers</w:t>
      </w:r>
      <w:r>
        <w:t xml:space="preserve"> (score 3-4)</w:t>
      </w:r>
    </w:p>
    <w:p w14:paraId="43E93522" w14:textId="77777777" w:rsidR="00992FBA" w:rsidRPr="002B0F86" w:rsidRDefault="00992FBA" w:rsidP="00045413">
      <w:pPr>
        <w:pStyle w:val="Bulletpointindented"/>
      </w:pPr>
      <w:r w:rsidRPr="002B0F86">
        <w:t>Probable pathological gamblers</w:t>
      </w:r>
      <w:r>
        <w:t xml:space="preserve"> (score 5+)</w:t>
      </w:r>
      <w:r w:rsidRPr="002B0F86">
        <w:t>.</w:t>
      </w:r>
    </w:p>
    <w:p w14:paraId="64A82674" w14:textId="77777777" w:rsidR="00992FBA" w:rsidRPr="002F108B" w:rsidRDefault="00992FBA" w:rsidP="00290E14">
      <w:pPr>
        <w:rPr>
          <w:lang w:val="en-NZ"/>
        </w:rPr>
      </w:pPr>
      <w:r w:rsidRPr="002F108B">
        <w:rPr>
          <w:lang w:val="en-NZ"/>
        </w:rPr>
        <w:t>With regard to SOGS-R, non-problem gamblers are all people who do not meet the criteria for problem or probable pathological gambling, including people who report not having ever gambled in their lives.</w:t>
      </w:r>
    </w:p>
    <w:p w14:paraId="21D81D77" w14:textId="5F451CE6" w:rsidR="00992FBA" w:rsidRPr="002F108B" w:rsidRDefault="00992FBA" w:rsidP="00290E14">
      <w:pPr>
        <w:rPr>
          <w:lang w:val="en-NZ"/>
        </w:rPr>
      </w:pPr>
      <w:r w:rsidRPr="002F108B">
        <w:rPr>
          <w:lang w:val="en-NZ"/>
        </w:rPr>
        <w:t xml:space="preserve">Harmful gambling exists on a continuum which </w:t>
      </w:r>
      <w:r w:rsidR="00290E14">
        <w:rPr>
          <w:lang w:val="en-NZ"/>
        </w:rPr>
        <w:t>describes different levels of gambling severity and indicators from</w:t>
      </w:r>
      <w:r w:rsidRPr="002F108B">
        <w:rPr>
          <w:lang w:val="en-NZ"/>
        </w:rPr>
        <w:t xml:space="preserve"> non-problem to mild, moderate and severe/problem gambling behaviours</w:t>
      </w:r>
      <w:r w:rsidR="00790F42" w:rsidRPr="002F108B">
        <w:rPr>
          <w:lang w:val="en-NZ"/>
        </w:rPr>
        <w:t xml:space="preserve"> </w:t>
      </w:r>
      <w:r w:rsidR="00DD4547" w:rsidRPr="002F108B">
        <w:rPr>
          <w:rFonts w:cs="Calibri"/>
          <w:lang w:val="en-NZ"/>
        </w:rPr>
        <w:t>(Korn &amp; Shaffer, 1999)</w:t>
      </w:r>
      <w:r w:rsidR="00E765E3" w:rsidRPr="002F108B">
        <w:rPr>
          <w:lang w:val="en-NZ"/>
        </w:rPr>
        <w:t xml:space="preserve"> (</w:t>
      </w:r>
      <w:r w:rsidR="005466CA" w:rsidRPr="002F108B">
        <w:rPr>
          <w:lang w:val="en-NZ"/>
        </w:rPr>
        <w:t xml:space="preserve">See </w:t>
      </w:r>
      <w:r w:rsidR="00AD4A6C">
        <w:rPr>
          <w:lang w:val="en-NZ"/>
        </w:rPr>
        <w:t xml:space="preserve">Appendix 1 </w:t>
      </w:r>
      <w:r w:rsidR="005466CA" w:rsidRPr="002F108B">
        <w:rPr>
          <w:lang w:val="en-NZ"/>
        </w:rPr>
        <w:t>for</w:t>
      </w:r>
      <w:r w:rsidR="00FF3643" w:rsidRPr="002F108B">
        <w:rPr>
          <w:lang w:val="en-NZ"/>
        </w:rPr>
        <w:t xml:space="preserve"> the continuum of prevention and harm reduction</w:t>
      </w:r>
      <w:r w:rsidR="00E765E3" w:rsidRPr="002F108B">
        <w:rPr>
          <w:lang w:val="en-NZ"/>
        </w:rPr>
        <w:t>)</w:t>
      </w:r>
      <w:r w:rsidR="00DC0C72" w:rsidRPr="002F108B">
        <w:rPr>
          <w:lang w:val="en-NZ"/>
        </w:rPr>
        <w:t>.</w:t>
      </w:r>
    </w:p>
    <w:p w14:paraId="2E125AF2" w14:textId="73A58139" w:rsidR="0061502D" w:rsidRPr="002F108B" w:rsidRDefault="00B053AD" w:rsidP="00F16137">
      <w:pPr>
        <w:pStyle w:val="Heading3"/>
        <w:rPr>
          <w:lang w:val="en-NZ"/>
        </w:rPr>
      </w:pPr>
      <w:r w:rsidRPr="002F108B">
        <w:rPr>
          <w:lang w:val="en-NZ"/>
        </w:rPr>
        <w:t xml:space="preserve">Participants </w:t>
      </w:r>
      <w:r w:rsidR="00921861" w:rsidRPr="002F108B">
        <w:rPr>
          <w:lang w:val="en-NZ"/>
        </w:rPr>
        <w:t xml:space="preserve">questioned </w:t>
      </w:r>
      <w:r w:rsidR="006708CF" w:rsidRPr="002F108B">
        <w:rPr>
          <w:lang w:val="en-NZ"/>
        </w:rPr>
        <w:t>the adequacy of harmful gambling definitions and measures</w:t>
      </w:r>
    </w:p>
    <w:p w14:paraId="4241F75C" w14:textId="463C7E6F" w:rsidR="002A7FDC" w:rsidRPr="002F108B" w:rsidRDefault="00D42537" w:rsidP="00992FBA">
      <w:pPr>
        <w:jc w:val="both"/>
        <w:rPr>
          <w:lang w:val="en-NZ"/>
        </w:rPr>
      </w:pPr>
      <w:r w:rsidRPr="002F108B">
        <w:rPr>
          <w:lang w:val="en-NZ"/>
        </w:rPr>
        <w:t xml:space="preserve">Interviewed participants </w:t>
      </w:r>
      <w:r w:rsidR="00DC3965" w:rsidRPr="002F108B">
        <w:rPr>
          <w:lang w:val="en-NZ"/>
        </w:rPr>
        <w:t xml:space="preserve">from all stakeholder groups </w:t>
      </w:r>
      <w:r w:rsidR="008A1A0E" w:rsidRPr="002F108B">
        <w:rPr>
          <w:lang w:val="en-NZ"/>
        </w:rPr>
        <w:t xml:space="preserve">highlighted </w:t>
      </w:r>
      <w:r w:rsidR="00054399" w:rsidRPr="002F108B">
        <w:rPr>
          <w:lang w:val="en-NZ"/>
        </w:rPr>
        <w:t>concerns with the definition and measurement of harmful gambling</w:t>
      </w:r>
      <w:r w:rsidR="00C33F09" w:rsidRPr="002F108B">
        <w:rPr>
          <w:lang w:val="en-NZ"/>
        </w:rPr>
        <w:t>,</w:t>
      </w:r>
      <w:r w:rsidR="003F62C7" w:rsidRPr="002F108B">
        <w:rPr>
          <w:lang w:val="en-NZ"/>
        </w:rPr>
        <w:t xml:space="preserve"> noting that</w:t>
      </w:r>
      <w:r w:rsidR="00CE63D2" w:rsidRPr="002F108B">
        <w:rPr>
          <w:lang w:val="en-NZ"/>
        </w:rPr>
        <w:t>:</w:t>
      </w:r>
    </w:p>
    <w:p w14:paraId="6ABA22B9" w14:textId="63A889BD" w:rsidR="006C4685" w:rsidRPr="002F108B" w:rsidRDefault="00A52EDF" w:rsidP="006C4685">
      <w:pPr>
        <w:pStyle w:val="Bulletpointindented"/>
        <w:rPr>
          <w:lang w:val="en-NZ"/>
        </w:rPr>
      </w:pPr>
      <w:r w:rsidRPr="002F108B">
        <w:rPr>
          <w:lang w:val="en-NZ"/>
        </w:rPr>
        <w:t>There remained a l</w:t>
      </w:r>
      <w:r w:rsidR="008B7773" w:rsidRPr="002F108B">
        <w:rPr>
          <w:lang w:val="en-NZ"/>
        </w:rPr>
        <w:t xml:space="preserve">ack of understanding </w:t>
      </w:r>
      <w:r w:rsidRPr="002F108B">
        <w:rPr>
          <w:lang w:val="en-NZ"/>
        </w:rPr>
        <w:t>among</w:t>
      </w:r>
      <w:r w:rsidR="008B7773" w:rsidRPr="002F108B">
        <w:rPr>
          <w:lang w:val="en-NZ"/>
        </w:rPr>
        <w:t xml:space="preserve"> </w:t>
      </w:r>
      <w:r w:rsidR="00647A66" w:rsidRPr="002F108B">
        <w:rPr>
          <w:lang w:val="en-NZ"/>
        </w:rPr>
        <w:t xml:space="preserve">the </w:t>
      </w:r>
      <w:r w:rsidR="008B7773" w:rsidRPr="002F108B">
        <w:rPr>
          <w:lang w:val="en-NZ"/>
        </w:rPr>
        <w:t xml:space="preserve">general public about </w:t>
      </w:r>
      <w:r w:rsidR="00F03FAE" w:rsidRPr="002F108B">
        <w:rPr>
          <w:lang w:val="en-NZ"/>
        </w:rPr>
        <w:t xml:space="preserve">the definition and behaviours associated with </w:t>
      </w:r>
      <w:r w:rsidR="002C650F" w:rsidRPr="002F108B">
        <w:rPr>
          <w:lang w:val="en-NZ"/>
        </w:rPr>
        <w:t>harmful gambling</w:t>
      </w:r>
    </w:p>
    <w:p w14:paraId="3186D77B" w14:textId="00BE1625" w:rsidR="00D5615D" w:rsidRPr="002F108B" w:rsidRDefault="00D5615D" w:rsidP="00D5615D">
      <w:pPr>
        <w:pStyle w:val="Quotes"/>
        <w:ind w:left="1080"/>
        <w:rPr>
          <w:lang w:val="en-NZ"/>
        </w:rPr>
      </w:pPr>
      <w:r w:rsidRPr="002F108B">
        <w:rPr>
          <w:lang w:val="en-NZ"/>
        </w:rPr>
        <w:t>People don't reali</w:t>
      </w:r>
      <w:r w:rsidR="00907046">
        <w:rPr>
          <w:lang w:val="en-NZ"/>
        </w:rPr>
        <w:t>s</w:t>
      </w:r>
      <w:r w:rsidRPr="002F108B">
        <w:rPr>
          <w:lang w:val="en-NZ"/>
        </w:rPr>
        <w:t xml:space="preserve">e that they're actually addicted for quite a while. So they're still gambling, </w:t>
      </w:r>
      <w:r w:rsidR="00185D71">
        <w:rPr>
          <w:lang w:val="en-NZ"/>
        </w:rPr>
        <w:t>and</w:t>
      </w:r>
      <w:r w:rsidR="00185D71" w:rsidRPr="002F108B">
        <w:rPr>
          <w:lang w:val="en-NZ"/>
        </w:rPr>
        <w:t xml:space="preserve"> </w:t>
      </w:r>
      <w:r w:rsidRPr="002F108B">
        <w:rPr>
          <w:lang w:val="en-NZ"/>
        </w:rPr>
        <w:t>they're not recogni</w:t>
      </w:r>
      <w:r w:rsidR="002609BA">
        <w:rPr>
          <w:lang w:val="en-NZ"/>
        </w:rPr>
        <w:t>s</w:t>
      </w:r>
      <w:r w:rsidRPr="002F108B">
        <w:rPr>
          <w:lang w:val="en-NZ"/>
        </w:rPr>
        <w:t>ing that they're addicted. So even though there</w:t>
      </w:r>
      <w:r w:rsidR="007D2861">
        <w:rPr>
          <w:lang w:val="en-NZ"/>
        </w:rPr>
        <w:t xml:space="preserve"> are</w:t>
      </w:r>
      <w:r w:rsidRPr="002F108B">
        <w:rPr>
          <w:lang w:val="en-NZ"/>
        </w:rPr>
        <w:t xml:space="preserve"> </w:t>
      </w:r>
      <w:r w:rsidRPr="002F108B">
        <w:rPr>
          <w:lang w:val="en-NZ"/>
        </w:rPr>
        <w:lastRenderedPageBreak/>
        <w:t>the little cards and all the notices on the pubs and stuff, it's actually not entering the hea</w:t>
      </w:r>
      <w:r w:rsidR="006A2ECC" w:rsidRPr="002F108B">
        <w:rPr>
          <w:lang w:val="en-NZ"/>
        </w:rPr>
        <w:t>r</w:t>
      </w:r>
      <w:r w:rsidRPr="002F108B">
        <w:rPr>
          <w:lang w:val="en-NZ"/>
        </w:rPr>
        <w:t>t that they're actually addicted. (Lived experience representative)</w:t>
      </w:r>
    </w:p>
    <w:p w14:paraId="0059C9D4" w14:textId="5B527AF7" w:rsidR="00480192" w:rsidRPr="002F108B" w:rsidRDefault="001B6662" w:rsidP="00480192">
      <w:pPr>
        <w:pStyle w:val="Bulletpointindented"/>
        <w:rPr>
          <w:lang w:val="en-NZ"/>
        </w:rPr>
      </w:pPr>
      <w:r w:rsidRPr="002F108B">
        <w:rPr>
          <w:lang w:val="en-NZ"/>
        </w:rPr>
        <w:t>Ha</w:t>
      </w:r>
      <w:r w:rsidR="00BC5D77" w:rsidRPr="002F108B">
        <w:rPr>
          <w:lang w:val="en-NZ"/>
        </w:rPr>
        <w:t>rmful gambling definitions and measurements may contribute to u</w:t>
      </w:r>
      <w:r w:rsidR="0039576F" w:rsidRPr="002F108B">
        <w:rPr>
          <w:lang w:val="en-NZ"/>
        </w:rPr>
        <w:t>nder-reporting</w:t>
      </w:r>
      <w:r w:rsidR="00D81E6D">
        <w:rPr>
          <w:lang w:val="en-NZ"/>
        </w:rPr>
        <w:t xml:space="preserve"> </w:t>
      </w:r>
    </w:p>
    <w:p w14:paraId="04D02025" w14:textId="40514869" w:rsidR="0010316A" w:rsidRPr="002F108B" w:rsidRDefault="00AC2F4C" w:rsidP="0010316A">
      <w:pPr>
        <w:pStyle w:val="Quotes"/>
        <w:ind w:left="1080"/>
        <w:rPr>
          <w:lang w:val="en-NZ"/>
        </w:rPr>
      </w:pPr>
      <w:r w:rsidRPr="002F108B">
        <w:rPr>
          <w:lang w:val="en-NZ"/>
        </w:rPr>
        <w:t>We suspect there's a lot more unreported gambling happening...(</w:t>
      </w:r>
      <w:r w:rsidR="00914B90">
        <w:rPr>
          <w:lang w:val="en-NZ"/>
        </w:rPr>
        <w:t>Gambling harm service provider</w:t>
      </w:r>
      <w:r w:rsidR="000418D5">
        <w:rPr>
          <w:lang w:val="en-NZ"/>
        </w:rPr>
        <w:t xml:space="preserve"> </w:t>
      </w:r>
      <w:r w:rsidR="00FB5092">
        <w:rPr>
          <w:lang w:val="en-NZ"/>
        </w:rPr>
        <w:t>7</w:t>
      </w:r>
      <w:r w:rsidRPr="002F108B">
        <w:rPr>
          <w:lang w:val="en-NZ"/>
        </w:rPr>
        <w:t>)</w:t>
      </w:r>
    </w:p>
    <w:p w14:paraId="3B7C7FE2" w14:textId="293692E4" w:rsidR="00E62B7B" w:rsidRPr="002F108B" w:rsidRDefault="00E62B7B" w:rsidP="00E62B7B">
      <w:pPr>
        <w:pStyle w:val="Quotes"/>
        <w:ind w:left="1080"/>
        <w:rPr>
          <w:lang w:val="en-NZ"/>
        </w:rPr>
      </w:pPr>
      <w:r w:rsidRPr="002F108B">
        <w:rPr>
          <w:lang w:val="en-NZ"/>
        </w:rPr>
        <w:t xml:space="preserve">We know a lot of people are actually not reporting they have a gambling problem...If you ask my [family member]...he would definitely dumb down his gambling issues...He wouldn't acknowledge...When I saw the prevalence, I always felt a little bit unsure...If you look at the amount of money that has been lost...then the </w:t>
      </w:r>
      <w:r w:rsidR="002609BA">
        <w:rPr>
          <w:lang w:val="en-NZ"/>
        </w:rPr>
        <w:t>number</w:t>
      </w:r>
      <w:r w:rsidRPr="002F108B">
        <w:rPr>
          <w:lang w:val="en-NZ"/>
        </w:rPr>
        <w:t xml:space="preserve"> of people who actually say they have </w:t>
      </w:r>
      <w:r w:rsidR="002716C2" w:rsidRPr="002F108B">
        <w:rPr>
          <w:lang w:val="en-NZ"/>
        </w:rPr>
        <w:t xml:space="preserve">a </w:t>
      </w:r>
      <w:r w:rsidRPr="002F108B">
        <w:rPr>
          <w:lang w:val="en-NZ"/>
        </w:rPr>
        <w:t>problem gambling, it doesn't quite make sense. (Lived experience representative)</w:t>
      </w:r>
    </w:p>
    <w:p w14:paraId="42AA4438" w14:textId="6D14AB71" w:rsidR="00607FE1" w:rsidRPr="002F108B" w:rsidRDefault="00607FE1" w:rsidP="00607FE1">
      <w:pPr>
        <w:pStyle w:val="Bulletpointindented"/>
        <w:rPr>
          <w:lang w:val="en-NZ"/>
        </w:rPr>
      </w:pPr>
      <w:bookmarkStart w:id="80" w:name="_Hlk70686828"/>
      <w:r w:rsidRPr="002F108B">
        <w:rPr>
          <w:lang w:val="en-NZ"/>
        </w:rPr>
        <w:t xml:space="preserve">Measuring </w:t>
      </w:r>
      <w:r w:rsidR="00416CD4">
        <w:rPr>
          <w:lang w:val="en-NZ"/>
        </w:rPr>
        <w:t xml:space="preserve">changes in </w:t>
      </w:r>
      <w:r w:rsidRPr="002F108B">
        <w:rPr>
          <w:lang w:val="en-NZ"/>
        </w:rPr>
        <w:t xml:space="preserve">gambling harm prevalence does not provide an adequate measure of </w:t>
      </w:r>
      <w:r w:rsidR="00416CD4">
        <w:rPr>
          <w:lang w:val="en-NZ"/>
        </w:rPr>
        <w:t xml:space="preserve">changes in </w:t>
      </w:r>
      <w:r w:rsidRPr="002F108B">
        <w:rPr>
          <w:lang w:val="en-NZ"/>
        </w:rPr>
        <w:t xml:space="preserve">the severity of harm </w:t>
      </w:r>
      <w:r w:rsidR="00416CD4">
        <w:rPr>
          <w:lang w:val="en-NZ"/>
        </w:rPr>
        <w:t>experienced by</w:t>
      </w:r>
      <w:r w:rsidR="00416CD4" w:rsidRPr="002F108B">
        <w:rPr>
          <w:lang w:val="en-NZ"/>
        </w:rPr>
        <w:t xml:space="preserve"> </w:t>
      </w:r>
      <w:r w:rsidRPr="002F108B">
        <w:rPr>
          <w:lang w:val="en-NZ"/>
        </w:rPr>
        <w:t>individuals, families and communities</w:t>
      </w:r>
      <w:r w:rsidR="00416CD4">
        <w:rPr>
          <w:lang w:val="en-NZ"/>
        </w:rPr>
        <w:t>. In other words, a reduction in harmful gambling behaviour may not necessarily imply a reduction in the severity of associated harms.</w:t>
      </w:r>
    </w:p>
    <w:bookmarkEnd w:id="80"/>
    <w:p w14:paraId="1907FCD3" w14:textId="3AED1CB7" w:rsidR="00607FE1" w:rsidRPr="002F108B" w:rsidRDefault="00607FE1" w:rsidP="00607FE1">
      <w:pPr>
        <w:pStyle w:val="Quotes"/>
        <w:ind w:left="1080"/>
        <w:rPr>
          <w:lang w:val="en-NZ"/>
        </w:rPr>
      </w:pPr>
      <w:r w:rsidRPr="002F108B">
        <w:rPr>
          <w:lang w:val="en-NZ"/>
        </w:rPr>
        <w:t>What's missing overall in the Ministry of Health's concept or measurement is the severity of harm versus the problem gambling severity because they're two different things that PGSI talks about</w:t>
      </w:r>
      <w:r w:rsidR="00185D71">
        <w:rPr>
          <w:lang w:val="en-NZ"/>
        </w:rPr>
        <w:t xml:space="preserve"> -</w:t>
      </w:r>
      <w:r w:rsidRPr="002F108B">
        <w:rPr>
          <w:lang w:val="en-NZ"/>
        </w:rPr>
        <w:t xml:space="preserve"> the severity of your problem but not necessarily the severity of harm. (Gambling industry</w:t>
      </w:r>
      <w:r w:rsidR="000418D5">
        <w:rPr>
          <w:lang w:val="en-NZ"/>
        </w:rPr>
        <w:t xml:space="preserve"> </w:t>
      </w:r>
      <w:r w:rsidR="00324B5E">
        <w:rPr>
          <w:lang w:val="en-NZ"/>
        </w:rPr>
        <w:t>4</w:t>
      </w:r>
      <w:r w:rsidRPr="002F108B">
        <w:rPr>
          <w:lang w:val="en-NZ"/>
        </w:rPr>
        <w:t>)</w:t>
      </w:r>
    </w:p>
    <w:p w14:paraId="38F8658E" w14:textId="51714F11" w:rsidR="006209A9" w:rsidRPr="002F108B" w:rsidRDefault="006209A9" w:rsidP="00607FE1">
      <w:pPr>
        <w:pStyle w:val="Bulletpointindented"/>
        <w:rPr>
          <w:lang w:val="en-NZ"/>
        </w:rPr>
      </w:pPr>
      <w:r w:rsidRPr="002F108B">
        <w:rPr>
          <w:lang w:val="en-NZ"/>
        </w:rPr>
        <w:t xml:space="preserve">Harmful gambling definitions </w:t>
      </w:r>
      <w:r w:rsidR="00607FE1" w:rsidRPr="002F108B">
        <w:rPr>
          <w:lang w:val="en-NZ"/>
        </w:rPr>
        <w:t>are not inclusive of low to moderate gambling behaviour and associated harms</w:t>
      </w:r>
      <w:r w:rsidR="00290E14">
        <w:rPr>
          <w:lang w:val="en-NZ"/>
        </w:rPr>
        <w:t>.</w:t>
      </w:r>
    </w:p>
    <w:p w14:paraId="6F874520" w14:textId="273D7BF4" w:rsidR="00BD4236" w:rsidRDefault="00BD4236" w:rsidP="00F46EAC">
      <w:pPr>
        <w:pStyle w:val="Quotes"/>
        <w:ind w:left="1080"/>
        <w:rPr>
          <w:lang w:val="en-NZ"/>
        </w:rPr>
      </w:pPr>
      <w:r w:rsidRPr="002F108B">
        <w:rPr>
          <w:lang w:val="en-NZ"/>
        </w:rPr>
        <w:t>That is all adding up why people end up presenting to us</w:t>
      </w:r>
      <w:r w:rsidR="00C16B1C">
        <w:rPr>
          <w:lang w:val="en-NZ"/>
        </w:rPr>
        <w:t xml:space="preserve"> </w:t>
      </w:r>
      <w:r w:rsidRPr="002F108B">
        <w:rPr>
          <w:lang w:val="en-NZ"/>
        </w:rPr>
        <w:t xml:space="preserve">with suicidal ideation, really severe mental health or at a </w:t>
      </w:r>
      <w:r w:rsidR="00185D71">
        <w:rPr>
          <w:lang w:val="en-NZ"/>
        </w:rPr>
        <w:t>‘</w:t>
      </w:r>
      <w:r w:rsidRPr="002F108B">
        <w:rPr>
          <w:lang w:val="en-NZ"/>
        </w:rPr>
        <w:t>having lost everything</w:t>
      </w:r>
      <w:r w:rsidR="00185D71">
        <w:rPr>
          <w:lang w:val="en-NZ"/>
        </w:rPr>
        <w:t>’</w:t>
      </w:r>
      <w:r w:rsidRPr="002F108B">
        <w:rPr>
          <w:lang w:val="en-NZ"/>
        </w:rPr>
        <w:t xml:space="preserve"> stage. We don't want to see that</w:t>
      </w:r>
      <w:r w:rsidR="00C16B1C">
        <w:rPr>
          <w:lang w:val="en-NZ"/>
        </w:rPr>
        <w:t>. W</w:t>
      </w:r>
      <w:r w:rsidRPr="002F108B">
        <w:rPr>
          <w:lang w:val="en-NZ"/>
        </w:rPr>
        <w:t>e want to do more early intervention and prevention. (</w:t>
      </w:r>
      <w:r w:rsidR="00914B90">
        <w:rPr>
          <w:lang w:val="en-NZ"/>
        </w:rPr>
        <w:t>Gambling harm service provider</w:t>
      </w:r>
      <w:r w:rsidR="000418D5">
        <w:rPr>
          <w:lang w:val="en-NZ"/>
        </w:rPr>
        <w:t xml:space="preserve"> 1</w:t>
      </w:r>
      <w:r w:rsidRPr="002F108B">
        <w:rPr>
          <w:lang w:val="en-NZ"/>
        </w:rPr>
        <w:t>)</w:t>
      </w:r>
    </w:p>
    <w:p w14:paraId="0B4CED16" w14:textId="420A7CC3" w:rsidR="002A7FDC" w:rsidRPr="002F108B" w:rsidRDefault="00464CA0" w:rsidP="00992FBA">
      <w:pPr>
        <w:jc w:val="both"/>
        <w:rPr>
          <w:lang w:val="en-NZ"/>
        </w:rPr>
      </w:pPr>
      <w:r w:rsidRPr="002F108B">
        <w:rPr>
          <w:lang w:val="en-NZ"/>
        </w:rPr>
        <w:t>In line with these views, i</w:t>
      </w:r>
      <w:r w:rsidR="00023D46" w:rsidRPr="002F108B">
        <w:rPr>
          <w:lang w:val="en-NZ"/>
        </w:rPr>
        <w:t xml:space="preserve">nterviewed </w:t>
      </w:r>
      <w:r w:rsidR="00550C18" w:rsidRPr="002F108B">
        <w:rPr>
          <w:lang w:val="en-NZ"/>
        </w:rPr>
        <w:t>agency representatives</w:t>
      </w:r>
      <w:r w:rsidR="00023D46" w:rsidRPr="002F108B">
        <w:rPr>
          <w:lang w:val="en-NZ"/>
        </w:rPr>
        <w:t xml:space="preserve"> </w:t>
      </w:r>
      <w:r w:rsidR="002F34D7" w:rsidRPr="002F108B">
        <w:rPr>
          <w:lang w:val="en-NZ"/>
        </w:rPr>
        <w:t>noted a need to review current gambling screens</w:t>
      </w:r>
      <w:r w:rsidRPr="002F108B">
        <w:rPr>
          <w:lang w:val="en-NZ"/>
        </w:rPr>
        <w:t>.</w:t>
      </w:r>
    </w:p>
    <w:p w14:paraId="650E10A4" w14:textId="5FAEF3E9" w:rsidR="00C87DF2" w:rsidRPr="002F108B" w:rsidRDefault="00C87DF2" w:rsidP="00C87DF2">
      <w:pPr>
        <w:pStyle w:val="Quotes"/>
        <w:rPr>
          <w:lang w:val="en-NZ"/>
        </w:rPr>
      </w:pPr>
      <w:r w:rsidRPr="002F108B">
        <w:rPr>
          <w:lang w:val="en-NZ"/>
        </w:rPr>
        <w:t xml:space="preserve">If we're talking about wider spread community screening, I really don't think the </w:t>
      </w:r>
      <w:r w:rsidR="00C121E9" w:rsidRPr="002F108B">
        <w:rPr>
          <w:lang w:val="en-NZ"/>
        </w:rPr>
        <w:t>Lie/Bet</w:t>
      </w:r>
      <w:r w:rsidRPr="002F108B">
        <w:rPr>
          <w:lang w:val="en-NZ"/>
        </w:rPr>
        <w:t xml:space="preserve"> is the screen we should be using...I do think it is time to review it</w:t>
      </w:r>
      <w:r w:rsidR="007242B1" w:rsidRPr="002F108B">
        <w:rPr>
          <w:lang w:val="en-NZ"/>
        </w:rPr>
        <w:t>..</w:t>
      </w:r>
      <w:r w:rsidRPr="002F108B">
        <w:rPr>
          <w:lang w:val="en-NZ"/>
        </w:rPr>
        <w:t xml:space="preserve">. </w:t>
      </w:r>
      <w:r w:rsidR="00550C18" w:rsidRPr="002F108B">
        <w:rPr>
          <w:lang w:val="en-NZ"/>
        </w:rPr>
        <w:t>(</w:t>
      </w:r>
      <w:r w:rsidR="00644981" w:rsidRPr="002F108B">
        <w:rPr>
          <w:lang w:val="en-NZ"/>
        </w:rPr>
        <w:t>Gambling harm agency</w:t>
      </w:r>
      <w:r w:rsidR="000418D5">
        <w:rPr>
          <w:lang w:val="en-NZ"/>
        </w:rPr>
        <w:t xml:space="preserve"> 1</w:t>
      </w:r>
      <w:r w:rsidR="00550C18" w:rsidRPr="002F108B">
        <w:rPr>
          <w:lang w:val="en-NZ"/>
        </w:rPr>
        <w:t>)</w:t>
      </w:r>
    </w:p>
    <w:p w14:paraId="7706D732" w14:textId="7E5A4918" w:rsidR="002A7FDC" w:rsidRPr="002F108B" w:rsidRDefault="00C87DF2" w:rsidP="006708CF">
      <w:pPr>
        <w:pStyle w:val="Quotes"/>
        <w:rPr>
          <w:lang w:val="en-NZ"/>
        </w:rPr>
      </w:pPr>
      <w:r w:rsidRPr="002F108B">
        <w:rPr>
          <w:lang w:val="en-NZ"/>
        </w:rPr>
        <w:t>...they're not very clinical in nature. We're seeing service providers pulling their hair out and getting really frustrated that they're seeing changes in their clients</w:t>
      </w:r>
      <w:r w:rsidR="002716C2" w:rsidRPr="002F108B">
        <w:rPr>
          <w:lang w:val="en-NZ"/>
        </w:rPr>
        <w:t>,</w:t>
      </w:r>
      <w:r w:rsidRPr="002F108B">
        <w:rPr>
          <w:lang w:val="en-NZ"/>
        </w:rPr>
        <w:t xml:space="preserve"> but it's not showing in the screens we're using.</w:t>
      </w:r>
      <w:r w:rsidR="00550C18" w:rsidRPr="002F108B">
        <w:rPr>
          <w:lang w:val="en-NZ"/>
        </w:rPr>
        <w:t xml:space="preserve"> (</w:t>
      </w:r>
      <w:r w:rsidR="00644981" w:rsidRPr="002F108B">
        <w:rPr>
          <w:lang w:val="en-NZ"/>
        </w:rPr>
        <w:t>Gambling harm agency</w:t>
      </w:r>
      <w:r w:rsidR="00FB5092">
        <w:rPr>
          <w:lang w:val="en-NZ"/>
        </w:rPr>
        <w:t xml:space="preserve"> 1</w:t>
      </w:r>
      <w:r w:rsidR="00550C18" w:rsidRPr="002F108B">
        <w:rPr>
          <w:lang w:val="en-NZ"/>
        </w:rPr>
        <w:t>)</w:t>
      </w:r>
    </w:p>
    <w:p w14:paraId="480B6E61" w14:textId="626C988B" w:rsidR="00E97996" w:rsidRPr="002F108B" w:rsidRDefault="00E97996" w:rsidP="00C015A7">
      <w:pPr>
        <w:pStyle w:val="Heading2"/>
        <w:rPr>
          <w:lang w:val="en-NZ"/>
        </w:rPr>
      </w:pPr>
      <w:bookmarkStart w:id="81" w:name="_Ref64929393"/>
      <w:bookmarkStart w:id="82" w:name="_Toc65250300"/>
      <w:bookmarkStart w:id="83" w:name="_Toc76469775"/>
      <w:r w:rsidRPr="002F108B">
        <w:rPr>
          <w:lang w:val="en-NZ"/>
        </w:rPr>
        <w:t>Gambling re</w:t>
      </w:r>
      <w:r w:rsidR="004E05A0" w:rsidRPr="002F108B">
        <w:rPr>
          <w:lang w:val="en-NZ"/>
        </w:rPr>
        <w:t>gulation and legislation</w:t>
      </w:r>
      <w:bookmarkEnd w:id="81"/>
      <w:bookmarkEnd w:id="82"/>
      <w:bookmarkEnd w:id="83"/>
    </w:p>
    <w:p w14:paraId="4604E16D" w14:textId="7719E12C" w:rsidR="00B9431D" w:rsidRPr="002F108B" w:rsidRDefault="008F48E4" w:rsidP="002862A0">
      <w:pPr>
        <w:rPr>
          <w:lang w:val="en-NZ"/>
        </w:rPr>
      </w:pPr>
      <w:r w:rsidRPr="002F108B">
        <w:rPr>
          <w:lang w:val="en-NZ"/>
        </w:rPr>
        <w:t>Gambling legislation in Aotearoa</w:t>
      </w:r>
      <w:r w:rsidR="00EB0D8F" w:rsidRPr="002F108B">
        <w:rPr>
          <w:lang w:val="en-NZ"/>
        </w:rPr>
        <w:t>,</w:t>
      </w:r>
      <w:r w:rsidRPr="002F108B">
        <w:rPr>
          <w:lang w:val="en-NZ"/>
        </w:rPr>
        <w:t xml:space="preserve"> New Zealand</w:t>
      </w:r>
      <w:r w:rsidR="00EB0D8F" w:rsidRPr="002F108B">
        <w:rPr>
          <w:lang w:val="en-NZ"/>
        </w:rPr>
        <w:t>,</w:t>
      </w:r>
      <w:r w:rsidRPr="002F108B">
        <w:rPr>
          <w:lang w:val="en-NZ"/>
        </w:rPr>
        <w:t xml:space="preserve"> is </w:t>
      </w:r>
      <w:r w:rsidR="002862A0" w:rsidRPr="002F108B">
        <w:rPr>
          <w:lang w:val="en-NZ"/>
        </w:rPr>
        <w:t>set</w:t>
      </w:r>
      <w:r w:rsidRPr="002F108B">
        <w:rPr>
          <w:lang w:val="en-NZ"/>
        </w:rPr>
        <w:t xml:space="preserve"> within </w:t>
      </w:r>
      <w:r w:rsidR="00152B15">
        <w:rPr>
          <w:lang w:val="en-NZ"/>
        </w:rPr>
        <w:t>t</w:t>
      </w:r>
      <w:r w:rsidR="00750D34" w:rsidRPr="002F108B">
        <w:rPr>
          <w:lang w:val="en-NZ"/>
        </w:rPr>
        <w:t>he Gambling Act 2003</w:t>
      </w:r>
      <w:r w:rsidR="00CB1F9B" w:rsidRPr="002F108B">
        <w:rPr>
          <w:lang w:val="en-NZ"/>
        </w:rPr>
        <w:t xml:space="preserve"> (</w:t>
      </w:r>
      <w:r w:rsidR="00152B15">
        <w:rPr>
          <w:lang w:val="en-NZ"/>
        </w:rPr>
        <w:t>t</w:t>
      </w:r>
      <w:r w:rsidR="00CB1F9B" w:rsidRPr="002F108B">
        <w:rPr>
          <w:lang w:val="en-NZ"/>
        </w:rPr>
        <w:t>he Gambling Act)</w:t>
      </w:r>
      <w:r w:rsidR="00925BB2" w:rsidRPr="002F108B">
        <w:rPr>
          <w:lang w:val="en-NZ"/>
        </w:rPr>
        <w:t>.</w:t>
      </w:r>
      <w:r w:rsidR="00B9431D" w:rsidRPr="002F108B">
        <w:rPr>
          <w:lang w:val="en-NZ"/>
        </w:rPr>
        <w:t xml:space="preserve"> The </w:t>
      </w:r>
      <w:r w:rsidR="00247307" w:rsidRPr="002F108B">
        <w:rPr>
          <w:lang w:val="en-NZ"/>
        </w:rPr>
        <w:t xml:space="preserve">Gambling </w:t>
      </w:r>
      <w:r w:rsidR="00B9431D" w:rsidRPr="002F108B">
        <w:rPr>
          <w:lang w:val="en-NZ"/>
        </w:rPr>
        <w:t>Act</w:t>
      </w:r>
      <w:r w:rsidR="00247307" w:rsidRPr="002F108B">
        <w:rPr>
          <w:lang w:val="en-NZ"/>
        </w:rPr>
        <w:t xml:space="preserve"> </w:t>
      </w:r>
      <w:r w:rsidR="00B9431D" w:rsidRPr="002F108B">
        <w:rPr>
          <w:lang w:val="en-NZ"/>
        </w:rPr>
        <w:t>has specific purposes, which are:</w:t>
      </w:r>
    </w:p>
    <w:p w14:paraId="5E7A27CD" w14:textId="77777777" w:rsidR="00B9431D" w:rsidRDefault="00B9431D" w:rsidP="00045413">
      <w:pPr>
        <w:pStyle w:val="Bulletpointindented"/>
      </w:pPr>
      <w:r>
        <w:t>To control the growth of gambling</w:t>
      </w:r>
    </w:p>
    <w:p w14:paraId="438F1B09" w14:textId="77777777" w:rsidR="0024170E" w:rsidRDefault="00B9431D" w:rsidP="00045413">
      <w:pPr>
        <w:pStyle w:val="Bulletpointindented"/>
      </w:pPr>
      <w:r>
        <w:t>To prevent and minimise the harm caused by gambling</w:t>
      </w:r>
    </w:p>
    <w:p w14:paraId="5778DA22" w14:textId="77777777" w:rsidR="0024170E" w:rsidRDefault="00B9431D" w:rsidP="00045413">
      <w:pPr>
        <w:pStyle w:val="Bulletpointindented"/>
      </w:pPr>
      <w:r>
        <w:lastRenderedPageBreak/>
        <w:t>To authorise some gambling and prohibit the rest</w:t>
      </w:r>
    </w:p>
    <w:p w14:paraId="690EAB9C" w14:textId="77777777" w:rsidR="0024170E" w:rsidRDefault="00B9431D" w:rsidP="00045413">
      <w:pPr>
        <w:pStyle w:val="Bulletpointindented"/>
      </w:pPr>
      <w:r>
        <w:t>To facilitate responsible gambling</w:t>
      </w:r>
    </w:p>
    <w:p w14:paraId="1A2903E8" w14:textId="717A86C8" w:rsidR="0024170E" w:rsidRDefault="00B9431D" w:rsidP="00045413">
      <w:pPr>
        <w:pStyle w:val="Bulletpointindented"/>
      </w:pPr>
      <w:r>
        <w:t xml:space="preserve">To ensure </w:t>
      </w:r>
      <w:r w:rsidR="001C57CC">
        <w:t xml:space="preserve">the </w:t>
      </w:r>
      <w:r>
        <w:t>integrity and fairness of games</w:t>
      </w:r>
    </w:p>
    <w:p w14:paraId="40CD62F9" w14:textId="77777777" w:rsidR="0024170E" w:rsidRDefault="00B9431D" w:rsidP="00045413">
      <w:pPr>
        <w:pStyle w:val="Bulletpointindented"/>
      </w:pPr>
      <w:r>
        <w:t>To limit opportunities for crime or dishonesty</w:t>
      </w:r>
    </w:p>
    <w:p w14:paraId="5154D3FA" w14:textId="77777777" w:rsidR="0024170E" w:rsidRDefault="00B9431D" w:rsidP="00045413">
      <w:pPr>
        <w:pStyle w:val="Bulletpointindented"/>
      </w:pPr>
      <w:r>
        <w:t>To ensure that money from gambling benefits the community</w:t>
      </w:r>
    </w:p>
    <w:p w14:paraId="5AD73B34" w14:textId="74894F09" w:rsidR="00750D34" w:rsidRDefault="00B9431D" w:rsidP="00045413">
      <w:pPr>
        <w:pStyle w:val="Bulletpointindented"/>
      </w:pPr>
      <w:r>
        <w:t>To facilitate community involvement in decisions about the provision of gambling</w:t>
      </w:r>
      <w:r w:rsidR="00784E63">
        <w:t>.</w:t>
      </w:r>
    </w:p>
    <w:p w14:paraId="6464931E" w14:textId="77777777" w:rsidR="00A1334A" w:rsidRPr="002F108B" w:rsidRDefault="00A1334A" w:rsidP="00F128CC">
      <w:pPr>
        <w:rPr>
          <w:lang w:val="en-NZ"/>
        </w:rPr>
      </w:pPr>
      <w:r w:rsidRPr="002F108B">
        <w:rPr>
          <w:lang w:val="en-NZ"/>
        </w:rPr>
        <w:t>There are four main types of gambling legally allowed in New Zealand:</w:t>
      </w:r>
    </w:p>
    <w:p w14:paraId="016CC7D5" w14:textId="702514EF" w:rsidR="00A1334A" w:rsidRPr="00F128CC" w:rsidRDefault="00A17D6B" w:rsidP="00045413">
      <w:pPr>
        <w:pStyle w:val="Bulletpointindented"/>
      </w:pPr>
      <w:r>
        <w:t>Racing and s</w:t>
      </w:r>
      <w:r w:rsidR="00A1334A" w:rsidRPr="00F128CC">
        <w:t>ports betting through the TAB</w:t>
      </w:r>
      <w:r w:rsidR="00247307">
        <w:t>,</w:t>
      </w:r>
      <w:r w:rsidR="00A1334A" w:rsidRPr="00F128CC">
        <w:t xml:space="preserve"> run by </w:t>
      </w:r>
      <w:r w:rsidR="00892522">
        <w:t>TAB New Zealand</w:t>
      </w:r>
      <w:r w:rsidR="00A1334A" w:rsidRPr="00F128CC">
        <w:t xml:space="preserve"> (</w:t>
      </w:r>
      <w:r w:rsidR="004B6FAE">
        <w:t>TAB NZ</w:t>
      </w:r>
      <w:r w:rsidR="004E249F">
        <w:t xml:space="preserve"> - </w:t>
      </w:r>
      <w:r w:rsidR="00A1334A" w:rsidRPr="00F128CC">
        <w:t>a statutory monopoly)</w:t>
      </w:r>
    </w:p>
    <w:p w14:paraId="453AF95D" w14:textId="5DD7FB0E" w:rsidR="00A1334A" w:rsidRPr="00F128CC" w:rsidRDefault="00A1334A" w:rsidP="00045413">
      <w:pPr>
        <w:pStyle w:val="Bulletpointindented"/>
      </w:pPr>
      <w:r w:rsidRPr="00F128CC">
        <w:t>Class 4</w:t>
      </w:r>
      <w:r w:rsidR="00D81E6D">
        <w:t xml:space="preserve"> </w:t>
      </w:r>
      <w:r w:rsidRPr="00F128CC">
        <w:t xml:space="preserve">EGMs run </w:t>
      </w:r>
      <w:r w:rsidR="0089123B">
        <w:t>in</w:t>
      </w:r>
      <w:r w:rsidR="0089123B" w:rsidRPr="00F128CC">
        <w:t xml:space="preserve"> </w:t>
      </w:r>
      <w:r w:rsidRPr="00F128CC">
        <w:t>clubs</w:t>
      </w:r>
      <w:r w:rsidR="0089123B">
        <w:t xml:space="preserve"> and</w:t>
      </w:r>
      <w:r w:rsidR="00FB61AE">
        <w:t xml:space="preserve"> </w:t>
      </w:r>
      <w:r w:rsidRPr="00F128CC">
        <w:t xml:space="preserve">pubs </w:t>
      </w:r>
      <w:r w:rsidR="0089123B">
        <w:t>by a corporate society</w:t>
      </w:r>
      <w:r w:rsidRPr="00F128CC">
        <w:t xml:space="preserve"> </w:t>
      </w:r>
    </w:p>
    <w:p w14:paraId="027D4D77" w14:textId="7F79ED58" w:rsidR="00A1334A" w:rsidRPr="00F128CC" w:rsidRDefault="00A1334A" w:rsidP="00045413">
      <w:pPr>
        <w:pStyle w:val="Bulletpointindented"/>
      </w:pPr>
      <w:r w:rsidRPr="00F128CC">
        <w:t>The national lottery and associated products through the New Zealand Lotteries Commission (</w:t>
      </w:r>
      <w:r w:rsidR="006306BC">
        <w:t>Lott</w:t>
      </w:r>
      <w:r w:rsidR="00BE3C54">
        <w:t>o</w:t>
      </w:r>
      <w:r w:rsidR="006306BC">
        <w:t xml:space="preserve"> NZ) </w:t>
      </w:r>
      <w:r w:rsidRPr="00F128CC">
        <w:t>(available at many supermarkets, petrol stations, local dairies</w:t>
      </w:r>
      <w:r w:rsidR="00416CD4">
        <w:t xml:space="preserve">, </w:t>
      </w:r>
      <w:r w:rsidRPr="00F128CC">
        <w:t>other retail outlets</w:t>
      </w:r>
      <w:r w:rsidR="00416CD4">
        <w:t xml:space="preserve"> and online</w:t>
      </w:r>
      <w:r w:rsidR="00892522">
        <w:t>)</w:t>
      </w:r>
    </w:p>
    <w:p w14:paraId="1C1183A8" w14:textId="1D0455B8" w:rsidR="00A1334A" w:rsidRPr="00F128CC" w:rsidRDefault="00A1334A" w:rsidP="00045413">
      <w:pPr>
        <w:pStyle w:val="Bulletpointindented"/>
      </w:pPr>
      <w:r w:rsidRPr="00F128CC">
        <w:t>Casinos</w:t>
      </w:r>
      <w:r w:rsidR="00375213">
        <w:t xml:space="preserve"> (</w:t>
      </w:r>
      <w:r w:rsidR="002A51CF">
        <w:t>t</w:t>
      </w:r>
      <w:r w:rsidR="00375213">
        <w:t xml:space="preserve">he Gambling Act </w:t>
      </w:r>
      <w:r w:rsidR="005A05D4">
        <w:t>includes a ban on new casinos)</w:t>
      </w:r>
      <w:r w:rsidRPr="00F128CC">
        <w:t xml:space="preserve">. </w:t>
      </w:r>
    </w:p>
    <w:p w14:paraId="4A67025D" w14:textId="41C73555" w:rsidR="00A01BC7" w:rsidRPr="002F108B" w:rsidRDefault="00B47692" w:rsidP="002E7EF9">
      <w:pPr>
        <w:rPr>
          <w:lang w:val="en-NZ"/>
        </w:rPr>
      </w:pPr>
      <w:r w:rsidRPr="002F108B">
        <w:rPr>
          <w:lang w:val="en-NZ"/>
        </w:rPr>
        <w:t xml:space="preserve">The Gambling Act classifies gambling based on the amount of money spent and the risk of problems associated with that type of gambling. </w:t>
      </w:r>
      <w:r w:rsidR="002E7EF9" w:rsidRPr="002F108B">
        <w:rPr>
          <w:lang w:val="en-NZ"/>
        </w:rPr>
        <w:t xml:space="preserve">The </w:t>
      </w:r>
      <w:r w:rsidR="00C2722C" w:rsidRPr="002F108B">
        <w:rPr>
          <w:lang w:val="en-NZ"/>
        </w:rPr>
        <w:t xml:space="preserve">Gambling Act </w:t>
      </w:r>
      <w:r w:rsidR="002E7EF9" w:rsidRPr="002F108B">
        <w:rPr>
          <w:lang w:val="en-NZ"/>
        </w:rPr>
        <w:t>divides gambling into six legal classes. Subpart 2</w:t>
      </w:r>
      <w:r w:rsidR="005F37EC" w:rsidRPr="002F108B">
        <w:rPr>
          <w:lang w:val="en-NZ"/>
        </w:rPr>
        <w:t xml:space="preserve"> </w:t>
      </w:r>
      <w:r w:rsidR="002E7EF9" w:rsidRPr="002F108B">
        <w:rPr>
          <w:lang w:val="en-NZ"/>
        </w:rPr>
        <w:t>of the Act details the meaning of</w:t>
      </w:r>
      <w:r w:rsidR="00D81E6D">
        <w:rPr>
          <w:lang w:val="en-NZ"/>
        </w:rPr>
        <w:t xml:space="preserve"> </w:t>
      </w:r>
      <w:r w:rsidR="002E7EF9" w:rsidRPr="002F108B">
        <w:rPr>
          <w:lang w:val="en-NZ"/>
        </w:rPr>
        <w:t xml:space="preserve">Class 1-4 gambling. </w:t>
      </w:r>
      <w:r w:rsidR="0089123B" w:rsidRPr="002F108B">
        <w:rPr>
          <w:lang w:val="en-NZ"/>
        </w:rPr>
        <w:t xml:space="preserve">Subpart 4 details </w:t>
      </w:r>
      <w:r w:rsidR="00550BB3" w:rsidRPr="002F108B">
        <w:rPr>
          <w:lang w:val="en-NZ"/>
        </w:rPr>
        <w:t>the licensing of casi</w:t>
      </w:r>
      <w:r w:rsidR="00FB61AE" w:rsidRPr="002F108B">
        <w:rPr>
          <w:lang w:val="en-NZ"/>
        </w:rPr>
        <w:t>no</w:t>
      </w:r>
      <w:r w:rsidR="00550BB3" w:rsidRPr="002F108B">
        <w:rPr>
          <w:lang w:val="en-NZ"/>
        </w:rPr>
        <w:t xml:space="preserve"> gambling, and Part 3, subpart 2, covers </w:t>
      </w:r>
      <w:r w:rsidR="006306BC" w:rsidRPr="002F108B">
        <w:rPr>
          <w:lang w:val="en-NZ"/>
        </w:rPr>
        <w:t>Lotto NZ</w:t>
      </w:r>
      <w:r w:rsidR="00550BB3" w:rsidRPr="002F108B">
        <w:rPr>
          <w:lang w:val="en-NZ"/>
        </w:rPr>
        <w:t>.</w:t>
      </w:r>
    </w:p>
    <w:p w14:paraId="5CE9173C" w14:textId="4DB3C5DF" w:rsidR="00C51973" w:rsidRPr="002F108B" w:rsidRDefault="00C51973" w:rsidP="00C015A7">
      <w:pPr>
        <w:pStyle w:val="Heading2"/>
        <w:rPr>
          <w:lang w:val="en-NZ"/>
        </w:rPr>
      </w:pPr>
      <w:bookmarkStart w:id="84" w:name="_Toc65250301"/>
      <w:bookmarkStart w:id="85" w:name="_Toc76469776"/>
      <w:r w:rsidRPr="002F108B">
        <w:rPr>
          <w:lang w:val="en-NZ"/>
        </w:rPr>
        <w:t>Gambling sector roles and responsibilities</w:t>
      </w:r>
      <w:bookmarkEnd w:id="84"/>
      <w:bookmarkEnd w:id="85"/>
    </w:p>
    <w:p w14:paraId="150CDFD1" w14:textId="0D88028A" w:rsidR="00312CA0" w:rsidRPr="002F108B" w:rsidRDefault="00312CA0" w:rsidP="00312CA0">
      <w:pPr>
        <w:rPr>
          <w:shd w:val="clear" w:color="auto" w:fill="FFFFFF"/>
          <w:lang w:val="en-NZ"/>
        </w:rPr>
      </w:pPr>
      <w:r w:rsidRPr="002F108B">
        <w:rPr>
          <w:shd w:val="clear" w:color="auto" w:fill="FFFFFF"/>
          <w:lang w:val="en-NZ"/>
        </w:rPr>
        <w:t>Under the Gambling Act:</w:t>
      </w:r>
    </w:p>
    <w:p w14:paraId="29F31A76" w14:textId="6A2D5401" w:rsidR="0002629E" w:rsidRDefault="00312CA0" w:rsidP="00045413">
      <w:pPr>
        <w:pStyle w:val="Bulletpointindented"/>
        <w:rPr>
          <w:shd w:val="clear" w:color="auto" w:fill="FFFFFF"/>
        </w:rPr>
      </w:pPr>
      <w:r>
        <w:rPr>
          <w:shd w:val="clear" w:color="auto" w:fill="FFFFFF"/>
        </w:rPr>
        <w:t xml:space="preserve">The Department of Internal Affairs is </w:t>
      </w:r>
      <w:r w:rsidR="00BC2D36">
        <w:rPr>
          <w:shd w:val="clear" w:color="auto" w:fill="FFFFFF"/>
        </w:rPr>
        <w:t xml:space="preserve">responsible for </w:t>
      </w:r>
      <w:r>
        <w:rPr>
          <w:shd w:val="clear" w:color="auto" w:fill="FFFFFF"/>
        </w:rPr>
        <w:t>regulat</w:t>
      </w:r>
      <w:r w:rsidR="00BC2D36">
        <w:rPr>
          <w:shd w:val="clear" w:color="auto" w:fill="FFFFFF"/>
        </w:rPr>
        <w:t>ing g</w:t>
      </w:r>
      <w:r>
        <w:rPr>
          <w:shd w:val="clear" w:color="auto" w:fill="FFFFFF"/>
        </w:rPr>
        <w:t xml:space="preserve">ambling in Aotearoa </w:t>
      </w:r>
      <w:r w:rsidRPr="00AF16FD">
        <w:t>New</w:t>
      </w:r>
      <w:r>
        <w:rPr>
          <w:shd w:val="clear" w:color="auto" w:fill="FFFFFF"/>
        </w:rPr>
        <w:t xml:space="preserve"> Zealand</w:t>
      </w:r>
      <w:r w:rsidR="00C217CA">
        <w:rPr>
          <w:shd w:val="clear" w:color="auto" w:fill="FFFFFF"/>
        </w:rPr>
        <w:t>,</w:t>
      </w:r>
      <w:r w:rsidR="00BC2D36">
        <w:rPr>
          <w:shd w:val="clear" w:color="auto" w:fill="FFFFFF"/>
        </w:rPr>
        <w:t xml:space="preserve"> a</w:t>
      </w:r>
      <w:r w:rsidR="00F3138F">
        <w:rPr>
          <w:shd w:val="clear" w:color="auto" w:fill="FFFFFF"/>
        </w:rPr>
        <w:t>n</w:t>
      </w:r>
      <w:r w:rsidR="00BC2D36">
        <w:rPr>
          <w:shd w:val="clear" w:color="auto" w:fill="FFFFFF"/>
        </w:rPr>
        <w:t>d enforcing the Gambling Act. Regulatory</w:t>
      </w:r>
      <w:r w:rsidR="0002629E">
        <w:rPr>
          <w:shd w:val="clear" w:color="auto" w:fill="FFFFFF"/>
        </w:rPr>
        <w:t xml:space="preserve"> activities include:</w:t>
      </w:r>
    </w:p>
    <w:p w14:paraId="721BA65D" w14:textId="6F6CE7CF" w:rsidR="0002629E" w:rsidRPr="002F108B" w:rsidRDefault="0002629E" w:rsidP="004B6FAE">
      <w:pPr>
        <w:pStyle w:val="Bulletlevel1"/>
        <w:numPr>
          <w:ilvl w:val="1"/>
          <w:numId w:val="3"/>
        </w:numPr>
        <w:rPr>
          <w:lang w:val="en-NZ"/>
        </w:rPr>
      </w:pPr>
      <w:r w:rsidRPr="002F108B">
        <w:rPr>
          <w:lang w:val="en-NZ"/>
        </w:rPr>
        <w:t>Non-club societies have to apply to the Department for a gambling licence. Currently</w:t>
      </w:r>
      <w:r w:rsidR="0023202F" w:rsidRPr="002F108B">
        <w:rPr>
          <w:lang w:val="en-NZ"/>
        </w:rPr>
        <w:t>,</w:t>
      </w:r>
      <w:r w:rsidRPr="002F108B">
        <w:rPr>
          <w:lang w:val="en-NZ"/>
        </w:rPr>
        <w:t xml:space="preserve"> a society must re-apply for a licence every year. </w:t>
      </w:r>
    </w:p>
    <w:p w14:paraId="29CA373F" w14:textId="77777777" w:rsidR="0002629E" w:rsidRPr="002F108B" w:rsidRDefault="0002629E" w:rsidP="004B6FAE">
      <w:pPr>
        <w:pStyle w:val="Bulletlevel1"/>
        <w:numPr>
          <w:ilvl w:val="1"/>
          <w:numId w:val="3"/>
        </w:numPr>
        <w:rPr>
          <w:lang w:val="en-NZ"/>
        </w:rPr>
      </w:pPr>
      <w:r w:rsidRPr="002F108B">
        <w:rPr>
          <w:lang w:val="en-NZ"/>
        </w:rPr>
        <w:t>The Department monitors the amount of funds non-club societies return to communities to check that it reaches the minimum required under regulations.</w:t>
      </w:r>
    </w:p>
    <w:p w14:paraId="08C44401" w14:textId="01F66EC4" w:rsidR="0002629E" w:rsidRPr="002F108B" w:rsidRDefault="0002629E" w:rsidP="004B6FAE">
      <w:pPr>
        <w:pStyle w:val="Bulletlevel1"/>
        <w:numPr>
          <w:ilvl w:val="1"/>
          <w:numId w:val="3"/>
        </w:numPr>
        <w:rPr>
          <w:lang w:val="en-NZ"/>
        </w:rPr>
      </w:pPr>
      <w:r w:rsidRPr="002F108B">
        <w:rPr>
          <w:lang w:val="en-NZ"/>
        </w:rPr>
        <w:t>Gambling inspectors inspect venues to check they are operating according to the Gambling Act, including the venue’s responsibilities around harm minimisation</w:t>
      </w:r>
      <w:r w:rsidR="00066A46" w:rsidRPr="002F108B">
        <w:rPr>
          <w:lang w:val="en-NZ"/>
        </w:rPr>
        <w:t xml:space="preserve"> and measures to limit problem gambling</w:t>
      </w:r>
      <w:r w:rsidRPr="002F108B">
        <w:rPr>
          <w:lang w:val="en-NZ"/>
        </w:rPr>
        <w:t>.</w:t>
      </w:r>
    </w:p>
    <w:p w14:paraId="6167A73A" w14:textId="701FA32F" w:rsidR="0002629E" w:rsidRPr="002F108B" w:rsidRDefault="0002629E" w:rsidP="004B6FAE">
      <w:pPr>
        <w:pStyle w:val="Bulletlevel1"/>
        <w:numPr>
          <w:ilvl w:val="1"/>
          <w:numId w:val="3"/>
        </w:numPr>
        <w:rPr>
          <w:lang w:val="en-NZ"/>
        </w:rPr>
      </w:pPr>
      <w:r w:rsidRPr="002F108B">
        <w:rPr>
          <w:lang w:val="en-NZ"/>
        </w:rPr>
        <w:t xml:space="preserve">Other regulatory activities include efforts to reduce theft and fraud, minimise harm from gambling and maximise returns to the community. </w:t>
      </w:r>
    </w:p>
    <w:p w14:paraId="0D6A68BD" w14:textId="1B6D7A1E" w:rsidR="00332968" w:rsidRPr="002F108B" w:rsidRDefault="008A68A2" w:rsidP="00045413">
      <w:pPr>
        <w:ind w:left="1134"/>
        <w:rPr>
          <w:lang w:val="en-NZ"/>
        </w:rPr>
      </w:pPr>
      <w:r w:rsidRPr="002F108B">
        <w:rPr>
          <w:lang w:val="en-NZ"/>
        </w:rPr>
        <w:t>On 12 March 2021, t</w:t>
      </w:r>
      <w:r w:rsidR="00332968" w:rsidRPr="002F108B">
        <w:rPr>
          <w:lang w:val="en-NZ"/>
        </w:rPr>
        <w:t xml:space="preserve">he Department of Internal Affairs </w:t>
      </w:r>
      <w:r w:rsidR="00E138F1" w:rsidRPr="002F108B">
        <w:rPr>
          <w:lang w:val="en-NZ"/>
        </w:rPr>
        <w:t xml:space="preserve">publicised </w:t>
      </w:r>
      <w:r w:rsidR="00975886" w:rsidRPr="002F108B">
        <w:rPr>
          <w:lang w:val="en-NZ"/>
        </w:rPr>
        <w:t>a new harm minimisation focus</w:t>
      </w:r>
      <w:r w:rsidR="00F769BF" w:rsidRPr="002F108B">
        <w:rPr>
          <w:lang w:val="en-NZ"/>
        </w:rPr>
        <w:t xml:space="preserve">, </w:t>
      </w:r>
      <w:r w:rsidR="00EC3F9C" w:rsidRPr="002F108B">
        <w:rPr>
          <w:lang w:val="en-NZ"/>
        </w:rPr>
        <w:t>d</w:t>
      </w:r>
      <w:r w:rsidR="00975886" w:rsidRPr="002F108B">
        <w:rPr>
          <w:lang w:val="en-NZ"/>
        </w:rPr>
        <w:t>irection</w:t>
      </w:r>
      <w:r w:rsidR="00C94B49" w:rsidRPr="002F108B">
        <w:rPr>
          <w:lang w:val="en-NZ"/>
        </w:rPr>
        <w:t xml:space="preserve"> </w:t>
      </w:r>
      <w:r w:rsidR="00B67392" w:rsidRPr="002F108B">
        <w:rPr>
          <w:lang w:val="en-NZ"/>
        </w:rPr>
        <w:t xml:space="preserve">and </w:t>
      </w:r>
      <w:r w:rsidR="00F769BF" w:rsidRPr="002F108B">
        <w:rPr>
          <w:lang w:val="en-NZ"/>
        </w:rPr>
        <w:t xml:space="preserve">strategy to </w:t>
      </w:r>
      <w:r w:rsidR="00D70FAB" w:rsidRPr="002F108B">
        <w:rPr>
          <w:lang w:val="en-NZ"/>
        </w:rPr>
        <w:t>deliver community wellbeing through reducing gambling</w:t>
      </w:r>
      <w:r w:rsidR="00FB4E1F" w:rsidRPr="002F108B">
        <w:rPr>
          <w:lang w:val="en-NZ"/>
        </w:rPr>
        <w:t>-</w:t>
      </w:r>
      <w:r w:rsidR="00D70FAB" w:rsidRPr="002F108B">
        <w:rPr>
          <w:lang w:val="en-NZ"/>
        </w:rPr>
        <w:t>related harms</w:t>
      </w:r>
      <w:r w:rsidR="00C03B36" w:rsidRPr="002F108B">
        <w:rPr>
          <w:lang w:val="en-NZ"/>
        </w:rPr>
        <w:t>.</w:t>
      </w:r>
      <w:r w:rsidR="00302FE8" w:rsidRPr="002F108B">
        <w:rPr>
          <w:lang w:val="en-NZ"/>
        </w:rPr>
        <w:t xml:space="preserve"> The new focus consists of:</w:t>
      </w:r>
    </w:p>
    <w:p w14:paraId="2B5794AB" w14:textId="062DAD04" w:rsidR="00C03B36" w:rsidRPr="002F108B" w:rsidRDefault="00302FE8" w:rsidP="00302FE8">
      <w:pPr>
        <w:pStyle w:val="Bulletpointindented"/>
        <w:numPr>
          <w:ilvl w:val="1"/>
          <w:numId w:val="3"/>
        </w:numPr>
        <w:rPr>
          <w:lang w:val="en-NZ"/>
        </w:rPr>
      </w:pPr>
      <w:r w:rsidRPr="002F108B">
        <w:rPr>
          <w:lang w:val="en-NZ"/>
        </w:rPr>
        <w:t>Working</w:t>
      </w:r>
      <w:r w:rsidR="00C03B36" w:rsidRPr="002F108B">
        <w:rPr>
          <w:lang w:val="en-NZ"/>
        </w:rPr>
        <w:t xml:space="preserve"> to ensure New Zealanders can enjoy safe and fair gambling that efficiently and equitably contributes to community wellbeing.</w:t>
      </w:r>
    </w:p>
    <w:p w14:paraId="59EF28FB" w14:textId="2EF9E75E" w:rsidR="00C03B36" w:rsidRPr="002F108B" w:rsidRDefault="00C03B36" w:rsidP="00302FE8">
      <w:pPr>
        <w:pStyle w:val="Bulletpointindented"/>
        <w:numPr>
          <w:ilvl w:val="1"/>
          <w:numId w:val="3"/>
        </w:numPr>
        <w:rPr>
          <w:lang w:val="en-NZ"/>
        </w:rPr>
      </w:pPr>
      <w:r w:rsidRPr="002F108B">
        <w:rPr>
          <w:lang w:val="en-NZ"/>
        </w:rPr>
        <w:lastRenderedPageBreak/>
        <w:t>The Gambling Group ensur</w:t>
      </w:r>
      <w:r w:rsidR="00AA7E91" w:rsidRPr="002F108B">
        <w:rPr>
          <w:lang w:val="en-NZ"/>
        </w:rPr>
        <w:t>ing</w:t>
      </w:r>
      <w:r w:rsidRPr="002F108B">
        <w:rPr>
          <w:lang w:val="en-NZ"/>
        </w:rPr>
        <w:t xml:space="preserve"> that gambling in New Zealand is run by trusted operators, that harm to gamblers is minimised and that New Zealand communities benefit from the proceeds of gambling. </w:t>
      </w:r>
    </w:p>
    <w:p w14:paraId="4703FC40" w14:textId="5AB915C7" w:rsidR="00C03B36" w:rsidRPr="002F108B" w:rsidRDefault="00AA7E91" w:rsidP="00302FE8">
      <w:pPr>
        <w:pStyle w:val="Bulletpointindented"/>
        <w:numPr>
          <w:ilvl w:val="1"/>
          <w:numId w:val="3"/>
        </w:numPr>
        <w:rPr>
          <w:lang w:val="en-NZ"/>
        </w:rPr>
      </w:pPr>
      <w:r w:rsidRPr="002F108B">
        <w:rPr>
          <w:lang w:val="en-NZ"/>
        </w:rPr>
        <w:t>Regulat</w:t>
      </w:r>
      <w:r w:rsidR="007724E7" w:rsidRPr="002F108B">
        <w:rPr>
          <w:lang w:val="en-NZ"/>
        </w:rPr>
        <w:t>ory activities</w:t>
      </w:r>
      <w:r w:rsidR="00C03B36" w:rsidRPr="002F108B">
        <w:rPr>
          <w:lang w:val="en-NZ"/>
        </w:rPr>
        <w:t xml:space="preserve"> across multiple modes of gambling</w:t>
      </w:r>
      <w:r w:rsidR="000070A8" w:rsidRPr="002F108B">
        <w:rPr>
          <w:lang w:val="en-NZ"/>
        </w:rPr>
        <w:t>,</w:t>
      </w:r>
      <w:r w:rsidR="00C03B36" w:rsidRPr="002F108B">
        <w:rPr>
          <w:lang w:val="en-NZ"/>
        </w:rPr>
        <w:t xml:space="preserve"> including casinos and classes 1-4, and undertake gambling licensing, compliance and enforcement functions to achieve the purposes of </w:t>
      </w:r>
      <w:r w:rsidR="002A51CF">
        <w:rPr>
          <w:lang w:val="en-NZ"/>
        </w:rPr>
        <w:t>t</w:t>
      </w:r>
      <w:r w:rsidR="00C03B36" w:rsidRPr="002F108B">
        <w:rPr>
          <w:lang w:val="en-NZ"/>
        </w:rPr>
        <w:t>he Gambling Act 2003. </w:t>
      </w:r>
    </w:p>
    <w:p w14:paraId="14213F72" w14:textId="553F9AA2" w:rsidR="006359F5" w:rsidRPr="00C10A99" w:rsidRDefault="00312CA0" w:rsidP="00045413">
      <w:pPr>
        <w:pStyle w:val="Bulletpointindented"/>
      </w:pPr>
      <w:r>
        <w:rPr>
          <w:shd w:val="clear" w:color="auto" w:fill="FFFFFF"/>
        </w:rPr>
        <w:t xml:space="preserve">The </w:t>
      </w:r>
      <w:r w:rsidRPr="00AF16FD">
        <w:t>Ministry</w:t>
      </w:r>
      <w:r>
        <w:rPr>
          <w:shd w:val="clear" w:color="auto" w:fill="FFFFFF"/>
        </w:rPr>
        <w:t xml:space="preserve"> of Health </w:t>
      </w:r>
      <w:r w:rsidR="001A2C81">
        <w:rPr>
          <w:shd w:val="clear" w:color="auto" w:fill="FFFFFF"/>
        </w:rPr>
        <w:t xml:space="preserve">is </w:t>
      </w:r>
      <w:r>
        <w:rPr>
          <w:shd w:val="clear" w:color="auto" w:fill="FFFFFF"/>
        </w:rPr>
        <w:t xml:space="preserve">responsible for </w:t>
      </w:r>
      <w:r w:rsidR="006359F5" w:rsidRPr="00C10A99">
        <w:t>developing</w:t>
      </w:r>
      <w:r w:rsidR="001A2C81" w:rsidRPr="00C10A99">
        <w:t xml:space="preserve"> and </w:t>
      </w:r>
      <w:r w:rsidR="006359F5" w:rsidRPr="00C10A99">
        <w:t xml:space="preserve">implementing the </w:t>
      </w:r>
      <w:r w:rsidR="006359F5">
        <w:t>‘</w:t>
      </w:r>
      <w:r w:rsidR="006359F5" w:rsidRPr="00C10A99">
        <w:t>integrated problem</w:t>
      </w:r>
      <w:r w:rsidR="001A2C81" w:rsidRPr="00C10A99">
        <w:t xml:space="preserve"> gambling</w:t>
      </w:r>
      <w:r w:rsidR="006359F5" w:rsidRPr="00C10A99">
        <w:t xml:space="preserve"> strategy focused on public health</w:t>
      </w:r>
      <w:r w:rsidR="006359F5">
        <w:t>’</w:t>
      </w:r>
      <w:r w:rsidR="006359F5" w:rsidRPr="00C10A99">
        <w:t xml:space="preserve"> described in section 317 of </w:t>
      </w:r>
      <w:r w:rsidR="00152B15">
        <w:t>t</w:t>
      </w:r>
      <w:r w:rsidR="0089123B">
        <w:t>he Gambling Act</w:t>
      </w:r>
      <w:r w:rsidR="006359F5" w:rsidRPr="00C10A99">
        <w:t>.</w:t>
      </w:r>
      <w:r w:rsidR="006359F5">
        <w:t xml:space="preserve"> </w:t>
      </w:r>
      <w:r w:rsidR="006359F5" w:rsidRPr="00C10A99">
        <w:t xml:space="preserve">The Act </w:t>
      </w:r>
      <w:r w:rsidR="006359F5">
        <w:t>states</w:t>
      </w:r>
      <w:r w:rsidR="006359F5" w:rsidRPr="00C10A99">
        <w:t xml:space="preserve"> that the strategy must include:</w:t>
      </w:r>
    </w:p>
    <w:p w14:paraId="5A8BA3F2" w14:textId="36715C36" w:rsidR="006359F5" w:rsidRPr="002F108B" w:rsidRDefault="006359F5" w:rsidP="004B6FAE">
      <w:pPr>
        <w:pStyle w:val="Bulletpointindented"/>
        <w:numPr>
          <w:ilvl w:val="1"/>
          <w:numId w:val="3"/>
        </w:numPr>
        <w:rPr>
          <w:lang w:val="en-NZ"/>
        </w:rPr>
      </w:pPr>
      <w:r w:rsidRPr="002F108B">
        <w:rPr>
          <w:lang w:val="en-NZ"/>
        </w:rPr>
        <w:t>Measures to promote public health by preventing</w:t>
      </w:r>
      <w:r w:rsidR="001A2C81" w:rsidRPr="002F108B">
        <w:rPr>
          <w:lang w:val="en-NZ"/>
        </w:rPr>
        <w:t xml:space="preserve"> and </w:t>
      </w:r>
      <w:r w:rsidRPr="002F108B">
        <w:rPr>
          <w:lang w:val="en-NZ"/>
        </w:rPr>
        <w:t>minimising the harm from</w:t>
      </w:r>
      <w:r w:rsidR="001A2C81" w:rsidRPr="002F108B">
        <w:rPr>
          <w:lang w:val="en-NZ"/>
        </w:rPr>
        <w:t xml:space="preserve"> gambling </w:t>
      </w:r>
      <w:r w:rsidRPr="002F108B">
        <w:rPr>
          <w:lang w:val="en-NZ"/>
        </w:rPr>
        <w:t>(see below for a definition of harm)</w:t>
      </w:r>
    </w:p>
    <w:p w14:paraId="3A1D6936" w14:textId="47D4D929" w:rsidR="006359F5" w:rsidRPr="002F108B" w:rsidRDefault="006359F5" w:rsidP="004B6FAE">
      <w:pPr>
        <w:pStyle w:val="Bulletpointindented"/>
        <w:numPr>
          <w:ilvl w:val="1"/>
          <w:numId w:val="3"/>
        </w:numPr>
        <w:rPr>
          <w:lang w:val="en-NZ"/>
        </w:rPr>
      </w:pPr>
      <w:r w:rsidRPr="002F108B">
        <w:rPr>
          <w:lang w:val="en-NZ"/>
        </w:rPr>
        <w:t>Services to treat and assist problem gamblers and their families and whānau</w:t>
      </w:r>
    </w:p>
    <w:p w14:paraId="1559FE7B" w14:textId="33E8A70A" w:rsidR="006359F5" w:rsidRPr="002F108B" w:rsidRDefault="006359F5" w:rsidP="004B6FAE">
      <w:pPr>
        <w:pStyle w:val="Bulletpointindented"/>
        <w:numPr>
          <w:ilvl w:val="1"/>
          <w:numId w:val="3"/>
        </w:numPr>
        <w:rPr>
          <w:lang w:val="en-NZ"/>
        </w:rPr>
      </w:pPr>
      <w:r w:rsidRPr="002F108B">
        <w:rPr>
          <w:lang w:val="en-NZ"/>
        </w:rPr>
        <w:t>Independent scientific research associated with gambling, including (for example) longitudinal research on the social and economic impacts of gambling, particularly the impacts of gambling on different cultural groups</w:t>
      </w:r>
    </w:p>
    <w:p w14:paraId="38848190" w14:textId="2CD23B07" w:rsidR="00312CA0" w:rsidRPr="002F108B" w:rsidRDefault="006359F5" w:rsidP="004B6FAE">
      <w:pPr>
        <w:pStyle w:val="Bulletpointindented"/>
        <w:numPr>
          <w:ilvl w:val="1"/>
          <w:numId w:val="3"/>
        </w:numPr>
        <w:rPr>
          <w:lang w:val="en-NZ"/>
        </w:rPr>
      </w:pPr>
      <w:r w:rsidRPr="002F108B">
        <w:rPr>
          <w:lang w:val="en-NZ"/>
        </w:rPr>
        <w:t>Evaluation.</w:t>
      </w:r>
      <w:r w:rsidR="001A2C81" w:rsidRPr="002F108B">
        <w:rPr>
          <w:lang w:val="en-NZ"/>
        </w:rPr>
        <w:t xml:space="preserve"> </w:t>
      </w:r>
    </w:p>
    <w:p w14:paraId="7BC914F7" w14:textId="61F0441A" w:rsidR="003414B3" w:rsidRPr="00664D95" w:rsidRDefault="003414B3" w:rsidP="00045413">
      <w:pPr>
        <w:pStyle w:val="Bulletpointindented"/>
        <w:rPr>
          <w:shd w:val="clear" w:color="auto" w:fill="FFFFFF"/>
        </w:rPr>
      </w:pPr>
      <w:r w:rsidRPr="00664D95">
        <w:rPr>
          <w:shd w:val="clear" w:color="auto" w:fill="FFFFFF"/>
        </w:rPr>
        <w:t xml:space="preserve">The Gambling Commission </w:t>
      </w:r>
      <w:r w:rsidR="00C875AD">
        <w:rPr>
          <w:shd w:val="clear" w:color="auto" w:fill="FFFFFF"/>
        </w:rPr>
        <w:t>is</w:t>
      </w:r>
      <w:r>
        <w:rPr>
          <w:shd w:val="clear" w:color="auto" w:fill="FFFFFF"/>
        </w:rPr>
        <w:t xml:space="preserve"> </w:t>
      </w:r>
      <w:r w:rsidRPr="00664D95">
        <w:rPr>
          <w:shd w:val="clear" w:color="auto" w:fill="FFFFFF"/>
        </w:rPr>
        <w:t xml:space="preserve">an independent statutory decision-making body. The Commission hears casino licensing applications and appeals on licensing and enforcement decisions made by the Secretary of Internal Affairs in relation to gaming machines and other non-casino gambling activities. </w:t>
      </w:r>
    </w:p>
    <w:p w14:paraId="11E755FD" w14:textId="52C705B3" w:rsidR="00BA798F" w:rsidRPr="002F108B" w:rsidRDefault="00BA798F" w:rsidP="00045413">
      <w:pPr>
        <w:ind w:left="1080"/>
        <w:rPr>
          <w:b/>
          <w:lang w:val="en-NZ"/>
        </w:rPr>
      </w:pPr>
      <w:r w:rsidRPr="002F108B">
        <w:rPr>
          <w:shd w:val="clear" w:color="auto" w:fill="FFFFFF"/>
          <w:lang w:val="en-NZ"/>
        </w:rPr>
        <w:t xml:space="preserve">Under section 318(5) of </w:t>
      </w:r>
      <w:r w:rsidR="00152B15">
        <w:rPr>
          <w:shd w:val="clear" w:color="auto" w:fill="FFFFFF"/>
          <w:lang w:val="en-NZ"/>
        </w:rPr>
        <w:t>t</w:t>
      </w:r>
      <w:r w:rsidR="00DF2AE2">
        <w:rPr>
          <w:shd w:val="clear" w:color="auto" w:fill="FFFFFF"/>
          <w:lang w:val="en-NZ"/>
        </w:rPr>
        <w:t>he</w:t>
      </w:r>
      <w:r w:rsidR="00DF2AE2" w:rsidRPr="002F108B">
        <w:rPr>
          <w:shd w:val="clear" w:color="auto" w:fill="FFFFFF"/>
          <w:lang w:val="en-NZ"/>
        </w:rPr>
        <w:t xml:space="preserve"> </w:t>
      </w:r>
      <w:r w:rsidRPr="002F108B">
        <w:rPr>
          <w:shd w:val="clear" w:color="auto" w:fill="FFFFFF"/>
          <w:lang w:val="en-NZ"/>
        </w:rPr>
        <w:t xml:space="preserve">Gambling Act, the Gambling Commission is required to report to the </w:t>
      </w:r>
      <w:r w:rsidR="00A92D6D" w:rsidRPr="002F108B">
        <w:rPr>
          <w:shd w:val="clear" w:color="auto" w:fill="FFFFFF"/>
          <w:lang w:val="en-NZ"/>
        </w:rPr>
        <w:t>responsible Ministers</w:t>
      </w:r>
      <w:r w:rsidRPr="002F108B">
        <w:rPr>
          <w:shd w:val="clear" w:color="auto" w:fill="FFFFFF"/>
          <w:lang w:val="en-NZ"/>
        </w:rPr>
        <w:t xml:space="preserve"> making recommendations on the total annual amount of the proposed problem gambling levy for a three year period and a proposed levy rate for each gambling sector.</w:t>
      </w:r>
    </w:p>
    <w:p w14:paraId="681F8BF0" w14:textId="5AAD7A5B" w:rsidR="007441AB" w:rsidRPr="00D70560" w:rsidRDefault="00073609" w:rsidP="00416CD4">
      <w:pPr>
        <w:pStyle w:val="Bulletpointindented"/>
        <w:rPr>
          <w:sz w:val="24"/>
          <w:szCs w:val="24"/>
        </w:rPr>
      </w:pPr>
      <w:r>
        <w:t xml:space="preserve">Local </w:t>
      </w:r>
      <w:r w:rsidR="00040830">
        <w:t>councils</w:t>
      </w:r>
      <w:r w:rsidR="007441AB">
        <w:t xml:space="preserve"> </w:t>
      </w:r>
      <w:r w:rsidR="003133BA">
        <w:t xml:space="preserve">(territorial authorities – TA) </w:t>
      </w:r>
      <w:r w:rsidR="007441AB">
        <w:t xml:space="preserve">must have a </w:t>
      </w:r>
      <w:r w:rsidR="00416CD4">
        <w:t>TAB venue policy (legislated under the Racing Industry Act 2020 s93-97</w:t>
      </w:r>
      <w:r w:rsidR="00DF2AE2">
        <w:rPr>
          <w:rStyle w:val="FootnoteReference"/>
        </w:rPr>
        <w:footnoteReference w:id="10"/>
      </w:r>
      <w:r w:rsidR="00416CD4">
        <w:t xml:space="preserve">) and </w:t>
      </w:r>
      <w:r w:rsidR="00A13E35">
        <w:t>C</w:t>
      </w:r>
      <w:r w:rsidR="007441AB">
        <w:t>lass 4 venue policy</w:t>
      </w:r>
      <w:r w:rsidR="00416CD4">
        <w:t xml:space="preserve"> </w:t>
      </w:r>
      <w:r w:rsidR="00DF2AE2">
        <w:t xml:space="preserve">(under </w:t>
      </w:r>
      <w:r w:rsidR="002A51CF">
        <w:t>t</w:t>
      </w:r>
      <w:r w:rsidR="00DF2AE2">
        <w:t xml:space="preserve">he Gambling Act) </w:t>
      </w:r>
      <w:r w:rsidR="000E32DD">
        <w:t>that</w:t>
      </w:r>
      <w:r w:rsidR="007441AB">
        <w:t xml:space="preserve"> sets out </w:t>
      </w:r>
      <w:r w:rsidR="000E32DD">
        <w:t>Class 4 gambling rules</w:t>
      </w:r>
      <w:r w:rsidR="007441AB">
        <w:t xml:space="preserve"> in their</w:t>
      </w:r>
      <w:r w:rsidR="001F7FA1">
        <w:t xml:space="preserve"> district</w:t>
      </w:r>
      <w:r w:rsidR="00182FA6">
        <w:t>s</w:t>
      </w:r>
      <w:r w:rsidR="003A7DAB">
        <w:t xml:space="preserve">. </w:t>
      </w:r>
      <w:r w:rsidR="007441AB">
        <w:t xml:space="preserve">Class 4 venue policies </w:t>
      </w:r>
      <w:r w:rsidR="00FB61AE">
        <w:t xml:space="preserve">must be reviewed every three years </w:t>
      </w:r>
      <w:r w:rsidR="000D7E19">
        <w:t>(</w:t>
      </w:r>
      <w:r w:rsidR="00CE6A1B">
        <w:t xml:space="preserve">with communities) </w:t>
      </w:r>
      <w:r w:rsidR="00FB61AE">
        <w:t xml:space="preserve">and </w:t>
      </w:r>
      <w:r w:rsidR="003A7DAB">
        <w:t>include</w:t>
      </w:r>
      <w:r w:rsidR="00FB61AE">
        <w:t>:</w:t>
      </w:r>
      <w:r w:rsidR="007441AB">
        <w:t xml:space="preserve"> </w:t>
      </w:r>
    </w:p>
    <w:p w14:paraId="65B03AB7" w14:textId="77777777" w:rsidR="003413DD" w:rsidRPr="002F108B" w:rsidRDefault="007B12BF" w:rsidP="00045413">
      <w:pPr>
        <w:pStyle w:val="Bulletpointindented"/>
        <w:numPr>
          <w:ilvl w:val="1"/>
          <w:numId w:val="3"/>
        </w:numPr>
        <w:rPr>
          <w:lang w:val="en-NZ"/>
        </w:rPr>
      </w:pPr>
      <w:r w:rsidRPr="002F108B">
        <w:rPr>
          <w:lang w:val="en-NZ"/>
        </w:rPr>
        <w:t>W</w:t>
      </w:r>
      <w:r w:rsidR="007441AB" w:rsidRPr="002F108B">
        <w:rPr>
          <w:lang w:val="en-NZ"/>
        </w:rPr>
        <w:t xml:space="preserve">hether </w:t>
      </w:r>
      <w:r w:rsidRPr="002F108B">
        <w:rPr>
          <w:lang w:val="en-NZ"/>
        </w:rPr>
        <w:t>C</w:t>
      </w:r>
      <w:r w:rsidR="007441AB" w:rsidRPr="002F108B">
        <w:rPr>
          <w:lang w:val="en-NZ"/>
        </w:rPr>
        <w:t>lass 4 gambling venues may be established in their district</w:t>
      </w:r>
      <w:r w:rsidR="00CA254B" w:rsidRPr="002F108B">
        <w:rPr>
          <w:lang w:val="en-NZ"/>
        </w:rPr>
        <w:t xml:space="preserve"> </w:t>
      </w:r>
    </w:p>
    <w:p w14:paraId="1C972124" w14:textId="2C697B69" w:rsidR="007441AB" w:rsidRPr="002F108B" w:rsidRDefault="00CE6EC7" w:rsidP="00045413">
      <w:pPr>
        <w:pStyle w:val="Bulletpointindented"/>
        <w:numPr>
          <w:ilvl w:val="1"/>
          <w:numId w:val="3"/>
        </w:numPr>
        <w:rPr>
          <w:lang w:val="en-NZ"/>
        </w:rPr>
      </w:pPr>
      <w:r w:rsidRPr="002F108B">
        <w:rPr>
          <w:lang w:val="en-NZ"/>
        </w:rPr>
        <w:t>If permitted, where venues may be located</w:t>
      </w:r>
      <w:r w:rsidR="00694F0A" w:rsidRPr="002F108B">
        <w:rPr>
          <w:lang w:val="en-NZ"/>
        </w:rPr>
        <w:t xml:space="preserve"> </w:t>
      </w:r>
    </w:p>
    <w:p w14:paraId="200F95F5" w14:textId="113939DF" w:rsidR="00586D82" w:rsidRPr="002F108B" w:rsidRDefault="0085111D" w:rsidP="00045413">
      <w:pPr>
        <w:pStyle w:val="Bulletpointindented"/>
        <w:numPr>
          <w:ilvl w:val="1"/>
          <w:numId w:val="3"/>
        </w:numPr>
        <w:rPr>
          <w:lang w:val="en-NZ"/>
        </w:rPr>
      </w:pPr>
      <w:r w:rsidRPr="002F108B">
        <w:rPr>
          <w:lang w:val="en-NZ"/>
        </w:rPr>
        <w:t>Considerati</w:t>
      </w:r>
      <w:r w:rsidR="00F81836" w:rsidRPr="002F108B">
        <w:rPr>
          <w:lang w:val="en-NZ"/>
        </w:rPr>
        <w:t>o</w:t>
      </w:r>
      <w:r w:rsidRPr="002F108B">
        <w:rPr>
          <w:lang w:val="en-NZ"/>
        </w:rPr>
        <w:t>n of t</w:t>
      </w:r>
      <w:r w:rsidR="00FB61AE" w:rsidRPr="002F108B">
        <w:rPr>
          <w:lang w:val="en-NZ"/>
        </w:rPr>
        <w:t>he social impact of gambling within their district</w:t>
      </w:r>
      <w:r w:rsidR="00F81836" w:rsidRPr="002F108B">
        <w:rPr>
          <w:lang w:val="en-NZ"/>
        </w:rPr>
        <w:t>.</w:t>
      </w:r>
    </w:p>
    <w:p w14:paraId="5DF34280" w14:textId="7AD3C8D2" w:rsidR="00F846DC" w:rsidRPr="002F108B" w:rsidRDefault="007D2016" w:rsidP="00E403A1">
      <w:pPr>
        <w:pStyle w:val="Heading1"/>
        <w:rPr>
          <w:shd w:val="clear" w:color="auto" w:fill="FFFFFF"/>
          <w:lang w:val="en-NZ"/>
        </w:rPr>
      </w:pPr>
      <w:bookmarkStart w:id="86" w:name="_Toc65250302"/>
      <w:bookmarkStart w:id="87" w:name="_Toc76469777"/>
      <w:r w:rsidRPr="002F108B">
        <w:rPr>
          <w:shd w:val="clear" w:color="auto" w:fill="FFFFFF"/>
          <w:lang w:val="en-NZ"/>
        </w:rPr>
        <w:lastRenderedPageBreak/>
        <w:t>Access to g</w:t>
      </w:r>
      <w:r w:rsidR="004431DE" w:rsidRPr="002F108B">
        <w:rPr>
          <w:shd w:val="clear" w:color="auto" w:fill="FFFFFF"/>
          <w:lang w:val="en-NZ"/>
        </w:rPr>
        <w:t xml:space="preserve">ambling </w:t>
      </w:r>
      <w:r w:rsidR="00A5397E" w:rsidRPr="002F108B">
        <w:rPr>
          <w:shd w:val="clear" w:color="auto" w:fill="FFFFFF"/>
          <w:lang w:val="en-NZ"/>
        </w:rPr>
        <w:t>in Aotearoa New Zealand</w:t>
      </w:r>
      <w:bookmarkEnd w:id="86"/>
      <w:bookmarkEnd w:id="87"/>
    </w:p>
    <w:p w14:paraId="4CED58E7" w14:textId="511085AB" w:rsidR="00F16A8C" w:rsidRPr="002F108B" w:rsidRDefault="00D6314D" w:rsidP="00C015A7">
      <w:pPr>
        <w:pStyle w:val="Heading2"/>
        <w:rPr>
          <w:lang w:val="en-NZ"/>
        </w:rPr>
      </w:pPr>
      <w:bookmarkStart w:id="88" w:name="_Toc65250303"/>
      <w:bookmarkStart w:id="89" w:name="_Toc76469778"/>
      <w:r w:rsidRPr="002F108B">
        <w:rPr>
          <w:lang w:val="en-NZ"/>
        </w:rPr>
        <w:t>All forms of g</w:t>
      </w:r>
      <w:r w:rsidR="00F16A8C" w:rsidRPr="002F108B">
        <w:rPr>
          <w:lang w:val="en-NZ"/>
        </w:rPr>
        <w:t xml:space="preserve">ambling </w:t>
      </w:r>
      <w:r w:rsidRPr="002F108B">
        <w:rPr>
          <w:lang w:val="en-NZ"/>
        </w:rPr>
        <w:t>are</w:t>
      </w:r>
      <w:r w:rsidR="00F16A8C" w:rsidRPr="002F108B">
        <w:rPr>
          <w:lang w:val="en-NZ"/>
        </w:rPr>
        <w:t xml:space="preserve"> widely accessible</w:t>
      </w:r>
      <w:bookmarkEnd w:id="88"/>
      <w:bookmarkEnd w:id="89"/>
    </w:p>
    <w:p w14:paraId="5566FCD3" w14:textId="030AA0C8" w:rsidR="00EB47C3" w:rsidRPr="002F108B" w:rsidRDefault="00F80677" w:rsidP="00EB47C3">
      <w:pPr>
        <w:rPr>
          <w:lang w:val="en-NZ"/>
        </w:rPr>
      </w:pPr>
      <w:r w:rsidRPr="002F108B">
        <w:rPr>
          <w:b/>
          <w:lang w:val="en-NZ"/>
        </w:rPr>
        <w:t xml:space="preserve">Lotteries products: </w:t>
      </w:r>
      <w:r w:rsidR="0041206B" w:rsidRPr="002F108B">
        <w:rPr>
          <w:lang w:val="en-NZ"/>
        </w:rPr>
        <w:t xml:space="preserve">Lotto NZ </w:t>
      </w:r>
      <w:r w:rsidR="00EB47C3" w:rsidRPr="002F108B">
        <w:rPr>
          <w:lang w:val="en-NZ"/>
        </w:rPr>
        <w:t xml:space="preserve">offers many products, including Lotto, Instant Kiwi, Keno, and others. These products </w:t>
      </w:r>
      <w:r w:rsidR="000725BD">
        <w:rPr>
          <w:lang w:val="en-NZ"/>
        </w:rPr>
        <w:t>we</w:t>
      </w:r>
      <w:r w:rsidR="000725BD" w:rsidRPr="002F108B">
        <w:rPr>
          <w:lang w:val="en-NZ"/>
        </w:rPr>
        <w:t xml:space="preserve">re </w:t>
      </w:r>
      <w:r w:rsidR="00EB47C3" w:rsidRPr="002F108B">
        <w:rPr>
          <w:lang w:val="en-NZ"/>
        </w:rPr>
        <w:t>sold from 1,5</w:t>
      </w:r>
      <w:r w:rsidR="00E73F12" w:rsidRPr="002F108B">
        <w:rPr>
          <w:lang w:val="en-NZ"/>
        </w:rPr>
        <w:t>64</w:t>
      </w:r>
      <w:r w:rsidR="00EB47C3" w:rsidRPr="002F108B">
        <w:rPr>
          <w:lang w:val="en-NZ"/>
        </w:rPr>
        <w:t xml:space="preserve"> </w:t>
      </w:r>
      <w:r w:rsidR="00E73F12" w:rsidRPr="002F108B">
        <w:rPr>
          <w:lang w:val="en-NZ"/>
        </w:rPr>
        <w:t xml:space="preserve">Lotto retail </w:t>
      </w:r>
      <w:r w:rsidR="00EB47C3" w:rsidRPr="002F108B">
        <w:rPr>
          <w:lang w:val="en-NZ"/>
        </w:rPr>
        <w:t>outlets across the country</w:t>
      </w:r>
      <w:r w:rsidR="00283D24" w:rsidRPr="002F108B">
        <w:rPr>
          <w:lang w:val="en-NZ"/>
        </w:rPr>
        <w:t xml:space="preserve"> for the FY 2019/20</w:t>
      </w:r>
      <w:r w:rsidR="00EB47C3" w:rsidRPr="002F108B">
        <w:rPr>
          <w:lang w:val="en-NZ"/>
        </w:rPr>
        <w:t xml:space="preserve">, an increase of </w:t>
      </w:r>
      <w:r w:rsidR="00C55D1F" w:rsidRPr="002F108B">
        <w:rPr>
          <w:lang w:val="en-NZ"/>
        </w:rPr>
        <w:t>92</w:t>
      </w:r>
      <w:r w:rsidR="00EB47C3" w:rsidRPr="002F108B">
        <w:rPr>
          <w:lang w:val="en-NZ"/>
        </w:rPr>
        <w:t xml:space="preserve"> outlets </w:t>
      </w:r>
      <w:r w:rsidR="00E2675A" w:rsidRPr="002F108B">
        <w:rPr>
          <w:lang w:val="en-NZ"/>
        </w:rPr>
        <w:t>since FY 20</w:t>
      </w:r>
      <w:r w:rsidR="004F6B97" w:rsidRPr="002F108B">
        <w:rPr>
          <w:lang w:val="en-NZ"/>
        </w:rPr>
        <w:t>17</w:t>
      </w:r>
      <w:r w:rsidR="00E2675A" w:rsidRPr="002F108B">
        <w:rPr>
          <w:lang w:val="en-NZ"/>
        </w:rPr>
        <w:t>/1</w:t>
      </w:r>
      <w:r w:rsidR="004F6B97" w:rsidRPr="002F108B">
        <w:rPr>
          <w:lang w:val="en-NZ"/>
        </w:rPr>
        <w:t>8</w:t>
      </w:r>
      <w:r w:rsidR="00D075A6" w:rsidRPr="002F108B">
        <w:rPr>
          <w:lang w:val="en-NZ"/>
        </w:rPr>
        <w:t xml:space="preserve"> </w:t>
      </w:r>
      <w:r w:rsidR="002974E7" w:rsidRPr="002F108B">
        <w:rPr>
          <w:lang w:val="en-NZ"/>
        </w:rPr>
        <w:t>(Lotto New Zealand, 2020)</w:t>
      </w:r>
      <w:r w:rsidR="00EB47C3" w:rsidRPr="002F108B">
        <w:rPr>
          <w:lang w:val="en-NZ"/>
        </w:rPr>
        <w:t>.</w:t>
      </w:r>
      <w:r w:rsidR="00E77068" w:rsidRPr="002F108B">
        <w:rPr>
          <w:lang w:val="en-NZ"/>
        </w:rPr>
        <w:t xml:space="preserve"> </w:t>
      </w:r>
      <w:r w:rsidR="00AE6004" w:rsidRPr="002F108B">
        <w:rPr>
          <w:lang w:val="en-NZ"/>
        </w:rPr>
        <w:t>In 2020, d</w:t>
      </w:r>
      <w:r w:rsidR="00A17D6B" w:rsidRPr="002F108B">
        <w:rPr>
          <w:lang w:val="en-NZ"/>
        </w:rPr>
        <w:t xml:space="preserve">uring COVID Alert Level 4, </w:t>
      </w:r>
      <w:r w:rsidR="00AE6004" w:rsidRPr="002F108B">
        <w:rPr>
          <w:lang w:val="en-NZ"/>
        </w:rPr>
        <w:t>all sales moved online and registered MyLotto players increased by 385,000 (845,000 in 2019) to 1,230,000</w:t>
      </w:r>
      <w:r w:rsidR="00E77068" w:rsidRPr="002F108B">
        <w:rPr>
          <w:lang w:val="en-NZ"/>
        </w:rPr>
        <w:t xml:space="preserve"> (see section 3.4.2)</w:t>
      </w:r>
      <w:r w:rsidR="00AE6004" w:rsidRPr="002F108B">
        <w:rPr>
          <w:lang w:val="en-NZ"/>
        </w:rPr>
        <w:t xml:space="preserve"> (Lotto New Zealand, 2020)</w:t>
      </w:r>
      <w:r w:rsidR="00E77068" w:rsidRPr="002F108B">
        <w:rPr>
          <w:lang w:val="en-NZ"/>
        </w:rPr>
        <w:t>.</w:t>
      </w:r>
    </w:p>
    <w:p w14:paraId="244D2A86" w14:textId="4D27609A" w:rsidR="00DB2564" w:rsidRPr="002F108B" w:rsidRDefault="00F80677" w:rsidP="00F16A8C">
      <w:pPr>
        <w:rPr>
          <w:lang w:val="en-NZ"/>
        </w:rPr>
      </w:pPr>
      <w:r w:rsidRPr="002F108B">
        <w:rPr>
          <w:b/>
          <w:lang w:val="en-NZ"/>
        </w:rPr>
        <w:t xml:space="preserve">Casinos: </w:t>
      </w:r>
      <w:r w:rsidR="00A70269" w:rsidRPr="002F108B">
        <w:rPr>
          <w:lang w:val="en-NZ"/>
        </w:rPr>
        <w:t>Under the Gambling Act</w:t>
      </w:r>
      <w:r w:rsidR="0095014B" w:rsidRPr="002F108B">
        <w:rPr>
          <w:lang w:val="en-NZ"/>
        </w:rPr>
        <w:t xml:space="preserve"> (Reprint as </w:t>
      </w:r>
      <w:r w:rsidR="004146B8" w:rsidRPr="002F108B">
        <w:rPr>
          <w:lang w:val="en-NZ"/>
        </w:rPr>
        <w:t>of</w:t>
      </w:r>
      <w:r w:rsidR="0095014B" w:rsidRPr="002F108B">
        <w:rPr>
          <w:lang w:val="en-NZ"/>
        </w:rPr>
        <w:t xml:space="preserve"> 30 January 2021)</w:t>
      </w:r>
      <w:r w:rsidR="00A70269" w:rsidRPr="002F108B">
        <w:rPr>
          <w:lang w:val="en-NZ"/>
        </w:rPr>
        <w:t>, th</w:t>
      </w:r>
      <w:r w:rsidR="00082AB8" w:rsidRPr="002F108B">
        <w:rPr>
          <w:lang w:val="en-NZ"/>
        </w:rPr>
        <w:t>e number of casinos i</w:t>
      </w:r>
      <w:r w:rsidR="00A70269" w:rsidRPr="002F108B">
        <w:rPr>
          <w:lang w:val="en-NZ"/>
        </w:rPr>
        <w:t xml:space="preserve">n New Zealand </w:t>
      </w:r>
      <w:r w:rsidR="00082AB8" w:rsidRPr="002F108B">
        <w:rPr>
          <w:lang w:val="en-NZ"/>
        </w:rPr>
        <w:t>is capped at six</w:t>
      </w:r>
      <w:r w:rsidR="001A7324" w:rsidRPr="002F108B">
        <w:rPr>
          <w:lang w:val="en-NZ"/>
        </w:rPr>
        <w:t xml:space="preserve"> </w:t>
      </w:r>
      <w:r w:rsidR="001A7324" w:rsidRPr="002F108B">
        <w:rPr>
          <w:rFonts w:cs="Calibri"/>
          <w:lang w:val="en-NZ"/>
        </w:rPr>
        <w:t>(Parliamentary Counsel Office, 2003)</w:t>
      </w:r>
      <w:r w:rsidR="0038119E" w:rsidRPr="002F108B">
        <w:rPr>
          <w:lang w:val="en-NZ"/>
        </w:rPr>
        <w:t xml:space="preserve"> and</w:t>
      </w:r>
      <w:r w:rsidR="00BF143E" w:rsidRPr="002F108B">
        <w:rPr>
          <w:lang w:val="en-NZ"/>
        </w:rPr>
        <w:t xml:space="preserve"> are</w:t>
      </w:r>
      <w:r w:rsidR="00082AB8" w:rsidRPr="002F108B">
        <w:rPr>
          <w:lang w:val="en-NZ"/>
        </w:rPr>
        <w:t xml:space="preserve"> located in Auckland, Hamilton, Dunedin, Christchurch and Queenstown</w:t>
      </w:r>
      <w:r w:rsidR="001B45E6" w:rsidRPr="002F108B">
        <w:rPr>
          <w:rStyle w:val="FootnoteReference"/>
          <w:lang w:val="en-NZ"/>
        </w:rPr>
        <w:footnoteReference w:id="11"/>
      </w:r>
      <w:r w:rsidR="00D075A6" w:rsidRPr="002F108B">
        <w:rPr>
          <w:lang w:val="en-NZ"/>
        </w:rPr>
        <w:t xml:space="preserve"> </w:t>
      </w:r>
      <w:r w:rsidR="004545CF" w:rsidRPr="002F108B">
        <w:rPr>
          <w:rFonts w:cs="Calibri"/>
          <w:lang w:val="en-NZ"/>
        </w:rPr>
        <w:t xml:space="preserve">(Gambling Commission, </w:t>
      </w:r>
      <w:r w:rsidR="00957F2D" w:rsidRPr="002F108B">
        <w:rPr>
          <w:rFonts w:cs="Calibri"/>
          <w:lang w:val="en-NZ"/>
        </w:rPr>
        <w:t>2020</w:t>
      </w:r>
      <w:r w:rsidR="004545CF" w:rsidRPr="002F108B">
        <w:rPr>
          <w:rFonts w:cs="Calibri"/>
          <w:lang w:val="en-NZ"/>
        </w:rPr>
        <w:t>)</w:t>
      </w:r>
      <w:r w:rsidR="00E77068" w:rsidRPr="002F108B">
        <w:rPr>
          <w:lang w:val="en-NZ"/>
        </w:rPr>
        <w:t>.</w:t>
      </w:r>
    </w:p>
    <w:p w14:paraId="286F6E72" w14:textId="3D7897D3" w:rsidR="006740E5" w:rsidRPr="006740E5" w:rsidRDefault="00F80677" w:rsidP="006740E5">
      <w:pPr>
        <w:rPr>
          <w:lang w:val="en-NZ" w:eastAsia="en-US"/>
        </w:rPr>
      </w:pPr>
      <w:r w:rsidRPr="002F108B">
        <w:rPr>
          <w:b/>
          <w:lang w:val="en-NZ"/>
        </w:rPr>
        <w:t>Class 4</w:t>
      </w:r>
      <w:r w:rsidR="006275DA" w:rsidRPr="002F108B">
        <w:rPr>
          <w:b/>
          <w:lang w:val="en-NZ"/>
        </w:rPr>
        <w:t xml:space="preserve"> EGMs: </w:t>
      </w:r>
      <w:r w:rsidR="007444F8" w:rsidRPr="002F108B">
        <w:rPr>
          <w:lang w:val="en-NZ"/>
        </w:rPr>
        <w:t>There are</w:t>
      </w:r>
      <w:r w:rsidR="00092379" w:rsidRPr="002F108B">
        <w:rPr>
          <w:lang w:val="en-NZ"/>
        </w:rPr>
        <w:t xml:space="preserve"> just</w:t>
      </w:r>
      <w:r w:rsidR="007444F8" w:rsidRPr="002F108B">
        <w:rPr>
          <w:lang w:val="en-NZ"/>
        </w:rPr>
        <w:t xml:space="preserve"> over 1,000 </w:t>
      </w:r>
      <w:r w:rsidR="00A86217" w:rsidRPr="002F108B">
        <w:rPr>
          <w:lang w:val="en-NZ"/>
        </w:rPr>
        <w:t xml:space="preserve">Class 4 venues </w:t>
      </w:r>
      <w:r w:rsidR="00410FCE" w:rsidRPr="002F108B">
        <w:rPr>
          <w:lang w:val="en-NZ"/>
        </w:rPr>
        <w:t xml:space="preserve">and </w:t>
      </w:r>
      <w:r w:rsidR="00037355">
        <w:rPr>
          <w:lang w:val="en-NZ"/>
        </w:rPr>
        <w:t>over 16</w:t>
      </w:r>
      <w:r w:rsidR="004F0452" w:rsidRPr="002F108B">
        <w:rPr>
          <w:lang w:val="en-NZ"/>
        </w:rPr>
        <w:t xml:space="preserve">,000 EGMs across New Zealand. </w:t>
      </w:r>
      <w:r w:rsidR="00CB7B3B" w:rsidRPr="002F108B">
        <w:rPr>
          <w:lang w:val="en-NZ"/>
        </w:rPr>
        <w:t>The number of Class 4 venues and EGMs (non-casino) continue to decrease (</w:t>
      </w:r>
      <w:r w:rsidR="00326CE6" w:rsidRPr="002F108B">
        <w:rPr>
          <w:lang w:val="en-NZ"/>
        </w:rPr>
        <w:fldChar w:fldCharType="begin"/>
      </w:r>
      <w:r w:rsidR="00326CE6" w:rsidRPr="002F108B">
        <w:rPr>
          <w:lang w:val="en-NZ"/>
        </w:rPr>
        <w:instrText xml:space="preserve"> REF _Ref66466181 \h </w:instrText>
      </w:r>
      <w:r w:rsidR="00326CE6" w:rsidRPr="002F108B">
        <w:rPr>
          <w:lang w:val="en-NZ"/>
        </w:rPr>
      </w:r>
      <w:r w:rsidR="00326CE6" w:rsidRPr="002F108B">
        <w:rPr>
          <w:lang w:val="en-NZ"/>
        </w:rPr>
        <w:fldChar w:fldCharType="separate"/>
      </w:r>
      <w:r w:rsidR="009B1BDF" w:rsidRPr="002F108B">
        <w:rPr>
          <w:lang w:val="en-NZ"/>
        </w:rPr>
        <w:t xml:space="preserve">Figure </w:t>
      </w:r>
      <w:r w:rsidR="009B1BDF">
        <w:rPr>
          <w:noProof/>
          <w:lang w:val="en-NZ"/>
        </w:rPr>
        <w:t>1</w:t>
      </w:r>
      <w:r w:rsidR="00326CE6" w:rsidRPr="002F108B">
        <w:rPr>
          <w:lang w:val="en-NZ"/>
        </w:rPr>
        <w:fldChar w:fldCharType="end"/>
      </w:r>
      <w:r w:rsidR="00326CE6" w:rsidRPr="002F108B">
        <w:rPr>
          <w:lang w:val="en-NZ"/>
        </w:rPr>
        <w:t xml:space="preserve"> </w:t>
      </w:r>
      <w:r w:rsidR="00E77068" w:rsidRPr="002F108B">
        <w:rPr>
          <w:lang w:val="en-NZ"/>
        </w:rPr>
        <w:t>and</w:t>
      </w:r>
      <w:r w:rsidR="00FA6DE5">
        <w:rPr>
          <w:lang w:val="en-NZ"/>
        </w:rPr>
        <w:t xml:space="preserve"> </w:t>
      </w:r>
      <w:r w:rsidR="00FA6DE5">
        <w:rPr>
          <w:lang w:val="en-NZ"/>
        </w:rPr>
        <w:fldChar w:fldCharType="begin"/>
      </w:r>
      <w:r w:rsidR="00FA6DE5">
        <w:rPr>
          <w:lang w:val="en-NZ"/>
        </w:rPr>
        <w:instrText xml:space="preserve"> REF _Ref71628753 \h </w:instrText>
      </w:r>
      <w:r w:rsidR="00FA6DE5">
        <w:rPr>
          <w:lang w:val="en-NZ"/>
        </w:rPr>
      </w:r>
      <w:r w:rsidR="00FA6DE5">
        <w:rPr>
          <w:lang w:val="en-NZ"/>
        </w:rPr>
        <w:fldChar w:fldCharType="separate"/>
      </w:r>
      <w:r w:rsidR="009B1BDF">
        <w:t xml:space="preserve">Figure </w:t>
      </w:r>
      <w:r w:rsidR="009B1BDF">
        <w:rPr>
          <w:noProof/>
        </w:rPr>
        <w:t>2</w:t>
      </w:r>
      <w:r w:rsidR="00FA6DE5">
        <w:rPr>
          <w:lang w:val="en-NZ"/>
        </w:rPr>
        <w:fldChar w:fldCharType="end"/>
      </w:r>
      <w:r w:rsidR="00CB7B3B" w:rsidRPr="002F108B">
        <w:rPr>
          <w:lang w:val="en-NZ"/>
        </w:rPr>
        <w:t xml:space="preserve">). </w:t>
      </w:r>
      <w:r w:rsidR="00137EAC" w:rsidRPr="002F108B">
        <w:rPr>
          <w:lang w:val="en-NZ"/>
        </w:rPr>
        <w:t>Up to</w:t>
      </w:r>
      <w:r w:rsidR="00B376AD" w:rsidRPr="002F108B">
        <w:rPr>
          <w:lang w:val="en-NZ"/>
        </w:rPr>
        <w:t xml:space="preserve"> </w:t>
      </w:r>
      <w:r w:rsidR="00DF669F" w:rsidRPr="002F108B">
        <w:rPr>
          <w:lang w:val="en-NZ"/>
        </w:rPr>
        <w:t>September</w:t>
      </w:r>
      <w:r w:rsidR="00B376AD" w:rsidRPr="002F108B">
        <w:rPr>
          <w:lang w:val="en-NZ"/>
        </w:rPr>
        <w:t xml:space="preserve"> 2020, there were a total of </w:t>
      </w:r>
      <w:r w:rsidR="001E57B6" w:rsidRPr="002F108B">
        <w:rPr>
          <w:lang w:val="en-NZ"/>
        </w:rPr>
        <w:t>1,0</w:t>
      </w:r>
      <w:r w:rsidR="00DF669F" w:rsidRPr="002F108B">
        <w:rPr>
          <w:lang w:val="en-NZ"/>
        </w:rPr>
        <w:t>68</w:t>
      </w:r>
      <w:r w:rsidR="001E57B6" w:rsidRPr="002F108B">
        <w:rPr>
          <w:lang w:val="en-NZ"/>
        </w:rPr>
        <w:t xml:space="preserve"> Class 4 venues </w:t>
      </w:r>
      <w:r w:rsidR="00037355">
        <w:rPr>
          <w:lang w:val="en-NZ"/>
        </w:rPr>
        <w:t>– 60 fewer venues compared with September 2019 (</w:t>
      </w:r>
      <w:r w:rsidR="00037355">
        <w:rPr>
          <w:lang w:val="en-NZ"/>
        </w:rPr>
        <w:fldChar w:fldCharType="begin"/>
      </w:r>
      <w:r w:rsidR="00037355">
        <w:rPr>
          <w:lang w:val="en-NZ"/>
        </w:rPr>
        <w:instrText xml:space="preserve"> REF _Ref66466181 \h </w:instrText>
      </w:r>
      <w:r w:rsidR="00037355">
        <w:rPr>
          <w:lang w:val="en-NZ"/>
        </w:rPr>
      </w:r>
      <w:r w:rsidR="00037355">
        <w:rPr>
          <w:lang w:val="en-NZ"/>
        </w:rPr>
        <w:fldChar w:fldCharType="separate"/>
      </w:r>
      <w:r w:rsidR="009B1BDF" w:rsidRPr="002F108B">
        <w:rPr>
          <w:lang w:val="en-NZ"/>
        </w:rPr>
        <w:t xml:space="preserve">Figure </w:t>
      </w:r>
      <w:r w:rsidR="009B1BDF">
        <w:rPr>
          <w:noProof/>
          <w:lang w:val="en-NZ"/>
        </w:rPr>
        <w:t>1</w:t>
      </w:r>
      <w:r w:rsidR="00037355">
        <w:rPr>
          <w:lang w:val="en-NZ"/>
        </w:rPr>
        <w:fldChar w:fldCharType="end"/>
      </w:r>
      <w:r w:rsidR="00037355">
        <w:rPr>
          <w:lang w:val="en-NZ"/>
        </w:rPr>
        <w:t>)</w:t>
      </w:r>
      <w:r w:rsidR="00FA6DE5">
        <w:rPr>
          <w:lang w:val="en-NZ"/>
        </w:rPr>
        <w:t xml:space="preserve"> </w:t>
      </w:r>
      <w:r w:rsidR="00FA6DE5" w:rsidRPr="002F108B">
        <w:rPr>
          <w:rFonts w:cs="Calibri"/>
          <w:lang w:val="en-NZ"/>
        </w:rPr>
        <w:t>(Department of Internal Affairs, 2021b)</w:t>
      </w:r>
      <w:r w:rsidR="00FA6DE5" w:rsidRPr="002F108B">
        <w:rPr>
          <w:lang w:val="en-NZ"/>
        </w:rPr>
        <w:t>.</w:t>
      </w:r>
      <w:r w:rsidR="00037355">
        <w:rPr>
          <w:lang w:val="en-NZ"/>
        </w:rPr>
        <w:t xml:space="preserve"> Up to December 2020 there were a total of 14,781</w:t>
      </w:r>
      <w:r w:rsidR="001E57B6" w:rsidRPr="002F108B">
        <w:rPr>
          <w:lang w:val="en-NZ"/>
        </w:rPr>
        <w:t xml:space="preserve"> </w:t>
      </w:r>
      <w:r w:rsidR="00266266" w:rsidRPr="002F108B">
        <w:rPr>
          <w:lang w:val="en-NZ"/>
        </w:rPr>
        <w:t>EGMs across New Zealand</w:t>
      </w:r>
      <w:r w:rsidR="00037355">
        <w:rPr>
          <w:lang w:val="en-NZ"/>
        </w:rPr>
        <w:t xml:space="preserve"> –</w:t>
      </w:r>
      <w:r w:rsidR="00B05922" w:rsidRPr="002F108B">
        <w:rPr>
          <w:lang w:val="en-NZ"/>
        </w:rPr>
        <w:t xml:space="preserve"> </w:t>
      </w:r>
      <w:r w:rsidR="00037355">
        <w:rPr>
          <w:lang w:val="en-NZ"/>
        </w:rPr>
        <w:t xml:space="preserve">75 fewer EGMs compared to December 2019 </w:t>
      </w:r>
      <w:r w:rsidR="00FA6DE5">
        <w:rPr>
          <w:lang w:val="en-NZ"/>
        </w:rPr>
        <w:t>(</w:t>
      </w:r>
      <w:r w:rsidR="00FA6DE5">
        <w:rPr>
          <w:lang w:val="en-NZ"/>
        </w:rPr>
        <w:fldChar w:fldCharType="begin"/>
      </w:r>
      <w:r w:rsidR="00FA6DE5">
        <w:rPr>
          <w:lang w:val="en-NZ"/>
        </w:rPr>
        <w:instrText xml:space="preserve"> REF _Ref71628753 \h </w:instrText>
      </w:r>
      <w:r w:rsidR="00FA6DE5">
        <w:rPr>
          <w:lang w:val="en-NZ"/>
        </w:rPr>
      </w:r>
      <w:r w:rsidR="00FA6DE5">
        <w:rPr>
          <w:lang w:val="en-NZ"/>
        </w:rPr>
        <w:fldChar w:fldCharType="separate"/>
      </w:r>
      <w:r w:rsidR="009B1BDF">
        <w:t xml:space="preserve">Figure </w:t>
      </w:r>
      <w:r w:rsidR="009B1BDF">
        <w:rPr>
          <w:noProof/>
        </w:rPr>
        <w:t>2</w:t>
      </w:r>
      <w:r w:rsidR="00FA6DE5">
        <w:rPr>
          <w:lang w:val="en-NZ"/>
        </w:rPr>
        <w:fldChar w:fldCharType="end"/>
      </w:r>
      <w:r w:rsidR="00FA6DE5">
        <w:rPr>
          <w:lang w:val="en-NZ"/>
        </w:rPr>
        <w:t xml:space="preserve">) </w:t>
      </w:r>
      <w:r w:rsidR="00DD4547" w:rsidRPr="002F108B">
        <w:rPr>
          <w:rFonts w:cs="Calibri"/>
          <w:lang w:val="en-NZ"/>
        </w:rPr>
        <w:t xml:space="preserve">(Department of Internal Affairs, </w:t>
      </w:r>
      <w:r w:rsidR="00774806" w:rsidRPr="002F108B">
        <w:rPr>
          <w:rFonts w:cs="Calibri"/>
          <w:lang w:val="en-NZ"/>
        </w:rPr>
        <w:t>2021</w:t>
      </w:r>
      <w:r w:rsidR="00657554" w:rsidRPr="002F108B">
        <w:rPr>
          <w:rFonts w:cs="Calibri"/>
          <w:lang w:val="en-NZ"/>
        </w:rPr>
        <w:t>b</w:t>
      </w:r>
      <w:r w:rsidR="00DD4547" w:rsidRPr="002F108B">
        <w:rPr>
          <w:rFonts w:cs="Calibri"/>
          <w:lang w:val="en-NZ"/>
        </w:rPr>
        <w:t>)</w:t>
      </w:r>
      <w:r w:rsidR="00266266" w:rsidRPr="002F108B">
        <w:rPr>
          <w:lang w:val="en-NZ"/>
        </w:rPr>
        <w:t>.</w:t>
      </w:r>
    </w:p>
    <w:p w14:paraId="7E6861C0" w14:textId="77777777" w:rsidR="00326CE6" w:rsidRPr="002F108B" w:rsidRDefault="00326CE6" w:rsidP="00326CE6">
      <w:pPr>
        <w:keepNext/>
        <w:rPr>
          <w:lang w:val="en-NZ"/>
        </w:rPr>
      </w:pPr>
      <w:r w:rsidRPr="002F108B">
        <w:rPr>
          <w:noProof/>
          <w:lang w:val="en-NZ"/>
        </w:rPr>
        <w:drawing>
          <wp:inline distT="0" distB="0" distL="0" distR="0" wp14:anchorId="7181F0BF" wp14:editId="31AC3E4E">
            <wp:extent cx="4831080" cy="1935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080" cy="1935480"/>
                    </a:xfrm>
                    <a:prstGeom prst="rect">
                      <a:avLst/>
                    </a:prstGeom>
                    <a:noFill/>
                    <a:ln>
                      <a:noFill/>
                    </a:ln>
                  </pic:spPr>
                </pic:pic>
              </a:graphicData>
            </a:graphic>
          </wp:inline>
        </w:drawing>
      </w:r>
    </w:p>
    <w:p w14:paraId="08ECB071" w14:textId="5D0779BD" w:rsidR="00A1501F" w:rsidRPr="002F108B" w:rsidRDefault="00326CE6" w:rsidP="002B4028">
      <w:pPr>
        <w:pStyle w:val="Caption"/>
        <w:rPr>
          <w:lang w:val="en-NZ"/>
        </w:rPr>
      </w:pPr>
      <w:bookmarkStart w:id="90" w:name="_Ref66466181"/>
      <w:bookmarkStart w:id="91" w:name="_Toc72752866"/>
      <w:r w:rsidRPr="002F108B">
        <w:rPr>
          <w:lang w:val="en-NZ"/>
        </w:rPr>
        <w:t xml:space="preserve">Figure </w:t>
      </w:r>
      <w:r w:rsidRPr="002F108B">
        <w:rPr>
          <w:lang w:val="en-NZ"/>
        </w:rPr>
        <w:fldChar w:fldCharType="begin"/>
      </w:r>
      <w:r w:rsidRPr="002F108B">
        <w:rPr>
          <w:lang w:val="en-NZ"/>
        </w:rPr>
        <w:instrText xml:space="preserve"> SEQ Figure \* ARABIC </w:instrText>
      </w:r>
      <w:r w:rsidRPr="002F108B">
        <w:rPr>
          <w:lang w:val="en-NZ"/>
        </w:rPr>
        <w:fldChar w:fldCharType="separate"/>
      </w:r>
      <w:r w:rsidR="009B1BDF">
        <w:rPr>
          <w:noProof/>
          <w:lang w:val="en-NZ"/>
        </w:rPr>
        <w:t>1</w:t>
      </w:r>
      <w:r w:rsidRPr="002F108B">
        <w:rPr>
          <w:lang w:val="en-NZ"/>
        </w:rPr>
        <w:fldChar w:fldCharType="end"/>
      </w:r>
      <w:bookmarkStart w:id="92" w:name="_Toc65103661"/>
      <w:bookmarkEnd w:id="90"/>
      <w:r w:rsidRPr="002F108B">
        <w:rPr>
          <w:lang w:val="en-NZ"/>
        </w:rPr>
        <w:t xml:space="preserve">: </w:t>
      </w:r>
      <w:r w:rsidR="003C1402" w:rsidRPr="002F108B">
        <w:rPr>
          <w:lang w:val="en-NZ"/>
        </w:rPr>
        <w:t xml:space="preserve">Number of </w:t>
      </w:r>
      <w:r w:rsidR="00F13667" w:rsidRPr="002F108B">
        <w:rPr>
          <w:lang w:val="en-NZ"/>
        </w:rPr>
        <w:t xml:space="preserve">Class 4 </w:t>
      </w:r>
      <w:r w:rsidR="003C1402" w:rsidRPr="002F108B">
        <w:rPr>
          <w:lang w:val="en-NZ"/>
        </w:rPr>
        <w:t>venues</w:t>
      </w:r>
      <w:bookmarkEnd w:id="91"/>
      <w:bookmarkEnd w:id="92"/>
    </w:p>
    <w:p w14:paraId="23086478" w14:textId="03F52CFB" w:rsidR="007E2B3A" w:rsidRPr="002F108B" w:rsidRDefault="007E2B3A" w:rsidP="007E2B3A">
      <w:pPr>
        <w:rPr>
          <w:lang w:val="en-NZ"/>
        </w:rPr>
      </w:pPr>
    </w:p>
    <w:p w14:paraId="6FCB5E6A" w14:textId="1516B07F" w:rsidR="00470FC7" w:rsidRPr="002F108B" w:rsidRDefault="00470FC7" w:rsidP="007E2B3A">
      <w:pPr>
        <w:rPr>
          <w:lang w:val="en-NZ"/>
        </w:rPr>
      </w:pPr>
    </w:p>
    <w:p w14:paraId="30A82093" w14:textId="77777777" w:rsidR="00FA6DE5" w:rsidRDefault="00FA6DE5" w:rsidP="00FA6DE5">
      <w:pPr>
        <w:keepNext/>
      </w:pPr>
      <w:r>
        <w:rPr>
          <w:noProof/>
        </w:rPr>
        <w:lastRenderedPageBreak/>
        <w:drawing>
          <wp:inline distT="0" distB="0" distL="0" distR="0" wp14:anchorId="0CE55F9A" wp14:editId="6C01DE2F">
            <wp:extent cx="4831080" cy="1981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80" cy="1981200"/>
                    </a:xfrm>
                    <a:prstGeom prst="rect">
                      <a:avLst/>
                    </a:prstGeom>
                    <a:noFill/>
                  </pic:spPr>
                </pic:pic>
              </a:graphicData>
            </a:graphic>
          </wp:inline>
        </w:drawing>
      </w:r>
    </w:p>
    <w:p w14:paraId="751B3D93" w14:textId="2DFAF2B1" w:rsidR="00326CE6" w:rsidRPr="002F108B" w:rsidRDefault="00FA6DE5" w:rsidP="002B4028">
      <w:pPr>
        <w:pStyle w:val="Caption"/>
        <w:rPr>
          <w:lang w:val="en-NZ"/>
        </w:rPr>
      </w:pPr>
      <w:bookmarkStart w:id="93" w:name="_Ref71628753"/>
      <w:bookmarkStart w:id="94" w:name="_Toc72752867"/>
      <w:r>
        <w:t xml:space="preserve">Figure </w:t>
      </w:r>
      <w:r>
        <w:fldChar w:fldCharType="begin"/>
      </w:r>
      <w:r>
        <w:instrText xml:space="preserve"> SEQ Figure \* ARABIC </w:instrText>
      </w:r>
      <w:r>
        <w:fldChar w:fldCharType="separate"/>
      </w:r>
      <w:r w:rsidR="009B1BDF">
        <w:rPr>
          <w:noProof/>
        </w:rPr>
        <w:t>2</w:t>
      </w:r>
      <w:r>
        <w:fldChar w:fldCharType="end"/>
      </w:r>
      <w:bookmarkStart w:id="95" w:name="_Toc65103662"/>
      <w:bookmarkEnd w:id="93"/>
      <w:r w:rsidR="00326CE6" w:rsidRPr="002F108B">
        <w:rPr>
          <w:lang w:val="en-NZ"/>
        </w:rPr>
        <w:t>: Number of Class 4 EGMs</w:t>
      </w:r>
      <w:bookmarkEnd w:id="94"/>
      <w:bookmarkEnd w:id="95"/>
    </w:p>
    <w:p w14:paraId="50276778" w14:textId="2A4744F6" w:rsidR="00DF2AE2" w:rsidRPr="00551E7E" w:rsidRDefault="00551E7E" w:rsidP="009213CD">
      <w:pPr>
        <w:rPr>
          <w:rFonts w:eastAsia="Acumin Pro" w:cs="Calibri"/>
        </w:rPr>
      </w:pPr>
      <w:r w:rsidRPr="00DF2AE2">
        <w:rPr>
          <w:rFonts w:cs="Calibri"/>
          <w:b/>
        </w:rPr>
        <w:t xml:space="preserve">TAB New Zealand (TAB NZ) sports and race betting: </w:t>
      </w:r>
      <w:r w:rsidRPr="00DF2AE2">
        <w:rPr>
          <w:rStyle w:val="cf01"/>
          <w:rFonts w:ascii="Calibri" w:hAnsi="Calibri" w:cs="Calibri"/>
          <w:sz w:val="22"/>
          <w:szCs w:val="22"/>
        </w:rPr>
        <w:t xml:space="preserve">Available on the TAB NZ mobile app and website, at raceways and, through TAB venues (some TAB venues also operate </w:t>
      </w:r>
      <w:r>
        <w:rPr>
          <w:rStyle w:val="cf01"/>
          <w:rFonts w:ascii="Calibri" w:hAnsi="Calibri" w:cs="Calibri"/>
          <w:sz w:val="22"/>
          <w:szCs w:val="22"/>
        </w:rPr>
        <w:t>non-casino EGMs</w:t>
      </w:r>
      <w:r w:rsidRPr="00DF2AE2">
        <w:rPr>
          <w:rStyle w:val="cf01"/>
          <w:rFonts w:ascii="Calibri" w:hAnsi="Calibri" w:cs="Calibri"/>
          <w:sz w:val="22"/>
          <w:szCs w:val="22"/>
        </w:rPr>
        <w:t>)</w:t>
      </w:r>
      <w:r>
        <w:rPr>
          <w:rStyle w:val="cf01"/>
          <w:rFonts w:ascii="Calibri" w:hAnsi="Calibri" w:cs="Calibri"/>
          <w:sz w:val="22"/>
          <w:szCs w:val="22"/>
        </w:rPr>
        <w:t xml:space="preserve">. </w:t>
      </w:r>
      <w:r>
        <w:rPr>
          <w:rStyle w:val="cf21"/>
          <w:rFonts w:ascii="Calibri" w:eastAsia="Acumin Pro" w:hAnsi="Calibri" w:cs="Calibri"/>
          <w:sz w:val="22"/>
          <w:szCs w:val="22"/>
        </w:rPr>
        <w:t>I</w:t>
      </w:r>
      <w:r w:rsidRPr="00DF2AE2">
        <w:rPr>
          <w:rStyle w:val="cf21"/>
          <w:rFonts w:ascii="Calibri" w:eastAsia="Acumin Pro" w:hAnsi="Calibri" w:cs="Calibri"/>
          <w:sz w:val="22"/>
          <w:szCs w:val="22"/>
        </w:rPr>
        <w:t xml:space="preserve">n the 2018/19 financial year there were 580 retail TAB outlets, and more than 220,000 active TAB accounts. </w:t>
      </w:r>
      <w:r>
        <w:rPr>
          <w:rStyle w:val="cf21"/>
          <w:rFonts w:ascii="Calibri" w:eastAsia="Acumin Pro" w:hAnsi="Calibri" w:cs="Calibri"/>
          <w:sz w:val="22"/>
          <w:szCs w:val="22"/>
        </w:rPr>
        <w:t>A total of</w:t>
      </w:r>
      <w:r w:rsidRPr="00DF2AE2">
        <w:rPr>
          <w:rStyle w:val="cf21"/>
          <w:rFonts w:ascii="Calibri" w:eastAsia="Acumin Pro" w:hAnsi="Calibri" w:cs="Calibri"/>
          <w:sz w:val="22"/>
          <w:szCs w:val="22"/>
        </w:rPr>
        <w:t xml:space="preserve"> 44 of 67 TAB operated venues</w:t>
      </w:r>
      <w:r>
        <w:rPr>
          <w:rStyle w:val="cf21"/>
          <w:rFonts w:ascii="Calibri" w:eastAsia="Acumin Pro" w:hAnsi="Calibri" w:cs="Calibri"/>
          <w:sz w:val="22"/>
          <w:szCs w:val="22"/>
        </w:rPr>
        <w:t xml:space="preserve"> also </w:t>
      </w:r>
      <w:r w:rsidRPr="00DF2AE2">
        <w:rPr>
          <w:rStyle w:val="cf21"/>
          <w:rFonts w:ascii="Calibri" w:eastAsia="Acumin Pro" w:hAnsi="Calibri" w:cs="Calibri"/>
          <w:sz w:val="22"/>
          <w:szCs w:val="22"/>
        </w:rPr>
        <w:t xml:space="preserve">hosted </w:t>
      </w:r>
      <w:r>
        <w:rPr>
          <w:rStyle w:val="cf21"/>
          <w:rFonts w:ascii="Calibri" w:eastAsia="Acumin Pro" w:hAnsi="Calibri" w:cs="Calibri"/>
          <w:sz w:val="22"/>
          <w:szCs w:val="22"/>
        </w:rPr>
        <w:t>EGMs</w:t>
      </w:r>
      <w:r w:rsidRPr="00DF2AE2">
        <w:rPr>
          <w:rStyle w:val="cf21"/>
          <w:rFonts w:ascii="Calibri" w:eastAsia="Acumin Pro" w:hAnsi="Calibri" w:cs="Calibri"/>
          <w:sz w:val="22"/>
          <w:szCs w:val="22"/>
        </w:rPr>
        <w:t xml:space="preserve"> (compared with 33 TAB venues hosting </w:t>
      </w:r>
      <w:r>
        <w:rPr>
          <w:rStyle w:val="cf21"/>
          <w:rFonts w:ascii="Calibri" w:eastAsia="Acumin Pro" w:hAnsi="Calibri" w:cs="Calibri"/>
          <w:sz w:val="22"/>
          <w:szCs w:val="22"/>
        </w:rPr>
        <w:t>EGMs</w:t>
      </w:r>
      <w:r w:rsidRPr="00DF2AE2">
        <w:rPr>
          <w:rStyle w:val="cf21"/>
          <w:rFonts w:ascii="Calibri" w:eastAsia="Acumin Pro" w:hAnsi="Calibri" w:cs="Calibri"/>
          <w:sz w:val="22"/>
          <w:szCs w:val="22"/>
        </w:rPr>
        <w:t xml:space="preserve"> in 2013/14 </w:t>
      </w:r>
      <w:r>
        <w:rPr>
          <w:rStyle w:val="cf21"/>
          <w:rFonts w:ascii="Calibri" w:eastAsia="Acumin Pro" w:hAnsi="Calibri" w:cs="Calibri"/>
          <w:sz w:val="22"/>
          <w:szCs w:val="22"/>
        </w:rPr>
        <w:t>and</w:t>
      </w:r>
      <w:r w:rsidRPr="00DF2AE2">
        <w:rPr>
          <w:rStyle w:val="cf21"/>
          <w:rFonts w:ascii="Calibri" w:eastAsia="Acumin Pro" w:hAnsi="Calibri" w:cs="Calibri"/>
          <w:sz w:val="22"/>
          <w:szCs w:val="22"/>
        </w:rPr>
        <w:t xml:space="preserve"> 43 in 2016/17)</w:t>
      </w:r>
      <w:r>
        <w:rPr>
          <w:rStyle w:val="cf21"/>
          <w:rFonts w:ascii="Calibri" w:eastAsia="Acumin Pro" w:hAnsi="Calibri" w:cs="Calibri"/>
          <w:sz w:val="22"/>
          <w:szCs w:val="22"/>
        </w:rPr>
        <w:t xml:space="preserve"> (New Zealand Racing Board, 2019)</w:t>
      </w:r>
      <w:r w:rsidRPr="00DF2AE2">
        <w:rPr>
          <w:rStyle w:val="cf21"/>
          <w:rFonts w:ascii="Calibri" w:eastAsia="Acumin Pro" w:hAnsi="Calibri" w:cs="Calibri"/>
          <w:sz w:val="22"/>
          <w:szCs w:val="22"/>
        </w:rPr>
        <w:t>.</w:t>
      </w:r>
      <w:r>
        <w:rPr>
          <w:rStyle w:val="cf21"/>
          <w:rFonts w:ascii="Calibri" w:eastAsia="Acumin Pro" w:hAnsi="Calibri" w:cs="Calibri"/>
          <w:sz w:val="22"/>
          <w:szCs w:val="22"/>
        </w:rPr>
        <w:t xml:space="preserve"> </w:t>
      </w:r>
      <w:r w:rsidRPr="00DF2AE2">
        <w:rPr>
          <w:rStyle w:val="cf21"/>
          <w:rFonts w:ascii="Calibri" w:eastAsia="Acumin Pro" w:hAnsi="Calibri" w:cs="Calibri"/>
          <w:sz w:val="22"/>
          <w:szCs w:val="22"/>
        </w:rPr>
        <w:t>The move to Alert Level 4 in March 2020 resulted in racing and sporting activities being suspended or cancelled and temporary closure of their retail outlets, although TAB was still able to operate and take bets online via its website and mobile app</w:t>
      </w:r>
      <w:r>
        <w:rPr>
          <w:rStyle w:val="cf21"/>
          <w:rFonts w:ascii="Calibri" w:eastAsia="Acumin Pro" w:hAnsi="Calibri" w:cs="Calibri"/>
          <w:sz w:val="22"/>
          <w:szCs w:val="22"/>
        </w:rPr>
        <w:t xml:space="preserve"> (TAB NZ, 2020)</w:t>
      </w:r>
      <w:r w:rsidRPr="00DF2AE2">
        <w:rPr>
          <w:rStyle w:val="cf21"/>
          <w:rFonts w:ascii="Calibri" w:eastAsia="Acumin Pro" w:hAnsi="Calibri" w:cs="Calibri"/>
          <w:sz w:val="22"/>
          <w:szCs w:val="22"/>
        </w:rPr>
        <w:t xml:space="preserve">. </w:t>
      </w:r>
      <w:r w:rsidR="00DF2AE2">
        <w:rPr>
          <w:b/>
          <w:lang w:val="en-NZ"/>
        </w:rPr>
        <w:t xml:space="preserve"> </w:t>
      </w:r>
    </w:p>
    <w:p w14:paraId="42EF5405" w14:textId="10A74771" w:rsidR="00C414DF" w:rsidRPr="002F108B" w:rsidRDefault="007E2B3A" w:rsidP="009213CD">
      <w:pPr>
        <w:rPr>
          <w:lang w:val="en-NZ"/>
        </w:rPr>
      </w:pPr>
      <w:r w:rsidRPr="002F108B">
        <w:rPr>
          <w:b/>
          <w:lang w:val="en-NZ"/>
        </w:rPr>
        <w:t xml:space="preserve">Online gambling: </w:t>
      </w:r>
      <w:r w:rsidR="009213CD" w:rsidRPr="002F108B">
        <w:rPr>
          <w:lang w:val="en-NZ"/>
        </w:rPr>
        <w:t>There are two authorised providers of online gambling products in New Zealand</w:t>
      </w:r>
      <w:r w:rsidR="000725BD">
        <w:rPr>
          <w:lang w:val="en-NZ"/>
        </w:rPr>
        <w:t>;</w:t>
      </w:r>
      <w:r w:rsidR="009213CD" w:rsidRPr="002F108B">
        <w:rPr>
          <w:lang w:val="en-NZ"/>
        </w:rPr>
        <w:t xml:space="preserve"> Lotto NZ and TAB NZ</w:t>
      </w:r>
      <w:r w:rsidR="005F46D1" w:rsidRPr="002F108B">
        <w:rPr>
          <w:lang w:val="en-NZ"/>
        </w:rPr>
        <w:t xml:space="preserve"> - b</w:t>
      </w:r>
      <w:r w:rsidR="009213CD" w:rsidRPr="002F108B">
        <w:rPr>
          <w:lang w:val="en-NZ"/>
        </w:rPr>
        <w:t xml:space="preserve">oth operate websites and apps. Lotto NZ sells some of its products online, including Lotto, Powerball, Strike, Keno, Bullseye, </w:t>
      </w:r>
      <w:r w:rsidR="00FA6DE5">
        <w:rPr>
          <w:lang w:val="en-NZ"/>
        </w:rPr>
        <w:t xml:space="preserve">and </w:t>
      </w:r>
      <w:r w:rsidR="009213CD" w:rsidRPr="002F108B">
        <w:rPr>
          <w:lang w:val="en-NZ"/>
        </w:rPr>
        <w:t>Instant Kiwi. TAB NZ offers online racing and sports betting, including live sports betting (D</w:t>
      </w:r>
      <w:r w:rsidR="005B34E8" w:rsidRPr="002F108B">
        <w:rPr>
          <w:lang w:val="en-NZ"/>
        </w:rPr>
        <w:t>epartment of Internal Affairs</w:t>
      </w:r>
      <w:r w:rsidR="009213CD" w:rsidRPr="002F108B">
        <w:rPr>
          <w:lang w:val="en-NZ"/>
        </w:rPr>
        <w:t>, 2019</w:t>
      </w:r>
      <w:r w:rsidR="008C69CD" w:rsidRPr="002F108B">
        <w:rPr>
          <w:lang w:val="en-NZ"/>
        </w:rPr>
        <w:t>a</w:t>
      </w:r>
      <w:r w:rsidR="009213CD" w:rsidRPr="002F108B">
        <w:rPr>
          <w:lang w:val="en-NZ"/>
        </w:rPr>
        <w:t xml:space="preserve">). </w:t>
      </w:r>
    </w:p>
    <w:p w14:paraId="406DBF74" w14:textId="67C3B96D" w:rsidR="009213CD" w:rsidRPr="002F108B" w:rsidRDefault="009765F5" w:rsidP="009213CD">
      <w:pPr>
        <w:rPr>
          <w:lang w:val="en-NZ"/>
        </w:rPr>
      </w:pPr>
      <w:r w:rsidRPr="002F108B">
        <w:rPr>
          <w:lang w:val="en-NZ"/>
        </w:rPr>
        <w:t xml:space="preserve">New Zealanders </w:t>
      </w:r>
      <w:r w:rsidR="006A23D1">
        <w:rPr>
          <w:lang w:val="en-NZ"/>
        </w:rPr>
        <w:t>can also</w:t>
      </w:r>
      <w:r w:rsidRPr="002F108B">
        <w:rPr>
          <w:lang w:val="en-NZ"/>
        </w:rPr>
        <w:t xml:space="preserve"> access </w:t>
      </w:r>
      <w:r w:rsidR="00C26134" w:rsidRPr="002F108B">
        <w:rPr>
          <w:lang w:val="en-NZ"/>
        </w:rPr>
        <w:t xml:space="preserve">offshore gambling services </w:t>
      </w:r>
      <w:r w:rsidR="00181916" w:rsidRPr="002F108B">
        <w:rPr>
          <w:lang w:val="en-NZ"/>
        </w:rPr>
        <w:t>(see section</w:t>
      </w:r>
      <w:r w:rsidR="00413572">
        <w:rPr>
          <w:lang w:val="en-NZ"/>
        </w:rPr>
        <w:t xml:space="preserve"> 3.4.1</w:t>
      </w:r>
      <w:r w:rsidR="00F71E18" w:rsidRPr="002F108B">
        <w:rPr>
          <w:lang w:val="en-NZ"/>
        </w:rPr>
        <w:t>)</w:t>
      </w:r>
      <w:r w:rsidR="007D310E">
        <w:rPr>
          <w:lang w:val="en-NZ"/>
        </w:rPr>
        <w:t xml:space="preserve"> which are not currently regulated under </w:t>
      </w:r>
      <w:r w:rsidR="00152B15">
        <w:rPr>
          <w:lang w:val="en-NZ"/>
        </w:rPr>
        <w:t>t</w:t>
      </w:r>
      <w:r w:rsidR="007D310E">
        <w:rPr>
          <w:lang w:val="en-NZ"/>
        </w:rPr>
        <w:t>he Gambling Act</w:t>
      </w:r>
      <w:r w:rsidR="004146B8" w:rsidRPr="002F108B">
        <w:rPr>
          <w:lang w:val="en-NZ"/>
        </w:rPr>
        <w:t>,</w:t>
      </w:r>
      <w:r w:rsidR="00C414DF" w:rsidRPr="002F108B">
        <w:rPr>
          <w:lang w:val="en-NZ"/>
        </w:rPr>
        <w:t xml:space="preserve"> such as casino operator SkyCity Entertainment Group’s Malta-licensed online casino </w:t>
      </w:r>
      <w:r w:rsidR="00E61533" w:rsidRPr="002F108B">
        <w:rPr>
          <w:lang w:val="en-NZ"/>
        </w:rPr>
        <w:t xml:space="preserve">that </w:t>
      </w:r>
      <w:r w:rsidR="00C414DF" w:rsidRPr="002F108B">
        <w:rPr>
          <w:lang w:val="en-NZ"/>
        </w:rPr>
        <w:t>offers a mix of live and random number generator (RNG) casino games as well as slots and virtual sports.</w:t>
      </w:r>
      <w:r w:rsidR="00D81E6D">
        <w:rPr>
          <w:lang w:val="en-NZ"/>
        </w:rPr>
        <w:t xml:space="preserve"> </w:t>
      </w:r>
    </w:p>
    <w:p w14:paraId="4FE2B175" w14:textId="78A100DD" w:rsidR="00F16A8C" w:rsidRPr="002F108B" w:rsidRDefault="00F16A8C" w:rsidP="00C015A7">
      <w:pPr>
        <w:pStyle w:val="Heading2"/>
        <w:rPr>
          <w:shd w:val="clear" w:color="auto" w:fill="FFFFFF"/>
          <w:lang w:val="en-NZ"/>
        </w:rPr>
      </w:pPr>
      <w:bookmarkStart w:id="96" w:name="_Toc65250304"/>
      <w:bookmarkStart w:id="97" w:name="_Toc76469779"/>
      <w:r w:rsidRPr="002F108B">
        <w:rPr>
          <w:shd w:val="clear" w:color="auto" w:fill="FFFFFF"/>
          <w:lang w:val="en-NZ"/>
        </w:rPr>
        <w:t>Class 4 venues remain inequitably distributed, with more placed in areas of high deprivation</w:t>
      </w:r>
      <w:bookmarkEnd w:id="96"/>
      <w:bookmarkEnd w:id="97"/>
    </w:p>
    <w:p w14:paraId="09EAFC81" w14:textId="768B3AA8" w:rsidR="00916707" w:rsidRPr="002F108B" w:rsidRDefault="00606630" w:rsidP="00916707">
      <w:pPr>
        <w:rPr>
          <w:shd w:val="clear" w:color="auto" w:fill="FFFFFF"/>
          <w:lang w:val="en-NZ"/>
        </w:rPr>
      </w:pPr>
      <w:r w:rsidRPr="002F108B">
        <w:rPr>
          <w:lang w:val="en-NZ"/>
        </w:rPr>
        <w:t xml:space="preserve">Despite </w:t>
      </w:r>
      <w:r w:rsidR="00926D3D" w:rsidRPr="002F108B">
        <w:rPr>
          <w:lang w:val="en-NZ"/>
        </w:rPr>
        <w:t>slow</w:t>
      </w:r>
      <w:r w:rsidR="00413572">
        <w:rPr>
          <w:lang w:val="en-NZ"/>
        </w:rPr>
        <w:t>ly</w:t>
      </w:r>
      <w:r w:rsidR="00926D3D" w:rsidRPr="002F108B">
        <w:rPr>
          <w:lang w:val="en-NZ"/>
        </w:rPr>
        <w:t xml:space="preserve"> declining number</w:t>
      </w:r>
      <w:r w:rsidR="00EE4A6F" w:rsidRPr="002F108B">
        <w:rPr>
          <w:lang w:val="en-NZ"/>
        </w:rPr>
        <w:t>s</w:t>
      </w:r>
      <w:r w:rsidRPr="002F108B">
        <w:rPr>
          <w:lang w:val="en-NZ"/>
        </w:rPr>
        <w:t xml:space="preserve"> of </w:t>
      </w:r>
      <w:r w:rsidR="00926D3D" w:rsidRPr="002F108B">
        <w:rPr>
          <w:lang w:val="en-NZ"/>
        </w:rPr>
        <w:t>EGMs,</w:t>
      </w:r>
      <w:r w:rsidRPr="002F108B">
        <w:rPr>
          <w:lang w:val="en-NZ"/>
        </w:rPr>
        <w:t xml:space="preserve"> Class 4 venues remain </w:t>
      </w:r>
      <w:r w:rsidR="00DD76DE" w:rsidRPr="002F108B">
        <w:rPr>
          <w:lang w:val="en-NZ"/>
        </w:rPr>
        <w:t>primarily</w:t>
      </w:r>
      <w:r w:rsidRPr="002F108B">
        <w:rPr>
          <w:lang w:val="en-NZ"/>
        </w:rPr>
        <w:t xml:space="preserve"> in </w:t>
      </w:r>
      <w:r w:rsidR="00E77068" w:rsidRPr="002F108B">
        <w:rPr>
          <w:lang w:val="en-NZ"/>
        </w:rPr>
        <w:t>areas of economic deprivation</w:t>
      </w:r>
      <w:r w:rsidR="00224DD3" w:rsidRPr="002F108B">
        <w:rPr>
          <w:lang w:val="en-NZ"/>
        </w:rPr>
        <w:t xml:space="preserve"> (</w:t>
      </w:r>
      <w:r w:rsidR="00E772A6" w:rsidRPr="002F108B">
        <w:rPr>
          <w:lang w:val="en-NZ"/>
        </w:rPr>
        <w:fldChar w:fldCharType="begin"/>
      </w:r>
      <w:r w:rsidR="00E772A6" w:rsidRPr="002F108B">
        <w:rPr>
          <w:lang w:val="en-NZ"/>
        </w:rPr>
        <w:instrText xml:space="preserve"> REF _Ref66468351 \h </w:instrText>
      </w:r>
      <w:r w:rsidR="00E772A6" w:rsidRPr="002F108B">
        <w:rPr>
          <w:lang w:val="en-NZ"/>
        </w:rPr>
      </w:r>
      <w:r w:rsidR="00E772A6" w:rsidRPr="002F108B">
        <w:rPr>
          <w:lang w:val="en-NZ"/>
        </w:rPr>
        <w:fldChar w:fldCharType="separate"/>
      </w:r>
      <w:r w:rsidR="009B1BDF" w:rsidRPr="002F108B">
        <w:rPr>
          <w:lang w:val="en-NZ"/>
        </w:rPr>
        <w:t xml:space="preserve">Figure </w:t>
      </w:r>
      <w:r w:rsidR="009B1BDF">
        <w:rPr>
          <w:noProof/>
          <w:lang w:val="en-NZ"/>
        </w:rPr>
        <w:t>3</w:t>
      </w:r>
      <w:r w:rsidR="00E772A6" w:rsidRPr="002F108B">
        <w:rPr>
          <w:lang w:val="en-NZ"/>
        </w:rPr>
        <w:fldChar w:fldCharType="end"/>
      </w:r>
      <w:r w:rsidR="00224DD3" w:rsidRPr="002F108B">
        <w:rPr>
          <w:lang w:val="en-NZ"/>
        </w:rPr>
        <w:t>)</w:t>
      </w:r>
      <w:r w:rsidR="00D075A6" w:rsidRPr="002F108B">
        <w:rPr>
          <w:lang w:val="en-NZ"/>
        </w:rPr>
        <w:t xml:space="preserve"> </w:t>
      </w:r>
      <w:r w:rsidR="001A12D0" w:rsidRPr="002F108B">
        <w:rPr>
          <w:lang w:val="en-NZ"/>
        </w:rPr>
        <w:t>(Department of Internal Affairs, 20</w:t>
      </w:r>
      <w:r w:rsidR="009E44C1" w:rsidRPr="002F108B">
        <w:rPr>
          <w:lang w:val="en-NZ"/>
        </w:rPr>
        <w:t>21</w:t>
      </w:r>
      <w:r w:rsidR="006A10D5" w:rsidRPr="002F108B">
        <w:rPr>
          <w:lang w:val="en-NZ"/>
        </w:rPr>
        <w:t>b</w:t>
      </w:r>
      <w:r w:rsidR="001A12D0" w:rsidRPr="002F108B">
        <w:rPr>
          <w:lang w:val="en-NZ"/>
        </w:rPr>
        <w:t>)</w:t>
      </w:r>
      <w:r w:rsidR="00DD76DE" w:rsidRPr="002F108B">
        <w:rPr>
          <w:lang w:val="en-NZ"/>
        </w:rPr>
        <w:t xml:space="preserve">. These areas are </w:t>
      </w:r>
      <w:r w:rsidR="00224DD3" w:rsidRPr="002F108B">
        <w:rPr>
          <w:lang w:val="en-NZ"/>
        </w:rPr>
        <w:t xml:space="preserve">more likely to have an </w:t>
      </w:r>
      <w:r w:rsidRPr="002F108B">
        <w:rPr>
          <w:lang w:val="en-NZ"/>
        </w:rPr>
        <w:t>over-represent</w:t>
      </w:r>
      <w:r w:rsidR="00224DD3" w:rsidRPr="002F108B">
        <w:rPr>
          <w:lang w:val="en-NZ"/>
        </w:rPr>
        <w:t>ation of Paci</w:t>
      </w:r>
      <w:r w:rsidRPr="002F108B">
        <w:rPr>
          <w:lang w:val="en-NZ"/>
        </w:rPr>
        <w:t xml:space="preserve">fic </w:t>
      </w:r>
      <w:r w:rsidR="00224DD3" w:rsidRPr="002F108B">
        <w:rPr>
          <w:lang w:val="en-NZ"/>
        </w:rPr>
        <w:t xml:space="preserve">and Māori residents, </w:t>
      </w:r>
      <w:r w:rsidRPr="002F108B">
        <w:rPr>
          <w:lang w:val="en-NZ"/>
        </w:rPr>
        <w:t xml:space="preserve">who are </w:t>
      </w:r>
      <w:r w:rsidR="00224DD3" w:rsidRPr="002F108B">
        <w:rPr>
          <w:lang w:val="en-NZ"/>
        </w:rPr>
        <w:t xml:space="preserve">also </w:t>
      </w:r>
      <w:r w:rsidRPr="002F108B">
        <w:rPr>
          <w:lang w:val="en-NZ"/>
        </w:rPr>
        <w:t>most at risk of harmful gambling</w:t>
      </w:r>
      <w:r w:rsidR="00532C83" w:rsidRPr="002F108B">
        <w:rPr>
          <w:rStyle w:val="FootnoteReference"/>
          <w:lang w:val="en-NZ"/>
        </w:rPr>
        <w:footnoteReference w:id="12"/>
      </w:r>
      <w:r w:rsidR="00884A9B" w:rsidRPr="002F108B">
        <w:rPr>
          <w:lang w:val="en-NZ"/>
        </w:rPr>
        <w:t xml:space="preserve"> (see section 5.2)</w:t>
      </w:r>
      <w:r w:rsidRPr="002F108B">
        <w:rPr>
          <w:lang w:val="en-NZ"/>
        </w:rPr>
        <w:t>.</w:t>
      </w:r>
      <w:r w:rsidR="00916707" w:rsidRPr="002F108B">
        <w:rPr>
          <w:lang w:val="en-NZ"/>
        </w:rPr>
        <w:t xml:space="preserve"> </w:t>
      </w:r>
      <w:r w:rsidR="00916707" w:rsidRPr="002F108B">
        <w:rPr>
          <w:shd w:val="clear" w:color="auto" w:fill="FFFFFF"/>
          <w:lang w:val="en-NZ"/>
        </w:rPr>
        <w:t xml:space="preserve">Venue reduction is only helpful if </w:t>
      </w:r>
      <w:r w:rsidR="00532C83" w:rsidRPr="002F108B">
        <w:rPr>
          <w:shd w:val="clear" w:color="auto" w:fill="FFFFFF"/>
          <w:lang w:val="en-NZ"/>
        </w:rPr>
        <w:t>it includes reductions in areas of economic deprivation</w:t>
      </w:r>
      <w:r w:rsidR="00916707" w:rsidRPr="002F108B">
        <w:rPr>
          <w:shd w:val="clear" w:color="auto" w:fill="FFFFFF"/>
          <w:lang w:val="en-NZ"/>
        </w:rPr>
        <w:t xml:space="preserve">. </w:t>
      </w:r>
    </w:p>
    <w:p w14:paraId="0338CCD9" w14:textId="77777777" w:rsidR="00720DCC" w:rsidRPr="002F108B" w:rsidRDefault="00720DCC" w:rsidP="00720DCC">
      <w:pPr>
        <w:keepNext/>
        <w:spacing w:before="0" w:after="0" w:line="240" w:lineRule="auto"/>
        <w:ind w:right="-472"/>
        <w:rPr>
          <w:lang w:val="en-NZ"/>
        </w:rPr>
      </w:pPr>
      <w:r w:rsidRPr="002F108B">
        <w:rPr>
          <w:noProof/>
          <w:lang w:val="en-NZ"/>
        </w:rPr>
        <w:lastRenderedPageBreak/>
        <w:drawing>
          <wp:inline distT="0" distB="0" distL="0" distR="0" wp14:anchorId="42ECC718" wp14:editId="1629F9A8">
            <wp:extent cx="4831080" cy="21945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20"/>
                    <a:stretch/>
                  </pic:blipFill>
                  <pic:spPr bwMode="auto">
                    <a:xfrm>
                      <a:off x="0" y="0"/>
                      <a:ext cx="4831080"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0C84DBA5" w14:textId="0B333A61" w:rsidR="00720DCC" w:rsidRPr="002F108B" w:rsidRDefault="00720DCC" w:rsidP="00720DCC">
      <w:pPr>
        <w:keepNext/>
        <w:spacing w:before="0" w:after="0" w:line="240" w:lineRule="auto"/>
        <w:ind w:right="-472"/>
        <w:rPr>
          <w:sz w:val="18"/>
          <w:szCs w:val="18"/>
          <w:lang w:val="en-NZ"/>
        </w:rPr>
      </w:pPr>
      <w:r w:rsidRPr="002F108B">
        <w:rPr>
          <w:i/>
          <w:sz w:val="18"/>
          <w:szCs w:val="18"/>
          <w:lang w:val="en-NZ"/>
        </w:rPr>
        <w:t>*Note.</w:t>
      </w:r>
      <w:r w:rsidRPr="002F108B">
        <w:rPr>
          <w:sz w:val="18"/>
          <w:szCs w:val="18"/>
          <w:lang w:val="en-NZ"/>
        </w:rPr>
        <w:t xml:space="preserve"> As measured by the 2013 New Zealand Index of Deprivation (NZDep)</w:t>
      </w:r>
      <w:r w:rsidRPr="002F108B">
        <w:rPr>
          <w:rStyle w:val="FootnoteReference"/>
          <w:sz w:val="18"/>
          <w:szCs w:val="18"/>
          <w:lang w:val="en-NZ"/>
        </w:rPr>
        <w:t xml:space="preserve"> </w:t>
      </w:r>
      <w:r w:rsidRPr="002F108B">
        <w:rPr>
          <w:rStyle w:val="FootnoteReference"/>
          <w:sz w:val="18"/>
          <w:szCs w:val="18"/>
          <w:lang w:val="en-NZ"/>
        </w:rPr>
        <w:footnoteReference w:id="13"/>
      </w:r>
      <w:r w:rsidRPr="002F108B">
        <w:rPr>
          <w:sz w:val="18"/>
          <w:szCs w:val="18"/>
          <w:lang w:val="en-NZ"/>
        </w:rPr>
        <w:t xml:space="preserve"> Reproduced from: Gaming machine profits GMP dashboard (Department of Internal Affairs, 2021b). </w:t>
      </w:r>
    </w:p>
    <w:p w14:paraId="53729795" w14:textId="639CE0A5" w:rsidR="00706BFA" w:rsidRPr="002F108B" w:rsidRDefault="00720DCC" w:rsidP="002B4028">
      <w:pPr>
        <w:pStyle w:val="Caption"/>
        <w:rPr>
          <w:lang w:val="en-NZ"/>
        </w:rPr>
      </w:pPr>
      <w:bookmarkStart w:id="98" w:name="_Ref66468351"/>
      <w:bookmarkStart w:id="99" w:name="_Toc65103663"/>
      <w:bookmarkStart w:id="100" w:name="_Toc72752868"/>
      <w:r w:rsidRPr="002F108B">
        <w:rPr>
          <w:lang w:val="en-NZ"/>
        </w:rPr>
        <w:t xml:space="preserve">Figure </w:t>
      </w:r>
      <w:r w:rsidRPr="002F108B">
        <w:rPr>
          <w:lang w:val="en-NZ"/>
        </w:rPr>
        <w:fldChar w:fldCharType="begin"/>
      </w:r>
      <w:r w:rsidRPr="002F108B">
        <w:rPr>
          <w:lang w:val="en-NZ"/>
        </w:rPr>
        <w:instrText xml:space="preserve"> SEQ Figure \* ARABIC </w:instrText>
      </w:r>
      <w:r w:rsidRPr="002F108B">
        <w:rPr>
          <w:lang w:val="en-NZ"/>
        </w:rPr>
        <w:fldChar w:fldCharType="separate"/>
      </w:r>
      <w:r w:rsidR="009B1BDF">
        <w:rPr>
          <w:noProof/>
          <w:lang w:val="en-NZ"/>
        </w:rPr>
        <w:t>3</w:t>
      </w:r>
      <w:r w:rsidRPr="002F108B">
        <w:rPr>
          <w:lang w:val="en-NZ"/>
        </w:rPr>
        <w:fldChar w:fldCharType="end"/>
      </w:r>
      <w:bookmarkEnd w:id="98"/>
      <w:r w:rsidR="00E05DBB" w:rsidRPr="002F108B">
        <w:rPr>
          <w:lang w:val="en-NZ"/>
        </w:rPr>
        <w:t xml:space="preserve">: </w:t>
      </w:r>
      <w:r w:rsidR="00C70592">
        <w:rPr>
          <w:lang w:val="en-NZ"/>
        </w:rPr>
        <w:t>Raw number</w:t>
      </w:r>
      <w:r w:rsidR="00E05DBB" w:rsidRPr="002F108B">
        <w:rPr>
          <w:lang w:val="en-NZ"/>
        </w:rPr>
        <w:t xml:space="preserve"> of venues by deprivation rating</w:t>
      </w:r>
      <w:bookmarkEnd w:id="99"/>
      <w:bookmarkEnd w:id="100"/>
    </w:p>
    <w:p w14:paraId="0796366A" w14:textId="40FD91A0" w:rsidR="00302191" w:rsidRPr="002F108B" w:rsidRDefault="008776D8" w:rsidP="00C015A7">
      <w:pPr>
        <w:pStyle w:val="Heading2"/>
        <w:rPr>
          <w:lang w:val="en-NZ"/>
        </w:rPr>
      </w:pPr>
      <w:bookmarkStart w:id="101" w:name="_Ref65075608"/>
      <w:bookmarkStart w:id="102" w:name="_Toc65250305"/>
      <w:bookmarkStart w:id="103" w:name="_Toc76469780"/>
      <w:r w:rsidRPr="002F108B">
        <w:rPr>
          <w:lang w:val="en-NZ"/>
        </w:rPr>
        <w:t>There are mixed views on the effectiveness of p</w:t>
      </w:r>
      <w:r w:rsidR="00E306E9" w:rsidRPr="002F108B">
        <w:rPr>
          <w:lang w:val="en-NZ"/>
        </w:rPr>
        <w:t>olicies r</w:t>
      </w:r>
      <w:r w:rsidR="00677386" w:rsidRPr="002F108B">
        <w:rPr>
          <w:lang w:val="en-NZ"/>
        </w:rPr>
        <w:t xml:space="preserve">estricting </w:t>
      </w:r>
      <w:r w:rsidR="00302191" w:rsidRPr="002F108B">
        <w:rPr>
          <w:lang w:val="en-NZ"/>
        </w:rPr>
        <w:t>access to EGMs</w:t>
      </w:r>
      <w:bookmarkEnd w:id="101"/>
      <w:bookmarkEnd w:id="102"/>
      <w:bookmarkEnd w:id="103"/>
    </w:p>
    <w:p w14:paraId="7A29EED4" w14:textId="32094ADA" w:rsidR="00283395" w:rsidRPr="002F108B" w:rsidDel="00FB61AE" w:rsidRDefault="0073098C" w:rsidP="00283395">
      <w:pPr>
        <w:rPr>
          <w:lang w:val="en-NZ"/>
        </w:rPr>
      </w:pPr>
      <w:r w:rsidRPr="002F108B">
        <w:rPr>
          <w:lang w:val="en-NZ"/>
        </w:rPr>
        <w:t xml:space="preserve">As noted above, </w:t>
      </w:r>
      <w:r w:rsidR="00641F35" w:rsidRPr="002F108B">
        <w:rPr>
          <w:lang w:val="en-NZ"/>
        </w:rPr>
        <w:t xml:space="preserve">under </w:t>
      </w:r>
      <w:r w:rsidR="002A51CF">
        <w:rPr>
          <w:lang w:val="en-NZ"/>
        </w:rPr>
        <w:t>t</w:t>
      </w:r>
      <w:r w:rsidRPr="002F108B">
        <w:rPr>
          <w:lang w:val="en-NZ"/>
        </w:rPr>
        <w:t>he Gambling Act</w:t>
      </w:r>
      <w:r w:rsidR="007745C7">
        <w:rPr>
          <w:lang w:val="en-NZ"/>
        </w:rPr>
        <w:t>,</w:t>
      </w:r>
      <w:r w:rsidRPr="002F108B">
        <w:rPr>
          <w:lang w:val="en-NZ"/>
        </w:rPr>
        <w:t xml:space="preserve"> TAs must have a Class 4 venue policy that </w:t>
      </w:r>
      <w:r w:rsidR="00641F35" w:rsidRPr="002F108B">
        <w:rPr>
          <w:lang w:val="en-NZ"/>
        </w:rPr>
        <w:t xml:space="preserve">is renewed every three years </w:t>
      </w:r>
      <w:r w:rsidR="00283395" w:rsidRPr="002F108B">
        <w:rPr>
          <w:lang w:val="en-NZ"/>
        </w:rPr>
        <w:t>(</w:t>
      </w:r>
      <w:r w:rsidR="00641F35" w:rsidRPr="002F108B">
        <w:rPr>
          <w:lang w:val="en-NZ"/>
        </w:rPr>
        <w:t>with the community</w:t>
      </w:r>
      <w:r w:rsidR="00283395" w:rsidRPr="002F108B">
        <w:rPr>
          <w:lang w:val="en-NZ"/>
        </w:rPr>
        <w:t xml:space="preserve">) </w:t>
      </w:r>
      <w:r w:rsidR="00641F35" w:rsidRPr="002F108B">
        <w:rPr>
          <w:lang w:val="en-NZ"/>
        </w:rPr>
        <w:t>t</w:t>
      </w:r>
      <w:r w:rsidR="00283395" w:rsidRPr="002F108B">
        <w:rPr>
          <w:lang w:val="en-NZ"/>
        </w:rPr>
        <w:t xml:space="preserve">hat </w:t>
      </w:r>
      <w:r w:rsidRPr="002F108B">
        <w:rPr>
          <w:lang w:val="en-NZ"/>
        </w:rPr>
        <w:t>sets out Class 4 gambling rules in their districts</w:t>
      </w:r>
      <w:r w:rsidR="00613C21" w:rsidRPr="002F108B">
        <w:rPr>
          <w:lang w:val="en-NZ"/>
        </w:rPr>
        <w:t xml:space="preserve"> (Ministry of Health, 2009)</w:t>
      </w:r>
      <w:r w:rsidRPr="002F108B" w:rsidDel="00FB61AE">
        <w:rPr>
          <w:lang w:val="en-NZ"/>
        </w:rPr>
        <w:t>.</w:t>
      </w:r>
      <w:r w:rsidRPr="002F108B">
        <w:rPr>
          <w:lang w:val="en-NZ"/>
        </w:rPr>
        <w:t xml:space="preserve"> </w:t>
      </w:r>
      <w:r w:rsidR="00B41C93" w:rsidRPr="002F108B">
        <w:rPr>
          <w:lang w:val="en-NZ"/>
        </w:rPr>
        <w:t xml:space="preserve">The </w:t>
      </w:r>
      <w:r w:rsidR="00351B0A" w:rsidRPr="002F108B">
        <w:rPr>
          <w:lang w:val="en-NZ"/>
        </w:rPr>
        <w:t xml:space="preserve">policy options available to </w:t>
      </w:r>
      <w:r w:rsidR="00B41C93" w:rsidRPr="002F108B">
        <w:rPr>
          <w:lang w:val="en-NZ"/>
        </w:rPr>
        <w:t xml:space="preserve">the </w:t>
      </w:r>
      <w:r w:rsidR="00110E38" w:rsidRPr="002F108B">
        <w:rPr>
          <w:lang w:val="en-NZ"/>
        </w:rPr>
        <w:t xml:space="preserve">67 </w:t>
      </w:r>
      <w:r w:rsidR="00351B0A" w:rsidRPr="002F108B">
        <w:rPr>
          <w:lang w:val="en-NZ"/>
        </w:rPr>
        <w:t>T</w:t>
      </w:r>
      <w:r w:rsidR="00227E7D" w:rsidRPr="002F108B">
        <w:rPr>
          <w:lang w:val="en-NZ"/>
        </w:rPr>
        <w:t>A</w:t>
      </w:r>
      <w:r w:rsidR="001F4CAF" w:rsidRPr="002F108B">
        <w:rPr>
          <w:lang w:val="en-NZ"/>
        </w:rPr>
        <w:t xml:space="preserve">s </w:t>
      </w:r>
      <w:r w:rsidR="00110E38" w:rsidRPr="002F108B">
        <w:rPr>
          <w:lang w:val="en-NZ"/>
        </w:rPr>
        <w:t xml:space="preserve">across New Zealand </w:t>
      </w:r>
      <w:r w:rsidR="000305BD" w:rsidRPr="002F108B">
        <w:rPr>
          <w:lang w:val="en-NZ"/>
        </w:rPr>
        <w:t>include:</w:t>
      </w:r>
    </w:p>
    <w:p w14:paraId="4016BCD3" w14:textId="77777777" w:rsidR="00F90B1C" w:rsidRDefault="00F90B1C" w:rsidP="00045413">
      <w:pPr>
        <w:pStyle w:val="Bulletpointindented"/>
      </w:pPr>
      <w:r>
        <w:t>No restrictions, i.e. no limit on the number of total venues/machines</w:t>
      </w:r>
    </w:p>
    <w:p w14:paraId="4356C22B" w14:textId="77777777" w:rsidR="00F90B1C" w:rsidRDefault="00F90B1C" w:rsidP="00045413">
      <w:pPr>
        <w:pStyle w:val="Bulletpointindented"/>
      </w:pPr>
      <w:r>
        <w:t xml:space="preserve">Restrict where Class 4 venues are allowed </w:t>
      </w:r>
    </w:p>
    <w:p w14:paraId="7263CB74" w14:textId="77777777" w:rsidR="00F90B1C" w:rsidRDefault="00F90B1C" w:rsidP="00045413">
      <w:pPr>
        <w:pStyle w:val="Bulletpointindented"/>
      </w:pPr>
      <w:r>
        <w:t>Restrict the number of gaming machines</w:t>
      </w:r>
    </w:p>
    <w:p w14:paraId="79810731" w14:textId="77777777" w:rsidR="00F90B1C" w:rsidRDefault="00F90B1C" w:rsidP="00045413">
      <w:pPr>
        <w:pStyle w:val="Bulletpointindented"/>
      </w:pPr>
      <w:r>
        <w:t xml:space="preserve">Venue sinking lid – do not allow new Class 4 venues </w:t>
      </w:r>
    </w:p>
    <w:p w14:paraId="65FDCBEC" w14:textId="553F0BB9" w:rsidR="00F90B1C" w:rsidRDefault="00F90B1C" w:rsidP="00045413">
      <w:pPr>
        <w:pStyle w:val="Bulletpointindented"/>
      </w:pPr>
      <w:r>
        <w:t xml:space="preserve">Gaming machine sinking lid – do not allow new gaming machines </w:t>
      </w:r>
      <w:r w:rsidR="00864D40">
        <w:t>(Ministry of Health, 2009)</w:t>
      </w:r>
      <w:r w:rsidR="006A611A">
        <w:t>.</w:t>
      </w:r>
    </w:p>
    <w:p w14:paraId="548516F1" w14:textId="0C4EFE95" w:rsidR="00F90B1C" w:rsidRPr="002F108B" w:rsidRDefault="007D310E" w:rsidP="00F90B1C">
      <w:pPr>
        <w:rPr>
          <w:lang w:val="en-NZ"/>
        </w:rPr>
      </w:pPr>
      <w:r>
        <w:rPr>
          <w:lang w:val="en-NZ"/>
        </w:rPr>
        <w:t>As of</w:t>
      </w:r>
      <w:r w:rsidR="00F90B1C" w:rsidRPr="002F108B">
        <w:rPr>
          <w:lang w:val="en-NZ"/>
        </w:rPr>
        <w:t xml:space="preserve"> December 2020, 43% of TAs had adopted a sinking lid policy, while 37% had no restrictions on the number of venues or machines that could be established within their district (see </w:t>
      </w:r>
      <w:r w:rsidR="00065F8D" w:rsidRPr="002F108B">
        <w:rPr>
          <w:lang w:val="en-NZ"/>
        </w:rPr>
        <w:fldChar w:fldCharType="begin"/>
      </w:r>
      <w:r w:rsidR="00065F8D" w:rsidRPr="002F108B">
        <w:rPr>
          <w:lang w:val="en-NZ"/>
        </w:rPr>
        <w:instrText xml:space="preserve"> REF _Ref69197986 \h </w:instrText>
      </w:r>
      <w:r w:rsidR="00065F8D" w:rsidRPr="002F108B">
        <w:rPr>
          <w:lang w:val="en-NZ"/>
        </w:rPr>
      </w:r>
      <w:r w:rsidR="00065F8D" w:rsidRPr="002F108B">
        <w:rPr>
          <w:lang w:val="en-NZ"/>
        </w:rPr>
        <w:fldChar w:fldCharType="separate"/>
      </w:r>
      <w:r w:rsidR="009B1BDF" w:rsidRPr="002F108B">
        <w:rPr>
          <w:lang w:val="en-NZ"/>
        </w:rPr>
        <w:t xml:space="preserve">Table </w:t>
      </w:r>
      <w:r w:rsidR="009B1BDF">
        <w:rPr>
          <w:noProof/>
          <w:lang w:val="en-NZ"/>
        </w:rPr>
        <w:t>2</w:t>
      </w:r>
      <w:r w:rsidR="00065F8D" w:rsidRPr="002F108B">
        <w:rPr>
          <w:lang w:val="en-NZ"/>
        </w:rPr>
        <w:fldChar w:fldCharType="end"/>
      </w:r>
      <w:r w:rsidR="00F90B1C" w:rsidRPr="002F108B">
        <w:rPr>
          <w:lang w:val="en-NZ"/>
        </w:rPr>
        <w:t xml:space="preserve">). There are mixed views on the effectiveness of these various policies. </w:t>
      </w:r>
    </w:p>
    <w:p w14:paraId="6A8C838E" w14:textId="2426C469" w:rsidR="00BA5613" w:rsidRPr="002F108B" w:rsidRDefault="00BA5613" w:rsidP="002B4028">
      <w:pPr>
        <w:pStyle w:val="Caption"/>
        <w:rPr>
          <w:lang w:val="en-NZ"/>
        </w:rPr>
      </w:pPr>
      <w:bookmarkStart w:id="104" w:name="_Ref69197986"/>
      <w:bookmarkStart w:id="105" w:name="_Toc69809943"/>
      <w:r w:rsidRPr="002F108B">
        <w:rPr>
          <w:lang w:val="en-NZ"/>
        </w:rPr>
        <w:lastRenderedPageBreak/>
        <w:t xml:space="preserve">Table </w:t>
      </w:r>
      <w:r w:rsidRPr="002F108B">
        <w:rPr>
          <w:lang w:val="en-NZ"/>
        </w:rPr>
        <w:fldChar w:fldCharType="begin"/>
      </w:r>
      <w:r w:rsidRPr="002F108B">
        <w:rPr>
          <w:lang w:val="en-NZ"/>
        </w:rPr>
        <w:instrText xml:space="preserve"> SEQ Table \* ARABIC </w:instrText>
      </w:r>
      <w:r w:rsidRPr="002F108B">
        <w:rPr>
          <w:lang w:val="en-NZ"/>
        </w:rPr>
        <w:fldChar w:fldCharType="separate"/>
      </w:r>
      <w:r w:rsidR="009B1BDF">
        <w:rPr>
          <w:noProof/>
          <w:lang w:val="en-NZ"/>
        </w:rPr>
        <w:t>2</w:t>
      </w:r>
      <w:r w:rsidRPr="002F108B">
        <w:rPr>
          <w:lang w:val="en-NZ"/>
        </w:rPr>
        <w:fldChar w:fldCharType="end"/>
      </w:r>
      <w:bookmarkEnd w:id="104"/>
      <w:r w:rsidRPr="002F108B">
        <w:rPr>
          <w:lang w:val="en-NZ"/>
        </w:rPr>
        <w:t>: Gambling policies adopted by territorial authorities</w:t>
      </w:r>
      <w:bookmarkEnd w:id="105"/>
    </w:p>
    <w:tbl>
      <w:tblPr>
        <w:tblStyle w:val="MITableClassic"/>
        <w:tblW w:w="5000" w:type="pct"/>
        <w:tblLook w:val="04A0" w:firstRow="1" w:lastRow="0" w:firstColumn="1" w:lastColumn="0" w:noHBand="0" w:noVBand="1"/>
      </w:tblPr>
      <w:tblGrid>
        <w:gridCol w:w="4815"/>
        <w:gridCol w:w="2276"/>
        <w:gridCol w:w="1935"/>
      </w:tblGrid>
      <w:tr w:rsidR="00881A56" w:rsidRPr="0057280E" w14:paraId="4E7D8110" w14:textId="77777777" w:rsidTr="00413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pct"/>
            <w:hideMark/>
          </w:tcPr>
          <w:p w14:paraId="077898EC" w14:textId="77777777" w:rsidR="00881A56" w:rsidRPr="0057280E" w:rsidRDefault="00881A56" w:rsidP="00413572">
            <w:pPr>
              <w:keepNext/>
              <w:spacing w:after="0" w:line="240" w:lineRule="auto"/>
              <w:rPr>
                <w:lang w:val="en-NZ"/>
              </w:rPr>
            </w:pPr>
            <w:r w:rsidRPr="0057280E">
              <w:rPr>
                <w:lang w:val="en-NZ"/>
              </w:rPr>
              <w:t>Policy</w:t>
            </w:r>
          </w:p>
        </w:tc>
        <w:tc>
          <w:tcPr>
            <w:tcW w:w="1261" w:type="pct"/>
            <w:hideMark/>
          </w:tcPr>
          <w:p w14:paraId="388F4072" w14:textId="77777777" w:rsidR="00881A56" w:rsidRPr="0057280E" w:rsidRDefault="00881A56" w:rsidP="00413572">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val="en-NZ"/>
              </w:rPr>
            </w:pPr>
            <w:r w:rsidRPr="0057280E">
              <w:rPr>
                <w:lang w:val="en-NZ"/>
              </w:rPr>
              <w:t>Count</w:t>
            </w:r>
          </w:p>
        </w:tc>
        <w:tc>
          <w:tcPr>
            <w:tcW w:w="1073" w:type="pct"/>
            <w:hideMark/>
          </w:tcPr>
          <w:p w14:paraId="6AA81D6B" w14:textId="77777777" w:rsidR="00881A56" w:rsidRPr="0057280E" w:rsidRDefault="00881A56" w:rsidP="00413572">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val="en-NZ"/>
              </w:rPr>
            </w:pPr>
            <w:r w:rsidRPr="0057280E">
              <w:rPr>
                <w:lang w:val="en-NZ"/>
              </w:rPr>
              <w:t>% of the total</w:t>
            </w:r>
          </w:p>
        </w:tc>
      </w:tr>
      <w:tr w:rsidR="00881A56" w:rsidRPr="0057280E" w14:paraId="6DDF3C72" w14:textId="77777777" w:rsidTr="00413572">
        <w:tc>
          <w:tcPr>
            <w:cnfStyle w:val="001000000000" w:firstRow="0" w:lastRow="0" w:firstColumn="1" w:lastColumn="0" w:oddVBand="0" w:evenVBand="0" w:oddHBand="0" w:evenHBand="0" w:firstRowFirstColumn="0" w:firstRowLastColumn="0" w:lastRowFirstColumn="0" w:lastRowLastColumn="0"/>
            <w:tcW w:w="2667" w:type="pct"/>
            <w:hideMark/>
          </w:tcPr>
          <w:p w14:paraId="3FCD31EE" w14:textId="77777777" w:rsidR="00881A56" w:rsidRPr="0057280E" w:rsidRDefault="00881A56" w:rsidP="00413572">
            <w:pPr>
              <w:keepNext/>
              <w:spacing w:after="0" w:line="240" w:lineRule="auto"/>
              <w:rPr>
                <w:sz w:val="20"/>
                <w:szCs w:val="20"/>
                <w:lang w:val="en-NZ"/>
              </w:rPr>
            </w:pPr>
            <w:r w:rsidRPr="0057280E">
              <w:rPr>
                <w:sz w:val="20"/>
                <w:szCs w:val="20"/>
                <w:lang w:val="en-NZ"/>
              </w:rPr>
              <w:t>Number of TLAs with no restrictions</w:t>
            </w:r>
          </w:p>
        </w:tc>
        <w:tc>
          <w:tcPr>
            <w:tcW w:w="1261" w:type="pct"/>
            <w:hideMark/>
          </w:tcPr>
          <w:p w14:paraId="3E015F9D"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25</w:t>
            </w:r>
          </w:p>
        </w:tc>
        <w:tc>
          <w:tcPr>
            <w:tcW w:w="1073" w:type="pct"/>
            <w:hideMark/>
          </w:tcPr>
          <w:p w14:paraId="55BDCFF1"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37%</w:t>
            </w:r>
          </w:p>
        </w:tc>
      </w:tr>
      <w:tr w:rsidR="00881A56" w:rsidRPr="0057280E" w14:paraId="27C55029" w14:textId="77777777" w:rsidTr="00413572">
        <w:tc>
          <w:tcPr>
            <w:cnfStyle w:val="001000000000" w:firstRow="0" w:lastRow="0" w:firstColumn="1" w:lastColumn="0" w:oddVBand="0" w:evenVBand="0" w:oddHBand="0" w:evenHBand="0" w:firstRowFirstColumn="0" w:firstRowLastColumn="0" w:lastRowFirstColumn="0" w:lastRowLastColumn="0"/>
            <w:tcW w:w="2667" w:type="pct"/>
            <w:hideMark/>
          </w:tcPr>
          <w:p w14:paraId="281ED0D6" w14:textId="77777777" w:rsidR="00881A56" w:rsidRPr="0057280E" w:rsidRDefault="00881A56" w:rsidP="00413572">
            <w:pPr>
              <w:keepNext/>
              <w:spacing w:after="0" w:line="240" w:lineRule="auto"/>
              <w:rPr>
                <w:sz w:val="20"/>
                <w:szCs w:val="20"/>
                <w:lang w:val="en-NZ"/>
              </w:rPr>
            </w:pPr>
            <w:r w:rsidRPr="0057280E">
              <w:rPr>
                <w:sz w:val="20"/>
                <w:szCs w:val="20"/>
                <w:lang w:val="en-NZ"/>
              </w:rPr>
              <w:t>Number of TLAs with a sinking lid (no new machines or venues)</w:t>
            </w:r>
          </w:p>
        </w:tc>
        <w:tc>
          <w:tcPr>
            <w:tcW w:w="1261" w:type="pct"/>
            <w:hideMark/>
          </w:tcPr>
          <w:p w14:paraId="413E591D"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29</w:t>
            </w:r>
          </w:p>
        </w:tc>
        <w:tc>
          <w:tcPr>
            <w:tcW w:w="1073" w:type="pct"/>
            <w:hideMark/>
          </w:tcPr>
          <w:p w14:paraId="0FED904B"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43%</w:t>
            </w:r>
          </w:p>
        </w:tc>
      </w:tr>
      <w:tr w:rsidR="00881A56" w:rsidRPr="0057280E" w14:paraId="1675E2C0" w14:textId="77777777" w:rsidTr="00413572">
        <w:tc>
          <w:tcPr>
            <w:cnfStyle w:val="001000000000" w:firstRow="0" w:lastRow="0" w:firstColumn="1" w:lastColumn="0" w:oddVBand="0" w:evenVBand="0" w:oddHBand="0" w:evenHBand="0" w:firstRowFirstColumn="0" w:firstRowLastColumn="0" w:lastRowFirstColumn="0" w:lastRowLastColumn="0"/>
            <w:tcW w:w="2667" w:type="pct"/>
            <w:hideMark/>
          </w:tcPr>
          <w:p w14:paraId="57A0F03D" w14:textId="77777777" w:rsidR="00881A56" w:rsidRPr="0057280E" w:rsidRDefault="00881A56" w:rsidP="00413572">
            <w:pPr>
              <w:keepNext/>
              <w:spacing w:after="0" w:line="240" w:lineRule="auto"/>
              <w:rPr>
                <w:sz w:val="20"/>
                <w:szCs w:val="20"/>
                <w:lang w:val="en-NZ"/>
              </w:rPr>
            </w:pPr>
            <w:r w:rsidRPr="0057280E">
              <w:rPr>
                <w:sz w:val="20"/>
                <w:szCs w:val="20"/>
                <w:lang w:val="en-NZ"/>
              </w:rPr>
              <w:t>Number of TLAs with a cap (max number of machines and/or venues)</w:t>
            </w:r>
          </w:p>
        </w:tc>
        <w:tc>
          <w:tcPr>
            <w:tcW w:w="1261" w:type="pct"/>
            <w:hideMark/>
          </w:tcPr>
          <w:p w14:paraId="542D289A"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5</w:t>
            </w:r>
          </w:p>
        </w:tc>
        <w:tc>
          <w:tcPr>
            <w:tcW w:w="1073" w:type="pct"/>
            <w:hideMark/>
          </w:tcPr>
          <w:p w14:paraId="637B90FB"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7%</w:t>
            </w:r>
          </w:p>
        </w:tc>
      </w:tr>
      <w:tr w:rsidR="00881A56" w:rsidRPr="0057280E" w14:paraId="61C67B1F" w14:textId="77777777" w:rsidTr="00413572">
        <w:tc>
          <w:tcPr>
            <w:cnfStyle w:val="001000000000" w:firstRow="0" w:lastRow="0" w:firstColumn="1" w:lastColumn="0" w:oddVBand="0" w:evenVBand="0" w:oddHBand="0" w:evenHBand="0" w:firstRowFirstColumn="0" w:firstRowLastColumn="0" w:lastRowFirstColumn="0" w:lastRowLastColumn="0"/>
            <w:tcW w:w="2667" w:type="pct"/>
            <w:hideMark/>
          </w:tcPr>
          <w:p w14:paraId="43889300" w14:textId="77777777" w:rsidR="00881A56" w:rsidRPr="0057280E" w:rsidRDefault="00881A56" w:rsidP="00413572">
            <w:pPr>
              <w:keepNext/>
              <w:spacing w:after="0" w:line="240" w:lineRule="auto"/>
              <w:rPr>
                <w:sz w:val="20"/>
                <w:szCs w:val="20"/>
                <w:lang w:val="en-NZ"/>
              </w:rPr>
            </w:pPr>
            <w:r w:rsidRPr="0057280E">
              <w:rPr>
                <w:sz w:val="20"/>
                <w:szCs w:val="20"/>
                <w:lang w:val="en-NZ"/>
              </w:rPr>
              <w:t>Number of TLAs with machine/venue to population ratio</w:t>
            </w:r>
          </w:p>
        </w:tc>
        <w:tc>
          <w:tcPr>
            <w:tcW w:w="1261" w:type="pct"/>
            <w:hideMark/>
          </w:tcPr>
          <w:p w14:paraId="697C4A21"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8</w:t>
            </w:r>
          </w:p>
        </w:tc>
        <w:tc>
          <w:tcPr>
            <w:tcW w:w="1073" w:type="pct"/>
            <w:hideMark/>
          </w:tcPr>
          <w:p w14:paraId="6034B9BD" w14:textId="77777777" w:rsidR="00881A56" w:rsidRPr="0057280E" w:rsidRDefault="00881A56" w:rsidP="004135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NZ"/>
              </w:rPr>
            </w:pPr>
            <w:r w:rsidRPr="0057280E">
              <w:rPr>
                <w:sz w:val="20"/>
                <w:szCs w:val="20"/>
                <w:lang w:val="en-NZ"/>
              </w:rPr>
              <w:t>12%</w:t>
            </w:r>
          </w:p>
        </w:tc>
      </w:tr>
    </w:tbl>
    <w:p w14:paraId="1396AC04" w14:textId="5D01FE2C" w:rsidR="002F1327" w:rsidRPr="002F108B" w:rsidRDefault="00075630" w:rsidP="00AC47BB">
      <w:pPr>
        <w:spacing w:before="120"/>
        <w:rPr>
          <w:sz w:val="18"/>
          <w:szCs w:val="18"/>
          <w:lang w:val="en-NZ"/>
        </w:rPr>
      </w:pPr>
      <w:r w:rsidRPr="002F108B">
        <w:rPr>
          <w:sz w:val="18"/>
          <w:szCs w:val="18"/>
          <w:lang w:val="en-NZ"/>
        </w:rPr>
        <w:t xml:space="preserve">Note: </w:t>
      </w:r>
      <w:r w:rsidR="002E72AE" w:rsidRPr="002F108B">
        <w:rPr>
          <w:sz w:val="18"/>
          <w:szCs w:val="18"/>
          <w:lang w:val="en-NZ"/>
        </w:rPr>
        <w:t>Adapted from</w:t>
      </w:r>
      <w:r w:rsidR="00786982" w:rsidRPr="002F108B">
        <w:rPr>
          <w:sz w:val="18"/>
          <w:szCs w:val="18"/>
          <w:lang w:val="en-NZ"/>
        </w:rPr>
        <w:t xml:space="preserve"> </w:t>
      </w:r>
      <w:r w:rsidR="00F84FB1" w:rsidRPr="002F108B">
        <w:rPr>
          <w:sz w:val="18"/>
          <w:szCs w:val="18"/>
          <w:lang w:val="en-NZ"/>
        </w:rPr>
        <w:t>Worksheet in territorial authority gambling venue policies</w:t>
      </w:r>
      <w:r w:rsidR="002F55F8" w:rsidRPr="002F108B">
        <w:rPr>
          <w:sz w:val="18"/>
          <w:szCs w:val="18"/>
          <w:lang w:val="en-NZ"/>
        </w:rPr>
        <w:t xml:space="preserve"> (Ministry of Health, 2020).</w:t>
      </w:r>
      <w:r w:rsidR="002560B3" w:rsidRPr="002F108B">
        <w:rPr>
          <w:sz w:val="18"/>
          <w:szCs w:val="18"/>
          <w:lang w:val="en-NZ"/>
        </w:rPr>
        <w:t xml:space="preserve"> </w:t>
      </w:r>
    </w:p>
    <w:p w14:paraId="53C34959" w14:textId="136740C3" w:rsidR="00327027" w:rsidRPr="002F108B" w:rsidRDefault="00327027" w:rsidP="00AC47BB">
      <w:pPr>
        <w:spacing w:before="120"/>
        <w:rPr>
          <w:lang w:val="en-NZ"/>
        </w:rPr>
      </w:pPr>
      <w:r w:rsidRPr="002F108B">
        <w:rPr>
          <w:lang w:val="en-NZ"/>
        </w:rPr>
        <w:t xml:space="preserve">In 2018, </w:t>
      </w:r>
      <w:r w:rsidR="0050209A" w:rsidRPr="002F108B">
        <w:rPr>
          <w:lang w:val="en-NZ"/>
        </w:rPr>
        <w:t xml:space="preserve">a descriptive analysis of sinking lids by </w:t>
      </w:r>
      <w:r w:rsidR="008D1341" w:rsidRPr="002F108B">
        <w:rPr>
          <w:lang w:val="en-NZ"/>
        </w:rPr>
        <w:t xml:space="preserve">the </w:t>
      </w:r>
      <w:r w:rsidR="0050209A" w:rsidRPr="002F108B">
        <w:rPr>
          <w:lang w:val="en-NZ"/>
        </w:rPr>
        <w:t>Sapere</w:t>
      </w:r>
      <w:r w:rsidR="008D1341" w:rsidRPr="002F108B">
        <w:rPr>
          <w:lang w:val="en-NZ"/>
        </w:rPr>
        <w:t xml:space="preserve"> Research Group </w:t>
      </w:r>
      <w:r w:rsidR="00EE502D" w:rsidRPr="002F108B">
        <w:rPr>
          <w:rFonts w:cs="Calibri"/>
          <w:lang w:val="en-NZ"/>
        </w:rPr>
        <w:t>(2018)</w:t>
      </w:r>
      <w:r w:rsidR="00D81E6D">
        <w:rPr>
          <w:lang w:val="en-NZ"/>
        </w:rPr>
        <w:t xml:space="preserve"> </w:t>
      </w:r>
      <w:r w:rsidR="00A10755" w:rsidRPr="002F108B">
        <w:rPr>
          <w:lang w:val="en-NZ"/>
        </w:rPr>
        <w:t>indicat</w:t>
      </w:r>
      <w:r w:rsidR="00427756" w:rsidRPr="002F108B">
        <w:rPr>
          <w:lang w:val="en-NZ"/>
        </w:rPr>
        <w:t xml:space="preserve">ed that reductions in EGMs were not strongly correlated with reduced EGM expenditure in high deprivation </w:t>
      </w:r>
      <w:r w:rsidR="00873CDE" w:rsidRPr="002F108B">
        <w:rPr>
          <w:lang w:val="en-NZ"/>
        </w:rPr>
        <w:t>areas</w:t>
      </w:r>
      <w:r w:rsidR="00851895" w:rsidRPr="002F108B">
        <w:rPr>
          <w:lang w:val="en-NZ"/>
        </w:rPr>
        <w:t xml:space="preserve">. </w:t>
      </w:r>
      <w:r w:rsidR="00EE3A46" w:rsidRPr="002F108B">
        <w:rPr>
          <w:lang w:val="en-NZ"/>
        </w:rPr>
        <w:t xml:space="preserve">Although some </w:t>
      </w:r>
      <w:r w:rsidR="006C3B30" w:rsidRPr="002F108B">
        <w:rPr>
          <w:lang w:val="en-NZ"/>
        </w:rPr>
        <w:t>Territorial Authorities</w:t>
      </w:r>
      <w:r w:rsidR="00EE3A46" w:rsidRPr="002F108B">
        <w:rPr>
          <w:lang w:val="en-NZ"/>
        </w:rPr>
        <w:t xml:space="preserve"> </w:t>
      </w:r>
      <w:r w:rsidR="006C3B30" w:rsidRPr="002F108B">
        <w:rPr>
          <w:lang w:val="en-NZ"/>
        </w:rPr>
        <w:t>(</w:t>
      </w:r>
      <w:r w:rsidR="00EE3A46" w:rsidRPr="002F108B">
        <w:rPr>
          <w:lang w:val="en-NZ"/>
        </w:rPr>
        <w:t>TAs</w:t>
      </w:r>
      <w:r w:rsidR="006C3B30" w:rsidRPr="002F108B">
        <w:rPr>
          <w:lang w:val="en-NZ"/>
        </w:rPr>
        <w:t>)</w:t>
      </w:r>
      <w:r w:rsidR="00EE3A46" w:rsidRPr="002F108B">
        <w:rPr>
          <w:lang w:val="en-NZ"/>
        </w:rPr>
        <w:t xml:space="preserve"> showed reductions in both EGMs and gambling expenditure, many did not. In fact, many TAs (especially those with high levels of deprivation) </w:t>
      </w:r>
      <w:r w:rsidR="002745A9" w:rsidRPr="002F108B">
        <w:rPr>
          <w:lang w:val="en-NZ"/>
        </w:rPr>
        <w:t xml:space="preserve">were said to </w:t>
      </w:r>
      <w:r w:rsidR="00EE3A46" w:rsidRPr="002F108B">
        <w:rPr>
          <w:lang w:val="en-NZ"/>
        </w:rPr>
        <w:t>exhibit increased gambling expenditure despite a reduction in EGMs.</w:t>
      </w:r>
    </w:p>
    <w:p w14:paraId="4A7CC621" w14:textId="709D59F7" w:rsidR="006B7EE3" w:rsidRPr="002F108B" w:rsidRDefault="002745A9" w:rsidP="00A63D14">
      <w:pPr>
        <w:rPr>
          <w:lang w:val="en-NZ"/>
        </w:rPr>
      </w:pPr>
      <w:r w:rsidRPr="002F108B">
        <w:rPr>
          <w:lang w:val="en-NZ"/>
        </w:rPr>
        <w:t>More recent</w:t>
      </w:r>
      <w:r w:rsidR="00356C23" w:rsidRPr="002F108B">
        <w:rPr>
          <w:lang w:val="en-NZ"/>
        </w:rPr>
        <w:t>ly</w:t>
      </w:r>
      <w:r w:rsidR="008C1593" w:rsidRPr="002F108B">
        <w:rPr>
          <w:lang w:val="en-NZ"/>
        </w:rPr>
        <w:t>,</w:t>
      </w:r>
      <w:r w:rsidR="00356C23" w:rsidRPr="002F108B">
        <w:rPr>
          <w:lang w:val="en-NZ"/>
        </w:rPr>
        <w:t xml:space="preserve"> in 2020, </w:t>
      </w:r>
      <w:r w:rsidR="00F421DC" w:rsidRPr="002F108B">
        <w:rPr>
          <w:lang w:val="en-NZ"/>
        </w:rPr>
        <w:t xml:space="preserve">Erwin </w:t>
      </w:r>
      <w:r w:rsidR="00915BFD" w:rsidRPr="002F108B">
        <w:rPr>
          <w:lang w:val="en-NZ"/>
        </w:rPr>
        <w:t>and colle</w:t>
      </w:r>
      <w:r w:rsidR="007C4166" w:rsidRPr="002F108B">
        <w:rPr>
          <w:lang w:val="en-NZ"/>
        </w:rPr>
        <w:t>a</w:t>
      </w:r>
      <w:r w:rsidR="00915BFD" w:rsidRPr="002F108B">
        <w:rPr>
          <w:lang w:val="en-NZ"/>
        </w:rPr>
        <w:t>gues</w:t>
      </w:r>
      <w:r w:rsidR="00356C23" w:rsidRPr="002F108B">
        <w:rPr>
          <w:lang w:val="en-NZ"/>
        </w:rPr>
        <w:t xml:space="preserve"> provided contrasting evidence identifying that </w:t>
      </w:r>
      <w:r w:rsidR="004E4A79" w:rsidRPr="002F108B">
        <w:rPr>
          <w:lang w:val="en-NZ"/>
        </w:rPr>
        <w:t>T</w:t>
      </w:r>
      <w:r w:rsidR="00607EDB" w:rsidRPr="002F108B">
        <w:rPr>
          <w:lang w:val="en-NZ"/>
        </w:rPr>
        <w:t xml:space="preserve">As with </w:t>
      </w:r>
      <w:r w:rsidR="009C3C1E" w:rsidRPr="002F108B">
        <w:rPr>
          <w:lang w:val="en-NZ"/>
        </w:rPr>
        <w:t>sinking lid polic</w:t>
      </w:r>
      <w:r w:rsidR="00984A2B" w:rsidRPr="002F108B">
        <w:rPr>
          <w:lang w:val="en-NZ"/>
        </w:rPr>
        <w:t xml:space="preserve">ies </w:t>
      </w:r>
      <w:r w:rsidR="007630E7" w:rsidRPr="002F108B">
        <w:rPr>
          <w:lang w:val="en-NZ"/>
        </w:rPr>
        <w:t xml:space="preserve">or </w:t>
      </w:r>
      <w:r w:rsidR="006E0A79" w:rsidRPr="002F108B">
        <w:rPr>
          <w:lang w:val="en-NZ"/>
        </w:rPr>
        <w:t xml:space="preserve">absolute and per capita </w:t>
      </w:r>
      <w:r w:rsidR="00984A2B" w:rsidRPr="002F108B">
        <w:rPr>
          <w:lang w:val="en-NZ"/>
        </w:rPr>
        <w:t xml:space="preserve">caps on EGMs </w:t>
      </w:r>
      <w:r w:rsidR="006E0A79" w:rsidRPr="002F108B">
        <w:rPr>
          <w:lang w:val="en-NZ"/>
        </w:rPr>
        <w:t>effectively reduced Class 4 venues and EGM</w:t>
      </w:r>
      <w:r w:rsidR="000975E5" w:rsidRPr="002F108B">
        <w:rPr>
          <w:lang w:val="en-NZ"/>
        </w:rPr>
        <w:t>s</w:t>
      </w:r>
      <w:r w:rsidR="00607EDB" w:rsidRPr="002F108B">
        <w:rPr>
          <w:lang w:val="en-NZ"/>
        </w:rPr>
        <w:t xml:space="preserve"> compared with </w:t>
      </w:r>
      <w:r w:rsidR="000F60D1" w:rsidRPr="002F108B">
        <w:rPr>
          <w:lang w:val="en-NZ"/>
        </w:rPr>
        <w:t>the reference group</w:t>
      </w:r>
      <w:r w:rsidR="00E92043" w:rsidRPr="002F108B">
        <w:rPr>
          <w:lang w:val="en-NZ"/>
        </w:rPr>
        <w:t>,</w:t>
      </w:r>
      <w:r w:rsidR="000F60D1" w:rsidRPr="002F108B">
        <w:rPr>
          <w:lang w:val="en-NZ"/>
        </w:rPr>
        <w:t xml:space="preserve"> i.e. </w:t>
      </w:r>
      <w:r w:rsidR="00607EDB" w:rsidRPr="002F108B">
        <w:rPr>
          <w:lang w:val="en-NZ"/>
        </w:rPr>
        <w:t xml:space="preserve">those </w:t>
      </w:r>
      <w:r w:rsidR="009C57F4" w:rsidRPr="002F108B">
        <w:rPr>
          <w:lang w:val="en-NZ"/>
        </w:rPr>
        <w:t>with no restrictions in place</w:t>
      </w:r>
      <w:r w:rsidR="002B78B6" w:rsidRPr="002F108B">
        <w:rPr>
          <w:lang w:val="en-NZ"/>
        </w:rPr>
        <w:t xml:space="preserve"> beyond the requirements of the Gambling Act</w:t>
      </w:r>
      <w:r w:rsidR="00405B06" w:rsidRPr="002F108B">
        <w:rPr>
          <w:lang w:val="en-NZ"/>
        </w:rPr>
        <w:t>.</w:t>
      </w:r>
      <w:r w:rsidR="009C57F4" w:rsidRPr="002F108B">
        <w:rPr>
          <w:lang w:val="en-NZ"/>
        </w:rPr>
        <w:t xml:space="preserve"> </w:t>
      </w:r>
    </w:p>
    <w:p w14:paraId="385D669F" w14:textId="6BA41D3E" w:rsidR="00677386" w:rsidRPr="002F108B" w:rsidRDefault="00D96A80" w:rsidP="00A63D14">
      <w:pPr>
        <w:rPr>
          <w:lang w:val="en-NZ"/>
        </w:rPr>
      </w:pPr>
      <w:bookmarkStart w:id="106" w:name="_Hlk71631702"/>
      <w:r w:rsidRPr="002F108B">
        <w:rPr>
          <w:lang w:val="en-NZ"/>
        </w:rPr>
        <w:t xml:space="preserve">The number of </w:t>
      </w:r>
      <w:r w:rsidR="00BF3524" w:rsidRPr="002F108B">
        <w:rPr>
          <w:lang w:val="en-NZ"/>
        </w:rPr>
        <w:t xml:space="preserve">EGMs </w:t>
      </w:r>
      <w:r w:rsidR="007B602C">
        <w:rPr>
          <w:lang w:val="en-NZ"/>
        </w:rPr>
        <w:t>were estimated to decrease</w:t>
      </w:r>
      <w:r w:rsidR="007B602C" w:rsidRPr="002F108B">
        <w:rPr>
          <w:lang w:val="en-NZ"/>
        </w:rPr>
        <w:t xml:space="preserve"> </w:t>
      </w:r>
      <w:r w:rsidR="00BF3524" w:rsidRPr="002F108B">
        <w:rPr>
          <w:lang w:val="en-NZ"/>
        </w:rPr>
        <w:t xml:space="preserve">by 67 </w:t>
      </w:r>
      <w:r w:rsidR="007B602C">
        <w:rPr>
          <w:lang w:val="en-NZ"/>
        </w:rPr>
        <w:t>under</w:t>
      </w:r>
      <w:r w:rsidR="00247EDD">
        <w:rPr>
          <w:lang w:val="en-NZ"/>
        </w:rPr>
        <w:t xml:space="preserve"> an</w:t>
      </w:r>
      <w:r w:rsidR="00C72761" w:rsidRPr="002F108B">
        <w:rPr>
          <w:lang w:val="en-NZ"/>
        </w:rPr>
        <w:t xml:space="preserve"> absolute cap </w:t>
      </w:r>
      <w:r w:rsidR="007B2F1E" w:rsidRPr="002F108B">
        <w:rPr>
          <w:lang w:val="en-NZ"/>
        </w:rPr>
        <w:t>(</w:t>
      </w:r>
      <w:r w:rsidR="003C07B9" w:rsidRPr="002F108B">
        <w:rPr>
          <w:lang w:val="en-NZ"/>
        </w:rPr>
        <w:t xml:space="preserve">on a </w:t>
      </w:r>
      <w:r w:rsidR="007B2F1E" w:rsidRPr="002F108B">
        <w:rPr>
          <w:lang w:val="en-NZ"/>
        </w:rPr>
        <w:t xml:space="preserve">per </w:t>
      </w:r>
      <w:r w:rsidR="00FF2070" w:rsidRPr="002F108B">
        <w:rPr>
          <w:lang w:val="en-NZ"/>
        </w:rPr>
        <w:t>100,000 population basis over one year)</w:t>
      </w:r>
      <w:r w:rsidR="007B2F1E" w:rsidRPr="002F108B">
        <w:rPr>
          <w:lang w:val="en-NZ"/>
        </w:rPr>
        <w:t xml:space="preserve"> and </w:t>
      </w:r>
      <w:r w:rsidR="007B602C">
        <w:rPr>
          <w:lang w:val="en-NZ"/>
        </w:rPr>
        <w:t xml:space="preserve">by </w:t>
      </w:r>
      <w:r w:rsidR="00421A90" w:rsidRPr="002F108B">
        <w:rPr>
          <w:lang w:val="en-NZ"/>
        </w:rPr>
        <w:t xml:space="preserve">85 </w:t>
      </w:r>
      <w:r w:rsidR="007B602C">
        <w:rPr>
          <w:lang w:val="en-NZ"/>
        </w:rPr>
        <w:t>under</w:t>
      </w:r>
      <w:r w:rsidR="007B602C" w:rsidRPr="002F108B">
        <w:rPr>
          <w:lang w:val="en-NZ"/>
        </w:rPr>
        <w:t xml:space="preserve"> </w:t>
      </w:r>
      <w:r w:rsidR="003D0F40" w:rsidRPr="002F108B">
        <w:rPr>
          <w:lang w:val="en-NZ"/>
        </w:rPr>
        <w:t>per cap</w:t>
      </w:r>
      <w:r w:rsidR="00E92043" w:rsidRPr="002F108B">
        <w:rPr>
          <w:lang w:val="en-NZ"/>
        </w:rPr>
        <w:t>it</w:t>
      </w:r>
      <w:r w:rsidR="003D0F40" w:rsidRPr="002F108B">
        <w:rPr>
          <w:lang w:val="en-NZ"/>
        </w:rPr>
        <w:t>a cap</w:t>
      </w:r>
      <w:r w:rsidR="007B602C">
        <w:rPr>
          <w:lang w:val="en-NZ"/>
        </w:rPr>
        <w:t>s</w:t>
      </w:r>
      <w:r w:rsidR="003C07B9" w:rsidRPr="002F108B">
        <w:rPr>
          <w:lang w:val="en-NZ"/>
        </w:rPr>
        <w:t xml:space="preserve">. </w:t>
      </w:r>
      <w:r w:rsidR="00732915" w:rsidRPr="002F108B">
        <w:rPr>
          <w:lang w:val="en-NZ"/>
        </w:rPr>
        <w:t xml:space="preserve">Absolute and per capita caps </w:t>
      </w:r>
      <w:r w:rsidR="00247EDD">
        <w:rPr>
          <w:lang w:val="en-NZ"/>
        </w:rPr>
        <w:t>wer</w:t>
      </w:r>
      <w:r w:rsidR="007B602C">
        <w:rPr>
          <w:lang w:val="en-NZ"/>
        </w:rPr>
        <w:t>e</w:t>
      </w:r>
      <w:r w:rsidR="00247EDD">
        <w:rPr>
          <w:lang w:val="en-NZ"/>
        </w:rPr>
        <w:t xml:space="preserve"> also</w:t>
      </w:r>
      <w:r w:rsidR="007B602C">
        <w:rPr>
          <w:lang w:val="en-NZ"/>
        </w:rPr>
        <w:t xml:space="preserve"> estimated to </w:t>
      </w:r>
      <w:r w:rsidR="00732915" w:rsidRPr="002F108B">
        <w:rPr>
          <w:lang w:val="en-NZ"/>
        </w:rPr>
        <w:t>reduce the number of venues by</w:t>
      </w:r>
      <w:r w:rsidR="00E92043" w:rsidRPr="002F108B">
        <w:rPr>
          <w:lang w:val="en-NZ"/>
        </w:rPr>
        <w:t xml:space="preserve"> seven</w:t>
      </w:r>
      <w:r w:rsidR="00752180" w:rsidRPr="002F108B">
        <w:rPr>
          <w:lang w:val="en-NZ"/>
        </w:rPr>
        <w:t xml:space="preserve"> and </w:t>
      </w:r>
      <w:r w:rsidR="00E92043" w:rsidRPr="002F108B">
        <w:rPr>
          <w:lang w:val="en-NZ"/>
        </w:rPr>
        <w:t>eight,</w:t>
      </w:r>
      <w:r w:rsidR="00752180" w:rsidRPr="002F108B">
        <w:rPr>
          <w:lang w:val="en-NZ"/>
        </w:rPr>
        <w:t xml:space="preserve"> respectively</w:t>
      </w:r>
      <w:r w:rsidR="00902C59" w:rsidRPr="002F108B">
        <w:rPr>
          <w:lang w:val="en-NZ"/>
        </w:rPr>
        <w:t>.</w:t>
      </w:r>
      <w:r w:rsidR="006D54D2" w:rsidRPr="002F108B">
        <w:rPr>
          <w:lang w:val="en-NZ"/>
        </w:rPr>
        <w:t xml:space="preserve"> </w:t>
      </w:r>
      <w:r w:rsidR="00247EDD">
        <w:rPr>
          <w:lang w:val="en-NZ"/>
        </w:rPr>
        <w:t>Further, s</w:t>
      </w:r>
      <w:r w:rsidR="006D54D2" w:rsidRPr="002F108B">
        <w:rPr>
          <w:lang w:val="en-NZ"/>
        </w:rPr>
        <w:t xml:space="preserve">inking lids and per capita caps </w:t>
      </w:r>
      <w:r w:rsidR="00696655" w:rsidRPr="002F108B">
        <w:rPr>
          <w:lang w:val="en-NZ"/>
        </w:rPr>
        <w:t xml:space="preserve">were </w:t>
      </w:r>
      <w:r w:rsidR="00247EDD">
        <w:rPr>
          <w:lang w:val="en-NZ"/>
        </w:rPr>
        <w:t>estimated to</w:t>
      </w:r>
      <w:r w:rsidR="00696655" w:rsidRPr="002F108B">
        <w:rPr>
          <w:lang w:val="en-NZ"/>
        </w:rPr>
        <w:t xml:space="preserve"> </w:t>
      </w:r>
      <w:r w:rsidR="008A7C8A" w:rsidRPr="002F108B">
        <w:rPr>
          <w:lang w:val="en-NZ"/>
        </w:rPr>
        <w:t xml:space="preserve">effectively </w:t>
      </w:r>
      <w:r w:rsidR="00247EDD">
        <w:rPr>
          <w:lang w:val="en-NZ"/>
        </w:rPr>
        <w:t>reduce</w:t>
      </w:r>
      <w:r w:rsidR="00247EDD" w:rsidRPr="002F108B">
        <w:rPr>
          <w:lang w:val="en-NZ"/>
        </w:rPr>
        <w:t xml:space="preserve"> </w:t>
      </w:r>
      <w:r w:rsidR="008A7C8A" w:rsidRPr="002F108B">
        <w:rPr>
          <w:lang w:val="en-NZ"/>
        </w:rPr>
        <w:t xml:space="preserve">EGM expenditure </w:t>
      </w:r>
      <w:r w:rsidR="00752180" w:rsidRPr="002F108B">
        <w:rPr>
          <w:lang w:val="en-NZ"/>
        </w:rPr>
        <w:t xml:space="preserve">by </w:t>
      </w:r>
      <w:r w:rsidR="00FF6983" w:rsidRPr="002F108B">
        <w:rPr>
          <w:lang w:val="en-NZ"/>
        </w:rPr>
        <w:t>13% and 14%</w:t>
      </w:r>
      <w:r w:rsidR="00E92043" w:rsidRPr="002F108B">
        <w:rPr>
          <w:lang w:val="en-NZ"/>
        </w:rPr>
        <w:t>,</w:t>
      </w:r>
      <w:r w:rsidR="00FF6983" w:rsidRPr="002F108B">
        <w:rPr>
          <w:lang w:val="en-NZ"/>
        </w:rPr>
        <w:t xml:space="preserve"> respectively. </w:t>
      </w:r>
    </w:p>
    <w:bookmarkEnd w:id="106"/>
    <w:p w14:paraId="38EA5311" w14:textId="553B359C" w:rsidR="00677386" w:rsidRPr="002F108B" w:rsidRDefault="000F60D1" w:rsidP="00A63D14">
      <w:pPr>
        <w:rPr>
          <w:lang w:val="en-NZ"/>
        </w:rPr>
      </w:pPr>
      <w:r w:rsidRPr="002F108B">
        <w:rPr>
          <w:lang w:val="en-NZ"/>
        </w:rPr>
        <w:t>Compared with the reference group, p</w:t>
      </w:r>
      <w:r w:rsidR="000C69AD" w:rsidRPr="002F108B">
        <w:rPr>
          <w:lang w:val="en-NZ"/>
        </w:rPr>
        <w:t xml:space="preserve">er capita caps </w:t>
      </w:r>
      <w:r w:rsidR="00C96279" w:rsidRPr="002F108B">
        <w:rPr>
          <w:lang w:val="en-NZ"/>
        </w:rPr>
        <w:t>were also</w:t>
      </w:r>
      <w:r w:rsidR="000C69AD" w:rsidRPr="002F108B">
        <w:rPr>
          <w:lang w:val="en-NZ"/>
        </w:rPr>
        <w:t xml:space="preserve"> </w:t>
      </w:r>
      <w:r w:rsidR="00314564" w:rsidRPr="002F108B">
        <w:rPr>
          <w:lang w:val="en-NZ"/>
        </w:rPr>
        <w:t xml:space="preserve">associated with </w:t>
      </w:r>
      <w:r w:rsidR="007E5B54" w:rsidRPr="002F108B">
        <w:rPr>
          <w:lang w:val="en-NZ"/>
        </w:rPr>
        <w:t>increased</w:t>
      </w:r>
      <w:r w:rsidR="00314564" w:rsidRPr="002F108B">
        <w:rPr>
          <w:lang w:val="en-NZ"/>
        </w:rPr>
        <w:t xml:space="preserve"> service use by new clients </w:t>
      </w:r>
      <w:r w:rsidR="00F73A9F" w:rsidRPr="002F108B">
        <w:rPr>
          <w:lang w:val="en-NZ"/>
        </w:rPr>
        <w:t>rec</w:t>
      </w:r>
      <w:r w:rsidR="00E92043" w:rsidRPr="002F108B">
        <w:rPr>
          <w:lang w:val="en-NZ"/>
        </w:rPr>
        <w:t>ei</w:t>
      </w:r>
      <w:r w:rsidR="00F73A9F" w:rsidRPr="002F108B">
        <w:rPr>
          <w:lang w:val="en-NZ"/>
        </w:rPr>
        <w:t xml:space="preserve">ving face-to-face and full interventions </w:t>
      </w:r>
      <w:r w:rsidR="00AB090D" w:rsidRPr="002F108B">
        <w:rPr>
          <w:lang w:val="en-NZ"/>
        </w:rPr>
        <w:t>in the following year</w:t>
      </w:r>
      <w:r w:rsidRPr="002F108B">
        <w:rPr>
          <w:lang w:val="en-NZ"/>
        </w:rPr>
        <w:t>.</w:t>
      </w:r>
    </w:p>
    <w:p w14:paraId="16A0667F" w14:textId="3198E224" w:rsidR="009B49E1" w:rsidRPr="002F108B" w:rsidRDefault="00962354" w:rsidP="00C015A7">
      <w:pPr>
        <w:pStyle w:val="Heading2"/>
        <w:rPr>
          <w:lang w:val="en-NZ"/>
        </w:rPr>
      </w:pPr>
      <w:bookmarkStart w:id="107" w:name="_Toc65250306"/>
      <w:bookmarkStart w:id="108" w:name="_Toc76469781"/>
      <w:r w:rsidRPr="002F108B">
        <w:rPr>
          <w:lang w:val="en-NZ"/>
        </w:rPr>
        <w:t xml:space="preserve">Access to </w:t>
      </w:r>
      <w:r w:rsidR="009B49E1" w:rsidRPr="002F108B">
        <w:rPr>
          <w:lang w:val="en-NZ"/>
        </w:rPr>
        <w:t>online gambling</w:t>
      </w:r>
      <w:r w:rsidRPr="002F108B">
        <w:rPr>
          <w:lang w:val="en-NZ"/>
        </w:rPr>
        <w:t xml:space="preserve"> </w:t>
      </w:r>
      <w:r w:rsidR="00ED69EC" w:rsidRPr="002F108B">
        <w:rPr>
          <w:u w:val="single"/>
          <w:lang w:val="en-NZ"/>
        </w:rPr>
        <w:t>for money</w:t>
      </w:r>
      <w:r w:rsidR="00ED69EC" w:rsidRPr="002F108B">
        <w:rPr>
          <w:lang w:val="en-NZ"/>
        </w:rPr>
        <w:t xml:space="preserve"> </w:t>
      </w:r>
      <w:r w:rsidRPr="002F108B">
        <w:rPr>
          <w:lang w:val="en-NZ"/>
        </w:rPr>
        <w:t>has increased</w:t>
      </w:r>
      <w:bookmarkEnd w:id="107"/>
      <w:bookmarkEnd w:id="108"/>
      <w:r w:rsidR="00E431F0" w:rsidRPr="002F108B">
        <w:rPr>
          <w:lang w:val="en-NZ"/>
        </w:rPr>
        <w:t xml:space="preserve"> </w:t>
      </w:r>
    </w:p>
    <w:p w14:paraId="2007D159" w14:textId="78B49B6C" w:rsidR="00B90998" w:rsidRDefault="00B90998" w:rsidP="00B90998">
      <w:pPr>
        <w:rPr>
          <w:lang w:val="en-NZ"/>
        </w:rPr>
      </w:pPr>
      <w:r w:rsidRPr="002F108B">
        <w:rPr>
          <w:lang w:val="en-NZ"/>
        </w:rPr>
        <w:t xml:space="preserve">The advent of new technologies has led to increased online gambling opportunities. </w:t>
      </w:r>
      <w:r>
        <w:rPr>
          <w:lang w:val="en-NZ"/>
        </w:rPr>
        <w:t xml:space="preserve">Forms of online gambling include </w:t>
      </w:r>
      <w:r w:rsidR="00E35160">
        <w:rPr>
          <w:lang w:val="en-NZ"/>
        </w:rPr>
        <w:t xml:space="preserve">NZ Lotto products, </w:t>
      </w:r>
      <w:r>
        <w:rPr>
          <w:lang w:val="en-NZ"/>
        </w:rPr>
        <w:t xml:space="preserve">betting on </w:t>
      </w:r>
      <w:r w:rsidR="007E6FB5">
        <w:rPr>
          <w:lang w:val="en-NZ"/>
        </w:rPr>
        <w:t xml:space="preserve">TAB </w:t>
      </w:r>
      <w:r w:rsidR="00E35160">
        <w:rPr>
          <w:lang w:val="en-NZ"/>
        </w:rPr>
        <w:t xml:space="preserve">racing and </w:t>
      </w:r>
      <w:r>
        <w:rPr>
          <w:lang w:val="en-NZ"/>
        </w:rPr>
        <w:t xml:space="preserve">sports events, online card games, online pokies, and online casino games </w:t>
      </w:r>
      <w:r w:rsidR="007E5B54" w:rsidRPr="002F108B">
        <w:rPr>
          <w:rFonts w:cs="Calibri"/>
          <w:lang w:val="en-NZ"/>
        </w:rPr>
        <w:t>(Sense Partners, 2019)</w:t>
      </w:r>
      <w:r w:rsidR="00234A5E">
        <w:rPr>
          <w:lang w:val="en-NZ"/>
        </w:rPr>
        <w:t>.</w:t>
      </w:r>
      <w:r>
        <w:rPr>
          <w:lang w:val="en-NZ"/>
        </w:rPr>
        <w:t xml:space="preserve"> </w:t>
      </w:r>
    </w:p>
    <w:p w14:paraId="6383B04C" w14:textId="7DF902BC" w:rsidR="00D3763D" w:rsidRPr="002F108B" w:rsidRDefault="00F0324F" w:rsidP="00FE3437">
      <w:pPr>
        <w:rPr>
          <w:lang w:val="en-NZ"/>
        </w:rPr>
      </w:pPr>
      <w:r w:rsidRPr="002F108B">
        <w:rPr>
          <w:lang w:val="en-NZ"/>
        </w:rPr>
        <w:t xml:space="preserve">Across the NGS </w:t>
      </w:r>
      <w:r w:rsidR="00B84C77" w:rsidRPr="002F108B">
        <w:rPr>
          <w:lang w:val="en-NZ"/>
        </w:rPr>
        <w:t>data collection</w:t>
      </w:r>
      <w:r w:rsidR="009B49E1" w:rsidRPr="002F108B">
        <w:rPr>
          <w:lang w:val="en-NZ"/>
        </w:rPr>
        <w:t xml:space="preserve"> waves, </w:t>
      </w:r>
      <w:r w:rsidR="00E86387" w:rsidRPr="002F108B">
        <w:rPr>
          <w:lang w:val="en-NZ"/>
        </w:rPr>
        <w:t xml:space="preserve">online Lotto participation increased between Wave 1 (4.9%) and </w:t>
      </w:r>
      <w:r w:rsidR="00255CC8" w:rsidRPr="002F108B">
        <w:rPr>
          <w:lang w:val="en-NZ"/>
        </w:rPr>
        <w:t>Wave 4 (6.9%)</w:t>
      </w:r>
      <w:r w:rsidR="0034041C" w:rsidRPr="002F108B">
        <w:rPr>
          <w:lang w:val="en-NZ"/>
        </w:rPr>
        <w:t xml:space="preserve"> </w:t>
      </w:r>
      <w:r w:rsidR="0034041C" w:rsidRPr="002F108B">
        <w:rPr>
          <w:rFonts w:cs="Calibri"/>
          <w:lang w:val="en-NZ"/>
        </w:rPr>
        <w:t>(Abbott et al., 2018)</w:t>
      </w:r>
      <w:r w:rsidR="006E56C9" w:rsidRPr="002F108B">
        <w:rPr>
          <w:lang w:val="en-NZ"/>
        </w:rPr>
        <w:t xml:space="preserve">. Online TAB gambling participation remained stable across the waves. </w:t>
      </w:r>
      <w:r w:rsidR="00291F06" w:rsidRPr="002F108B">
        <w:rPr>
          <w:lang w:val="en-NZ"/>
        </w:rPr>
        <w:t xml:space="preserve">Other online/remote gambling activities occurred to a very low extent – </w:t>
      </w:r>
      <w:r w:rsidR="0047081F" w:rsidRPr="002F108B">
        <w:rPr>
          <w:lang w:val="en-NZ"/>
        </w:rPr>
        <w:t>3%</w:t>
      </w:r>
      <w:r w:rsidR="00291F06" w:rsidRPr="002F108B">
        <w:rPr>
          <w:lang w:val="en-NZ"/>
        </w:rPr>
        <w:t xml:space="preserve"> or less</w:t>
      </w:r>
      <w:r w:rsidR="005201A6" w:rsidRPr="002F108B">
        <w:rPr>
          <w:lang w:val="en-NZ"/>
        </w:rPr>
        <w:t xml:space="preserve"> </w:t>
      </w:r>
      <w:r w:rsidR="005201A6" w:rsidRPr="002F108B">
        <w:rPr>
          <w:rFonts w:cs="Calibri"/>
          <w:lang w:val="en-NZ"/>
        </w:rPr>
        <w:t>(Abbott et al., 2018)</w:t>
      </w:r>
      <w:r w:rsidR="00291F06" w:rsidRPr="002F108B">
        <w:rPr>
          <w:lang w:val="en-NZ"/>
        </w:rPr>
        <w:t>.</w:t>
      </w:r>
      <w:r w:rsidR="00D3763D" w:rsidRPr="002F108B">
        <w:rPr>
          <w:lang w:val="en-NZ"/>
        </w:rPr>
        <w:t xml:space="preserve"> </w:t>
      </w:r>
      <w:r w:rsidRPr="002F108B">
        <w:rPr>
          <w:lang w:val="en-NZ"/>
        </w:rPr>
        <w:t xml:space="preserve">Overall, </w:t>
      </w:r>
      <w:r w:rsidR="005201A6" w:rsidRPr="002F108B">
        <w:rPr>
          <w:lang w:val="en-NZ"/>
        </w:rPr>
        <w:t>online/remote gambling participation</w:t>
      </w:r>
      <w:r w:rsidR="009B49E1" w:rsidRPr="002F108B">
        <w:rPr>
          <w:lang w:val="en-NZ"/>
        </w:rPr>
        <w:t xml:space="preserve"> </w:t>
      </w:r>
      <w:r w:rsidR="00131E7A" w:rsidRPr="002F108B">
        <w:rPr>
          <w:lang w:val="en-NZ"/>
        </w:rPr>
        <w:t>was</w:t>
      </w:r>
      <w:r w:rsidR="009B49E1" w:rsidRPr="002F108B">
        <w:rPr>
          <w:lang w:val="en-NZ"/>
        </w:rPr>
        <w:t xml:space="preserve"> substantially </w:t>
      </w:r>
      <w:r w:rsidR="00C626BB" w:rsidRPr="002F108B">
        <w:rPr>
          <w:lang w:val="en-NZ"/>
        </w:rPr>
        <w:t>less</w:t>
      </w:r>
      <w:r w:rsidR="009B49E1" w:rsidRPr="002F108B">
        <w:rPr>
          <w:lang w:val="en-NZ"/>
        </w:rPr>
        <w:t xml:space="preserve"> than the same gambling via land-based means</w:t>
      </w:r>
      <w:r w:rsidR="005201A6" w:rsidRPr="002F108B">
        <w:rPr>
          <w:lang w:val="en-NZ"/>
        </w:rPr>
        <w:t xml:space="preserve"> </w:t>
      </w:r>
      <w:r w:rsidR="005201A6" w:rsidRPr="002F108B">
        <w:rPr>
          <w:rFonts w:cs="Calibri"/>
          <w:lang w:val="en-NZ"/>
        </w:rPr>
        <w:t>(Abbott et al., 2018)</w:t>
      </w:r>
      <w:r w:rsidR="009B49E1" w:rsidRPr="002F108B">
        <w:rPr>
          <w:lang w:val="en-NZ"/>
        </w:rPr>
        <w:t xml:space="preserve">. </w:t>
      </w:r>
    </w:p>
    <w:p w14:paraId="24018683" w14:textId="3CEBFF43" w:rsidR="00292167" w:rsidRPr="002F108B" w:rsidRDefault="00292167" w:rsidP="00292167">
      <w:pPr>
        <w:rPr>
          <w:lang w:val="en-NZ"/>
        </w:rPr>
      </w:pPr>
      <w:r>
        <w:rPr>
          <w:lang w:val="en-NZ"/>
        </w:rPr>
        <w:t>In 2014, online gambling</w:t>
      </w:r>
      <w:r w:rsidR="005201A6">
        <w:rPr>
          <w:lang w:val="en-NZ"/>
        </w:rPr>
        <w:t xml:space="preserve"> participation</w:t>
      </w:r>
      <w:r>
        <w:rPr>
          <w:lang w:val="en-NZ"/>
        </w:rPr>
        <w:t xml:space="preserve"> </w:t>
      </w:r>
      <w:r w:rsidR="004472C1">
        <w:rPr>
          <w:lang w:val="en-NZ"/>
        </w:rPr>
        <w:t xml:space="preserve">measured within the HLS </w:t>
      </w:r>
      <w:r>
        <w:rPr>
          <w:lang w:val="en-NZ"/>
        </w:rPr>
        <w:t xml:space="preserve">was relatively low. Four per cent </w:t>
      </w:r>
      <w:r w:rsidRPr="002F108B">
        <w:rPr>
          <w:lang w:val="en-NZ"/>
        </w:rPr>
        <w:t xml:space="preserve">of adults had bet money or bought tickets online for money or prizes, and 2.3% had bet on horse or </w:t>
      </w:r>
      <w:r w:rsidRPr="002F108B">
        <w:rPr>
          <w:lang w:val="en-NZ"/>
        </w:rPr>
        <w:lastRenderedPageBreak/>
        <w:t xml:space="preserve">dog race or sports events through a website </w:t>
      </w:r>
      <w:r w:rsidR="00DD4547" w:rsidRPr="002F108B">
        <w:rPr>
          <w:rFonts w:cs="Calibri"/>
          <w:lang w:val="en-NZ"/>
        </w:rPr>
        <w:t>(Tu &amp; Puthipiroj, 2017)</w:t>
      </w:r>
      <w:r w:rsidRPr="002F108B">
        <w:rPr>
          <w:lang w:val="en-NZ"/>
        </w:rPr>
        <w:t xml:space="preserve">. </w:t>
      </w:r>
      <w:r>
        <w:rPr>
          <w:lang w:val="en-NZ"/>
        </w:rPr>
        <w:t xml:space="preserve">The most recent </w:t>
      </w:r>
      <w:r w:rsidR="00C278DF">
        <w:rPr>
          <w:lang w:val="en-NZ"/>
        </w:rPr>
        <w:t>HLS</w:t>
      </w:r>
      <w:r>
        <w:rPr>
          <w:lang w:val="en-NZ"/>
        </w:rPr>
        <w:t xml:space="preserve"> results show that online gambling rates</w:t>
      </w:r>
      <w:r>
        <w:rPr>
          <w:rStyle w:val="FootnoteReference"/>
          <w:lang w:val="en-NZ"/>
        </w:rPr>
        <w:footnoteReference w:id="14"/>
      </w:r>
      <w:r>
        <w:rPr>
          <w:lang w:val="en-NZ"/>
        </w:rPr>
        <w:t xml:space="preserve"> have significantly increased since 2014, with 13% of adults reporting gambling online in the last 12 months </w:t>
      </w:r>
      <w:r w:rsidRPr="002F108B">
        <w:rPr>
          <w:rFonts w:cs="Calibri"/>
          <w:lang w:val="en-NZ"/>
        </w:rPr>
        <w:t>(Rendall et al., 2019)</w:t>
      </w:r>
      <w:r>
        <w:rPr>
          <w:lang w:val="en-NZ"/>
        </w:rPr>
        <w:t>.</w:t>
      </w:r>
      <w:r w:rsidR="00E35160">
        <w:rPr>
          <w:lang w:val="en-NZ"/>
        </w:rPr>
        <w:t xml:space="preserve"> The most common mode was the MyLotto website and app (9%), followed by the TAB website and app (4%) and overseas online gambling (2%) (Rendall et al., 2019).</w:t>
      </w:r>
      <w:r w:rsidR="000A5E04">
        <w:rPr>
          <w:lang w:val="en-NZ"/>
        </w:rPr>
        <w:t xml:space="preserve"> </w:t>
      </w:r>
      <w:r w:rsidR="000A5E04" w:rsidRPr="002F108B">
        <w:rPr>
          <w:lang w:val="en-NZ"/>
        </w:rPr>
        <w:t>In 2018, for the first time since the HLS began in 2008, participation in online gambling equalled playing EGMs at pubs, clubs or casinos</w:t>
      </w:r>
      <w:r w:rsidR="00DC56E1" w:rsidRPr="002F108B">
        <w:rPr>
          <w:lang w:val="en-NZ"/>
        </w:rPr>
        <w:t>.</w:t>
      </w:r>
    </w:p>
    <w:p w14:paraId="506D2F07" w14:textId="65778A24" w:rsidR="001511DF" w:rsidRPr="002F108B" w:rsidRDefault="001511DF" w:rsidP="001511DF">
      <w:pPr>
        <w:pStyle w:val="Heading3"/>
        <w:rPr>
          <w:lang w:val="en-NZ"/>
        </w:rPr>
      </w:pPr>
      <w:bookmarkStart w:id="109" w:name="_Ref66353968"/>
      <w:r w:rsidRPr="002F108B">
        <w:rPr>
          <w:lang w:val="en-NZ"/>
        </w:rPr>
        <w:t xml:space="preserve">Offshore </w:t>
      </w:r>
      <w:r w:rsidR="00ED69EC" w:rsidRPr="002F108B">
        <w:rPr>
          <w:lang w:val="en-NZ"/>
        </w:rPr>
        <w:t xml:space="preserve">online gambling </w:t>
      </w:r>
      <w:r w:rsidR="008F0ADC" w:rsidRPr="002F108B">
        <w:rPr>
          <w:lang w:val="en-NZ"/>
        </w:rPr>
        <w:t xml:space="preserve">participation </w:t>
      </w:r>
      <w:r w:rsidRPr="002F108B">
        <w:rPr>
          <w:lang w:val="en-NZ"/>
        </w:rPr>
        <w:t>has increased</w:t>
      </w:r>
      <w:r w:rsidR="00B32FEC" w:rsidRPr="002F108B">
        <w:rPr>
          <w:lang w:val="en-NZ"/>
        </w:rPr>
        <w:t xml:space="preserve"> slightly</w:t>
      </w:r>
      <w:bookmarkEnd w:id="109"/>
    </w:p>
    <w:p w14:paraId="2EC09CA7" w14:textId="62FE1F98" w:rsidR="00DC56E1" w:rsidRPr="002F108B" w:rsidRDefault="000055B6" w:rsidP="00DC56E1">
      <w:pPr>
        <w:rPr>
          <w:lang w:val="en-NZ"/>
        </w:rPr>
      </w:pPr>
      <w:r w:rsidRPr="002F108B">
        <w:rPr>
          <w:lang w:val="en-NZ"/>
        </w:rPr>
        <w:t>Participation in o</w:t>
      </w:r>
      <w:r w:rsidR="00DC56E1" w:rsidRPr="002F108B">
        <w:rPr>
          <w:lang w:val="en-NZ"/>
        </w:rPr>
        <w:t xml:space="preserve">ffshore online gambling </w:t>
      </w:r>
      <w:r w:rsidRPr="002F108B">
        <w:rPr>
          <w:lang w:val="en-NZ"/>
        </w:rPr>
        <w:t xml:space="preserve">has increased </w:t>
      </w:r>
      <w:r w:rsidR="00C54F41" w:rsidRPr="002F108B">
        <w:rPr>
          <w:lang w:val="en-NZ"/>
        </w:rPr>
        <w:t xml:space="preserve">from roughly 40,000 in 2009 to 70,000 in </w:t>
      </w:r>
      <w:r w:rsidR="004B290F" w:rsidRPr="002F108B">
        <w:rPr>
          <w:lang w:val="en-NZ"/>
        </w:rPr>
        <w:t>2019</w:t>
      </w:r>
      <w:r w:rsidR="00030F0C" w:rsidRPr="002F108B">
        <w:rPr>
          <w:lang w:val="en-NZ"/>
        </w:rPr>
        <w:t xml:space="preserve">, the equivalent of 1.7% of the working population, or 1.4% of the total </w:t>
      </w:r>
      <w:r w:rsidR="00FD6304" w:rsidRPr="002F108B">
        <w:rPr>
          <w:lang w:val="en-NZ"/>
        </w:rPr>
        <w:t xml:space="preserve">New Zealand </w:t>
      </w:r>
      <w:r w:rsidR="00030F0C" w:rsidRPr="002F108B">
        <w:rPr>
          <w:lang w:val="en-NZ"/>
        </w:rPr>
        <w:t>population</w:t>
      </w:r>
      <w:r w:rsidR="00C85C6F" w:rsidRPr="002F108B">
        <w:rPr>
          <w:lang w:val="en-NZ"/>
        </w:rPr>
        <w:t xml:space="preserve"> </w:t>
      </w:r>
      <w:r w:rsidR="00A761CF" w:rsidRPr="002F108B">
        <w:rPr>
          <w:rFonts w:cs="Calibri"/>
          <w:lang w:val="en-NZ"/>
        </w:rPr>
        <w:t>(Sense Partners, 2019)</w:t>
      </w:r>
      <w:r w:rsidR="004B290F" w:rsidRPr="002F108B">
        <w:rPr>
          <w:lang w:val="en-NZ"/>
        </w:rPr>
        <w:t xml:space="preserve">. </w:t>
      </w:r>
      <w:r w:rsidR="00E35160" w:rsidRPr="002F108B">
        <w:rPr>
          <w:lang w:val="en-NZ"/>
        </w:rPr>
        <w:t>These results are similar to the HLS results, which have remained stable at around 2% since 2010 (Rendall et al., 2019).</w:t>
      </w:r>
    </w:p>
    <w:p w14:paraId="4210F034" w14:textId="67AE8C8A" w:rsidR="001511DF" w:rsidRPr="002F108B" w:rsidRDefault="00F25F03" w:rsidP="00CB3656">
      <w:pPr>
        <w:rPr>
          <w:lang w:val="en-NZ"/>
        </w:rPr>
      </w:pPr>
      <w:r w:rsidRPr="002F108B">
        <w:rPr>
          <w:lang w:val="en-NZ"/>
        </w:rPr>
        <w:t>More males across all age group</w:t>
      </w:r>
      <w:r w:rsidR="001511DF" w:rsidRPr="002F108B">
        <w:rPr>
          <w:lang w:val="en-NZ"/>
        </w:rPr>
        <w:t>s gambled on an online offshore website than females</w:t>
      </w:r>
      <w:r w:rsidR="00D4575C" w:rsidRPr="002F108B">
        <w:rPr>
          <w:lang w:val="en-NZ"/>
        </w:rPr>
        <w:t xml:space="preserve"> </w:t>
      </w:r>
      <w:r w:rsidR="00D4575C" w:rsidRPr="002F108B">
        <w:rPr>
          <w:rFonts w:cs="Calibri"/>
          <w:lang w:val="en-NZ"/>
        </w:rPr>
        <w:t>(Sense Partners, 2019)</w:t>
      </w:r>
      <w:r w:rsidR="001511DF" w:rsidRPr="002F108B">
        <w:rPr>
          <w:lang w:val="en-NZ"/>
        </w:rPr>
        <w:t xml:space="preserve">. </w:t>
      </w:r>
      <w:r w:rsidR="00E35160" w:rsidRPr="002F108B">
        <w:rPr>
          <w:lang w:val="en-NZ"/>
        </w:rPr>
        <w:t xml:space="preserve">These findings </w:t>
      </w:r>
      <w:r w:rsidR="00FD6304" w:rsidRPr="002F108B">
        <w:rPr>
          <w:lang w:val="en-NZ"/>
        </w:rPr>
        <w:t>are consistent with</w:t>
      </w:r>
      <w:r w:rsidR="00E35160" w:rsidRPr="002F108B">
        <w:rPr>
          <w:lang w:val="en-NZ"/>
        </w:rPr>
        <w:t xml:space="preserve"> the HLS, which ha</w:t>
      </w:r>
      <w:r w:rsidR="00FD6304" w:rsidRPr="002F108B">
        <w:rPr>
          <w:lang w:val="en-NZ"/>
        </w:rPr>
        <w:t>s</w:t>
      </w:r>
      <w:r w:rsidR="00E35160" w:rsidRPr="002F108B">
        <w:rPr>
          <w:lang w:val="en-NZ"/>
        </w:rPr>
        <w:t xml:space="preserve"> consistently shown that men across all age groups gamble on overseas websites more than women (</w:t>
      </w:r>
      <w:r w:rsidR="00DB75D1" w:rsidRPr="002F108B">
        <w:rPr>
          <w:rFonts w:cs="Calibri"/>
          <w:lang w:val="en-NZ"/>
        </w:rPr>
        <w:t xml:space="preserve">Te Hiringa Hauora, </w:t>
      </w:r>
      <w:r w:rsidR="009679BB">
        <w:rPr>
          <w:rFonts w:cs="Calibri"/>
          <w:lang w:val="en-NZ"/>
        </w:rPr>
        <w:t>2018b</w:t>
      </w:r>
      <w:r w:rsidR="00DB75D1" w:rsidRPr="002F108B">
        <w:rPr>
          <w:rFonts w:cs="Calibri"/>
          <w:lang w:val="en-NZ"/>
        </w:rPr>
        <w:t>)</w:t>
      </w:r>
      <w:r w:rsidR="00E35160" w:rsidRPr="002F108B">
        <w:rPr>
          <w:lang w:val="en-NZ"/>
        </w:rPr>
        <w:t>.</w:t>
      </w:r>
      <w:r w:rsidR="00D81E6D">
        <w:rPr>
          <w:lang w:val="en-NZ"/>
        </w:rPr>
        <w:t xml:space="preserve"> </w:t>
      </w:r>
    </w:p>
    <w:p w14:paraId="627326FA" w14:textId="2ACECFAC" w:rsidR="00893C70" w:rsidRPr="002F108B" w:rsidRDefault="00893C70" w:rsidP="00CB3656">
      <w:pPr>
        <w:rPr>
          <w:lang w:val="en-NZ"/>
        </w:rPr>
      </w:pPr>
      <w:r w:rsidRPr="002F108B">
        <w:rPr>
          <w:lang w:val="en-NZ"/>
        </w:rPr>
        <w:t xml:space="preserve">The most popular form of offshore online gambling (based on expenditure) is </w:t>
      </w:r>
      <w:r w:rsidR="000650E3" w:rsidRPr="002F108B">
        <w:rPr>
          <w:lang w:val="en-NZ"/>
        </w:rPr>
        <w:t>online casinos</w:t>
      </w:r>
      <w:r w:rsidR="00E35160" w:rsidRPr="002F108B">
        <w:rPr>
          <w:lang w:val="en-NZ"/>
        </w:rPr>
        <w:t>,</w:t>
      </w:r>
      <w:r w:rsidR="000650E3" w:rsidRPr="002F108B">
        <w:rPr>
          <w:lang w:val="en-NZ"/>
        </w:rPr>
        <w:t xml:space="preserve"> followed by </w:t>
      </w:r>
      <w:r w:rsidR="00B479F2" w:rsidRPr="002F108B">
        <w:rPr>
          <w:lang w:val="en-NZ"/>
        </w:rPr>
        <w:t xml:space="preserve">sites </w:t>
      </w:r>
      <w:r w:rsidR="00E35160" w:rsidRPr="002F108B">
        <w:rPr>
          <w:lang w:val="en-NZ"/>
        </w:rPr>
        <w:t xml:space="preserve">that </w:t>
      </w:r>
      <w:r w:rsidR="00B479F2" w:rsidRPr="002F108B">
        <w:rPr>
          <w:lang w:val="en-NZ"/>
        </w:rPr>
        <w:t xml:space="preserve">offer a combination of </w:t>
      </w:r>
      <w:r w:rsidR="00BD7FE0" w:rsidRPr="002F108B">
        <w:rPr>
          <w:lang w:val="en-NZ"/>
        </w:rPr>
        <w:t xml:space="preserve">gambling </w:t>
      </w:r>
      <w:r w:rsidR="00933F0D" w:rsidRPr="002F108B">
        <w:rPr>
          <w:lang w:val="en-NZ"/>
        </w:rPr>
        <w:t>(</w:t>
      </w:r>
      <w:r w:rsidR="00933F0D" w:rsidRPr="002F108B">
        <w:rPr>
          <w:lang w:val="en-NZ"/>
        </w:rPr>
        <w:fldChar w:fldCharType="begin"/>
      </w:r>
      <w:r w:rsidR="00933F0D" w:rsidRPr="002F108B">
        <w:rPr>
          <w:lang w:val="en-NZ"/>
        </w:rPr>
        <w:instrText xml:space="preserve"> REF _Ref65495962 \h </w:instrText>
      </w:r>
      <w:r w:rsidR="00933F0D" w:rsidRPr="002F108B">
        <w:rPr>
          <w:lang w:val="en-NZ"/>
        </w:rPr>
      </w:r>
      <w:r w:rsidR="00933F0D" w:rsidRPr="002F108B">
        <w:rPr>
          <w:lang w:val="en-NZ"/>
        </w:rPr>
        <w:fldChar w:fldCharType="separate"/>
      </w:r>
      <w:r w:rsidR="009B1BDF" w:rsidRPr="002F108B">
        <w:rPr>
          <w:lang w:val="en-NZ"/>
        </w:rPr>
        <w:t xml:space="preserve">Figure </w:t>
      </w:r>
      <w:r w:rsidR="009B1BDF">
        <w:rPr>
          <w:noProof/>
          <w:lang w:val="en-NZ"/>
        </w:rPr>
        <w:t>4</w:t>
      </w:r>
      <w:r w:rsidR="00933F0D" w:rsidRPr="002F108B">
        <w:rPr>
          <w:lang w:val="en-NZ"/>
        </w:rPr>
        <w:fldChar w:fldCharType="end"/>
      </w:r>
      <w:r w:rsidR="00933F0D" w:rsidRPr="002F108B">
        <w:rPr>
          <w:lang w:val="en-NZ"/>
        </w:rPr>
        <w:t xml:space="preserve">) </w:t>
      </w:r>
      <w:r w:rsidR="00BD7FE0" w:rsidRPr="002F108B">
        <w:rPr>
          <w:rFonts w:cs="Calibri"/>
          <w:lang w:val="en-NZ"/>
        </w:rPr>
        <w:t>(Sense Partners, 2019)</w:t>
      </w:r>
      <w:r w:rsidR="005E7E57" w:rsidRPr="002F108B">
        <w:rPr>
          <w:lang w:val="en-NZ"/>
        </w:rPr>
        <w:t>.</w:t>
      </w:r>
    </w:p>
    <w:p w14:paraId="367E0708" w14:textId="7F842024" w:rsidR="003C1172" w:rsidRPr="002F108B" w:rsidRDefault="004F03C0" w:rsidP="003C1172">
      <w:pPr>
        <w:keepNext/>
        <w:rPr>
          <w:lang w:val="en-NZ"/>
        </w:rPr>
      </w:pPr>
      <w:r w:rsidRPr="002F108B">
        <w:rPr>
          <w:lang w:val="en-NZ"/>
        </w:rPr>
        <w:t xml:space="preserve"> </w:t>
      </w:r>
      <w:r w:rsidR="002B27E1" w:rsidRPr="002F108B">
        <w:rPr>
          <w:noProof/>
          <w:lang w:val="en-NZ"/>
        </w:rPr>
        <w:drawing>
          <wp:inline distT="0" distB="0" distL="0" distR="0" wp14:anchorId="6F632F29" wp14:editId="1543CB69">
            <wp:extent cx="4831082" cy="2319655"/>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831082" cy="2319655"/>
                    </a:xfrm>
                    <a:prstGeom prst="rect">
                      <a:avLst/>
                    </a:prstGeom>
                  </pic:spPr>
                </pic:pic>
              </a:graphicData>
            </a:graphic>
          </wp:inline>
        </w:drawing>
      </w:r>
    </w:p>
    <w:p w14:paraId="44405275" w14:textId="6D4D2B56" w:rsidR="002B27E1" w:rsidRPr="002F108B" w:rsidRDefault="003C1172" w:rsidP="002B4028">
      <w:pPr>
        <w:pStyle w:val="Caption"/>
        <w:rPr>
          <w:lang w:val="en-NZ"/>
        </w:rPr>
      </w:pPr>
      <w:bookmarkStart w:id="110" w:name="_Ref65495962"/>
      <w:bookmarkStart w:id="111" w:name="_Toc72752869"/>
      <w:r w:rsidRPr="002F108B">
        <w:rPr>
          <w:lang w:val="en-NZ"/>
        </w:rPr>
        <w:t xml:space="preserve">Figure </w:t>
      </w:r>
      <w:r w:rsidRPr="002F108B">
        <w:rPr>
          <w:lang w:val="en-NZ"/>
        </w:rPr>
        <w:fldChar w:fldCharType="begin"/>
      </w:r>
      <w:r w:rsidRPr="002F108B">
        <w:rPr>
          <w:lang w:val="en-NZ"/>
        </w:rPr>
        <w:instrText xml:space="preserve"> SEQ Figure \* ARABIC </w:instrText>
      </w:r>
      <w:r w:rsidRPr="002F108B">
        <w:rPr>
          <w:lang w:val="en-NZ"/>
        </w:rPr>
        <w:fldChar w:fldCharType="separate"/>
      </w:r>
      <w:r w:rsidR="009B1BDF">
        <w:rPr>
          <w:noProof/>
          <w:lang w:val="en-NZ"/>
        </w:rPr>
        <w:t>4</w:t>
      </w:r>
      <w:r w:rsidRPr="002F108B">
        <w:rPr>
          <w:lang w:val="en-NZ"/>
        </w:rPr>
        <w:fldChar w:fldCharType="end"/>
      </w:r>
      <w:bookmarkEnd w:id="110"/>
      <w:r w:rsidRPr="002F108B">
        <w:rPr>
          <w:lang w:val="en-NZ"/>
        </w:rPr>
        <w:t>:</w:t>
      </w:r>
      <w:r w:rsidR="00D81E6D">
        <w:rPr>
          <w:lang w:val="en-NZ"/>
        </w:rPr>
        <w:t xml:space="preserve"> </w:t>
      </w:r>
      <w:r w:rsidRPr="002F108B">
        <w:rPr>
          <w:lang w:val="en-NZ"/>
        </w:rPr>
        <w:t>Offshore gambling spend by type of merchant</w:t>
      </w:r>
      <w:bookmarkEnd w:id="111"/>
    </w:p>
    <w:p w14:paraId="00336BB2" w14:textId="67F8B9D7" w:rsidR="00E02DD9" w:rsidRPr="002F108B" w:rsidRDefault="00E02DD9" w:rsidP="00E02DD9">
      <w:pPr>
        <w:rPr>
          <w:lang w:val="en-NZ"/>
        </w:rPr>
      </w:pPr>
      <w:r w:rsidRPr="002F108B">
        <w:rPr>
          <w:lang w:val="en-NZ"/>
        </w:rPr>
        <w:t xml:space="preserve">Internationally, online gambling and betting has increased through sites offering: </w:t>
      </w:r>
    </w:p>
    <w:p w14:paraId="6C98F1E2" w14:textId="2CA15D9F" w:rsidR="00EC58E5" w:rsidRPr="003F0A61" w:rsidRDefault="00E02DD9" w:rsidP="00045413">
      <w:pPr>
        <w:pStyle w:val="Bulletpointindented"/>
      </w:pPr>
      <w:r w:rsidRPr="002B4244">
        <w:rPr>
          <w:b/>
          <w:bCs/>
        </w:rPr>
        <w:t>Microbets in sports</w:t>
      </w:r>
      <w:r w:rsidR="008A4147">
        <w:rPr>
          <w:b/>
          <w:bCs/>
        </w:rPr>
        <w:t>:</w:t>
      </w:r>
      <w:r w:rsidR="001A70D8">
        <w:t xml:space="preserve"> Rather than betting on the outcome of a game, m</w:t>
      </w:r>
      <w:r w:rsidR="00B36A62">
        <w:t xml:space="preserve">icrobets (also </w:t>
      </w:r>
      <w:r w:rsidR="00195B51">
        <w:t>known</w:t>
      </w:r>
      <w:r w:rsidR="00B36A62">
        <w:t xml:space="preserve"> as </w:t>
      </w:r>
      <w:r w:rsidR="00730E31">
        <w:t>“live</w:t>
      </w:r>
      <w:r w:rsidR="000E0561">
        <w:t>-</w:t>
      </w:r>
      <w:r w:rsidR="00730E31">
        <w:t xml:space="preserve">action” or </w:t>
      </w:r>
      <w:r w:rsidR="00A61CB1">
        <w:t>“micro event”</w:t>
      </w:r>
      <w:r w:rsidR="009932D2">
        <w:t xml:space="preserve"> betting</w:t>
      </w:r>
      <w:r w:rsidR="00A61CB1">
        <w:t xml:space="preserve">) </w:t>
      </w:r>
      <w:r w:rsidR="001A70D8">
        <w:t xml:space="preserve">allow </w:t>
      </w:r>
      <w:r w:rsidR="004F4B1F">
        <w:t>consumers</w:t>
      </w:r>
      <w:r w:rsidR="001A70D8">
        <w:t xml:space="preserve"> to</w:t>
      </w:r>
      <w:r w:rsidR="004F4B1F">
        <w:t xml:space="preserve"> gamble on </w:t>
      </w:r>
      <w:r w:rsidR="001A70D8">
        <w:t>outcomes</w:t>
      </w:r>
      <w:r w:rsidR="004F4B1F">
        <w:t xml:space="preserve"> within a game</w:t>
      </w:r>
      <w:r w:rsidR="00195B51">
        <w:t xml:space="preserve"> - for example,</w:t>
      </w:r>
      <w:r w:rsidR="004F4B1F">
        <w:t xml:space="preserve"> the next ball in cricket</w:t>
      </w:r>
      <w:r w:rsidR="00DF1DE5">
        <w:t xml:space="preserve"> </w:t>
      </w:r>
      <w:r w:rsidR="00F62493" w:rsidRPr="002F108B">
        <w:t>(Russell et al., 2019)</w:t>
      </w:r>
      <w:r>
        <w:t xml:space="preserve">. </w:t>
      </w:r>
      <w:r w:rsidR="00790E3A">
        <w:t xml:space="preserve">This form of gambling </w:t>
      </w:r>
      <w:r w:rsidR="0046075D">
        <w:t>can become continuous</w:t>
      </w:r>
      <w:r w:rsidR="00790E3A">
        <w:t xml:space="preserve">, </w:t>
      </w:r>
      <w:r w:rsidR="0046075D">
        <w:t xml:space="preserve">tends towards </w:t>
      </w:r>
      <w:r w:rsidR="00790E3A">
        <w:t xml:space="preserve">impulsive decisions </w:t>
      </w:r>
      <w:r w:rsidR="0046075D">
        <w:t xml:space="preserve">and offers </w:t>
      </w:r>
      <w:r w:rsidR="0046075D">
        <w:lastRenderedPageBreak/>
        <w:t>variety</w:t>
      </w:r>
      <w:r w:rsidR="006D5E72">
        <w:t xml:space="preserve"> </w:t>
      </w:r>
      <w:r w:rsidR="008F0152" w:rsidRPr="002F108B">
        <w:rPr>
          <w:rFonts w:cs="Calibri"/>
        </w:rPr>
        <w:t>(Russell et al., 2019)</w:t>
      </w:r>
      <w:r w:rsidR="00460658">
        <w:t xml:space="preserve">. </w:t>
      </w:r>
      <w:r w:rsidR="007968FA">
        <w:t xml:space="preserve">Overseas studies </w:t>
      </w:r>
      <w:r w:rsidR="001022BC">
        <w:t>have</w:t>
      </w:r>
      <w:r w:rsidR="00E142FF">
        <w:t xml:space="preserve"> identif</w:t>
      </w:r>
      <w:r w:rsidR="001022BC">
        <w:t>ied</w:t>
      </w:r>
      <w:r w:rsidR="00E142FF">
        <w:t xml:space="preserve"> young males as </w:t>
      </w:r>
      <w:r w:rsidR="00A6100B">
        <w:t xml:space="preserve">most at risk of </w:t>
      </w:r>
      <w:r w:rsidR="007012A2">
        <w:t>experiencing microbetting related gambling harm</w:t>
      </w:r>
      <w:r w:rsidR="002F4C4A">
        <w:t xml:space="preserve"> </w:t>
      </w:r>
      <w:r w:rsidR="00053109" w:rsidRPr="002F108B">
        <w:rPr>
          <w:rFonts w:cs="Calibri"/>
        </w:rPr>
        <w:t>(Russell et al., 2019)</w:t>
      </w:r>
      <w:r w:rsidR="002B4244">
        <w:t xml:space="preserve">. </w:t>
      </w:r>
    </w:p>
    <w:p w14:paraId="2CA66183" w14:textId="63A72F6F" w:rsidR="008A596B" w:rsidRPr="002F108B" w:rsidRDefault="008A596B" w:rsidP="008A596B">
      <w:pPr>
        <w:pStyle w:val="Heading3"/>
        <w:rPr>
          <w:lang w:val="en-NZ"/>
        </w:rPr>
      </w:pPr>
      <w:bookmarkStart w:id="112" w:name="_Ref65075566"/>
      <w:r w:rsidRPr="002F108B">
        <w:rPr>
          <w:lang w:val="en-NZ"/>
        </w:rPr>
        <w:t xml:space="preserve">COVID-19 lockdowns have led to increased online gambling </w:t>
      </w:r>
      <w:bookmarkEnd w:id="112"/>
      <w:r w:rsidR="00BA1A78" w:rsidRPr="002F108B">
        <w:rPr>
          <w:lang w:val="en-NZ"/>
        </w:rPr>
        <w:t>participation</w:t>
      </w:r>
    </w:p>
    <w:p w14:paraId="5C627878" w14:textId="0D95C36A" w:rsidR="00D33202" w:rsidRDefault="00112ED8" w:rsidP="00456ED4">
      <w:pPr>
        <w:rPr>
          <w:lang w:val="en-NZ"/>
        </w:rPr>
      </w:pPr>
      <w:r>
        <w:rPr>
          <w:lang w:val="en-NZ"/>
        </w:rPr>
        <w:t xml:space="preserve">COVID-19 prompted the New Zealand government to enforce a series of regulations to eliminate COVID-19. Mandates such as social distancing and staying at home disrupted normal gambling behaviour and </w:t>
      </w:r>
      <w:r w:rsidR="003A2B2E">
        <w:rPr>
          <w:lang w:val="en-NZ"/>
        </w:rPr>
        <w:t>immediately impacted</w:t>
      </w:r>
      <w:r>
        <w:rPr>
          <w:lang w:val="en-NZ"/>
        </w:rPr>
        <w:t xml:space="preserve"> the gambling industry.</w:t>
      </w:r>
      <w:r w:rsidR="00D33202">
        <w:rPr>
          <w:lang w:val="en-NZ"/>
        </w:rPr>
        <w:t xml:space="preserve"> </w:t>
      </w:r>
      <w:r w:rsidR="00456ED4">
        <w:rPr>
          <w:lang w:val="en-NZ"/>
        </w:rPr>
        <w:t xml:space="preserve">During </w:t>
      </w:r>
      <w:r w:rsidR="007063BD">
        <w:rPr>
          <w:lang w:val="en-NZ"/>
        </w:rPr>
        <w:t>lockdown level</w:t>
      </w:r>
      <w:r w:rsidR="00714D89">
        <w:rPr>
          <w:lang w:val="en-NZ"/>
        </w:rPr>
        <w:t xml:space="preserve"> </w:t>
      </w:r>
      <w:r w:rsidR="007063BD">
        <w:rPr>
          <w:lang w:val="en-NZ"/>
        </w:rPr>
        <w:t>4</w:t>
      </w:r>
      <w:r w:rsidR="006C6DDE">
        <w:rPr>
          <w:lang w:val="en-NZ"/>
        </w:rPr>
        <w:t>:</w:t>
      </w:r>
    </w:p>
    <w:p w14:paraId="34F49597" w14:textId="13DC82E2" w:rsidR="00D21F81" w:rsidRDefault="00EE77FC" w:rsidP="00045413">
      <w:pPr>
        <w:pStyle w:val="Bulletpointindented"/>
      </w:pPr>
      <w:bookmarkStart w:id="113" w:name="_Hlk65484927"/>
      <w:r>
        <w:t>Retail stores closed, and t</w:t>
      </w:r>
      <w:r w:rsidR="00D4394D">
        <w:t>he sale of Lotto NZ products moved exclusively online via the MyLotto website</w:t>
      </w:r>
      <w:r w:rsidR="00BE2415">
        <w:t xml:space="preserve"> and app</w:t>
      </w:r>
      <w:r w:rsidR="00D4394D">
        <w:t xml:space="preserve"> </w:t>
      </w:r>
      <w:r w:rsidR="00D21F81" w:rsidRPr="002F108B">
        <w:rPr>
          <w:rFonts w:cs="Calibri"/>
        </w:rPr>
        <w:t>(Lotto New Zealand, 2020)</w:t>
      </w:r>
      <w:r w:rsidR="00D21F81" w:rsidRPr="00D21F81">
        <w:t>.</w:t>
      </w:r>
    </w:p>
    <w:p w14:paraId="2913BB14" w14:textId="25960145" w:rsidR="00EE77FC" w:rsidRDefault="00EE77FC" w:rsidP="00045413">
      <w:pPr>
        <w:pStyle w:val="Bulletpointindented"/>
      </w:pPr>
      <w:r>
        <w:t>TAB venues closed, and New Zealand racing and sports events were cancelled (Racing Industry Transaction Agency, 2020). TAB continued to take bets on overseas sports such as Eastern European Table Tennis (Racing Industry Transaction Agency, 2020).</w:t>
      </w:r>
    </w:p>
    <w:p w14:paraId="03C8021C" w14:textId="2763572A" w:rsidR="005702F0" w:rsidRPr="00D21F81" w:rsidRDefault="005702F0" w:rsidP="00045413">
      <w:pPr>
        <w:pStyle w:val="Bulletpointindented"/>
      </w:pPr>
      <w:r>
        <w:t>Online gambling participation increased by about 43% (Sense Partners, 2020).</w:t>
      </w:r>
    </w:p>
    <w:bookmarkEnd w:id="113"/>
    <w:p w14:paraId="69D2CD75" w14:textId="5FBDAAF2" w:rsidR="002F36CE" w:rsidRDefault="002F36CE" w:rsidP="002F36CE">
      <w:pPr>
        <w:rPr>
          <w:lang w:val="en-NZ"/>
        </w:rPr>
      </w:pPr>
      <w:r>
        <w:rPr>
          <w:lang w:val="en-NZ"/>
        </w:rPr>
        <w:t xml:space="preserve">Despite the growth in online gambling during </w:t>
      </w:r>
      <w:r w:rsidR="0007253A">
        <w:rPr>
          <w:lang w:val="en-NZ"/>
        </w:rPr>
        <w:t xml:space="preserve">the </w:t>
      </w:r>
      <w:r>
        <w:rPr>
          <w:lang w:val="en-NZ"/>
        </w:rPr>
        <w:t>COVID-19 lockdown</w:t>
      </w:r>
      <w:r w:rsidRPr="002F108B">
        <w:rPr>
          <w:lang w:val="en-NZ"/>
        </w:rPr>
        <w:t xml:space="preserve">, </w:t>
      </w:r>
      <w:r w:rsidR="003831A6">
        <w:rPr>
          <w:lang w:val="en-NZ"/>
        </w:rPr>
        <w:t>gambling's overall level</w:t>
      </w:r>
      <w:r w:rsidRPr="002F108B">
        <w:rPr>
          <w:lang w:val="en-NZ"/>
        </w:rPr>
        <w:t xml:space="preserve"> </w:t>
      </w:r>
      <w:r w:rsidR="005702F0" w:rsidRPr="002F108B">
        <w:rPr>
          <w:lang w:val="en-NZ"/>
        </w:rPr>
        <w:t xml:space="preserve">was </w:t>
      </w:r>
      <w:r w:rsidRPr="002F108B">
        <w:rPr>
          <w:lang w:val="en-NZ"/>
        </w:rPr>
        <w:t xml:space="preserve">lower </w:t>
      </w:r>
      <w:r w:rsidRPr="002F108B">
        <w:rPr>
          <w:rFonts w:cs="Calibri"/>
          <w:lang w:val="en-NZ"/>
        </w:rPr>
        <w:t>(Sense Partners, 2020)</w:t>
      </w:r>
      <w:r>
        <w:rPr>
          <w:lang w:val="en-NZ"/>
        </w:rPr>
        <w:t xml:space="preserve">. This is consistent with </w:t>
      </w:r>
      <w:r w:rsidR="00ED189E">
        <w:rPr>
          <w:lang w:val="en-NZ"/>
        </w:rPr>
        <w:t>a</w:t>
      </w:r>
      <w:r w:rsidR="00EC7E84">
        <w:rPr>
          <w:lang w:val="en-NZ"/>
        </w:rPr>
        <w:t xml:space="preserve"> survey undertaken by Te Hiringa</w:t>
      </w:r>
      <w:r w:rsidR="00C104D1">
        <w:rPr>
          <w:lang w:val="en-NZ"/>
        </w:rPr>
        <w:t xml:space="preserve"> Hauora</w:t>
      </w:r>
      <w:r w:rsidR="00EC7E84">
        <w:rPr>
          <w:lang w:val="en-NZ"/>
        </w:rPr>
        <w:t xml:space="preserve"> (2020) o</w:t>
      </w:r>
      <w:r w:rsidR="00ED189E">
        <w:rPr>
          <w:lang w:val="en-NZ"/>
        </w:rPr>
        <w:t>n</w:t>
      </w:r>
      <w:r w:rsidR="00EC7E84">
        <w:rPr>
          <w:lang w:val="en-NZ"/>
        </w:rPr>
        <w:t xml:space="preserve"> the</w:t>
      </w:r>
      <w:r w:rsidR="00ED189E">
        <w:rPr>
          <w:lang w:val="en-NZ"/>
        </w:rPr>
        <w:t xml:space="preserve"> impact of lockdown on health risk behaviours</w:t>
      </w:r>
      <w:r w:rsidR="009A08E6">
        <w:rPr>
          <w:lang w:val="en-NZ"/>
        </w:rPr>
        <w:t>,</w:t>
      </w:r>
      <w:r w:rsidR="00ED189E">
        <w:rPr>
          <w:lang w:val="en-NZ"/>
        </w:rPr>
        <w:t xml:space="preserve"> </w:t>
      </w:r>
      <w:r>
        <w:rPr>
          <w:lang w:val="en-NZ"/>
        </w:rPr>
        <w:t>where 50% of gamblers</w:t>
      </w:r>
      <w:r>
        <w:rPr>
          <w:rStyle w:val="FootnoteReference"/>
          <w:lang w:val="en-NZ"/>
        </w:rPr>
        <w:footnoteReference w:id="15"/>
      </w:r>
      <w:r>
        <w:rPr>
          <w:lang w:val="en-NZ"/>
        </w:rPr>
        <w:t xml:space="preserve"> reported gambling less, and 41% re</w:t>
      </w:r>
      <w:r w:rsidR="0007253A">
        <w:rPr>
          <w:lang w:val="en-NZ"/>
        </w:rPr>
        <w:t>po</w:t>
      </w:r>
      <w:r>
        <w:rPr>
          <w:lang w:val="en-NZ"/>
        </w:rPr>
        <w:t xml:space="preserve">rted gambling the same amount as they usually would. Of the </w:t>
      </w:r>
      <w:r w:rsidR="00ED189E">
        <w:rPr>
          <w:lang w:val="en-NZ"/>
        </w:rPr>
        <w:t>9%</w:t>
      </w:r>
      <w:r>
        <w:rPr>
          <w:lang w:val="en-NZ"/>
        </w:rPr>
        <w:t xml:space="preserve"> of respondents who reported gambling more, a higher proportion were Māori (15%) or aged 18-24 years (22%) </w:t>
      </w:r>
      <w:r w:rsidR="00DD4547" w:rsidRPr="002F108B">
        <w:rPr>
          <w:rFonts w:cs="Calibri"/>
          <w:lang w:val="en-NZ"/>
        </w:rPr>
        <w:t>(Te Hiringa Hauora, 2020)</w:t>
      </w:r>
      <w:r>
        <w:rPr>
          <w:lang w:val="en-NZ"/>
        </w:rPr>
        <w:t>.</w:t>
      </w:r>
    </w:p>
    <w:p w14:paraId="2C6286E2" w14:textId="2D994E3D" w:rsidR="00AD46D8" w:rsidRPr="002F108B" w:rsidRDefault="00DD0942" w:rsidP="00F67729">
      <w:pPr>
        <w:pStyle w:val="Heading3"/>
        <w:rPr>
          <w:lang w:val="en-NZ"/>
        </w:rPr>
      </w:pPr>
      <w:r w:rsidRPr="002F108B">
        <w:rPr>
          <w:lang w:val="en-NZ"/>
        </w:rPr>
        <w:t>N</w:t>
      </w:r>
      <w:r w:rsidR="00BA63CD" w:rsidRPr="002F108B">
        <w:rPr>
          <w:lang w:val="en-NZ"/>
        </w:rPr>
        <w:t xml:space="preserve">ew Zealanders </w:t>
      </w:r>
      <w:r w:rsidR="008A092C" w:rsidRPr="002F108B">
        <w:rPr>
          <w:lang w:val="en-NZ"/>
        </w:rPr>
        <w:t xml:space="preserve">are </w:t>
      </w:r>
      <w:r w:rsidR="00BA63CD" w:rsidRPr="002F108B">
        <w:rPr>
          <w:lang w:val="en-NZ"/>
        </w:rPr>
        <w:t xml:space="preserve">accessing </w:t>
      </w:r>
      <w:r w:rsidR="00247EDD">
        <w:rPr>
          <w:lang w:val="en-NZ"/>
        </w:rPr>
        <w:t xml:space="preserve">‘free to play’ </w:t>
      </w:r>
      <w:r w:rsidR="00ED69EC" w:rsidRPr="002F108B">
        <w:rPr>
          <w:lang w:val="en-NZ"/>
        </w:rPr>
        <w:t xml:space="preserve">online gambling </w:t>
      </w:r>
      <w:r w:rsidR="00247EDD">
        <w:rPr>
          <w:lang w:val="en-NZ"/>
        </w:rPr>
        <w:t xml:space="preserve">(i.e. </w:t>
      </w:r>
      <w:r w:rsidR="00612D2A" w:rsidRPr="002F108B">
        <w:rPr>
          <w:u w:val="single"/>
          <w:lang w:val="en-NZ"/>
        </w:rPr>
        <w:t>not for money</w:t>
      </w:r>
      <w:r w:rsidR="00247EDD">
        <w:rPr>
          <w:u w:val="single"/>
          <w:lang w:val="en-NZ"/>
        </w:rPr>
        <w:t>)</w:t>
      </w:r>
      <w:r w:rsidR="00612D2A" w:rsidRPr="002F108B">
        <w:rPr>
          <w:lang w:val="en-NZ"/>
        </w:rPr>
        <w:t xml:space="preserve"> </w:t>
      </w:r>
    </w:p>
    <w:p w14:paraId="17C3BE8D" w14:textId="639BC9E4" w:rsidR="00BA63CD" w:rsidRPr="002F108B" w:rsidRDefault="00010A87" w:rsidP="009B49E1">
      <w:pPr>
        <w:rPr>
          <w:lang w:val="en-NZ"/>
        </w:rPr>
      </w:pPr>
      <w:r w:rsidRPr="002F108B">
        <w:rPr>
          <w:lang w:val="en-NZ"/>
        </w:rPr>
        <w:t xml:space="preserve">In 2015, </w:t>
      </w:r>
      <w:r w:rsidR="00D010EC" w:rsidRPr="002F108B">
        <w:rPr>
          <w:lang w:val="en-NZ"/>
        </w:rPr>
        <w:t xml:space="preserve">wave 4 of </w:t>
      </w:r>
      <w:r w:rsidR="003F41AF" w:rsidRPr="002F108B">
        <w:rPr>
          <w:lang w:val="en-NZ"/>
        </w:rPr>
        <w:t xml:space="preserve">the NGS </w:t>
      </w:r>
      <w:r w:rsidR="00CA2483" w:rsidRPr="002F108B">
        <w:rPr>
          <w:lang w:val="en-NZ"/>
        </w:rPr>
        <w:t xml:space="preserve">identified that </w:t>
      </w:r>
      <w:r w:rsidRPr="002F108B">
        <w:rPr>
          <w:lang w:val="en-NZ"/>
        </w:rPr>
        <w:t xml:space="preserve">13% of </w:t>
      </w:r>
      <w:r w:rsidR="00CA2483" w:rsidRPr="002F108B">
        <w:rPr>
          <w:lang w:val="en-NZ"/>
        </w:rPr>
        <w:t>participants</w:t>
      </w:r>
      <w:r w:rsidRPr="002F108B">
        <w:rPr>
          <w:lang w:val="en-NZ"/>
        </w:rPr>
        <w:t xml:space="preserve"> </w:t>
      </w:r>
      <w:r w:rsidR="00CA2483" w:rsidRPr="002F108B">
        <w:rPr>
          <w:lang w:val="en-NZ"/>
        </w:rPr>
        <w:t xml:space="preserve">reported playing </w:t>
      </w:r>
      <w:r w:rsidRPr="002F108B">
        <w:rPr>
          <w:lang w:val="en-NZ"/>
        </w:rPr>
        <w:t>gambling</w:t>
      </w:r>
      <w:r w:rsidR="00CA2483" w:rsidRPr="002F108B">
        <w:rPr>
          <w:lang w:val="en-NZ"/>
        </w:rPr>
        <w:t xml:space="preserve"> </w:t>
      </w:r>
      <w:r w:rsidRPr="002F108B">
        <w:rPr>
          <w:lang w:val="en-NZ"/>
        </w:rPr>
        <w:t>type games</w:t>
      </w:r>
      <w:r w:rsidR="00C75DB5" w:rsidRPr="002F108B">
        <w:rPr>
          <w:lang w:val="en-NZ"/>
        </w:rPr>
        <w:t>,</w:t>
      </w:r>
      <w:r w:rsidRPr="002F108B">
        <w:rPr>
          <w:lang w:val="en-NZ"/>
        </w:rPr>
        <w:t xml:space="preserve"> not for </w:t>
      </w:r>
      <w:r w:rsidR="00ED189E" w:rsidRPr="002F108B">
        <w:rPr>
          <w:lang w:val="en-NZ"/>
        </w:rPr>
        <w:t xml:space="preserve">real </w:t>
      </w:r>
      <w:r w:rsidRPr="002F108B">
        <w:rPr>
          <w:lang w:val="en-NZ"/>
        </w:rPr>
        <w:t>money</w:t>
      </w:r>
      <w:r w:rsidR="00CA2483" w:rsidRPr="002F108B">
        <w:rPr>
          <w:lang w:val="en-NZ"/>
        </w:rPr>
        <w:t xml:space="preserve"> or prizes</w:t>
      </w:r>
      <w:r w:rsidR="0043728E" w:rsidRPr="002F108B">
        <w:rPr>
          <w:lang w:val="en-NZ"/>
        </w:rPr>
        <w:t>,</w:t>
      </w:r>
      <w:r w:rsidR="00CA2483" w:rsidRPr="002F108B">
        <w:rPr>
          <w:lang w:val="en-NZ"/>
        </w:rPr>
        <w:t xml:space="preserve"> in the prior 12 months</w:t>
      </w:r>
      <w:r w:rsidR="00B30B20" w:rsidRPr="002F108B">
        <w:rPr>
          <w:lang w:val="en-NZ"/>
        </w:rPr>
        <w:t xml:space="preserve"> </w:t>
      </w:r>
      <w:r w:rsidR="00B30B20" w:rsidRPr="002F108B">
        <w:rPr>
          <w:rFonts w:cs="Calibri"/>
          <w:lang w:val="en-NZ"/>
        </w:rPr>
        <w:t>(Abbott et al., 2018)</w:t>
      </w:r>
      <w:r w:rsidR="00BF34BB" w:rsidRPr="002F108B">
        <w:rPr>
          <w:lang w:val="en-NZ"/>
        </w:rPr>
        <w:t>.</w:t>
      </w:r>
      <w:r w:rsidRPr="002F108B">
        <w:rPr>
          <w:lang w:val="en-NZ"/>
        </w:rPr>
        <w:t xml:space="preserve"> Māori were more likely to play these games</w:t>
      </w:r>
      <w:r w:rsidR="005A6FB8" w:rsidRPr="002F108B">
        <w:rPr>
          <w:lang w:val="en-NZ"/>
        </w:rPr>
        <w:t xml:space="preserve"> across all data collection waves</w:t>
      </w:r>
      <w:r w:rsidR="00BF34BB" w:rsidRPr="002F108B">
        <w:rPr>
          <w:lang w:val="en-NZ"/>
        </w:rPr>
        <w:t>.</w:t>
      </w:r>
      <w:r w:rsidRPr="002F108B">
        <w:rPr>
          <w:lang w:val="en-NZ"/>
        </w:rPr>
        <w:t xml:space="preserve"> The proportion of adults who participated in </w:t>
      </w:r>
      <w:r w:rsidR="00247EDD">
        <w:rPr>
          <w:lang w:val="en-NZ"/>
        </w:rPr>
        <w:t xml:space="preserve">‘free to play’ </w:t>
      </w:r>
      <w:r w:rsidRPr="002F108B">
        <w:rPr>
          <w:lang w:val="en-NZ"/>
        </w:rPr>
        <w:t>gambling-type games</w:t>
      </w:r>
      <w:r w:rsidR="0043728E" w:rsidRPr="002F108B">
        <w:rPr>
          <w:lang w:val="en-NZ"/>
        </w:rPr>
        <w:t>,</w:t>
      </w:r>
      <w:r w:rsidR="00BF34BB" w:rsidRPr="002F108B">
        <w:rPr>
          <w:lang w:val="en-NZ"/>
        </w:rPr>
        <w:t xml:space="preserve"> </w:t>
      </w:r>
      <w:r w:rsidRPr="002F108B">
        <w:rPr>
          <w:lang w:val="en-NZ"/>
        </w:rPr>
        <w:t>reduced from 16% in 2012 to 13%</w:t>
      </w:r>
      <w:r w:rsidR="00262999" w:rsidRPr="002F108B">
        <w:rPr>
          <w:lang w:val="en-NZ"/>
        </w:rPr>
        <w:t xml:space="preserve"> </w:t>
      </w:r>
      <w:r w:rsidR="00262999" w:rsidRPr="002F108B">
        <w:rPr>
          <w:rFonts w:cs="Calibri"/>
          <w:lang w:val="en-NZ"/>
        </w:rPr>
        <w:t>(Abbott et al., 2018)</w:t>
      </w:r>
      <w:r w:rsidRPr="002F108B">
        <w:rPr>
          <w:lang w:val="en-NZ"/>
        </w:rPr>
        <w:t>. In 2015, skill games were the most common (7.2%), followed by fantasy football (</w:t>
      </w:r>
      <w:r w:rsidR="00830258" w:rsidRPr="002F108B">
        <w:rPr>
          <w:lang w:val="en-NZ"/>
        </w:rPr>
        <w:t>4.1</w:t>
      </w:r>
      <w:r w:rsidRPr="002F108B">
        <w:rPr>
          <w:lang w:val="en-NZ"/>
        </w:rPr>
        <w:t>%) and internet poker (2.3%)</w:t>
      </w:r>
      <w:r w:rsidR="00262999" w:rsidRPr="002F108B">
        <w:rPr>
          <w:lang w:val="en-NZ"/>
        </w:rPr>
        <w:t xml:space="preserve"> </w:t>
      </w:r>
      <w:r w:rsidR="00262999" w:rsidRPr="002F108B">
        <w:rPr>
          <w:rFonts w:cs="Calibri"/>
          <w:lang w:val="en-NZ"/>
        </w:rPr>
        <w:t>(Abbott et al., 2018)</w:t>
      </w:r>
      <w:r w:rsidRPr="002F108B">
        <w:rPr>
          <w:lang w:val="en-NZ"/>
        </w:rPr>
        <w:t xml:space="preserve">. </w:t>
      </w:r>
    </w:p>
    <w:p w14:paraId="117E6056" w14:textId="7C7721E5" w:rsidR="00EB271A" w:rsidRPr="002F108B" w:rsidRDefault="00247EDD" w:rsidP="00EB271A">
      <w:pPr>
        <w:rPr>
          <w:lang w:val="en-NZ"/>
        </w:rPr>
      </w:pPr>
      <w:r>
        <w:rPr>
          <w:lang w:val="en-NZ"/>
        </w:rPr>
        <w:t>‘Free to play’ o</w:t>
      </w:r>
      <w:r w:rsidR="00010A87" w:rsidRPr="002F108B">
        <w:rPr>
          <w:lang w:val="en-NZ"/>
        </w:rPr>
        <w:t xml:space="preserve">nline casino games were played by 1.5% of adults. Māori were more likely to play </w:t>
      </w:r>
      <w:r>
        <w:rPr>
          <w:lang w:val="en-NZ"/>
        </w:rPr>
        <w:t xml:space="preserve">‘free to play’ </w:t>
      </w:r>
      <w:r w:rsidR="00010A87" w:rsidRPr="002F108B">
        <w:rPr>
          <w:lang w:val="en-NZ"/>
        </w:rPr>
        <w:t>gambling-type games - 21% in 2015. The higher participation by Māori was constant across the years</w:t>
      </w:r>
      <w:r w:rsidR="00A43CE2" w:rsidRPr="002F108B">
        <w:rPr>
          <w:lang w:val="en-NZ"/>
        </w:rPr>
        <w:t xml:space="preserve"> </w:t>
      </w:r>
      <w:r w:rsidR="00A43CE2" w:rsidRPr="002F108B">
        <w:rPr>
          <w:rFonts w:cs="Calibri"/>
          <w:lang w:val="en-NZ"/>
        </w:rPr>
        <w:t>(Abbott et al., 2018)</w:t>
      </w:r>
      <w:r w:rsidR="00010A87" w:rsidRPr="002F108B">
        <w:rPr>
          <w:lang w:val="en-NZ"/>
        </w:rPr>
        <w:t>.</w:t>
      </w:r>
    </w:p>
    <w:p w14:paraId="7C37F79E" w14:textId="4B4CC07A" w:rsidR="00336E04" w:rsidRPr="002F108B" w:rsidRDefault="00336E04" w:rsidP="009B49E1">
      <w:pPr>
        <w:rPr>
          <w:lang w:val="en-NZ"/>
        </w:rPr>
      </w:pPr>
      <w:r w:rsidRPr="002F108B">
        <w:rPr>
          <w:lang w:val="en-NZ"/>
        </w:rPr>
        <w:t xml:space="preserve">Interviewed </w:t>
      </w:r>
      <w:r w:rsidR="00624F63" w:rsidRPr="002F108B">
        <w:rPr>
          <w:lang w:val="en-NZ"/>
        </w:rPr>
        <w:t xml:space="preserve">gambling harm service representatives described </w:t>
      </w:r>
      <w:r w:rsidR="00247EDD">
        <w:rPr>
          <w:lang w:val="en-NZ"/>
        </w:rPr>
        <w:t xml:space="preserve">‘free to play’ </w:t>
      </w:r>
      <w:r w:rsidR="001C2149" w:rsidRPr="002F108B">
        <w:rPr>
          <w:lang w:val="en-NZ"/>
        </w:rPr>
        <w:t xml:space="preserve">online gambling </w:t>
      </w:r>
      <w:r w:rsidR="00A02708" w:rsidRPr="002F108B">
        <w:rPr>
          <w:lang w:val="en-NZ"/>
        </w:rPr>
        <w:t>as a potential pathway to gambl</w:t>
      </w:r>
      <w:r w:rsidR="00132B63">
        <w:rPr>
          <w:lang w:val="en-NZ"/>
        </w:rPr>
        <w:t>i</w:t>
      </w:r>
      <w:r w:rsidR="00A02708" w:rsidRPr="002F108B">
        <w:rPr>
          <w:lang w:val="en-NZ"/>
        </w:rPr>
        <w:t xml:space="preserve">ng </w:t>
      </w:r>
      <w:r w:rsidR="00A02708" w:rsidRPr="002F108B">
        <w:rPr>
          <w:u w:val="single"/>
          <w:lang w:val="en-NZ"/>
        </w:rPr>
        <w:t>for money</w:t>
      </w:r>
      <w:r w:rsidR="00A02708" w:rsidRPr="002F108B">
        <w:rPr>
          <w:lang w:val="en-NZ"/>
        </w:rPr>
        <w:t>.</w:t>
      </w:r>
    </w:p>
    <w:p w14:paraId="2E8B143F" w14:textId="7EEAF386" w:rsidR="00C17959" w:rsidRDefault="00C17959" w:rsidP="00C17959">
      <w:pPr>
        <w:pStyle w:val="Quotes"/>
        <w:rPr>
          <w:lang w:val="en-NZ"/>
        </w:rPr>
      </w:pPr>
      <w:r w:rsidRPr="002F108B">
        <w:rPr>
          <w:lang w:val="en-NZ"/>
        </w:rPr>
        <w:t>Anecdotally a lot of people talking about</w:t>
      </w:r>
      <w:r w:rsidR="007C7B65" w:rsidRPr="002F108B">
        <w:rPr>
          <w:lang w:val="en-NZ"/>
        </w:rPr>
        <w:t>...</w:t>
      </w:r>
      <w:r w:rsidRPr="002F108B">
        <w:rPr>
          <w:lang w:val="en-NZ"/>
        </w:rPr>
        <w:t>the free slot machines online.</w:t>
      </w:r>
      <w:r w:rsidR="007C7B65" w:rsidRPr="002F108B">
        <w:rPr>
          <w:lang w:val="en-NZ"/>
        </w:rPr>
        <w:t>..“M</w:t>
      </w:r>
      <w:r w:rsidRPr="002F108B">
        <w:rPr>
          <w:lang w:val="en-NZ"/>
        </w:rPr>
        <w:t xml:space="preserve">y mother plays free slots online. But there's a time when she's asking for </w:t>
      </w:r>
      <w:r w:rsidR="007C7B65" w:rsidRPr="002F108B">
        <w:rPr>
          <w:lang w:val="en-NZ"/>
        </w:rPr>
        <w:t xml:space="preserve">[my] </w:t>
      </w:r>
      <w:r w:rsidRPr="002F108B">
        <w:rPr>
          <w:lang w:val="en-NZ"/>
        </w:rPr>
        <w:t xml:space="preserve">credit card to buy more credits that start off as a free game. </w:t>
      </w:r>
      <w:r w:rsidR="009F3E6A" w:rsidRPr="002F108B">
        <w:rPr>
          <w:lang w:val="en-NZ"/>
        </w:rPr>
        <w:t>(</w:t>
      </w:r>
      <w:r w:rsidR="00914B90">
        <w:rPr>
          <w:lang w:val="en-NZ"/>
        </w:rPr>
        <w:t>Gambling harm service provider</w:t>
      </w:r>
      <w:r w:rsidR="00FB5092">
        <w:rPr>
          <w:lang w:val="en-NZ"/>
        </w:rPr>
        <w:t xml:space="preserve"> 3</w:t>
      </w:r>
      <w:r w:rsidR="009F3E6A" w:rsidRPr="002F108B">
        <w:rPr>
          <w:lang w:val="en-NZ"/>
        </w:rPr>
        <w:t>)</w:t>
      </w:r>
    </w:p>
    <w:p w14:paraId="168D4EC6" w14:textId="74C1B3DA" w:rsidR="00247EDD" w:rsidRPr="002F108B" w:rsidRDefault="00247EDD" w:rsidP="00247EDD">
      <w:pPr>
        <w:rPr>
          <w:lang w:val="en-NZ"/>
        </w:rPr>
      </w:pPr>
      <w:r>
        <w:rPr>
          <w:lang w:val="en-NZ"/>
        </w:rPr>
        <w:lastRenderedPageBreak/>
        <w:t>It is also important to note that although advertising of oversea</w:t>
      </w:r>
      <w:r w:rsidR="00E62EAC">
        <w:rPr>
          <w:lang w:val="en-NZ"/>
        </w:rPr>
        <w:t>s</w:t>
      </w:r>
      <w:r>
        <w:rPr>
          <w:lang w:val="en-NZ"/>
        </w:rPr>
        <w:t xml:space="preserve"> gambling is prohibited under </w:t>
      </w:r>
      <w:r w:rsidR="00C104D1">
        <w:rPr>
          <w:lang w:val="en-NZ"/>
        </w:rPr>
        <w:t>t</w:t>
      </w:r>
      <w:r>
        <w:rPr>
          <w:lang w:val="en-NZ"/>
        </w:rPr>
        <w:t>he Gambling Act</w:t>
      </w:r>
      <w:r>
        <w:rPr>
          <w:rStyle w:val="FootnoteReference"/>
          <w:lang w:val="en-NZ"/>
        </w:rPr>
        <w:footnoteReference w:id="16"/>
      </w:r>
      <w:r>
        <w:rPr>
          <w:lang w:val="en-NZ"/>
        </w:rPr>
        <w:t xml:space="preserve">, ‘free online casinos’ </w:t>
      </w:r>
      <w:r w:rsidR="00E62EAC">
        <w:rPr>
          <w:lang w:val="en-NZ"/>
        </w:rPr>
        <w:t>do have jurisdiction to</w:t>
      </w:r>
      <w:r>
        <w:rPr>
          <w:lang w:val="en-NZ"/>
        </w:rPr>
        <w:t xml:space="preserve"> advertise on New Zealand television because they are not played for money and </w:t>
      </w:r>
      <w:r w:rsidR="00E62EAC">
        <w:rPr>
          <w:lang w:val="en-NZ"/>
        </w:rPr>
        <w:t xml:space="preserve">are </w:t>
      </w:r>
      <w:r>
        <w:rPr>
          <w:lang w:val="en-NZ"/>
        </w:rPr>
        <w:t>there</w:t>
      </w:r>
      <w:r w:rsidR="00E62EAC">
        <w:rPr>
          <w:lang w:val="en-NZ"/>
        </w:rPr>
        <w:t>fore</w:t>
      </w:r>
      <w:r>
        <w:rPr>
          <w:lang w:val="en-NZ"/>
        </w:rPr>
        <w:t xml:space="preserve"> not technically defined as gambling.</w:t>
      </w:r>
    </w:p>
    <w:p w14:paraId="1F14C523" w14:textId="05BA3CB5" w:rsidR="002E5882" w:rsidRPr="002F108B" w:rsidRDefault="002E5882" w:rsidP="002E5882">
      <w:pPr>
        <w:pStyle w:val="Heading3"/>
        <w:rPr>
          <w:lang w:val="en-NZ"/>
        </w:rPr>
      </w:pPr>
      <w:r w:rsidRPr="002F108B">
        <w:rPr>
          <w:lang w:val="en-NZ"/>
        </w:rPr>
        <w:t xml:space="preserve">Online gambling </w:t>
      </w:r>
      <w:r w:rsidR="00E42BB5" w:rsidRPr="002F108B">
        <w:rPr>
          <w:lang w:val="en-NZ"/>
        </w:rPr>
        <w:t xml:space="preserve">(offshore and national) </w:t>
      </w:r>
      <w:r w:rsidRPr="002F108B">
        <w:rPr>
          <w:lang w:val="en-NZ"/>
        </w:rPr>
        <w:t>is not adequately regulated</w:t>
      </w:r>
    </w:p>
    <w:p w14:paraId="7D526557" w14:textId="7D9D0E94" w:rsidR="001D5ABE" w:rsidRPr="002F108B" w:rsidRDefault="0024115F" w:rsidP="001D5ABE">
      <w:pPr>
        <w:rPr>
          <w:lang w:val="en-NZ"/>
        </w:rPr>
      </w:pPr>
      <w:r w:rsidRPr="002F108B">
        <w:rPr>
          <w:b/>
          <w:lang w:val="en-NZ"/>
        </w:rPr>
        <w:t xml:space="preserve">Offshore online gambling: </w:t>
      </w:r>
      <w:r w:rsidR="002E5882" w:rsidRPr="002F108B">
        <w:rPr>
          <w:lang w:val="en-NZ"/>
        </w:rPr>
        <w:t>Interviewed participants from all gambling stakeholder groups commonly agreed that offshore online gambling in Aote</w:t>
      </w:r>
      <w:r w:rsidR="00065F8D" w:rsidRPr="002F108B">
        <w:rPr>
          <w:lang w:val="en-NZ"/>
        </w:rPr>
        <w:t>a</w:t>
      </w:r>
      <w:r w:rsidR="002E5882" w:rsidRPr="002F108B">
        <w:rPr>
          <w:lang w:val="en-NZ"/>
        </w:rPr>
        <w:t>roa New Zealand was not well regulated</w:t>
      </w:r>
      <w:r w:rsidR="00132B63">
        <w:rPr>
          <w:lang w:val="en-NZ"/>
        </w:rPr>
        <w:t>. T</w:t>
      </w:r>
      <w:r w:rsidR="001D5ABE" w:rsidRPr="002F108B">
        <w:rPr>
          <w:lang w:val="en-NZ"/>
        </w:rPr>
        <w:t>ighter restrictions</w:t>
      </w:r>
      <w:r w:rsidR="00D8318C" w:rsidRPr="002F108B">
        <w:rPr>
          <w:lang w:val="en-NZ"/>
        </w:rPr>
        <w:t xml:space="preserve"> were needed</w:t>
      </w:r>
      <w:r w:rsidR="001D5ABE" w:rsidRPr="002F108B">
        <w:rPr>
          <w:lang w:val="en-NZ"/>
        </w:rPr>
        <w:t xml:space="preserve"> to minimise novel, increased and uncontrolled access to online gambling and related harms.</w:t>
      </w:r>
    </w:p>
    <w:p w14:paraId="5590AD08" w14:textId="5F9B02B1" w:rsidR="002E5882" w:rsidRPr="002F108B" w:rsidRDefault="002E5882" w:rsidP="002E5882">
      <w:pPr>
        <w:pStyle w:val="Quotes"/>
        <w:rPr>
          <w:lang w:val="en-NZ"/>
        </w:rPr>
      </w:pPr>
      <w:r w:rsidRPr="002F108B">
        <w:rPr>
          <w:lang w:val="en-NZ"/>
        </w:rPr>
        <w:t xml:space="preserve">Unregulated offshore online gambling offers none of the safety mechanisms offered by the physical gambling environments. </w:t>
      </w:r>
      <w:r w:rsidR="00D54D58">
        <w:rPr>
          <w:lang w:val="en-NZ"/>
        </w:rPr>
        <w:t>On</w:t>
      </w:r>
      <w:r w:rsidRPr="002F108B">
        <w:rPr>
          <w:lang w:val="en-NZ"/>
        </w:rPr>
        <w:t xml:space="preserve"> the contrary – offshore online gambling environments: Are highly accessible, being available 24 hours a day from the comfort and privacy of households; Have no restrictions on bet sizes; Have no capacity for staff to observe and assist people in trouble; Are accessible to vulnerable groups of people; Provide no guaranteed return to players; Are easily abused by minors; Allow promotors to encourage gamblers to gamble more by offering inducements such as the opportunity to gamble on credit</w:t>
      </w:r>
      <w:r w:rsidR="00447864">
        <w:rPr>
          <w:lang w:val="en-NZ"/>
        </w:rPr>
        <w:t>…</w:t>
      </w:r>
      <w:r w:rsidRPr="002F108B">
        <w:rPr>
          <w:lang w:val="en-NZ"/>
        </w:rPr>
        <w:t xml:space="preserve"> (Gambling Industry</w:t>
      </w:r>
      <w:r w:rsidR="00FB5092">
        <w:rPr>
          <w:lang w:val="en-NZ"/>
        </w:rPr>
        <w:t xml:space="preserve"> 1</w:t>
      </w:r>
      <w:r w:rsidRPr="002F108B">
        <w:rPr>
          <w:lang w:val="en-NZ"/>
        </w:rPr>
        <w:t>)</w:t>
      </w:r>
    </w:p>
    <w:p w14:paraId="2647FA53" w14:textId="13387136" w:rsidR="00497786" w:rsidRPr="002F108B" w:rsidRDefault="00E42BB5" w:rsidP="002E5882">
      <w:pPr>
        <w:rPr>
          <w:lang w:val="en-NZ"/>
        </w:rPr>
      </w:pPr>
      <w:r w:rsidRPr="002F108B">
        <w:rPr>
          <w:b/>
          <w:lang w:val="en-NZ"/>
        </w:rPr>
        <w:t>National o</w:t>
      </w:r>
      <w:r w:rsidR="00770099" w:rsidRPr="002F108B">
        <w:rPr>
          <w:b/>
          <w:lang w:val="en-NZ"/>
        </w:rPr>
        <w:t xml:space="preserve">nline gambling: </w:t>
      </w:r>
      <w:r w:rsidR="001710EA" w:rsidRPr="002F108B">
        <w:rPr>
          <w:lang w:val="en-NZ"/>
        </w:rPr>
        <w:t>Gambling harm service</w:t>
      </w:r>
      <w:r w:rsidR="009A39AF" w:rsidRPr="002F108B">
        <w:rPr>
          <w:lang w:val="en-NZ"/>
        </w:rPr>
        <w:t xml:space="preserve">, </w:t>
      </w:r>
      <w:r w:rsidR="00F55226" w:rsidRPr="002F108B">
        <w:rPr>
          <w:lang w:val="en-NZ"/>
        </w:rPr>
        <w:t>lived experience</w:t>
      </w:r>
      <w:r w:rsidR="00065F8D" w:rsidRPr="002F108B">
        <w:rPr>
          <w:lang w:val="en-NZ"/>
        </w:rPr>
        <w:t>,</w:t>
      </w:r>
      <w:r w:rsidR="00F55226" w:rsidRPr="002F108B">
        <w:rPr>
          <w:lang w:val="en-NZ"/>
        </w:rPr>
        <w:t xml:space="preserve"> </w:t>
      </w:r>
      <w:r w:rsidR="00353431" w:rsidRPr="002F108B">
        <w:rPr>
          <w:lang w:val="en-NZ"/>
        </w:rPr>
        <w:t xml:space="preserve">and some gambling industry representatives </w:t>
      </w:r>
      <w:r w:rsidR="004D1AAC" w:rsidRPr="002F108B">
        <w:rPr>
          <w:lang w:val="en-NZ"/>
        </w:rPr>
        <w:t xml:space="preserve">highlighted a need for tighter regulation and controls to </w:t>
      </w:r>
      <w:r w:rsidR="004646F4" w:rsidRPr="002F108B">
        <w:rPr>
          <w:lang w:val="en-NZ"/>
        </w:rPr>
        <w:t xml:space="preserve">manage </w:t>
      </w:r>
      <w:r w:rsidR="00DA00CF" w:rsidRPr="002F108B">
        <w:rPr>
          <w:lang w:val="en-NZ"/>
        </w:rPr>
        <w:t xml:space="preserve">a fast-growing </w:t>
      </w:r>
      <w:r w:rsidR="002D79E1" w:rsidRPr="002F108B">
        <w:rPr>
          <w:lang w:val="en-NZ"/>
        </w:rPr>
        <w:t>onlin</w:t>
      </w:r>
      <w:r w:rsidR="009958A2" w:rsidRPr="002F108B">
        <w:rPr>
          <w:lang w:val="en-NZ"/>
        </w:rPr>
        <w:t>e</w:t>
      </w:r>
      <w:r w:rsidR="002D79E1" w:rsidRPr="002F108B">
        <w:rPr>
          <w:lang w:val="en-NZ"/>
        </w:rPr>
        <w:t xml:space="preserve"> gambling </w:t>
      </w:r>
      <w:r w:rsidR="00DA00CF" w:rsidRPr="002F108B">
        <w:rPr>
          <w:lang w:val="en-NZ"/>
        </w:rPr>
        <w:t xml:space="preserve">participation rate and </w:t>
      </w:r>
      <w:r w:rsidR="001028B5" w:rsidRPr="002F108B">
        <w:rPr>
          <w:lang w:val="en-NZ"/>
        </w:rPr>
        <w:t xml:space="preserve">potential </w:t>
      </w:r>
      <w:r w:rsidR="0090784F" w:rsidRPr="002F108B">
        <w:rPr>
          <w:lang w:val="en-NZ"/>
        </w:rPr>
        <w:t>gambling harm prevalence</w:t>
      </w:r>
      <w:r w:rsidR="00900265" w:rsidRPr="002F108B">
        <w:rPr>
          <w:lang w:val="en-NZ"/>
        </w:rPr>
        <w:t xml:space="preserve"> in Aotearoa New Zealand</w:t>
      </w:r>
      <w:r w:rsidR="0090784F" w:rsidRPr="002F108B">
        <w:rPr>
          <w:lang w:val="en-NZ"/>
        </w:rPr>
        <w:t xml:space="preserve">. </w:t>
      </w:r>
    </w:p>
    <w:p w14:paraId="3DD1A4B9" w14:textId="181C8296" w:rsidR="00D43C63" w:rsidRPr="002F108B" w:rsidRDefault="00D43C63" w:rsidP="00D43C63">
      <w:pPr>
        <w:pStyle w:val="Quotes"/>
        <w:rPr>
          <w:lang w:val="en-NZ"/>
        </w:rPr>
      </w:pPr>
      <w:r w:rsidRPr="002F108B">
        <w:rPr>
          <w:lang w:val="en-NZ"/>
        </w:rPr>
        <w:t>How easy it is to start to gamble. Just out of boredom. Instead of going to the pub</w:t>
      </w:r>
      <w:r w:rsidR="00D54D58">
        <w:rPr>
          <w:lang w:val="en-NZ"/>
        </w:rPr>
        <w:t>, you can just stay home, download the apps,</w:t>
      </w:r>
      <w:r w:rsidRPr="002F108B">
        <w:rPr>
          <w:lang w:val="en-NZ"/>
        </w:rPr>
        <w:t xml:space="preserve"> and enter your card details. So it’s definitely changed within the past three years. It used to just be going down to the pub. Now it’s so effortless you just pop out your phone. (Lived experience representative)</w:t>
      </w:r>
    </w:p>
    <w:p w14:paraId="1769203C" w14:textId="110BCC7A" w:rsidR="00AE7BA0" w:rsidRPr="002F108B" w:rsidRDefault="007C6DC3" w:rsidP="00AE7BA0">
      <w:pPr>
        <w:rPr>
          <w:lang w:val="en-NZ"/>
        </w:rPr>
      </w:pPr>
      <w:r w:rsidRPr="002F108B">
        <w:rPr>
          <w:lang w:val="en-NZ"/>
        </w:rPr>
        <w:t>Gambling industry representatives a</w:t>
      </w:r>
      <w:r w:rsidR="00BF5D64" w:rsidRPr="002F108B">
        <w:rPr>
          <w:lang w:val="en-NZ"/>
        </w:rPr>
        <w:t>lso indicated a need to</w:t>
      </w:r>
      <w:r w:rsidR="00935CCC" w:rsidRPr="002F108B">
        <w:rPr>
          <w:lang w:val="en-NZ"/>
        </w:rPr>
        <w:t xml:space="preserve"> open opportunities for</w:t>
      </w:r>
      <w:r w:rsidR="007C744F" w:rsidRPr="002F108B">
        <w:rPr>
          <w:lang w:val="en-NZ"/>
        </w:rPr>
        <w:t xml:space="preserve"> </w:t>
      </w:r>
      <w:r w:rsidR="00F81FBE" w:rsidRPr="002F108B">
        <w:rPr>
          <w:lang w:val="en-NZ"/>
        </w:rPr>
        <w:t>Aotearoa New Zealand’s gambling industry</w:t>
      </w:r>
      <w:r w:rsidR="007C744F" w:rsidRPr="002F108B">
        <w:rPr>
          <w:lang w:val="en-NZ"/>
        </w:rPr>
        <w:t xml:space="preserve"> to </w:t>
      </w:r>
      <w:r w:rsidR="008A3C30" w:rsidRPr="002F108B">
        <w:rPr>
          <w:lang w:val="en-NZ"/>
        </w:rPr>
        <w:t xml:space="preserve">deliver, monitor and </w:t>
      </w:r>
      <w:r w:rsidR="00636723" w:rsidRPr="002F108B">
        <w:rPr>
          <w:lang w:val="en-NZ"/>
        </w:rPr>
        <w:t>manage</w:t>
      </w:r>
      <w:r w:rsidR="009863DD" w:rsidRPr="002F108B">
        <w:rPr>
          <w:lang w:val="en-NZ"/>
        </w:rPr>
        <w:t xml:space="preserve"> online</w:t>
      </w:r>
      <w:r w:rsidR="00C626B5" w:rsidRPr="002F108B">
        <w:rPr>
          <w:lang w:val="en-NZ"/>
        </w:rPr>
        <w:t xml:space="preserve"> gambling products.</w:t>
      </w:r>
      <w:r w:rsidR="00636723" w:rsidRPr="002F108B">
        <w:rPr>
          <w:lang w:val="en-NZ"/>
        </w:rPr>
        <w:t xml:space="preserve"> </w:t>
      </w:r>
      <w:r w:rsidR="00AE7BA0" w:rsidRPr="002F108B">
        <w:rPr>
          <w:lang w:val="en-NZ"/>
        </w:rPr>
        <w:t>Many noted benefits for in-country expansion and control of online gambling</w:t>
      </w:r>
      <w:r w:rsidR="0045079D">
        <w:rPr>
          <w:lang w:val="en-NZ"/>
        </w:rPr>
        <w:t xml:space="preserve"> include</w:t>
      </w:r>
      <w:r w:rsidR="00AE7BA0" w:rsidRPr="002F108B">
        <w:rPr>
          <w:lang w:val="en-NZ"/>
        </w:rPr>
        <w:t xml:space="preserve"> increased community funding and contributions to the gambling levy. Increased access and referral to </w:t>
      </w:r>
      <w:r w:rsidR="004330F8" w:rsidRPr="002F108B">
        <w:rPr>
          <w:lang w:val="en-NZ"/>
        </w:rPr>
        <w:t xml:space="preserve">Aotearoa </w:t>
      </w:r>
      <w:r w:rsidR="00AE7BA0" w:rsidRPr="002F108B">
        <w:rPr>
          <w:lang w:val="en-NZ"/>
        </w:rPr>
        <w:t xml:space="preserve">New Zealand intervention services were also noted. </w:t>
      </w:r>
    </w:p>
    <w:p w14:paraId="37065013" w14:textId="345EDFC1" w:rsidR="00AE7BA0" w:rsidRPr="002F108B" w:rsidRDefault="00AE7BA0" w:rsidP="00AE7BA0">
      <w:pPr>
        <w:pStyle w:val="Quotes"/>
        <w:rPr>
          <w:lang w:val="en-NZ"/>
        </w:rPr>
      </w:pPr>
      <w:r w:rsidRPr="002F108B">
        <w:rPr>
          <w:bdr w:val="none" w:sz="0" w:space="0" w:color="auto" w:frame="1"/>
          <w:lang w:val="en-NZ"/>
        </w:rPr>
        <w:t>Online slots game...can't be hosted in New Zealand...you [can] base them out of Malta...That's tax dollars going overseas for Class 4</w:t>
      </w:r>
      <w:r w:rsidR="00EA7F86" w:rsidRPr="002F108B">
        <w:rPr>
          <w:bdr w:val="none" w:sz="0" w:space="0" w:color="auto" w:frame="1"/>
          <w:lang w:val="en-NZ"/>
        </w:rPr>
        <w:t>;</w:t>
      </w:r>
      <w:r w:rsidRPr="002F108B">
        <w:rPr>
          <w:bdr w:val="none" w:sz="0" w:space="0" w:color="auto" w:frame="1"/>
          <w:lang w:val="en-NZ"/>
        </w:rPr>
        <w:t xml:space="preserve"> that's the 40% that should be going to grants which </w:t>
      </w:r>
      <w:r w:rsidR="004F2295">
        <w:rPr>
          <w:bdr w:val="none" w:sz="0" w:space="0" w:color="auto" w:frame="1"/>
          <w:lang w:val="en-NZ"/>
        </w:rPr>
        <w:t>are</w:t>
      </w:r>
      <w:r w:rsidRPr="002F108B">
        <w:rPr>
          <w:bdr w:val="none" w:sz="0" w:space="0" w:color="auto" w:frame="1"/>
          <w:lang w:val="en-NZ"/>
        </w:rPr>
        <w:t xml:space="preserve"> going in the back pocket of somebody. (Gambling industry</w:t>
      </w:r>
      <w:r w:rsidR="00FB5092">
        <w:rPr>
          <w:bdr w:val="none" w:sz="0" w:space="0" w:color="auto" w:frame="1"/>
          <w:lang w:val="en-NZ"/>
        </w:rPr>
        <w:t xml:space="preserve"> 3</w:t>
      </w:r>
      <w:r w:rsidRPr="002F108B">
        <w:rPr>
          <w:bdr w:val="none" w:sz="0" w:space="0" w:color="auto" w:frame="1"/>
          <w:lang w:val="en-NZ"/>
        </w:rPr>
        <w:t>)</w:t>
      </w:r>
    </w:p>
    <w:p w14:paraId="7BD9D94D" w14:textId="2F04B6E6" w:rsidR="00F55226" w:rsidRPr="002F108B" w:rsidRDefault="00F52762" w:rsidP="002E5882">
      <w:pPr>
        <w:rPr>
          <w:lang w:val="en-NZ"/>
        </w:rPr>
      </w:pPr>
      <w:r w:rsidRPr="002F108B">
        <w:rPr>
          <w:lang w:val="en-NZ"/>
        </w:rPr>
        <w:t>Gambling indust</w:t>
      </w:r>
      <w:r w:rsidR="00B86A7A" w:rsidRPr="002F108B">
        <w:rPr>
          <w:lang w:val="en-NZ"/>
        </w:rPr>
        <w:t>r</w:t>
      </w:r>
      <w:r w:rsidRPr="002F108B">
        <w:rPr>
          <w:lang w:val="en-NZ"/>
        </w:rPr>
        <w:t xml:space="preserve">y representatives </w:t>
      </w:r>
      <w:r w:rsidR="00B86A7A" w:rsidRPr="002F108B">
        <w:rPr>
          <w:lang w:val="en-NZ"/>
        </w:rPr>
        <w:t xml:space="preserve">further </w:t>
      </w:r>
      <w:r w:rsidR="00ED0737" w:rsidRPr="002F108B">
        <w:rPr>
          <w:lang w:val="en-NZ"/>
        </w:rPr>
        <w:t xml:space="preserve">described </w:t>
      </w:r>
      <w:r w:rsidRPr="002F108B">
        <w:rPr>
          <w:lang w:val="en-NZ"/>
        </w:rPr>
        <w:t>c</w:t>
      </w:r>
      <w:r w:rsidR="008861BF" w:rsidRPr="002F108B">
        <w:rPr>
          <w:lang w:val="en-NZ"/>
        </w:rPr>
        <w:t xml:space="preserve">ontinued restrictions </w:t>
      </w:r>
      <w:r w:rsidR="0039478A" w:rsidRPr="002F108B">
        <w:rPr>
          <w:lang w:val="en-NZ"/>
        </w:rPr>
        <w:t xml:space="preserve">and control over Aotearoa New Zealand based online gambling </w:t>
      </w:r>
      <w:r w:rsidR="00C90F7B" w:rsidRPr="002F108B">
        <w:rPr>
          <w:lang w:val="en-NZ"/>
        </w:rPr>
        <w:t xml:space="preserve">as </w:t>
      </w:r>
      <w:r w:rsidR="00C90F7B" w:rsidRPr="002F108B">
        <w:rPr>
          <w:rStyle w:val="QuotesChar"/>
          <w:lang w:val="en-NZ"/>
        </w:rPr>
        <w:t>neglig</w:t>
      </w:r>
      <w:r w:rsidR="00EA7F86" w:rsidRPr="002F108B">
        <w:rPr>
          <w:rStyle w:val="QuotesChar"/>
          <w:lang w:val="en-NZ"/>
        </w:rPr>
        <w:t>e</w:t>
      </w:r>
      <w:r w:rsidR="00C90F7B" w:rsidRPr="002F108B">
        <w:rPr>
          <w:rStyle w:val="QuotesChar"/>
          <w:lang w:val="en-NZ"/>
        </w:rPr>
        <w:t>n</w:t>
      </w:r>
      <w:r w:rsidR="002D1755" w:rsidRPr="002F108B">
        <w:rPr>
          <w:rStyle w:val="QuotesChar"/>
          <w:lang w:val="en-NZ"/>
        </w:rPr>
        <w:t xml:space="preserve">ce </w:t>
      </w:r>
      <w:r w:rsidR="00C90F7B" w:rsidRPr="002F108B">
        <w:rPr>
          <w:lang w:val="en-NZ"/>
        </w:rPr>
        <w:t xml:space="preserve">and </w:t>
      </w:r>
      <w:r w:rsidRPr="002F108B">
        <w:rPr>
          <w:lang w:val="en-NZ"/>
        </w:rPr>
        <w:t xml:space="preserve">a barrier to </w:t>
      </w:r>
      <w:r w:rsidR="00FC2B1F" w:rsidRPr="002F108B">
        <w:rPr>
          <w:lang w:val="en-NZ"/>
        </w:rPr>
        <w:t>preventing and minimising gambling harm.</w:t>
      </w:r>
    </w:p>
    <w:p w14:paraId="23ECEAB9" w14:textId="58C33424" w:rsidR="00153732" w:rsidRDefault="008365F1" w:rsidP="00447864">
      <w:pPr>
        <w:pStyle w:val="Quotes"/>
        <w:rPr>
          <w:shd w:val="clear" w:color="auto" w:fill="FFFFFF"/>
          <w:lang w:val="en-NZ"/>
        </w:rPr>
      </w:pPr>
      <w:r w:rsidRPr="002F108B">
        <w:rPr>
          <w:bdr w:val="none" w:sz="0" w:space="0" w:color="auto" w:frame="1"/>
          <w:lang w:val="en-NZ"/>
        </w:rPr>
        <w:lastRenderedPageBreak/>
        <w:t xml:space="preserve">[New Zealand] </w:t>
      </w:r>
      <w:r w:rsidR="0028384A" w:rsidRPr="002F108B">
        <w:rPr>
          <w:bdr w:val="none" w:sz="0" w:space="0" w:color="auto" w:frame="1"/>
          <w:lang w:val="en-NZ"/>
        </w:rPr>
        <w:t>you've had that door shut for so long</w:t>
      </w:r>
      <w:r w:rsidR="005B51B6">
        <w:rPr>
          <w:bdr w:val="none" w:sz="0" w:space="0" w:color="auto" w:frame="1"/>
          <w:lang w:val="en-NZ"/>
        </w:rPr>
        <w:t>.</w:t>
      </w:r>
      <w:r w:rsidRPr="002F108B">
        <w:rPr>
          <w:bdr w:val="none" w:sz="0" w:space="0" w:color="auto" w:frame="1"/>
          <w:lang w:val="en-NZ"/>
        </w:rPr>
        <w:t>..Y</w:t>
      </w:r>
      <w:r w:rsidR="0028384A" w:rsidRPr="002F108B">
        <w:rPr>
          <w:bdr w:val="none" w:sz="0" w:space="0" w:color="auto" w:frame="1"/>
          <w:lang w:val="en-NZ"/>
        </w:rPr>
        <w:t>ou're essentially burying your head in the sand.</w:t>
      </w:r>
      <w:r w:rsidR="001339EF" w:rsidRPr="002F108B">
        <w:rPr>
          <w:bdr w:val="none" w:sz="0" w:space="0" w:color="auto" w:frame="1"/>
          <w:lang w:val="en-NZ"/>
        </w:rPr>
        <w:t>..Y</w:t>
      </w:r>
      <w:r w:rsidR="0028384A" w:rsidRPr="002F108B">
        <w:rPr>
          <w:bdr w:val="none" w:sz="0" w:space="0" w:color="auto" w:frame="1"/>
          <w:lang w:val="en-NZ"/>
        </w:rPr>
        <w:t>ou're also neglecting the harm element.</w:t>
      </w:r>
      <w:r w:rsidR="00C37865" w:rsidRPr="002F108B">
        <w:rPr>
          <w:bdr w:val="none" w:sz="0" w:space="0" w:color="auto" w:frame="1"/>
          <w:lang w:val="en-NZ"/>
        </w:rPr>
        <w:t>..[and</w:t>
      </w:r>
      <w:r w:rsidR="00460121" w:rsidRPr="002F108B">
        <w:rPr>
          <w:bdr w:val="none" w:sz="0" w:space="0" w:color="auto" w:frame="1"/>
          <w:lang w:val="en-NZ"/>
        </w:rPr>
        <w:t xml:space="preserve">] </w:t>
      </w:r>
      <w:r w:rsidR="0028384A" w:rsidRPr="002F108B">
        <w:rPr>
          <w:bdr w:val="none" w:sz="0" w:space="0" w:color="auto" w:frame="1"/>
          <w:lang w:val="en-NZ"/>
        </w:rPr>
        <w:t>not actually invest</w:t>
      </w:r>
      <w:r w:rsidR="00460121" w:rsidRPr="002F108B">
        <w:rPr>
          <w:bdr w:val="none" w:sz="0" w:space="0" w:color="auto" w:frame="1"/>
          <w:lang w:val="en-NZ"/>
        </w:rPr>
        <w:t>[ing]</w:t>
      </w:r>
      <w:r w:rsidR="0028384A" w:rsidRPr="002F108B">
        <w:rPr>
          <w:bdr w:val="none" w:sz="0" w:space="0" w:color="auto" w:frame="1"/>
          <w:lang w:val="en-NZ"/>
        </w:rPr>
        <w:t xml:space="preserve"> in the harm min[imisation] measures around online gambling. But you know it's there, and people are doing it. And people are spending</w:t>
      </w:r>
      <w:r w:rsidR="00AB733A" w:rsidRPr="002F108B">
        <w:rPr>
          <w:bdr w:val="none" w:sz="0" w:space="0" w:color="auto" w:frame="1"/>
          <w:lang w:val="en-NZ"/>
        </w:rPr>
        <w:t>...The</w:t>
      </w:r>
      <w:r w:rsidR="0028384A" w:rsidRPr="002F108B">
        <w:rPr>
          <w:bdr w:val="none" w:sz="0" w:space="0" w:color="auto" w:frame="1"/>
          <w:lang w:val="en-NZ"/>
        </w:rPr>
        <w:t xml:space="preserve"> harm being caused by that </w:t>
      </w:r>
      <w:r w:rsidR="00AB733A" w:rsidRPr="002F108B">
        <w:rPr>
          <w:bdr w:val="none" w:sz="0" w:space="0" w:color="auto" w:frame="1"/>
          <w:lang w:val="en-NZ"/>
        </w:rPr>
        <w:t>is</w:t>
      </w:r>
      <w:r w:rsidR="0028384A" w:rsidRPr="002F108B">
        <w:rPr>
          <w:bdr w:val="none" w:sz="0" w:space="0" w:color="auto" w:frame="1"/>
          <w:lang w:val="en-NZ"/>
        </w:rPr>
        <w:t xml:space="preserve"> not being measured is not being counted by anything. </w:t>
      </w:r>
      <w:r w:rsidR="008A3C30" w:rsidRPr="002F108B">
        <w:rPr>
          <w:bdr w:val="none" w:sz="0" w:space="0" w:color="auto" w:frame="1"/>
          <w:lang w:val="en-NZ"/>
        </w:rPr>
        <w:t>(Gambling industry</w:t>
      </w:r>
      <w:r w:rsidR="00FB5092">
        <w:rPr>
          <w:bdr w:val="none" w:sz="0" w:space="0" w:color="auto" w:frame="1"/>
          <w:lang w:val="en-NZ"/>
        </w:rPr>
        <w:t xml:space="preserve"> 3</w:t>
      </w:r>
      <w:r w:rsidR="008A3C30" w:rsidRPr="002F108B">
        <w:rPr>
          <w:bdr w:val="none" w:sz="0" w:space="0" w:color="auto" w:frame="1"/>
          <w:lang w:val="en-NZ"/>
        </w:rPr>
        <w:t>)</w:t>
      </w:r>
      <w:r w:rsidR="00153732">
        <w:rPr>
          <w:shd w:val="clear" w:color="auto" w:fill="FFFFFF"/>
          <w:lang w:val="en-NZ"/>
        </w:rPr>
        <w:br w:type="page"/>
      </w:r>
    </w:p>
    <w:p w14:paraId="3E4B72AE" w14:textId="206D80A5" w:rsidR="00C7583B" w:rsidRPr="002F108B" w:rsidRDefault="00A179A2" w:rsidP="009B49E1">
      <w:pPr>
        <w:pStyle w:val="Heading3"/>
        <w:rPr>
          <w:shd w:val="clear" w:color="auto" w:fill="FFFFFF"/>
          <w:lang w:val="en-NZ"/>
        </w:rPr>
      </w:pPr>
      <w:r w:rsidRPr="002F108B">
        <w:rPr>
          <w:shd w:val="clear" w:color="auto" w:fill="FFFFFF"/>
          <w:lang w:val="en-NZ"/>
        </w:rPr>
        <w:lastRenderedPageBreak/>
        <w:t>E</w:t>
      </w:r>
      <w:r w:rsidR="00C4257F" w:rsidRPr="002F108B">
        <w:rPr>
          <w:shd w:val="clear" w:color="auto" w:fill="FFFFFF"/>
          <w:lang w:val="en-NZ"/>
        </w:rPr>
        <w:t>vidence shows a link between o</w:t>
      </w:r>
      <w:r w:rsidR="00C7583B" w:rsidRPr="002F108B">
        <w:rPr>
          <w:shd w:val="clear" w:color="auto" w:fill="FFFFFF"/>
          <w:lang w:val="en-NZ"/>
        </w:rPr>
        <w:t xml:space="preserve">nline gaming </w:t>
      </w:r>
      <w:r w:rsidR="00C4257F" w:rsidRPr="002F108B">
        <w:rPr>
          <w:shd w:val="clear" w:color="auto" w:fill="FFFFFF"/>
          <w:lang w:val="en-NZ"/>
        </w:rPr>
        <w:t xml:space="preserve">and </w:t>
      </w:r>
      <w:r w:rsidR="00243B3C" w:rsidRPr="002F108B">
        <w:rPr>
          <w:shd w:val="clear" w:color="auto" w:fill="FFFFFF"/>
          <w:lang w:val="en-NZ"/>
        </w:rPr>
        <w:t>harmful gambling</w:t>
      </w:r>
    </w:p>
    <w:p w14:paraId="58223F4B" w14:textId="71707830" w:rsidR="00EA0231" w:rsidRPr="002F108B" w:rsidRDefault="00243B3C" w:rsidP="00EA0231">
      <w:pPr>
        <w:rPr>
          <w:lang w:val="en-NZ"/>
        </w:rPr>
      </w:pPr>
      <w:r w:rsidRPr="002F108B">
        <w:rPr>
          <w:lang w:val="en-NZ"/>
        </w:rPr>
        <w:t>International evidence</w:t>
      </w:r>
      <w:r w:rsidR="00C727FF" w:rsidRPr="002F108B">
        <w:rPr>
          <w:lang w:val="en-NZ"/>
        </w:rPr>
        <w:t xml:space="preserve"> highlights that</w:t>
      </w:r>
      <w:r w:rsidR="00B145D1" w:rsidRPr="002F108B">
        <w:rPr>
          <w:lang w:val="en-NZ"/>
        </w:rPr>
        <w:t>:</w:t>
      </w:r>
    </w:p>
    <w:p w14:paraId="7B77249A" w14:textId="7B81302E" w:rsidR="00243B3C" w:rsidRDefault="00EA0231" w:rsidP="00045413">
      <w:pPr>
        <w:pStyle w:val="Bulletpointindented"/>
      </w:pPr>
      <w:r>
        <w:t>V</w:t>
      </w:r>
      <w:r w:rsidR="00C727FF" w:rsidRPr="008109A6">
        <w:t>ideo gaming problems appear to be a gateway behavio</w:t>
      </w:r>
      <w:r w:rsidR="00724A44">
        <w:t>u</w:t>
      </w:r>
      <w:r w:rsidR="00C727FF" w:rsidRPr="008109A6">
        <w:t>r to problematic gambling behavio</w:t>
      </w:r>
      <w:r w:rsidR="00724A44">
        <w:t>u</w:t>
      </w:r>
      <w:r w:rsidR="00C727FF" w:rsidRPr="008109A6">
        <w:t>r</w:t>
      </w:r>
      <w:r w:rsidR="00840615">
        <w:t xml:space="preserve"> </w:t>
      </w:r>
      <w:r w:rsidR="0055686D">
        <w:t xml:space="preserve">as identified in a Norwegian longitudinal study </w:t>
      </w:r>
      <w:r w:rsidR="00A43CE2" w:rsidRPr="002F108B">
        <w:rPr>
          <w:rFonts w:cs="Calibri"/>
        </w:rPr>
        <w:t>(</w:t>
      </w:r>
      <w:r w:rsidR="005868DB">
        <w:rPr>
          <w:rFonts w:cs="Calibri"/>
        </w:rPr>
        <w:t>Mold et al., 2019</w:t>
      </w:r>
      <w:r w:rsidR="00A43CE2" w:rsidRPr="002F108B">
        <w:rPr>
          <w:rFonts w:cs="Calibri"/>
        </w:rPr>
        <w:t>)</w:t>
      </w:r>
    </w:p>
    <w:p w14:paraId="59639B93" w14:textId="33379195" w:rsidR="004517E5" w:rsidRDefault="004517E5" w:rsidP="00045413">
      <w:pPr>
        <w:pStyle w:val="Bulletpointindented"/>
      </w:pPr>
      <w:r>
        <w:t xml:space="preserve">Children who bet on gaming enhancements </w:t>
      </w:r>
      <w:r w:rsidR="00E755F8">
        <w:t xml:space="preserve">such as skins </w:t>
      </w:r>
      <w:r w:rsidRPr="00B54FB7">
        <w:t>should be considered at-risk for the experience of harms because of their heightened engagement in gambling and gambling-like activities</w:t>
      </w:r>
      <w:r w:rsidR="00501729">
        <w:t xml:space="preserve">. A </w:t>
      </w:r>
      <w:r w:rsidR="0055686D">
        <w:t>British Youth Gambling Survey</w:t>
      </w:r>
      <w:r w:rsidR="00501729">
        <w:t xml:space="preserve"> found that </w:t>
      </w:r>
      <w:r w:rsidR="0053172F">
        <w:t>c</w:t>
      </w:r>
      <w:r w:rsidR="00501729">
        <w:t xml:space="preserve">hildren who bet on gaming enhancements such as skins and as adults gambled online </w:t>
      </w:r>
      <w:r w:rsidR="00501729" w:rsidRPr="00B54FB7">
        <w:t>had higher rates of at-risk and problem gambling than those who did not (23% vs 8%)</w:t>
      </w:r>
      <w:r w:rsidR="0053172F">
        <w:t xml:space="preserve"> </w:t>
      </w:r>
      <w:r w:rsidR="006725D4" w:rsidRPr="002F108B">
        <w:rPr>
          <w:rFonts w:cs="Calibri"/>
        </w:rPr>
        <w:t>(</w:t>
      </w:r>
      <w:r w:rsidR="0055686D">
        <w:rPr>
          <w:rFonts w:cs="Calibri"/>
        </w:rPr>
        <w:t>Wardle</w:t>
      </w:r>
      <w:r w:rsidR="006725D4" w:rsidRPr="002F108B">
        <w:rPr>
          <w:rFonts w:cs="Calibri"/>
        </w:rPr>
        <w:t>, 2019)</w:t>
      </w:r>
      <w:r w:rsidR="00501729">
        <w:t>.</w:t>
      </w:r>
    </w:p>
    <w:p w14:paraId="19F69A4A" w14:textId="563A295D" w:rsidR="0058261A" w:rsidRPr="00AF18C6" w:rsidRDefault="0058261A" w:rsidP="00045413">
      <w:pPr>
        <w:pStyle w:val="Bulletpointindented"/>
      </w:pPr>
      <w:r w:rsidRPr="00AF18C6">
        <w:t xml:space="preserve">The growth of </w:t>
      </w:r>
      <w:r w:rsidR="004E79C0" w:rsidRPr="00AF18C6">
        <w:t>offshore online</w:t>
      </w:r>
      <w:r w:rsidRPr="00AF18C6">
        <w:t xml:space="preserve"> gambling and the so-called gamblification of sports </w:t>
      </w:r>
      <w:r w:rsidR="00AF18C6" w:rsidRPr="00AF18C6">
        <w:t xml:space="preserve">and gaming </w:t>
      </w:r>
      <w:r w:rsidRPr="00AF18C6">
        <w:t>over recent years</w:t>
      </w:r>
      <w:r w:rsidR="00AF18C6" w:rsidRPr="00AF18C6">
        <w:t xml:space="preserve"> requires attention</w:t>
      </w:r>
      <w:r w:rsidR="000826EB">
        <w:t xml:space="preserve"> </w:t>
      </w:r>
      <w:r w:rsidR="00362A9B" w:rsidRPr="002F108B">
        <w:rPr>
          <w:rFonts w:cs="Calibri"/>
        </w:rPr>
        <w:t>(Christopher, 2021)</w:t>
      </w:r>
      <w:r w:rsidRPr="00AF18C6">
        <w:t>.</w:t>
      </w:r>
    </w:p>
    <w:p w14:paraId="42EF2814" w14:textId="2A656DA0" w:rsidR="007B3C07" w:rsidRPr="002F108B" w:rsidRDefault="00CF3261" w:rsidP="007B3C07">
      <w:pPr>
        <w:rPr>
          <w:lang w:val="en-NZ"/>
        </w:rPr>
      </w:pPr>
      <w:r w:rsidRPr="002F108B">
        <w:rPr>
          <w:lang w:val="en-NZ"/>
        </w:rPr>
        <w:t>I</w:t>
      </w:r>
      <w:r w:rsidR="007B3C07" w:rsidRPr="002F108B">
        <w:rPr>
          <w:lang w:val="en-NZ"/>
        </w:rPr>
        <w:t xml:space="preserve">n </w:t>
      </w:r>
      <w:r w:rsidR="00222C89" w:rsidRPr="002F108B">
        <w:rPr>
          <w:lang w:val="en-NZ"/>
        </w:rPr>
        <w:t>N</w:t>
      </w:r>
      <w:r w:rsidR="00D90AFF" w:rsidRPr="002F108B">
        <w:rPr>
          <w:lang w:val="en-NZ"/>
        </w:rPr>
        <w:t xml:space="preserve">ew </w:t>
      </w:r>
      <w:r w:rsidR="00222C89" w:rsidRPr="002F108B">
        <w:rPr>
          <w:lang w:val="en-NZ"/>
        </w:rPr>
        <w:t>Z</w:t>
      </w:r>
      <w:r w:rsidR="00D90AFF" w:rsidRPr="002F108B">
        <w:rPr>
          <w:lang w:val="en-NZ"/>
        </w:rPr>
        <w:t>ealand</w:t>
      </w:r>
      <w:r w:rsidR="007B3C07" w:rsidRPr="002F108B">
        <w:rPr>
          <w:lang w:val="en-NZ"/>
        </w:rPr>
        <w:t>,</w:t>
      </w:r>
      <w:r w:rsidR="00362A9B" w:rsidRPr="002F108B">
        <w:rPr>
          <w:lang w:val="en-NZ"/>
        </w:rPr>
        <w:t xml:space="preserve"> </w:t>
      </w:r>
      <w:r w:rsidR="0093061C" w:rsidRPr="002F108B">
        <w:rPr>
          <w:lang w:val="en-NZ"/>
        </w:rPr>
        <w:t>preliminary findings f</w:t>
      </w:r>
      <w:r w:rsidR="00442DEC" w:rsidRPr="002F108B">
        <w:rPr>
          <w:lang w:val="en-NZ"/>
        </w:rPr>
        <w:t>rom resea</w:t>
      </w:r>
      <w:r w:rsidR="005A010C" w:rsidRPr="002F108B">
        <w:rPr>
          <w:lang w:val="en-NZ"/>
        </w:rPr>
        <w:t>r</w:t>
      </w:r>
      <w:r w:rsidR="00442DEC" w:rsidRPr="002F108B">
        <w:rPr>
          <w:lang w:val="en-NZ"/>
        </w:rPr>
        <w:t xml:space="preserve">ch examining </w:t>
      </w:r>
      <w:r w:rsidR="006E38E5" w:rsidRPr="002F108B">
        <w:rPr>
          <w:lang w:val="en-NZ"/>
        </w:rPr>
        <w:t xml:space="preserve">video games and </w:t>
      </w:r>
      <w:r w:rsidR="00B572F3" w:rsidRPr="002F108B">
        <w:rPr>
          <w:lang w:val="en-NZ"/>
        </w:rPr>
        <w:t xml:space="preserve">Pacific youth </w:t>
      </w:r>
      <w:r w:rsidR="006E38E5" w:rsidRPr="002F108B">
        <w:rPr>
          <w:lang w:val="en-NZ"/>
        </w:rPr>
        <w:t xml:space="preserve">gambling suggest that these are a potential gateway to problem gambling </w:t>
      </w:r>
      <w:r w:rsidR="00B87197" w:rsidRPr="002F108B">
        <w:rPr>
          <w:lang w:val="en-NZ"/>
        </w:rPr>
        <w:t>behaviour</w:t>
      </w:r>
      <w:r w:rsidR="006E38E5" w:rsidRPr="002F108B">
        <w:rPr>
          <w:lang w:val="en-NZ"/>
        </w:rPr>
        <w:t xml:space="preserve"> </w:t>
      </w:r>
      <w:r w:rsidR="00770329" w:rsidRPr="002F108B">
        <w:rPr>
          <w:rFonts w:cs="Calibri"/>
          <w:lang w:val="en-NZ"/>
        </w:rPr>
        <w:t>(PGF Group, 2020)</w:t>
      </w:r>
      <w:r w:rsidR="00770329" w:rsidRPr="002F108B">
        <w:rPr>
          <w:lang w:val="en-NZ"/>
        </w:rPr>
        <w:t>:</w:t>
      </w:r>
    </w:p>
    <w:p w14:paraId="2CE8AF4C" w14:textId="04176BDA" w:rsidR="00700761" w:rsidRDefault="005D599D" w:rsidP="00045413">
      <w:pPr>
        <w:pStyle w:val="Bulletpointindented"/>
      </w:pPr>
      <w:r>
        <w:t xml:space="preserve">28% of </w:t>
      </w:r>
      <w:r w:rsidR="00E62EAC">
        <w:t xml:space="preserve">young </w:t>
      </w:r>
      <w:r w:rsidR="00F72A18">
        <w:t xml:space="preserve">Pacific </w:t>
      </w:r>
      <w:r>
        <w:t>survey respondents spend more than $20 on loot boxes</w:t>
      </w:r>
    </w:p>
    <w:p w14:paraId="7CDCA4E0" w14:textId="4C7CD4DE" w:rsidR="00C4568D" w:rsidRDefault="00C4568D" w:rsidP="00045413">
      <w:pPr>
        <w:pStyle w:val="Bulletpointindented"/>
      </w:pPr>
      <w:r>
        <w:t>Pacific young people drew parallels between problem gaming and problem gambling.</w:t>
      </w:r>
    </w:p>
    <w:p w14:paraId="0F7F1B35" w14:textId="39935EC7" w:rsidR="00671A76" w:rsidRPr="002F108B" w:rsidRDefault="005568D0" w:rsidP="001A5E95">
      <w:pPr>
        <w:rPr>
          <w:lang w:val="en-NZ"/>
        </w:rPr>
      </w:pPr>
      <w:r w:rsidRPr="002F108B">
        <w:rPr>
          <w:lang w:val="en-NZ"/>
        </w:rPr>
        <w:t xml:space="preserve">Some </w:t>
      </w:r>
      <w:r w:rsidR="009405AD" w:rsidRPr="002F108B">
        <w:rPr>
          <w:lang w:val="en-NZ"/>
        </w:rPr>
        <w:t>gambling harm service representatives</w:t>
      </w:r>
      <w:r w:rsidR="00756E9B" w:rsidRPr="002F108B">
        <w:rPr>
          <w:lang w:val="en-NZ"/>
        </w:rPr>
        <w:t xml:space="preserve"> highlighted</w:t>
      </w:r>
      <w:r w:rsidR="00F37722" w:rsidRPr="002F108B">
        <w:rPr>
          <w:lang w:val="en-NZ"/>
        </w:rPr>
        <w:t xml:space="preserve"> the potential </w:t>
      </w:r>
      <w:r w:rsidR="00B67769" w:rsidRPr="002F108B">
        <w:rPr>
          <w:lang w:val="en-NZ"/>
        </w:rPr>
        <w:t xml:space="preserve">accelerated </w:t>
      </w:r>
      <w:r w:rsidR="00F37722" w:rsidRPr="002F108B">
        <w:rPr>
          <w:lang w:val="en-NZ"/>
        </w:rPr>
        <w:t xml:space="preserve">growth among </w:t>
      </w:r>
      <w:r w:rsidR="00B67769" w:rsidRPr="002F108B">
        <w:rPr>
          <w:lang w:val="en-NZ"/>
        </w:rPr>
        <w:t xml:space="preserve">technologically savvy </w:t>
      </w:r>
      <w:r w:rsidR="00AF5668" w:rsidRPr="002F108B">
        <w:rPr>
          <w:lang w:val="en-NZ"/>
        </w:rPr>
        <w:t>Pacific y</w:t>
      </w:r>
      <w:r w:rsidR="00F37722" w:rsidRPr="002F108B">
        <w:rPr>
          <w:lang w:val="en-NZ"/>
        </w:rPr>
        <w:t>oung people</w:t>
      </w:r>
      <w:r w:rsidR="0042413A" w:rsidRPr="002F108B">
        <w:rPr>
          <w:lang w:val="en-NZ"/>
        </w:rPr>
        <w:t xml:space="preserve"> a</w:t>
      </w:r>
      <w:r w:rsidR="005B51B6">
        <w:rPr>
          <w:lang w:val="en-NZ"/>
        </w:rPr>
        <w:t>nd</w:t>
      </w:r>
      <w:r w:rsidR="003D7C2A" w:rsidRPr="002F108B">
        <w:rPr>
          <w:lang w:val="en-NZ"/>
        </w:rPr>
        <w:t xml:space="preserve"> t</w:t>
      </w:r>
      <w:r w:rsidR="00B67769" w:rsidRPr="002F108B">
        <w:rPr>
          <w:lang w:val="en-NZ"/>
        </w:rPr>
        <w:t xml:space="preserve">hose </w:t>
      </w:r>
      <w:r w:rsidR="00AA30BA" w:rsidRPr="002F108B">
        <w:rPr>
          <w:lang w:val="en-NZ"/>
        </w:rPr>
        <w:t>across</w:t>
      </w:r>
      <w:r w:rsidR="00B67769" w:rsidRPr="002F108B">
        <w:rPr>
          <w:lang w:val="en-NZ"/>
        </w:rPr>
        <w:t xml:space="preserve"> </w:t>
      </w:r>
      <w:r w:rsidR="006E6FA9" w:rsidRPr="002F108B">
        <w:rPr>
          <w:lang w:val="en-NZ"/>
        </w:rPr>
        <w:t>the Pacific region.</w:t>
      </w:r>
    </w:p>
    <w:p w14:paraId="7B1CBB1B" w14:textId="7B26F2AD" w:rsidR="005F2EF3" w:rsidRPr="002F108B" w:rsidRDefault="00756E9B" w:rsidP="00756E9B">
      <w:pPr>
        <w:pStyle w:val="Quotes"/>
        <w:rPr>
          <w:lang w:val="en-NZ"/>
        </w:rPr>
      </w:pPr>
      <w:r w:rsidRPr="002F108B">
        <w:rPr>
          <w:lang w:val="en-NZ"/>
        </w:rPr>
        <w:t xml:space="preserve">So it's not regulated...[In] five to six to 10 years time, what are we going to see </w:t>
      </w:r>
      <w:r w:rsidR="003F2FF8" w:rsidRPr="002F108B">
        <w:rPr>
          <w:lang w:val="en-NZ"/>
        </w:rPr>
        <w:t>a</w:t>
      </w:r>
      <w:r w:rsidRPr="002F108B">
        <w:rPr>
          <w:lang w:val="en-NZ"/>
        </w:rPr>
        <w:t>s more and more of our people become online savvy</w:t>
      </w:r>
      <w:r w:rsidR="003F2FF8" w:rsidRPr="002F108B">
        <w:rPr>
          <w:lang w:val="en-NZ"/>
        </w:rPr>
        <w:t>?</w:t>
      </w:r>
      <w:r w:rsidRPr="002F108B">
        <w:rPr>
          <w:lang w:val="en-NZ"/>
        </w:rPr>
        <w:t>...</w:t>
      </w:r>
      <w:r w:rsidR="005A24E5" w:rsidRPr="002F108B">
        <w:rPr>
          <w:lang w:val="en-NZ"/>
        </w:rPr>
        <w:t xml:space="preserve"> </w:t>
      </w:r>
      <w:r w:rsidRPr="002F108B">
        <w:rPr>
          <w:lang w:val="en-NZ"/>
        </w:rPr>
        <w:t xml:space="preserve">We know anecdotally that the online spaces are exponentially growing and growing in the </w:t>
      </w:r>
      <w:r w:rsidR="00AA30BA" w:rsidRPr="002F108B">
        <w:rPr>
          <w:lang w:val="en-NZ"/>
        </w:rPr>
        <w:t>I</w:t>
      </w:r>
      <w:r w:rsidRPr="002F108B">
        <w:rPr>
          <w:lang w:val="en-NZ"/>
        </w:rPr>
        <w:t xml:space="preserve">slands, with kids on </w:t>
      </w:r>
      <w:r w:rsidR="00AA30BA" w:rsidRPr="002F108B">
        <w:rPr>
          <w:lang w:val="en-NZ"/>
        </w:rPr>
        <w:t>[social media]</w:t>
      </w:r>
      <w:r w:rsidRPr="002F108B">
        <w:rPr>
          <w:lang w:val="en-NZ"/>
        </w:rPr>
        <w:t xml:space="preserve">. I mean, every Pacific Island person you see in </w:t>
      </w:r>
      <w:r w:rsidR="00AA30BA" w:rsidRPr="002F108B">
        <w:rPr>
          <w:lang w:val="en-NZ"/>
        </w:rPr>
        <w:t>Samoa</w:t>
      </w:r>
      <w:r w:rsidRPr="002F108B">
        <w:rPr>
          <w:lang w:val="en-NZ"/>
        </w:rPr>
        <w:t xml:space="preserve"> has a smartphone. They're </w:t>
      </w:r>
      <w:r w:rsidR="00AA30BA" w:rsidRPr="002F108B">
        <w:rPr>
          <w:lang w:val="en-NZ"/>
        </w:rPr>
        <w:t>already</w:t>
      </w:r>
      <w:r w:rsidRPr="002F108B">
        <w:rPr>
          <w:lang w:val="en-NZ"/>
        </w:rPr>
        <w:t xml:space="preserve"> entering competitions online </w:t>
      </w:r>
      <w:r w:rsidR="005D3D4C" w:rsidRPr="002F108B">
        <w:rPr>
          <w:lang w:val="en-NZ"/>
        </w:rPr>
        <w:t>in Samoa through texts</w:t>
      </w:r>
      <w:r w:rsidRPr="002F108B">
        <w:rPr>
          <w:lang w:val="en-NZ"/>
        </w:rPr>
        <w:t xml:space="preserve">, dollar </w:t>
      </w:r>
      <w:r w:rsidR="00AB5CAC" w:rsidRPr="002F108B">
        <w:rPr>
          <w:lang w:val="en-NZ"/>
        </w:rPr>
        <w:t>texts to enter</w:t>
      </w:r>
      <w:r w:rsidRPr="002F108B">
        <w:rPr>
          <w:lang w:val="en-NZ"/>
        </w:rPr>
        <w:t xml:space="preserve"> a competition. So that behavio</w:t>
      </w:r>
      <w:r w:rsidR="003475AA" w:rsidRPr="002F108B">
        <w:rPr>
          <w:lang w:val="en-NZ"/>
        </w:rPr>
        <w:t>u</w:t>
      </w:r>
      <w:r w:rsidRPr="002F108B">
        <w:rPr>
          <w:lang w:val="en-NZ"/>
        </w:rPr>
        <w:t xml:space="preserve">r has been normalised in </w:t>
      </w:r>
      <w:r w:rsidR="00AB5CAC" w:rsidRPr="002F108B">
        <w:rPr>
          <w:lang w:val="en-NZ"/>
        </w:rPr>
        <w:t>Samoa</w:t>
      </w:r>
      <w:r w:rsidRPr="002F108B">
        <w:rPr>
          <w:lang w:val="en-NZ"/>
        </w:rPr>
        <w:t>. (</w:t>
      </w:r>
      <w:r w:rsidR="00FB5092">
        <w:rPr>
          <w:lang w:val="en-NZ"/>
        </w:rPr>
        <w:t>Gambling harm service provider 3</w:t>
      </w:r>
      <w:r w:rsidRPr="002F108B">
        <w:rPr>
          <w:lang w:val="en-NZ"/>
        </w:rPr>
        <w:t>)</w:t>
      </w:r>
    </w:p>
    <w:p w14:paraId="61B8B616" w14:textId="21414533" w:rsidR="00FE0B99" w:rsidRPr="002F108B" w:rsidRDefault="00FE0B99" w:rsidP="00FE0B99">
      <w:pPr>
        <w:pStyle w:val="Heading1"/>
        <w:rPr>
          <w:lang w:val="en-NZ"/>
        </w:rPr>
      </w:pPr>
      <w:bookmarkStart w:id="114" w:name="_Toc65250307"/>
      <w:bookmarkStart w:id="115" w:name="_Toc76469782"/>
      <w:r w:rsidRPr="002F108B">
        <w:rPr>
          <w:lang w:val="en-NZ"/>
        </w:rPr>
        <w:lastRenderedPageBreak/>
        <w:t>Gambling expenditure</w:t>
      </w:r>
      <w:bookmarkEnd w:id="114"/>
      <w:bookmarkEnd w:id="115"/>
    </w:p>
    <w:p w14:paraId="3B0C3019" w14:textId="465152B8" w:rsidR="00FE0B99" w:rsidRPr="002F108B" w:rsidRDefault="00557394" w:rsidP="00C015A7">
      <w:pPr>
        <w:pStyle w:val="Heading2"/>
        <w:rPr>
          <w:shd w:val="clear" w:color="auto" w:fill="FFFFFF"/>
          <w:lang w:val="en-NZ"/>
        </w:rPr>
      </w:pPr>
      <w:bookmarkStart w:id="116" w:name="_Toc65250308"/>
      <w:bookmarkStart w:id="117" w:name="_Toc76469783"/>
      <w:r w:rsidRPr="002F108B">
        <w:rPr>
          <w:shd w:val="clear" w:color="auto" w:fill="FFFFFF"/>
          <w:lang w:val="en-NZ"/>
        </w:rPr>
        <w:t>G</w:t>
      </w:r>
      <w:r w:rsidR="00FE0B99" w:rsidRPr="002F108B">
        <w:rPr>
          <w:shd w:val="clear" w:color="auto" w:fill="FFFFFF"/>
          <w:lang w:val="en-NZ"/>
        </w:rPr>
        <w:t xml:space="preserve">ambling expenditure </w:t>
      </w:r>
      <w:r w:rsidR="00C6563D" w:rsidRPr="002F108B">
        <w:rPr>
          <w:shd w:val="clear" w:color="auto" w:fill="FFFFFF"/>
          <w:lang w:val="en-NZ"/>
        </w:rPr>
        <w:t xml:space="preserve">across all forms of gambling </w:t>
      </w:r>
      <w:r w:rsidR="00FE0B99" w:rsidRPr="002F108B">
        <w:rPr>
          <w:shd w:val="clear" w:color="auto" w:fill="FFFFFF"/>
          <w:lang w:val="en-NZ"/>
        </w:rPr>
        <w:t>continue</w:t>
      </w:r>
      <w:r w:rsidR="0033190C" w:rsidRPr="002F108B">
        <w:rPr>
          <w:shd w:val="clear" w:color="auto" w:fill="FFFFFF"/>
          <w:lang w:val="en-NZ"/>
        </w:rPr>
        <w:t>d</w:t>
      </w:r>
      <w:r w:rsidR="00FE0B99" w:rsidRPr="002F108B">
        <w:rPr>
          <w:shd w:val="clear" w:color="auto" w:fill="FFFFFF"/>
          <w:lang w:val="en-NZ"/>
        </w:rPr>
        <w:t xml:space="preserve"> to increase</w:t>
      </w:r>
      <w:r w:rsidR="003B6EC8" w:rsidRPr="002F108B">
        <w:rPr>
          <w:shd w:val="clear" w:color="auto" w:fill="FFFFFF"/>
          <w:lang w:val="en-NZ"/>
        </w:rPr>
        <w:t xml:space="preserve"> pre-COVID-19</w:t>
      </w:r>
      <w:bookmarkEnd w:id="116"/>
      <w:bookmarkEnd w:id="117"/>
    </w:p>
    <w:p w14:paraId="4935758D" w14:textId="30161ABE" w:rsidR="002B35B3" w:rsidRPr="002F108B" w:rsidRDefault="00DF7156" w:rsidP="00C37D6A">
      <w:pPr>
        <w:rPr>
          <w:shd w:val="clear" w:color="auto" w:fill="FFFFFF"/>
          <w:lang w:val="en-NZ"/>
        </w:rPr>
      </w:pPr>
      <w:r w:rsidRPr="002F108B">
        <w:rPr>
          <w:lang w:val="en-NZ"/>
        </w:rPr>
        <w:t xml:space="preserve">Between </w:t>
      </w:r>
      <w:r w:rsidR="00B644E1" w:rsidRPr="002F108B">
        <w:rPr>
          <w:lang w:val="en-NZ"/>
        </w:rPr>
        <w:t>2014/15</w:t>
      </w:r>
      <w:r w:rsidR="00075521">
        <w:rPr>
          <w:lang w:val="en-NZ"/>
        </w:rPr>
        <w:t>,</w:t>
      </w:r>
      <w:r w:rsidR="00B644E1" w:rsidRPr="002F108B">
        <w:rPr>
          <w:lang w:val="en-NZ"/>
        </w:rPr>
        <w:t xml:space="preserve"> </w:t>
      </w:r>
      <w:r w:rsidR="00075521">
        <w:rPr>
          <w:lang w:val="en-NZ"/>
        </w:rPr>
        <w:t>New Zealand's gambling expenditure</w:t>
      </w:r>
      <w:r w:rsidR="006A41E1" w:rsidRPr="002F108B">
        <w:rPr>
          <w:lang w:val="en-NZ"/>
        </w:rPr>
        <w:t xml:space="preserve"> continued to increase</w:t>
      </w:r>
      <w:r w:rsidRPr="002F108B">
        <w:rPr>
          <w:lang w:val="en-NZ"/>
        </w:rPr>
        <w:t xml:space="preserve">, with </w:t>
      </w:r>
      <w:r w:rsidR="008D0FC6" w:rsidRPr="002F108B">
        <w:rPr>
          <w:lang w:val="en-NZ"/>
        </w:rPr>
        <w:t xml:space="preserve">approximately $2.4 billion spent on gambling </w:t>
      </w:r>
      <w:r w:rsidRPr="002F108B">
        <w:rPr>
          <w:lang w:val="en-NZ"/>
        </w:rPr>
        <w:t>in 2018/19</w:t>
      </w:r>
      <w:r w:rsidR="005C3FCF" w:rsidRPr="002F108B">
        <w:rPr>
          <w:lang w:val="en-NZ"/>
        </w:rPr>
        <w:t xml:space="preserve">. </w:t>
      </w:r>
      <w:r w:rsidR="00A35CE6" w:rsidRPr="002F108B">
        <w:rPr>
          <w:lang w:val="en-NZ"/>
        </w:rPr>
        <w:t>In 2019/20</w:t>
      </w:r>
      <w:r w:rsidR="00075521">
        <w:rPr>
          <w:lang w:val="en-NZ"/>
        </w:rPr>
        <w:t>,</w:t>
      </w:r>
      <w:r w:rsidR="005C3FCF" w:rsidRPr="002F108B">
        <w:rPr>
          <w:lang w:val="en-NZ"/>
        </w:rPr>
        <w:t xml:space="preserve"> </w:t>
      </w:r>
      <w:r w:rsidR="00CB2692" w:rsidRPr="002F108B">
        <w:rPr>
          <w:lang w:val="en-NZ"/>
        </w:rPr>
        <w:t>this amount reduced to $2.2</w:t>
      </w:r>
      <w:r w:rsidR="001736B0">
        <w:rPr>
          <w:lang w:val="en-NZ"/>
        </w:rPr>
        <w:t>5</w:t>
      </w:r>
      <w:r w:rsidR="00CB2692" w:rsidRPr="002F108B">
        <w:rPr>
          <w:lang w:val="en-NZ"/>
        </w:rPr>
        <w:t xml:space="preserve"> billion</w:t>
      </w:r>
      <w:r w:rsidR="00590EE8" w:rsidRPr="002F108B">
        <w:rPr>
          <w:lang w:val="en-NZ"/>
        </w:rPr>
        <w:t xml:space="preserve"> </w:t>
      </w:r>
      <w:r w:rsidR="000617ED">
        <w:rPr>
          <w:lang w:val="en-NZ"/>
        </w:rPr>
        <w:t>(</w:t>
      </w:r>
      <w:r w:rsidR="000617ED">
        <w:rPr>
          <w:lang w:val="en-NZ"/>
        </w:rPr>
        <w:fldChar w:fldCharType="begin"/>
      </w:r>
      <w:r w:rsidR="000617ED">
        <w:rPr>
          <w:lang w:val="en-NZ"/>
        </w:rPr>
        <w:instrText xml:space="preserve"> REF _Ref69198131 \h </w:instrText>
      </w:r>
      <w:r w:rsidR="000617ED">
        <w:rPr>
          <w:lang w:val="en-NZ"/>
        </w:rPr>
      </w:r>
      <w:r w:rsidR="000617ED">
        <w:rPr>
          <w:lang w:val="en-NZ"/>
        </w:rPr>
        <w:fldChar w:fldCharType="separate"/>
      </w:r>
      <w:r w:rsidR="009B1BDF" w:rsidRPr="002F108B">
        <w:rPr>
          <w:lang w:val="en-NZ"/>
        </w:rPr>
        <w:t xml:space="preserve">Table </w:t>
      </w:r>
      <w:r w:rsidR="009B1BDF">
        <w:rPr>
          <w:noProof/>
          <w:lang w:val="en-NZ"/>
        </w:rPr>
        <w:t>3</w:t>
      </w:r>
      <w:r w:rsidR="000617ED">
        <w:rPr>
          <w:lang w:val="en-NZ"/>
        </w:rPr>
        <w:fldChar w:fldCharType="end"/>
      </w:r>
      <w:r w:rsidR="000617ED">
        <w:rPr>
          <w:lang w:val="en-NZ"/>
        </w:rPr>
        <w:t xml:space="preserve">) </w:t>
      </w:r>
      <w:r w:rsidR="00AD1CA7" w:rsidRPr="002F108B">
        <w:rPr>
          <w:rFonts w:cs="Calibri"/>
          <w:lang w:val="en-NZ"/>
        </w:rPr>
        <w:t>(Department of Internal Affairs, 20</w:t>
      </w:r>
      <w:r w:rsidR="00221A0C" w:rsidRPr="002F108B">
        <w:rPr>
          <w:rFonts w:cs="Calibri"/>
          <w:lang w:val="en-NZ"/>
        </w:rPr>
        <w:t>21</w:t>
      </w:r>
      <w:r w:rsidR="002A3978" w:rsidRPr="002F108B">
        <w:rPr>
          <w:rFonts w:cs="Calibri"/>
          <w:lang w:val="en-NZ"/>
        </w:rPr>
        <w:t>a</w:t>
      </w:r>
      <w:r w:rsidR="00AD1CA7" w:rsidRPr="002F108B">
        <w:rPr>
          <w:rFonts w:cs="Calibri"/>
          <w:lang w:val="en-NZ"/>
        </w:rPr>
        <w:t>)</w:t>
      </w:r>
      <w:r w:rsidR="003B5EBC" w:rsidRPr="002F108B">
        <w:rPr>
          <w:rFonts w:cs="Calibri"/>
          <w:lang w:val="en-NZ"/>
        </w:rPr>
        <w:t xml:space="preserve"> – likely an impact of the COVID-19 pandemic </w:t>
      </w:r>
      <w:r w:rsidR="00ED239F" w:rsidRPr="002F108B">
        <w:rPr>
          <w:rFonts w:cs="Calibri"/>
          <w:lang w:val="en-NZ"/>
        </w:rPr>
        <w:t xml:space="preserve">and variable levels of gambling access noted </w:t>
      </w:r>
      <w:r w:rsidR="00605AEA">
        <w:rPr>
          <w:rFonts w:cs="Calibri"/>
          <w:lang w:val="en-NZ"/>
        </w:rPr>
        <w:t xml:space="preserve">in section </w:t>
      </w:r>
      <w:r w:rsidR="00ED239F" w:rsidRPr="002F108B">
        <w:rPr>
          <w:rFonts w:cs="Calibri"/>
          <w:lang w:val="en-NZ"/>
        </w:rPr>
        <w:t>3</w:t>
      </w:r>
      <w:r w:rsidR="00C119DA" w:rsidRPr="002F108B">
        <w:rPr>
          <w:lang w:val="en-NZ"/>
        </w:rPr>
        <w:t>.</w:t>
      </w:r>
      <w:r w:rsidR="009E3D79" w:rsidRPr="002F108B">
        <w:rPr>
          <w:lang w:val="en-NZ"/>
        </w:rPr>
        <w:t xml:space="preserve"> </w:t>
      </w:r>
    </w:p>
    <w:p w14:paraId="2F04EA36" w14:textId="4CDEA370" w:rsidR="004C2B2A" w:rsidRPr="002F108B" w:rsidRDefault="004C2B2A" w:rsidP="002B4028">
      <w:pPr>
        <w:pStyle w:val="Caption"/>
        <w:rPr>
          <w:lang w:val="en-NZ"/>
        </w:rPr>
      </w:pPr>
      <w:bookmarkStart w:id="118" w:name="_Ref69198131"/>
      <w:bookmarkStart w:id="119" w:name="_Toc69809944"/>
      <w:r w:rsidRPr="002F108B">
        <w:rPr>
          <w:lang w:val="en-NZ"/>
        </w:rPr>
        <w:t xml:space="preserve">Table </w:t>
      </w:r>
      <w:r w:rsidRPr="002F108B">
        <w:rPr>
          <w:lang w:val="en-NZ"/>
        </w:rPr>
        <w:fldChar w:fldCharType="begin"/>
      </w:r>
      <w:r w:rsidRPr="002F108B">
        <w:rPr>
          <w:lang w:val="en-NZ"/>
        </w:rPr>
        <w:instrText xml:space="preserve"> SEQ Table \* ARABIC </w:instrText>
      </w:r>
      <w:r w:rsidRPr="002F108B">
        <w:rPr>
          <w:lang w:val="en-NZ"/>
        </w:rPr>
        <w:fldChar w:fldCharType="separate"/>
      </w:r>
      <w:r w:rsidR="009B1BDF">
        <w:rPr>
          <w:noProof/>
          <w:lang w:val="en-NZ"/>
        </w:rPr>
        <w:t>3</w:t>
      </w:r>
      <w:r w:rsidRPr="002F108B">
        <w:rPr>
          <w:lang w:val="en-NZ"/>
        </w:rPr>
        <w:fldChar w:fldCharType="end"/>
      </w:r>
      <w:bookmarkEnd w:id="118"/>
      <w:r w:rsidRPr="002F108B">
        <w:rPr>
          <w:lang w:val="en-NZ"/>
        </w:rPr>
        <w:t xml:space="preserve">: </w:t>
      </w:r>
      <w:bookmarkStart w:id="120" w:name="_Toc65103653"/>
      <w:r w:rsidRPr="002F108B">
        <w:rPr>
          <w:lang w:val="en-NZ"/>
        </w:rPr>
        <w:t>Total gambling expenditure by gambling type</w:t>
      </w:r>
      <w:bookmarkEnd w:id="119"/>
      <w:bookmarkEnd w:id="120"/>
    </w:p>
    <w:tbl>
      <w:tblPr>
        <w:tblW w:w="4692" w:type="pct"/>
        <w:tblLook w:val="04A0" w:firstRow="1" w:lastRow="0" w:firstColumn="1" w:lastColumn="0" w:noHBand="0" w:noVBand="1"/>
      </w:tblPr>
      <w:tblGrid>
        <w:gridCol w:w="1315"/>
        <w:gridCol w:w="1564"/>
        <w:gridCol w:w="918"/>
        <w:gridCol w:w="918"/>
        <w:gridCol w:w="920"/>
        <w:gridCol w:w="960"/>
        <w:gridCol w:w="960"/>
        <w:gridCol w:w="915"/>
      </w:tblGrid>
      <w:tr w:rsidR="00C104D1" w:rsidRPr="002F108B" w14:paraId="6B001791" w14:textId="77777777" w:rsidTr="000617ED">
        <w:trPr>
          <w:trHeight w:val="525"/>
        </w:trPr>
        <w:tc>
          <w:tcPr>
            <w:tcW w:w="1699" w:type="pct"/>
            <w:gridSpan w:val="2"/>
            <w:tcBorders>
              <w:top w:val="nil"/>
              <w:left w:val="nil"/>
              <w:bottom w:val="single" w:sz="8" w:space="0" w:color="FFFFFF"/>
              <w:right w:val="single" w:sz="8" w:space="0" w:color="FFFFFF"/>
            </w:tcBorders>
            <w:shd w:val="clear" w:color="000000" w:fill="D3E2F1"/>
            <w:vAlign w:val="center"/>
            <w:hideMark/>
          </w:tcPr>
          <w:p w14:paraId="02FC95E4" w14:textId="77777777" w:rsidR="000C5F9D" w:rsidRPr="002F108B" w:rsidRDefault="000C5F9D" w:rsidP="000A210E">
            <w:pPr>
              <w:keepNext/>
              <w:spacing w:before="0" w:after="0" w:line="240" w:lineRule="auto"/>
              <w:ind w:right="365"/>
              <w:rPr>
                <w:rFonts w:cs="Calibri"/>
                <w:b/>
                <w:color w:val="000000"/>
                <w:sz w:val="18"/>
                <w:szCs w:val="18"/>
                <w:lang w:val="en-NZ" w:eastAsia="en-US"/>
              </w:rPr>
            </w:pPr>
            <w:r w:rsidRPr="002F108B">
              <w:rPr>
                <w:rFonts w:cs="Calibri"/>
                <w:b/>
                <w:color w:val="000000"/>
                <w:sz w:val="18"/>
                <w:szCs w:val="18"/>
                <w:lang w:val="en-NZ" w:eastAsia="en-US"/>
              </w:rPr>
              <w:t>Gambling activity</w:t>
            </w:r>
          </w:p>
        </w:tc>
        <w:tc>
          <w:tcPr>
            <w:tcW w:w="542" w:type="pct"/>
            <w:tcBorders>
              <w:top w:val="nil"/>
              <w:left w:val="nil"/>
              <w:bottom w:val="single" w:sz="8" w:space="0" w:color="FFFFFF"/>
              <w:right w:val="single" w:sz="8" w:space="0" w:color="FFFFFF"/>
            </w:tcBorders>
            <w:shd w:val="clear" w:color="000000" w:fill="D9D9D9"/>
            <w:vAlign w:val="center"/>
            <w:hideMark/>
          </w:tcPr>
          <w:p w14:paraId="2F0EF4BE" w14:textId="77777777" w:rsidR="000C5F9D" w:rsidRPr="00C90CD5" w:rsidRDefault="000C5F9D" w:rsidP="000A210E">
            <w:pPr>
              <w:keepNext/>
              <w:spacing w:before="0" w:after="0" w:line="240" w:lineRule="auto"/>
              <w:jc w:val="center"/>
              <w:rPr>
                <w:rFonts w:cs="Calibri"/>
                <w:b/>
                <w:color w:val="000000"/>
                <w:sz w:val="14"/>
                <w:szCs w:val="14"/>
                <w:lang w:val="en-NZ" w:eastAsia="en-US"/>
              </w:rPr>
            </w:pPr>
            <w:r w:rsidRPr="00C90CD5">
              <w:rPr>
                <w:rFonts w:cs="Calibri"/>
                <w:b/>
                <w:color w:val="000000"/>
                <w:sz w:val="14"/>
                <w:szCs w:val="14"/>
                <w:lang w:val="en-NZ" w:eastAsia="en-US"/>
              </w:rPr>
              <w:t>2014/15 $m</w:t>
            </w:r>
          </w:p>
        </w:tc>
        <w:tc>
          <w:tcPr>
            <w:tcW w:w="542" w:type="pct"/>
            <w:tcBorders>
              <w:top w:val="nil"/>
              <w:left w:val="nil"/>
              <w:bottom w:val="single" w:sz="8" w:space="0" w:color="FFFFFF"/>
              <w:right w:val="single" w:sz="8" w:space="0" w:color="FFFFFF"/>
            </w:tcBorders>
            <w:shd w:val="clear" w:color="000000" w:fill="D9D9D9"/>
            <w:vAlign w:val="center"/>
            <w:hideMark/>
          </w:tcPr>
          <w:p w14:paraId="6BCFD73E" w14:textId="77777777" w:rsidR="000C5F9D" w:rsidRPr="00C90CD5" w:rsidRDefault="000C5F9D" w:rsidP="000A210E">
            <w:pPr>
              <w:keepNext/>
              <w:spacing w:before="0" w:after="0" w:line="240" w:lineRule="auto"/>
              <w:jc w:val="center"/>
              <w:rPr>
                <w:rFonts w:cs="Calibri"/>
                <w:b/>
                <w:color w:val="000000"/>
                <w:sz w:val="14"/>
                <w:szCs w:val="14"/>
                <w:lang w:val="en-NZ" w:eastAsia="en-US"/>
              </w:rPr>
            </w:pPr>
            <w:r w:rsidRPr="00C90CD5">
              <w:rPr>
                <w:rFonts w:cs="Calibri"/>
                <w:b/>
                <w:color w:val="000000"/>
                <w:sz w:val="14"/>
                <w:szCs w:val="14"/>
                <w:lang w:val="en-NZ" w:eastAsia="en-US"/>
              </w:rPr>
              <w:t>2015/16 $m</w:t>
            </w:r>
          </w:p>
        </w:tc>
        <w:tc>
          <w:tcPr>
            <w:tcW w:w="543" w:type="pct"/>
            <w:tcBorders>
              <w:top w:val="nil"/>
              <w:left w:val="nil"/>
              <w:bottom w:val="single" w:sz="8" w:space="0" w:color="FFFFFF"/>
              <w:right w:val="single" w:sz="8" w:space="0" w:color="FFFFFF"/>
            </w:tcBorders>
            <w:shd w:val="clear" w:color="000000" w:fill="D9D9D9"/>
            <w:vAlign w:val="center"/>
            <w:hideMark/>
          </w:tcPr>
          <w:p w14:paraId="1F815B8A" w14:textId="77777777" w:rsidR="000C5F9D" w:rsidRPr="00C90CD5" w:rsidRDefault="000C5F9D" w:rsidP="000A210E">
            <w:pPr>
              <w:keepNext/>
              <w:spacing w:before="0" w:after="0" w:line="240" w:lineRule="auto"/>
              <w:jc w:val="center"/>
              <w:rPr>
                <w:rFonts w:cs="Calibri"/>
                <w:b/>
                <w:color w:val="000000"/>
                <w:sz w:val="14"/>
                <w:szCs w:val="14"/>
                <w:lang w:val="en-NZ" w:eastAsia="en-US"/>
              </w:rPr>
            </w:pPr>
            <w:r w:rsidRPr="00C90CD5">
              <w:rPr>
                <w:rFonts w:cs="Calibri"/>
                <w:b/>
                <w:color w:val="000000"/>
                <w:sz w:val="14"/>
                <w:szCs w:val="14"/>
                <w:lang w:val="en-NZ" w:eastAsia="en-US"/>
              </w:rPr>
              <w:t>2016/17 $m</w:t>
            </w:r>
          </w:p>
        </w:tc>
        <w:tc>
          <w:tcPr>
            <w:tcW w:w="567" w:type="pct"/>
            <w:tcBorders>
              <w:top w:val="nil"/>
              <w:left w:val="nil"/>
              <w:bottom w:val="single" w:sz="8" w:space="0" w:color="FFFFFF"/>
              <w:right w:val="single" w:sz="8" w:space="0" w:color="FFFFFF"/>
            </w:tcBorders>
            <w:shd w:val="clear" w:color="000000" w:fill="D9D9D9"/>
            <w:vAlign w:val="center"/>
            <w:hideMark/>
          </w:tcPr>
          <w:p w14:paraId="40A173E8" w14:textId="77777777" w:rsidR="000C5F9D" w:rsidRPr="00C90CD5" w:rsidRDefault="000C5F9D" w:rsidP="000A210E">
            <w:pPr>
              <w:keepNext/>
              <w:spacing w:before="0" w:after="0" w:line="240" w:lineRule="auto"/>
              <w:jc w:val="center"/>
              <w:rPr>
                <w:rFonts w:cs="Calibri"/>
                <w:b/>
                <w:color w:val="000000"/>
                <w:sz w:val="14"/>
                <w:szCs w:val="14"/>
                <w:lang w:val="en-NZ" w:eastAsia="en-US"/>
              </w:rPr>
            </w:pPr>
            <w:r w:rsidRPr="00C90CD5">
              <w:rPr>
                <w:rFonts w:cs="Calibri"/>
                <w:b/>
                <w:color w:val="000000"/>
                <w:sz w:val="14"/>
                <w:szCs w:val="14"/>
                <w:lang w:val="en-NZ" w:eastAsia="en-US"/>
              </w:rPr>
              <w:t>2017/18 $m</w:t>
            </w:r>
          </w:p>
        </w:tc>
        <w:tc>
          <w:tcPr>
            <w:tcW w:w="567" w:type="pct"/>
            <w:tcBorders>
              <w:top w:val="nil"/>
              <w:left w:val="nil"/>
              <w:bottom w:val="single" w:sz="8" w:space="0" w:color="FFFFFF"/>
              <w:right w:val="single" w:sz="8" w:space="0" w:color="FFFFFF"/>
            </w:tcBorders>
            <w:shd w:val="clear" w:color="000000" w:fill="D9D9D9"/>
            <w:vAlign w:val="center"/>
            <w:hideMark/>
          </w:tcPr>
          <w:p w14:paraId="0CE85CA8" w14:textId="77777777" w:rsidR="000C5F9D" w:rsidRPr="00C90CD5" w:rsidRDefault="000C5F9D" w:rsidP="000A210E">
            <w:pPr>
              <w:keepNext/>
              <w:spacing w:before="0" w:after="0" w:line="240" w:lineRule="auto"/>
              <w:jc w:val="center"/>
              <w:rPr>
                <w:rFonts w:cs="Calibri"/>
                <w:b/>
                <w:color w:val="000000"/>
                <w:sz w:val="14"/>
                <w:szCs w:val="14"/>
                <w:lang w:val="en-NZ" w:eastAsia="en-US"/>
              </w:rPr>
            </w:pPr>
            <w:r w:rsidRPr="00C90CD5">
              <w:rPr>
                <w:rFonts w:cs="Calibri"/>
                <w:b/>
                <w:color w:val="000000"/>
                <w:sz w:val="14"/>
                <w:szCs w:val="14"/>
                <w:lang w:val="en-NZ" w:eastAsia="en-US"/>
              </w:rPr>
              <w:t>2018/19 $m</w:t>
            </w:r>
          </w:p>
        </w:tc>
        <w:tc>
          <w:tcPr>
            <w:tcW w:w="541" w:type="pct"/>
            <w:tcBorders>
              <w:top w:val="nil"/>
              <w:left w:val="nil"/>
              <w:bottom w:val="single" w:sz="8" w:space="0" w:color="FFFFFF"/>
              <w:right w:val="nil"/>
            </w:tcBorders>
            <w:shd w:val="clear" w:color="000000" w:fill="D9D9D9"/>
            <w:vAlign w:val="center"/>
            <w:hideMark/>
          </w:tcPr>
          <w:p w14:paraId="4937568C" w14:textId="77777777" w:rsidR="000C5F9D" w:rsidRPr="00C90CD5" w:rsidRDefault="000C5F9D" w:rsidP="000A210E">
            <w:pPr>
              <w:keepNext/>
              <w:spacing w:before="0" w:after="0" w:line="240" w:lineRule="auto"/>
              <w:jc w:val="center"/>
              <w:rPr>
                <w:rFonts w:cs="Calibri"/>
                <w:b/>
                <w:color w:val="000000"/>
                <w:sz w:val="14"/>
                <w:szCs w:val="14"/>
                <w:lang w:val="en-NZ" w:eastAsia="en-US"/>
              </w:rPr>
            </w:pPr>
            <w:r w:rsidRPr="00C90CD5">
              <w:rPr>
                <w:rFonts w:cs="Calibri"/>
                <w:b/>
                <w:color w:val="000000"/>
                <w:sz w:val="14"/>
                <w:szCs w:val="14"/>
                <w:lang w:val="en-NZ" w:eastAsia="en-US"/>
              </w:rPr>
              <w:t>2019/20 $m</w:t>
            </w:r>
          </w:p>
        </w:tc>
      </w:tr>
      <w:tr w:rsidR="00C90CD5" w:rsidRPr="002F108B" w14:paraId="08261610" w14:textId="77777777" w:rsidTr="000617ED">
        <w:trPr>
          <w:cantSplit/>
          <w:trHeight w:val="315"/>
        </w:trPr>
        <w:tc>
          <w:tcPr>
            <w:tcW w:w="776" w:type="pct"/>
            <w:vMerge w:val="restart"/>
            <w:tcBorders>
              <w:top w:val="nil"/>
              <w:left w:val="nil"/>
              <w:bottom w:val="single" w:sz="8" w:space="0" w:color="FFFFFF"/>
              <w:right w:val="single" w:sz="8" w:space="0" w:color="FFFFFF"/>
            </w:tcBorders>
            <w:shd w:val="clear" w:color="000000" w:fill="D3E2F1"/>
            <w:vAlign w:val="center"/>
            <w:hideMark/>
          </w:tcPr>
          <w:p w14:paraId="7D95064A" w14:textId="77777777" w:rsidR="000C5F9D" w:rsidRPr="002F108B" w:rsidRDefault="000C5F9D" w:rsidP="000A210E">
            <w:pPr>
              <w:keepNext/>
              <w:spacing w:before="0" w:after="0" w:line="240" w:lineRule="auto"/>
              <w:rPr>
                <w:rFonts w:cs="Calibri"/>
                <w:color w:val="000000"/>
                <w:sz w:val="18"/>
                <w:szCs w:val="18"/>
                <w:lang w:val="en-NZ" w:eastAsia="en-US"/>
              </w:rPr>
            </w:pPr>
            <w:r w:rsidRPr="002F108B">
              <w:rPr>
                <w:rFonts w:cs="Calibri"/>
                <w:color w:val="000000"/>
                <w:sz w:val="18"/>
                <w:szCs w:val="18"/>
                <w:lang w:val="en-NZ" w:eastAsia="en-US"/>
              </w:rPr>
              <w:t>NZ Racing Board (TAB)</w:t>
            </w:r>
          </w:p>
        </w:tc>
        <w:tc>
          <w:tcPr>
            <w:tcW w:w="923" w:type="pct"/>
            <w:tcBorders>
              <w:top w:val="nil"/>
              <w:left w:val="nil"/>
              <w:bottom w:val="single" w:sz="8" w:space="0" w:color="FFFFFF"/>
              <w:right w:val="single" w:sz="8" w:space="0" w:color="FFFFFF"/>
            </w:tcBorders>
            <w:shd w:val="clear" w:color="000000" w:fill="F2F2F2"/>
            <w:vAlign w:val="center"/>
            <w:hideMark/>
          </w:tcPr>
          <w:p w14:paraId="591F4562" w14:textId="44D04130" w:rsidR="000C5F9D" w:rsidRPr="002F108B" w:rsidRDefault="000C5F9D" w:rsidP="000A210E">
            <w:pPr>
              <w:keepNext/>
              <w:spacing w:before="0" w:after="0" w:line="240" w:lineRule="auto"/>
              <w:rPr>
                <w:rFonts w:cs="Calibri"/>
                <w:color w:val="000000"/>
                <w:sz w:val="18"/>
                <w:szCs w:val="18"/>
                <w:lang w:val="en-NZ" w:eastAsia="en-US"/>
              </w:rPr>
            </w:pPr>
            <w:r w:rsidRPr="002F108B">
              <w:rPr>
                <w:rFonts w:cs="Calibri"/>
                <w:sz w:val="18"/>
                <w:szCs w:val="18"/>
                <w:lang w:val="en-NZ" w:eastAsia="en-US"/>
              </w:rPr>
              <w:t>Expenditure</w:t>
            </w:r>
            <w:r w:rsidR="00D73553">
              <w:rPr>
                <w:rStyle w:val="FootnoteReference"/>
                <w:rFonts w:cs="Calibri"/>
                <w:sz w:val="18"/>
                <w:szCs w:val="18"/>
                <w:lang w:val="en-NZ" w:eastAsia="en-US"/>
              </w:rPr>
              <w:footnoteReference w:id="17"/>
            </w:r>
          </w:p>
        </w:tc>
        <w:tc>
          <w:tcPr>
            <w:tcW w:w="542" w:type="pct"/>
            <w:tcBorders>
              <w:top w:val="nil"/>
              <w:left w:val="nil"/>
              <w:bottom w:val="single" w:sz="8" w:space="0" w:color="FFFFFF"/>
              <w:right w:val="single" w:sz="8" w:space="0" w:color="FFFFFF"/>
            </w:tcBorders>
            <w:shd w:val="clear" w:color="000000" w:fill="F2F2F2"/>
            <w:vAlign w:val="center"/>
            <w:hideMark/>
          </w:tcPr>
          <w:p w14:paraId="1FB5AE39" w14:textId="77777777" w:rsidR="000C5F9D" w:rsidRPr="002F108B" w:rsidRDefault="000C5F9D" w:rsidP="000A210E">
            <w:pPr>
              <w:keepNext/>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$325</w:t>
            </w:r>
          </w:p>
        </w:tc>
        <w:tc>
          <w:tcPr>
            <w:tcW w:w="542" w:type="pct"/>
            <w:tcBorders>
              <w:top w:val="nil"/>
              <w:left w:val="nil"/>
              <w:bottom w:val="single" w:sz="8" w:space="0" w:color="FFFFFF"/>
              <w:right w:val="single" w:sz="8" w:space="0" w:color="FFFFFF"/>
            </w:tcBorders>
            <w:shd w:val="clear" w:color="000000" w:fill="F2F2F2"/>
            <w:vAlign w:val="center"/>
            <w:hideMark/>
          </w:tcPr>
          <w:p w14:paraId="17E99095" w14:textId="77777777" w:rsidR="000C5F9D" w:rsidRPr="002F108B" w:rsidRDefault="000C5F9D" w:rsidP="000A210E">
            <w:pPr>
              <w:keepNext/>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$342</w:t>
            </w:r>
          </w:p>
        </w:tc>
        <w:tc>
          <w:tcPr>
            <w:tcW w:w="543" w:type="pct"/>
            <w:tcBorders>
              <w:top w:val="nil"/>
              <w:left w:val="nil"/>
              <w:bottom w:val="single" w:sz="8" w:space="0" w:color="FFFFFF"/>
              <w:right w:val="single" w:sz="8" w:space="0" w:color="FFFFFF"/>
            </w:tcBorders>
            <w:shd w:val="clear" w:color="000000" w:fill="F2F2F2"/>
            <w:vAlign w:val="center"/>
            <w:hideMark/>
          </w:tcPr>
          <w:p w14:paraId="765C6FBB" w14:textId="77777777" w:rsidR="000C5F9D" w:rsidRPr="002F108B" w:rsidRDefault="000C5F9D" w:rsidP="000A210E">
            <w:pPr>
              <w:keepNext/>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$338</w:t>
            </w:r>
          </w:p>
        </w:tc>
        <w:tc>
          <w:tcPr>
            <w:tcW w:w="567" w:type="pct"/>
            <w:tcBorders>
              <w:top w:val="nil"/>
              <w:left w:val="nil"/>
              <w:bottom w:val="single" w:sz="8" w:space="0" w:color="FFFFFF"/>
              <w:right w:val="single" w:sz="8" w:space="0" w:color="FFFFFF"/>
            </w:tcBorders>
            <w:shd w:val="clear" w:color="000000" w:fill="F2F2F2"/>
            <w:vAlign w:val="center"/>
            <w:hideMark/>
          </w:tcPr>
          <w:p w14:paraId="53373D56" w14:textId="77777777" w:rsidR="000C5F9D" w:rsidRPr="002F108B" w:rsidRDefault="000C5F9D" w:rsidP="000A210E">
            <w:pPr>
              <w:keepNext/>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$350</w:t>
            </w:r>
          </w:p>
        </w:tc>
        <w:tc>
          <w:tcPr>
            <w:tcW w:w="567" w:type="pct"/>
            <w:tcBorders>
              <w:top w:val="nil"/>
              <w:left w:val="nil"/>
              <w:bottom w:val="single" w:sz="8" w:space="0" w:color="FFFFFF"/>
              <w:right w:val="single" w:sz="8" w:space="0" w:color="FFFFFF"/>
            </w:tcBorders>
            <w:shd w:val="clear" w:color="000000" w:fill="F2F2F2"/>
            <w:vAlign w:val="center"/>
            <w:hideMark/>
          </w:tcPr>
          <w:p w14:paraId="0938F55F" w14:textId="77777777" w:rsidR="000C5F9D" w:rsidRPr="002F108B" w:rsidRDefault="000C5F9D" w:rsidP="000A210E">
            <w:pPr>
              <w:keepNext/>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$332</w:t>
            </w:r>
          </w:p>
        </w:tc>
        <w:tc>
          <w:tcPr>
            <w:tcW w:w="541" w:type="pct"/>
            <w:tcBorders>
              <w:top w:val="nil"/>
              <w:left w:val="nil"/>
              <w:bottom w:val="single" w:sz="8" w:space="0" w:color="FFFFFF"/>
              <w:right w:val="nil"/>
            </w:tcBorders>
            <w:shd w:val="clear" w:color="000000" w:fill="F2F2F2"/>
            <w:vAlign w:val="center"/>
            <w:hideMark/>
          </w:tcPr>
          <w:p w14:paraId="6929EAEB" w14:textId="77777777" w:rsidR="000C5F9D" w:rsidRPr="002F108B" w:rsidRDefault="000C5F9D" w:rsidP="000A210E">
            <w:pPr>
              <w:keepNext/>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$315</w:t>
            </w:r>
          </w:p>
        </w:tc>
      </w:tr>
      <w:tr w:rsidR="00C104D1" w:rsidRPr="002F108B" w14:paraId="14136A84" w14:textId="77777777" w:rsidTr="000617ED">
        <w:trPr>
          <w:trHeight w:val="315"/>
        </w:trPr>
        <w:tc>
          <w:tcPr>
            <w:tcW w:w="776" w:type="pct"/>
            <w:vMerge/>
            <w:tcBorders>
              <w:top w:val="nil"/>
              <w:left w:val="nil"/>
              <w:bottom w:val="single" w:sz="8" w:space="0" w:color="FFFFFF"/>
              <w:right w:val="single" w:sz="8" w:space="0" w:color="FFFFFF"/>
            </w:tcBorders>
            <w:vAlign w:val="center"/>
          </w:tcPr>
          <w:p w14:paraId="5C9426BC" w14:textId="77777777" w:rsidR="00D73553" w:rsidRPr="002F108B" w:rsidRDefault="00D73553" w:rsidP="000C5F9D">
            <w:pPr>
              <w:spacing w:before="0" w:after="0" w:line="240" w:lineRule="auto"/>
              <w:rPr>
                <w:rFonts w:cs="Calibri"/>
                <w:color w:val="000000"/>
                <w:sz w:val="18"/>
                <w:szCs w:val="18"/>
                <w:lang w:val="en-NZ" w:eastAsia="en-US"/>
              </w:rPr>
            </w:pPr>
          </w:p>
        </w:tc>
        <w:tc>
          <w:tcPr>
            <w:tcW w:w="923" w:type="pct"/>
            <w:tcBorders>
              <w:top w:val="single" w:sz="8" w:space="0" w:color="FFFFFF"/>
              <w:left w:val="nil"/>
              <w:bottom w:val="single" w:sz="4" w:space="0" w:color="FFFFFF"/>
              <w:right w:val="single" w:sz="4" w:space="0" w:color="FFFFFF"/>
            </w:tcBorders>
            <w:shd w:val="clear" w:color="auto" w:fill="F2F2F2"/>
            <w:noWrap/>
            <w:vAlign w:val="bottom"/>
          </w:tcPr>
          <w:p w14:paraId="3A9EE572" w14:textId="29D49CF5" w:rsidR="00D73553" w:rsidRPr="002F108B" w:rsidRDefault="00D73553" w:rsidP="000C5F9D">
            <w:pPr>
              <w:spacing w:before="0" w:after="0" w:line="240" w:lineRule="auto"/>
              <w:rPr>
                <w:rFonts w:cs="Calibri"/>
                <w:color w:val="000000"/>
                <w:sz w:val="18"/>
                <w:szCs w:val="18"/>
                <w:lang w:val="en-NZ" w:eastAsia="en-US"/>
              </w:rPr>
            </w:pPr>
            <w:r>
              <w:rPr>
                <w:rFonts w:cs="Calibri"/>
                <w:color w:val="000000"/>
                <w:sz w:val="18"/>
                <w:szCs w:val="18"/>
                <w:lang w:val="en-NZ" w:eastAsia="en-US"/>
              </w:rPr>
              <w:t>Prizes</w:t>
            </w:r>
            <w:r>
              <w:rPr>
                <w:rStyle w:val="FootnoteReference"/>
                <w:rFonts w:cs="Calibri"/>
                <w:color w:val="000000"/>
                <w:sz w:val="18"/>
                <w:szCs w:val="18"/>
                <w:lang w:val="en-NZ" w:eastAsia="en-US"/>
              </w:rPr>
              <w:footnoteReference w:id="18"/>
            </w:r>
            <w:r>
              <w:rPr>
                <w:rFonts w:cs="Calibri"/>
                <w:color w:val="000000"/>
                <w:sz w:val="18"/>
                <w:szCs w:val="18"/>
                <w:lang w:val="en-NZ" w:eastAsia="en-US"/>
              </w:rPr>
              <w:t xml:space="preserve"> </w:t>
            </w:r>
          </w:p>
        </w:tc>
        <w:tc>
          <w:tcPr>
            <w:tcW w:w="542" w:type="pct"/>
            <w:tcBorders>
              <w:top w:val="nil"/>
              <w:left w:val="single" w:sz="4" w:space="0" w:color="FFFFFF"/>
              <w:bottom w:val="single" w:sz="8" w:space="0" w:color="FFFFFF"/>
              <w:right w:val="single" w:sz="8" w:space="0" w:color="FFFFFF"/>
            </w:tcBorders>
            <w:shd w:val="clear" w:color="auto" w:fill="F2F2F2"/>
            <w:vAlign w:val="center"/>
          </w:tcPr>
          <w:p w14:paraId="7CD51682" w14:textId="343DD669"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$1,748</w:t>
            </w:r>
          </w:p>
        </w:tc>
        <w:tc>
          <w:tcPr>
            <w:tcW w:w="542" w:type="pct"/>
            <w:tcBorders>
              <w:top w:val="nil"/>
              <w:left w:val="nil"/>
              <w:bottom w:val="single" w:sz="8" w:space="0" w:color="FFFFFF"/>
              <w:right w:val="single" w:sz="8" w:space="0" w:color="FFFFFF"/>
            </w:tcBorders>
            <w:shd w:val="clear" w:color="000000" w:fill="F2F2F2"/>
            <w:vAlign w:val="center"/>
          </w:tcPr>
          <w:p w14:paraId="15CD801A" w14:textId="09C2D101"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$1,928</w:t>
            </w:r>
          </w:p>
        </w:tc>
        <w:tc>
          <w:tcPr>
            <w:tcW w:w="543" w:type="pct"/>
            <w:tcBorders>
              <w:top w:val="nil"/>
              <w:left w:val="nil"/>
              <w:bottom w:val="single" w:sz="8" w:space="0" w:color="FFFFFF"/>
              <w:right w:val="single" w:sz="8" w:space="0" w:color="FFFFFF"/>
            </w:tcBorders>
            <w:shd w:val="clear" w:color="000000" w:fill="F2F2F2"/>
            <w:vAlign w:val="center"/>
          </w:tcPr>
          <w:p w14:paraId="07B81720" w14:textId="453F3E91"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$1,907</w:t>
            </w:r>
          </w:p>
        </w:tc>
        <w:tc>
          <w:tcPr>
            <w:tcW w:w="567" w:type="pct"/>
            <w:tcBorders>
              <w:top w:val="nil"/>
              <w:left w:val="nil"/>
              <w:bottom w:val="single" w:sz="8" w:space="0" w:color="FFFFFF"/>
              <w:right w:val="single" w:sz="8" w:space="0" w:color="FFFFFF"/>
            </w:tcBorders>
            <w:shd w:val="clear" w:color="000000" w:fill="F2F2F2"/>
            <w:vAlign w:val="center"/>
          </w:tcPr>
          <w:p w14:paraId="3C5BEA83" w14:textId="140E70BF"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$1,913</w:t>
            </w:r>
          </w:p>
        </w:tc>
        <w:tc>
          <w:tcPr>
            <w:tcW w:w="567" w:type="pct"/>
            <w:tcBorders>
              <w:top w:val="nil"/>
              <w:left w:val="nil"/>
              <w:bottom w:val="single" w:sz="8" w:space="0" w:color="FFFFFF"/>
              <w:right w:val="single" w:sz="8" w:space="0" w:color="FFFFFF"/>
            </w:tcBorders>
            <w:shd w:val="clear" w:color="000000" w:fill="F2F2F2"/>
            <w:vAlign w:val="center"/>
          </w:tcPr>
          <w:p w14:paraId="2D406CCC" w14:textId="444295D9"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$1,926</w:t>
            </w:r>
          </w:p>
        </w:tc>
        <w:tc>
          <w:tcPr>
            <w:tcW w:w="541" w:type="pct"/>
            <w:tcBorders>
              <w:top w:val="nil"/>
              <w:left w:val="nil"/>
              <w:bottom w:val="single" w:sz="8" w:space="0" w:color="FFFFFF"/>
              <w:right w:val="nil"/>
            </w:tcBorders>
            <w:shd w:val="clear" w:color="000000" w:fill="F2F2F2"/>
            <w:vAlign w:val="center"/>
          </w:tcPr>
          <w:p w14:paraId="1B9A9358" w14:textId="40A378CF" w:rsidR="00D73553" w:rsidRPr="002F108B" w:rsidRDefault="00D73553" w:rsidP="000C5F9D">
            <w:pPr>
              <w:spacing w:before="0" w:after="0" w:line="240" w:lineRule="auto"/>
              <w:jc w:val="right"/>
              <w:rPr>
                <w:rFonts w:cs="Calibri"/>
                <w:color w:val="000000"/>
                <w:sz w:val="18"/>
                <w:szCs w:val="18"/>
                <w:lang w:val="en-NZ" w:eastAsia="en-US"/>
              </w:rPr>
            </w:pPr>
            <w:r>
              <w:rPr>
                <w:rFonts w:cs="Calibri"/>
                <w:color w:val="000000"/>
                <w:sz w:val="18"/>
                <w:szCs w:val="18"/>
                <w:lang w:val="en-NZ" w:eastAsia="en-US"/>
              </w:rPr>
              <w:t>$1,854</w:t>
            </w:r>
          </w:p>
        </w:tc>
      </w:tr>
      <w:tr w:rsidR="00C90CD5" w:rsidRPr="002F108B" w14:paraId="5890201B" w14:textId="77777777" w:rsidTr="000617ED">
        <w:trPr>
          <w:trHeight w:val="315"/>
        </w:trPr>
        <w:tc>
          <w:tcPr>
            <w:tcW w:w="776" w:type="pct"/>
            <w:vMerge/>
            <w:tcBorders>
              <w:top w:val="nil"/>
              <w:left w:val="nil"/>
              <w:bottom w:val="single" w:sz="8" w:space="0" w:color="FFFFFF"/>
              <w:right w:val="single" w:sz="8" w:space="0" w:color="FFFFFF"/>
            </w:tcBorders>
            <w:vAlign w:val="center"/>
            <w:hideMark/>
          </w:tcPr>
          <w:p w14:paraId="38290B60" w14:textId="77777777" w:rsidR="000C5F9D" w:rsidRPr="002F108B" w:rsidRDefault="000C5F9D" w:rsidP="000C5F9D">
            <w:pPr>
              <w:spacing w:before="0" w:after="0" w:line="240" w:lineRule="auto"/>
              <w:rPr>
                <w:rFonts w:cs="Calibri"/>
                <w:color w:val="000000"/>
                <w:sz w:val="18"/>
                <w:szCs w:val="18"/>
                <w:lang w:val="en-NZ" w:eastAsia="en-US"/>
              </w:rPr>
            </w:pPr>
          </w:p>
        </w:tc>
        <w:tc>
          <w:tcPr>
            <w:tcW w:w="923" w:type="pct"/>
            <w:tcBorders>
              <w:top w:val="single" w:sz="4" w:space="0" w:color="FFFFFF"/>
              <w:left w:val="nil"/>
              <w:right w:val="single" w:sz="4" w:space="0" w:color="FFFFFF"/>
            </w:tcBorders>
            <w:shd w:val="clear" w:color="auto" w:fill="F2F2F2"/>
            <w:noWrap/>
            <w:vAlign w:val="bottom"/>
            <w:hideMark/>
          </w:tcPr>
          <w:p w14:paraId="19A6381F" w14:textId="427F6FC0" w:rsidR="000C5F9D" w:rsidRPr="002F108B" w:rsidRDefault="000C5F9D" w:rsidP="000C5F9D">
            <w:pPr>
              <w:spacing w:before="0" w:after="0" w:line="240" w:lineRule="auto"/>
              <w:rPr>
                <w:rFonts w:cs="Calibri"/>
                <w:color w:val="000000"/>
                <w:sz w:val="18"/>
                <w:szCs w:val="18"/>
                <w:lang w:val="en-NZ" w:eastAsia="en-US"/>
              </w:rPr>
            </w:pPr>
            <w:r w:rsidRPr="002F108B">
              <w:rPr>
                <w:rFonts w:cs="Calibri"/>
                <w:color w:val="000000"/>
                <w:sz w:val="18"/>
                <w:szCs w:val="18"/>
                <w:lang w:val="en-NZ" w:eastAsia="en-US"/>
              </w:rPr>
              <w:footnoteReference w:customMarkFollows="1" w:id="19"/>
              <w:t>Turnover</w:t>
            </w:r>
            <w:r w:rsidR="00644664" w:rsidRPr="002F108B">
              <w:rPr>
                <w:rStyle w:val="FootnoteReference"/>
                <w:lang w:val="en-NZ"/>
              </w:rPr>
              <w:footnoteReference w:id="20"/>
            </w:r>
          </w:p>
        </w:tc>
        <w:tc>
          <w:tcPr>
            <w:tcW w:w="542" w:type="pct"/>
            <w:tcBorders>
              <w:top w:val="nil"/>
              <w:left w:val="single" w:sz="4" w:space="0" w:color="FFFFFF"/>
              <w:bottom w:val="single" w:sz="8" w:space="0" w:color="FFFFFF"/>
              <w:right w:val="single" w:sz="8" w:space="0" w:color="FFFFFF"/>
            </w:tcBorders>
            <w:shd w:val="clear" w:color="000000" w:fill="F2F2F2"/>
            <w:vAlign w:val="center"/>
            <w:hideMark/>
          </w:tcPr>
          <w:p w14:paraId="18C3B35D"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$2,073</w:t>
            </w:r>
          </w:p>
        </w:tc>
        <w:tc>
          <w:tcPr>
            <w:tcW w:w="542" w:type="pct"/>
            <w:tcBorders>
              <w:top w:val="nil"/>
              <w:left w:val="nil"/>
              <w:bottom w:val="single" w:sz="8" w:space="0" w:color="FFFFFF"/>
              <w:right w:val="single" w:sz="8" w:space="0" w:color="FFFFFF"/>
            </w:tcBorders>
            <w:shd w:val="clear" w:color="000000" w:fill="F2F2F2"/>
            <w:vAlign w:val="center"/>
            <w:hideMark/>
          </w:tcPr>
          <w:p w14:paraId="26C4AFCF"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$2,270</w:t>
            </w:r>
          </w:p>
        </w:tc>
        <w:tc>
          <w:tcPr>
            <w:tcW w:w="543" w:type="pct"/>
            <w:tcBorders>
              <w:top w:val="nil"/>
              <w:left w:val="nil"/>
              <w:bottom w:val="single" w:sz="8" w:space="0" w:color="FFFFFF"/>
              <w:right w:val="single" w:sz="8" w:space="0" w:color="FFFFFF"/>
            </w:tcBorders>
            <w:shd w:val="clear" w:color="000000" w:fill="F2F2F2"/>
            <w:vAlign w:val="center"/>
            <w:hideMark/>
          </w:tcPr>
          <w:p w14:paraId="62995471"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$2,246</w:t>
            </w:r>
          </w:p>
        </w:tc>
        <w:tc>
          <w:tcPr>
            <w:tcW w:w="567" w:type="pct"/>
            <w:tcBorders>
              <w:top w:val="nil"/>
              <w:left w:val="nil"/>
              <w:bottom w:val="single" w:sz="8" w:space="0" w:color="FFFFFF"/>
              <w:right w:val="single" w:sz="8" w:space="0" w:color="FFFFFF"/>
            </w:tcBorders>
            <w:shd w:val="clear" w:color="000000" w:fill="F2F2F2"/>
            <w:vAlign w:val="center"/>
            <w:hideMark/>
          </w:tcPr>
          <w:p w14:paraId="2F494E64"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$2,262</w:t>
            </w:r>
          </w:p>
        </w:tc>
        <w:tc>
          <w:tcPr>
            <w:tcW w:w="567" w:type="pct"/>
            <w:tcBorders>
              <w:top w:val="nil"/>
              <w:left w:val="nil"/>
              <w:bottom w:val="single" w:sz="8" w:space="0" w:color="FFFFFF"/>
              <w:right w:val="single" w:sz="8" w:space="0" w:color="FFFFFF"/>
            </w:tcBorders>
            <w:shd w:val="clear" w:color="000000" w:fill="F2F2F2"/>
            <w:vAlign w:val="center"/>
            <w:hideMark/>
          </w:tcPr>
          <w:p w14:paraId="2A5115EA"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$2,258</w:t>
            </w:r>
          </w:p>
        </w:tc>
        <w:tc>
          <w:tcPr>
            <w:tcW w:w="541" w:type="pct"/>
            <w:tcBorders>
              <w:top w:val="nil"/>
              <w:left w:val="nil"/>
              <w:bottom w:val="single" w:sz="8" w:space="0" w:color="FFFFFF"/>
              <w:right w:val="nil"/>
            </w:tcBorders>
            <w:shd w:val="clear" w:color="000000" w:fill="F2F2F2"/>
            <w:vAlign w:val="center"/>
            <w:hideMark/>
          </w:tcPr>
          <w:p w14:paraId="03C285B5"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$2,169</w:t>
            </w:r>
          </w:p>
        </w:tc>
      </w:tr>
      <w:tr w:rsidR="00C90CD5" w:rsidRPr="002F108B" w14:paraId="2B931F57" w14:textId="77777777" w:rsidTr="000617ED">
        <w:trPr>
          <w:cantSplit/>
          <w:trHeight w:val="390"/>
        </w:trPr>
        <w:tc>
          <w:tcPr>
            <w:tcW w:w="776" w:type="pct"/>
            <w:vMerge w:val="restart"/>
            <w:tcBorders>
              <w:top w:val="nil"/>
              <w:left w:val="nil"/>
              <w:bottom w:val="single" w:sz="8" w:space="0" w:color="FFFFFF"/>
              <w:right w:val="single" w:sz="8" w:space="0" w:color="FFFFFF"/>
            </w:tcBorders>
            <w:shd w:val="clear" w:color="000000" w:fill="D3E2F1"/>
            <w:vAlign w:val="center"/>
            <w:hideMark/>
          </w:tcPr>
          <w:p w14:paraId="2C2CA438"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color w:val="000000"/>
                <w:sz w:val="18"/>
                <w:szCs w:val="18"/>
                <w:lang w:val="en-NZ" w:eastAsia="en-US"/>
              </w:rPr>
              <w:t>NZ Lotteries Commission</w:t>
            </w:r>
          </w:p>
        </w:tc>
        <w:tc>
          <w:tcPr>
            <w:tcW w:w="923" w:type="pct"/>
            <w:tcBorders>
              <w:left w:val="nil"/>
              <w:bottom w:val="single" w:sz="8" w:space="0" w:color="FFFFFF"/>
              <w:right w:val="single" w:sz="8" w:space="0" w:color="FFFFFF"/>
            </w:tcBorders>
            <w:shd w:val="clear" w:color="000000" w:fill="F2F2F2"/>
            <w:vAlign w:val="center"/>
            <w:hideMark/>
          </w:tcPr>
          <w:p w14:paraId="47A4CE36"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sz w:val="18"/>
                <w:szCs w:val="18"/>
                <w:lang w:val="en-NZ" w:eastAsia="en-US"/>
              </w:rPr>
              <w:t>Expenditure</w:t>
            </w:r>
          </w:p>
        </w:tc>
        <w:tc>
          <w:tcPr>
            <w:tcW w:w="542" w:type="pct"/>
            <w:tcBorders>
              <w:top w:val="nil"/>
              <w:left w:val="nil"/>
              <w:bottom w:val="single" w:sz="8" w:space="0" w:color="FFFFFF"/>
              <w:right w:val="single" w:sz="8" w:space="0" w:color="FFFFFF"/>
            </w:tcBorders>
            <w:shd w:val="clear" w:color="000000" w:fill="F2F2F2"/>
            <w:vAlign w:val="center"/>
            <w:hideMark/>
          </w:tcPr>
          <w:p w14:paraId="1887CD9A"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$420</w:t>
            </w:r>
          </w:p>
        </w:tc>
        <w:tc>
          <w:tcPr>
            <w:tcW w:w="542" w:type="pct"/>
            <w:tcBorders>
              <w:top w:val="nil"/>
              <w:left w:val="nil"/>
              <w:bottom w:val="single" w:sz="8" w:space="0" w:color="FFFFFF"/>
              <w:right w:val="single" w:sz="8" w:space="0" w:color="FFFFFF"/>
            </w:tcBorders>
            <w:shd w:val="clear" w:color="000000" w:fill="F2F2F2"/>
            <w:vAlign w:val="center"/>
            <w:hideMark/>
          </w:tcPr>
          <w:p w14:paraId="2CE75A93"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$437</w:t>
            </w:r>
          </w:p>
        </w:tc>
        <w:tc>
          <w:tcPr>
            <w:tcW w:w="543" w:type="pct"/>
            <w:tcBorders>
              <w:top w:val="nil"/>
              <w:left w:val="nil"/>
              <w:bottom w:val="single" w:sz="8" w:space="0" w:color="FFFFFF"/>
              <w:right w:val="single" w:sz="8" w:space="0" w:color="FFFFFF"/>
            </w:tcBorders>
            <w:shd w:val="clear" w:color="000000" w:fill="F2F2F2"/>
            <w:vAlign w:val="center"/>
            <w:hideMark/>
          </w:tcPr>
          <w:p w14:paraId="428A73C6"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$555</w:t>
            </w:r>
          </w:p>
        </w:tc>
        <w:tc>
          <w:tcPr>
            <w:tcW w:w="567" w:type="pct"/>
            <w:tcBorders>
              <w:top w:val="nil"/>
              <w:left w:val="nil"/>
              <w:bottom w:val="single" w:sz="8" w:space="0" w:color="FFFFFF"/>
              <w:right w:val="single" w:sz="8" w:space="0" w:color="FFFFFF"/>
            </w:tcBorders>
            <w:shd w:val="clear" w:color="000000" w:fill="F2F2F2"/>
            <w:vAlign w:val="center"/>
            <w:hideMark/>
          </w:tcPr>
          <w:p w14:paraId="54883983"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$561</w:t>
            </w:r>
          </w:p>
        </w:tc>
        <w:tc>
          <w:tcPr>
            <w:tcW w:w="567" w:type="pct"/>
            <w:tcBorders>
              <w:top w:val="nil"/>
              <w:left w:val="nil"/>
              <w:bottom w:val="single" w:sz="8" w:space="0" w:color="FFFFFF"/>
              <w:right w:val="single" w:sz="8" w:space="0" w:color="FFFFFF"/>
            </w:tcBorders>
            <w:shd w:val="clear" w:color="000000" w:fill="F2F2F2"/>
            <w:vAlign w:val="center"/>
            <w:hideMark/>
          </w:tcPr>
          <w:p w14:paraId="0913347B"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$530</w:t>
            </w:r>
          </w:p>
        </w:tc>
        <w:tc>
          <w:tcPr>
            <w:tcW w:w="541" w:type="pct"/>
            <w:tcBorders>
              <w:top w:val="nil"/>
              <w:left w:val="nil"/>
              <w:bottom w:val="single" w:sz="8" w:space="0" w:color="FFFFFF"/>
              <w:right w:val="nil"/>
            </w:tcBorders>
            <w:shd w:val="clear" w:color="000000" w:fill="F2F2F2"/>
            <w:vAlign w:val="center"/>
            <w:hideMark/>
          </w:tcPr>
          <w:p w14:paraId="40D0F6A6"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$631</w:t>
            </w:r>
          </w:p>
        </w:tc>
      </w:tr>
      <w:tr w:rsidR="00C104D1" w:rsidRPr="002F108B" w14:paraId="5B3ADF12" w14:textId="77777777" w:rsidTr="000617ED">
        <w:trPr>
          <w:trHeight w:val="315"/>
        </w:trPr>
        <w:tc>
          <w:tcPr>
            <w:tcW w:w="776" w:type="pct"/>
            <w:vMerge/>
            <w:tcBorders>
              <w:top w:val="nil"/>
              <w:left w:val="nil"/>
              <w:bottom w:val="single" w:sz="8" w:space="0" w:color="FFFFFF"/>
              <w:right w:val="single" w:sz="8" w:space="0" w:color="FFFFFF"/>
            </w:tcBorders>
            <w:vAlign w:val="center"/>
          </w:tcPr>
          <w:p w14:paraId="4D9D39E4" w14:textId="77777777" w:rsidR="00D73553" w:rsidRPr="002F108B" w:rsidRDefault="00D73553" w:rsidP="000C5F9D">
            <w:pPr>
              <w:spacing w:before="0" w:after="0" w:line="240" w:lineRule="auto"/>
              <w:rPr>
                <w:rFonts w:cs="Calibri"/>
                <w:color w:val="000000"/>
                <w:sz w:val="18"/>
                <w:szCs w:val="18"/>
                <w:lang w:val="en-NZ" w:eastAsia="en-US"/>
              </w:rPr>
            </w:pPr>
          </w:p>
        </w:tc>
        <w:tc>
          <w:tcPr>
            <w:tcW w:w="923" w:type="pct"/>
            <w:tcBorders>
              <w:top w:val="nil"/>
              <w:left w:val="nil"/>
              <w:bottom w:val="single" w:sz="8" w:space="0" w:color="FFFFFF"/>
              <w:right w:val="single" w:sz="8" w:space="0" w:color="FFFFFF"/>
            </w:tcBorders>
            <w:shd w:val="clear" w:color="000000" w:fill="F2F2F2"/>
            <w:vAlign w:val="center"/>
          </w:tcPr>
          <w:p w14:paraId="23C2B818" w14:textId="31856431" w:rsidR="00D73553" w:rsidRPr="002F108B" w:rsidRDefault="00D73553" w:rsidP="000C5F9D">
            <w:pPr>
              <w:spacing w:before="0" w:after="0" w:line="240" w:lineRule="auto"/>
              <w:rPr>
                <w:rFonts w:cs="Calibri"/>
                <w:sz w:val="18"/>
                <w:szCs w:val="18"/>
                <w:lang w:val="en-NZ" w:eastAsia="en-US"/>
              </w:rPr>
            </w:pPr>
            <w:r>
              <w:rPr>
                <w:rFonts w:cs="Calibri"/>
                <w:sz w:val="18"/>
                <w:szCs w:val="18"/>
                <w:lang w:val="en-NZ" w:eastAsia="en-US"/>
              </w:rPr>
              <w:t>Prizes</w:t>
            </w:r>
          </w:p>
        </w:tc>
        <w:tc>
          <w:tcPr>
            <w:tcW w:w="542" w:type="pct"/>
            <w:tcBorders>
              <w:top w:val="nil"/>
              <w:left w:val="nil"/>
              <w:bottom w:val="single" w:sz="8" w:space="0" w:color="FFFFFF"/>
              <w:right w:val="single" w:sz="8" w:space="0" w:color="FFFFFF"/>
            </w:tcBorders>
            <w:shd w:val="clear" w:color="000000" w:fill="F2F2F2"/>
            <w:vAlign w:val="center"/>
          </w:tcPr>
          <w:p w14:paraId="001D4983" w14:textId="78F79A01"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$473</w:t>
            </w:r>
          </w:p>
        </w:tc>
        <w:tc>
          <w:tcPr>
            <w:tcW w:w="542" w:type="pct"/>
            <w:tcBorders>
              <w:top w:val="nil"/>
              <w:left w:val="nil"/>
              <w:bottom w:val="single" w:sz="8" w:space="0" w:color="FFFFFF"/>
              <w:right w:val="single" w:sz="8" w:space="0" w:color="FFFFFF"/>
            </w:tcBorders>
            <w:shd w:val="clear" w:color="000000" w:fill="F2F2F2"/>
            <w:vAlign w:val="center"/>
          </w:tcPr>
          <w:p w14:paraId="7E99E36E" w14:textId="1BE35159"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$537</w:t>
            </w:r>
          </w:p>
        </w:tc>
        <w:tc>
          <w:tcPr>
            <w:tcW w:w="543" w:type="pct"/>
            <w:tcBorders>
              <w:top w:val="nil"/>
              <w:left w:val="nil"/>
              <w:bottom w:val="single" w:sz="8" w:space="0" w:color="FFFFFF"/>
              <w:right w:val="single" w:sz="8" w:space="0" w:color="FFFFFF"/>
            </w:tcBorders>
            <w:shd w:val="clear" w:color="000000" w:fill="F2F2F2"/>
            <w:vAlign w:val="center"/>
          </w:tcPr>
          <w:p w14:paraId="70B6DFAE" w14:textId="3CCAE5EA"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$652</w:t>
            </w:r>
          </w:p>
        </w:tc>
        <w:tc>
          <w:tcPr>
            <w:tcW w:w="567" w:type="pct"/>
            <w:tcBorders>
              <w:top w:val="nil"/>
              <w:left w:val="nil"/>
              <w:bottom w:val="single" w:sz="8" w:space="0" w:color="FFFFFF"/>
              <w:right w:val="single" w:sz="8" w:space="0" w:color="FFFFFF"/>
            </w:tcBorders>
            <w:shd w:val="clear" w:color="000000" w:fill="F2F2F2"/>
            <w:vAlign w:val="center"/>
          </w:tcPr>
          <w:p w14:paraId="32B01404" w14:textId="24DEF9F5"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$686</w:t>
            </w:r>
          </w:p>
        </w:tc>
        <w:tc>
          <w:tcPr>
            <w:tcW w:w="567" w:type="pct"/>
            <w:tcBorders>
              <w:top w:val="nil"/>
              <w:left w:val="nil"/>
              <w:bottom w:val="single" w:sz="8" w:space="0" w:color="FFFFFF"/>
              <w:right w:val="single" w:sz="8" w:space="0" w:color="FFFFFF"/>
            </w:tcBorders>
            <w:shd w:val="clear" w:color="000000" w:fill="F2F2F2"/>
            <w:vAlign w:val="center"/>
          </w:tcPr>
          <w:p w14:paraId="27FCB665" w14:textId="220FF2B8"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$645</w:t>
            </w:r>
          </w:p>
        </w:tc>
        <w:tc>
          <w:tcPr>
            <w:tcW w:w="541" w:type="pct"/>
            <w:tcBorders>
              <w:top w:val="nil"/>
              <w:left w:val="nil"/>
              <w:bottom w:val="single" w:sz="8" w:space="0" w:color="FFFFFF"/>
              <w:right w:val="nil"/>
            </w:tcBorders>
            <w:shd w:val="clear" w:color="000000" w:fill="F2F2F2"/>
            <w:vAlign w:val="center"/>
          </w:tcPr>
          <w:p w14:paraId="24EE0B79" w14:textId="5259AF81" w:rsidR="00D73553" w:rsidRPr="002F108B" w:rsidRDefault="00D73553" w:rsidP="000C5F9D">
            <w:pPr>
              <w:spacing w:before="0" w:after="0" w:line="240" w:lineRule="auto"/>
              <w:jc w:val="right"/>
              <w:rPr>
                <w:rFonts w:cs="Calibri"/>
                <w:color w:val="000000"/>
                <w:sz w:val="18"/>
                <w:szCs w:val="18"/>
                <w:lang w:val="en-NZ" w:eastAsia="en-US"/>
              </w:rPr>
            </w:pPr>
            <w:r>
              <w:rPr>
                <w:rFonts w:cs="Calibri"/>
                <w:color w:val="000000"/>
                <w:sz w:val="18"/>
                <w:szCs w:val="18"/>
                <w:lang w:val="en-NZ" w:eastAsia="en-US"/>
              </w:rPr>
              <w:t>$754</w:t>
            </w:r>
          </w:p>
        </w:tc>
      </w:tr>
      <w:tr w:rsidR="00C90CD5" w:rsidRPr="002F108B" w14:paraId="29F7EBF4" w14:textId="77777777" w:rsidTr="000617ED">
        <w:trPr>
          <w:trHeight w:val="315"/>
        </w:trPr>
        <w:tc>
          <w:tcPr>
            <w:tcW w:w="776" w:type="pct"/>
            <w:vMerge/>
            <w:tcBorders>
              <w:top w:val="nil"/>
              <w:left w:val="nil"/>
              <w:bottom w:val="single" w:sz="8" w:space="0" w:color="FFFFFF"/>
              <w:right w:val="single" w:sz="8" w:space="0" w:color="FFFFFF"/>
            </w:tcBorders>
            <w:vAlign w:val="center"/>
            <w:hideMark/>
          </w:tcPr>
          <w:p w14:paraId="462608B3" w14:textId="77777777" w:rsidR="000C5F9D" w:rsidRPr="002F108B" w:rsidRDefault="000C5F9D" w:rsidP="000C5F9D">
            <w:pPr>
              <w:spacing w:before="0" w:after="0" w:line="240" w:lineRule="auto"/>
              <w:rPr>
                <w:rFonts w:cs="Calibri"/>
                <w:color w:val="000000"/>
                <w:sz w:val="18"/>
                <w:szCs w:val="18"/>
                <w:lang w:val="en-NZ" w:eastAsia="en-US"/>
              </w:rPr>
            </w:pPr>
          </w:p>
        </w:tc>
        <w:tc>
          <w:tcPr>
            <w:tcW w:w="923" w:type="pct"/>
            <w:tcBorders>
              <w:top w:val="nil"/>
              <w:left w:val="nil"/>
              <w:bottom w:val="single" w:sz="8" w:space="0" w:color="FFFFFF"/>
              <w:right w:val="single" w:sz="8" w:space="0" w:color="FFFFFF"/>
            </w:tcBorders>
            <w:shd w:val="clear" w:color="000000" w:fill="F2F2F2"/>
            <w:vAlign w:val="center"/>
            <w:hideMark/>
          </w:tcPr>
          <w:p w14:paraId="3C28886E"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sz w:val="18"/>
                <w:szCs w:val="18"/>
                <w:lang w:val="en-NZ" w:eastAsia="en-US"/>
              </w:rPr>
              <w:t>Turnover</w:t>
            </w:r>
          </w:p>
        </w:tc>
        <w:tc>
          <w:tcPr>
            <w:tcW w:w="542" w:type="pct"/>
            <w:tcBorders>
              <w:top w:val="nil"/>
              <w:left w:val="nil"/>
              <w:bottom w:val="single" w:sz="8" w:space="0" w:color="FFFFFF"/>
              <w:right w:val="single" w:sz="8" w:space="0" w:color="FFFFFF"/>
            </w:tcBorders>
            <w:shd w:val="clear" w:color="000000" w:fill="F2F2F2"/>
            <w:vAlign w:val="center"/>
            <w:hideMark/>
          </w:tcPr>
          <w:p w14:paraId="7A06AFC9"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$894</w:t>
            </w:r>
          </w:p>
        </w:tc>
        <w:tc>
          <w:tcPr>
            <w:tcW w:w="542" w:type="pct"/>
            <w:tcBorders>
              <w:top w:val="nil"/>
              <w:left w:val="nil"/>
              <w:bottom w:val="single" w:sz="8" w:space="0" w:color="FFFFFF"/>
              <w:right w:val="single" w:sz="8" w:space="0" w:color="FFFFFF"/>
            </w:tcBorders>
            <w:shd w:val="clear" w:color="000000" w:fill="F2F2F2"/>
            <w:vAlign w:val="center"/>
            <w:hideMark/>
          </w:tcPr>
          <w:p w14:paraId="6D92AB53"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$974</w:t>
            </w:r>
          </w:p>
        </w:tc>
        <w:tc>
          <w:tcPr>
            <w:tcW w:w="543" w:type="pct"/>
            <w:tcBorders>
              <w:top w:val="nil"/>
              <w:left w:val="nil"/>
              <w:bottom w:val="single" w:sz="8" w:space="0" w:color="FFFFFF"/>
              <w:right w:val="single" w:sz="8" w:space="0" w:color="FFFFFF"/>
            </w:tcBorders>
            <w:shd w:val="clear" w:color="000000" w:fill="F2F2F2"/>
            <w:vAlign w:val="center"/>
            <w:hideMark/>
          </w:tcPr>
          <w:p w14:paraId="2EC3925A"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$1,027</w:t>
            </w:r>
          </w:p>
        </w:tc>
        <w:tc>
          <w:tcPr>
            <w:tcW w:w="567" w:type="pct"/>
            <w:tcBorders>
              <w:top w:val="nil"/>
              <w:left w:val="nil"/>
              <w:bottom w:val="single" w:sz="8" w:space="0" w:color="FFFFFF"/>
              <w:right w:val="single" w:sz="8" w:space="0" w:color="FFFFFF"/>
            </w:tcBorders>
            <w:shd w:val="clear" w:color="000000" w:fill="F2F2F2"/>
            <w:vAlign w:val="center"/>
            <w:hideMark/>
          </w:tcPr>
          <w:p w14:paraId="1FD262A2"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$1,246</w:t>
            </w:r>
          </w:p>
        </w:tc>
        <w:tc>
          <w:tcPr>
            <w:tcW w:w="567" w:type="pct"/>
            <w:tcBorders>
              <w:top w:val="nil"/>
              <w:left w:val="nil"/>
              <w:bottom w:val="single" w:sz="8" w:space="0" w:color="FFFFFF"/>
              <w:right w:val="single" w:sz="8" w:space="0" w:color="FFFFFF"/>
            </w:tcBorders>
            <w:shd w:val="clear" w:color="000000" w:fill="F2F2F2"/>
            <w:vAlign w:val="center"/>
            <w:hideMark/>
          </w:tcPr>
          <w:p w14:paraId="651EB5D1"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$1,175</w:t>
            </w:r>
          </w:p>
        </w:tc>
        <w:tc>
          <w:tcPr>
            <w:tcW w:w="541" w:type="pct"/>
            <w:tcBorders>
              <w:top w:val="nil"/>
              <w:left w:val="nil"/>
              <w:bottom w:val="single" w:sz="8" w:space="0" w:color="FFFFFF"/>
              <w:right w:val="nil"/>
            </w:tcBorders>
            <w:shd w:val="clear" w:color="000000" w:fill="F2F2F2"/>
            <w:vAlign w:val="center"/>
            <w:hideMark/>
          </w:tcPr>
          <w:p w14:paraId="66321260"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$1,384</w:t>
            </w:r>
          </w:p>
        </w:tc>
      </w:tr>
      <w:tr w:rsidR="00C90CD5" w:rsidRPr="002F108B" w14:paraId="39EBFC50" w14:textId="77777777" w:rsidTr="000617ED">
        <w:trPr>
          <w:cantSplit/>
          <w:trHeight w:val="315"/>
        </w:trPr>
        <w:tc>
          <w:tcPr>
            <w:tcW w:w="776" w:type="pct"/>
            <w:vMerge w:val="restart"/>
            <w:tcBorders>
              <w:top w:val="nil"/>
              <w:left w:val="nil"/>
              <w:bottom w:val="single" w:sz="8" w:space="0" w:color="FFFFFF"/>
              <w:right w:val="single" w:sz="8" w:space="0" w:color="FFFFFF"/>
            </w:tcBorders>
            <w:shd w:val="clear" w:color="000000" w:fill="D3E2F1"/>
            <w:vAlign w:val="center"/>
            <w:hideMark/>
          </w:tcPr>
          <w:p w14:paraId="2723CBE1"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color w:val="000000"/>
                <w:sz w:val="18"/>
                <w:szCs w:val="18"/>
                <w:lang w:val="en-NZ" w:eastAsia="en-US"/>
              </w:rPr>
              <w:t>EGMs (non-casinos)</w:t>
            </w:r>
          </w:p>
        </w:tc>
        <w:tc>
          <w:tcPr>
            <w:tcW w:w="923" w:type="pct"/>
            <w:tcBorders>
              <w:top w:val="nil"/>
              <w:left w:val="nil"/>
              <w:bottom w:val="single" w:sz="8" w:space="0" w:color="FFFFFF"/>
              <w:right w:val="single" w:sz="8" w:space="0" w:color="FFFFFF"/>
            </w:tcBorders>
            <w:shd w:val="clear" w:color="000000" w:fill="F2F2F2"/>
            <w:vAlign w:val="center"/>
            <w:hideMark/>
          </w:tcPr>
          <w:p w14:paraId="23514138"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sz w:val="18"/>
                <w:szCs w:val="18"/>
                <w:lang w:val="en-NZ" w:eastAsia="en-US"/>
              </w:rPr>
              <w:t>Expenditure</w:t>
            </w:r>
          </w:p>
        </w:tc>
        <w:tc>
          <w:tcPr>
            <w:tcW w:w="542" w:type="pct"/>
            <w:tcBorders>
              <w:top w:val="nil"/>
              <w:left w:val="nil"/>
              <w:bottom w:val="single" w:sz="8" w:space="0" w:color="FFFFFF"/>
              <w:right w:val="single" w:sz="8" w:space="0" w:color="FFFFFF"/>
            </w:tcBorders>
            <w:shd w:val="clear" w:color="000000" w:fill="F2F2F2"/>
            <w:vAlign w:val="center"/>
            <w:hideMark/>
          </w:tcPr>
          <w:p w14:paraId="7F3FC9F2"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$818</w:t>
            </w:r>
          </w:p>
        </w:tc>
        <w:tc>
          <w:tcPr>
            <w:tcW w:w="542" w:type="pct"/>
            <w:tcBorders>
              <w:top w:val="nil"/>
              <w:left w:val="nil"/>
              <w:bottom w:val="single" w:sz="8" w:space="0" w:color="FFFFFF"/>
              <w:right w:val="single" w:sz="8" w:space="0" w:color="FFFFFF"/>
            </w:tcBorders>
            <w:shd w:val="clear" w:color="000000" w:fill="F2F2F2"/>
            <w:vAlign w:val="center"/>
            <w:hideMark/>
          </w:tcPr>
          <w:p w14:paraId="4D33497E"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$843</w:t>
            </w:r>
          </w:p>
        </w:tc>
        <w:tc>
          <w:tcPr>
            <w:tcW w:w="543" w:type="pct"/>
            <w:tcBorders>
              <w:top w:val="nil"/>
              <w:left w:val="nil"/>
              <w:bottom w:val="single" w:sz="8" w:space="0" w:color="FFFFFF"/>
              <w:right w:val="single" w:sz="8" w:space="0" w:color="FFFFFF"/>
            </w:tcBorders>
            <w:shd w:val="clear" w:color="000000" w:fill="F2F2F2"/>
            <w:vAlign w:val="center"/>
            <w:hideMark/>
          </w:tcPr>
          <w:p w14:paraId="439734EC"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$870</w:t>
            </w:r>
          </w:p>
        </w:tc>
        <w:tc>
          <w:tcPr>
            <w:tcW w:w="567" w:type="pct"/>
            <w:tcBorders>
              <w:top w:val="nil"/>
              <w:left w:val="nil"/>
              <w:bottom w:val="single" w:sz="8" w:space="0" w:color="FFFFFF"/>
              <w:right w:val="single" w:sz="8" w:space="0" w:color="FFFFFF"/>
            </w:tcBorders>
            <w:shd w:val="clear" w:color="000000" w:fill="F2F2F2"/>
            <w:vAlign w:val="center"/>
            <w:hideMark/>
          </w:tcPr>
          <w:p w14:paraId="1AD62CE2"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$895</w:t>
            </w:r>
          </w:p>
        </w:tc>
        <w:tc>
          <w:tcPr>
            <w:tcW w:w="567" w:type="pct"/>
            <w:tcBorders>
              <w:top w:val="nil"/>
              <w:left w:val="nil"/>
              <w:bottom w:val="single" w:sz="8" w:space="0" w:color="FFFFFF"/>
              <w:right w:val="single" w:sz="8" w:space="0" w:color="FFFFFF"/>
            </w:tcBorders>
            <w:shd w:val="clear" w:color="000000" w:fill="F2F2F2"/>
            <w:vAlign w:val="center"/>
            <w:hideMark/>
          </w:tcPr>
          <w:p w14:paraId="2584AA34"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$924</w:t>
            </w:r>
          </w:p>
        </w:tc>
        <w:tc>
          <w:tcPr>
            <w:tcW w:w="541" w:type="pct"/>
            <w:tcBorders>
              <w:top w:val="nil"/>
              <w:left w:val="nil"/>
              <w:bottom w:val="single" w:sz="8" w:space="0" w:color="FFFFFF"/>
              <w:right w:val="nil"/>
            </w:tcBorders>
            <w:shd w:val="clear" w:color="000000" w:fill="F2F2F2"/>
            <w:vAlign w:val="center"/>
            <w:hideMark/>
          </w:tcPr>
          <w:p w14:paraId="6D824708"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$802</w:t>
            </w:r>
          </w:p>
        </w:tc>
      </w:tr>
      <w:tr w:rsidR="00C104D1" w:rsidRPr="002F108B" w14:paraId="594EAFD3" w14:textId="77777777" w:rsidTr="000617ED">
        <w:trPr>
          <w:trHeight w:val="315"/>
        </w:trPr>
        <w:tc>
          <w:tcPr>
            <w:tcW w:w="776" w:type="pct"/>
            <w:vMerge/>
            <w:tcBorders>
              <w:top w:val="nil"/>
              <w:left w:val="nil"/>
              <w:bottom w:val="single" w:sz="8" w:space="0" w:color="FFFFFF"/>
              <w:right w:val="single" w:sz="8" w:space="0" w:color="FFFFFF"/>
            </w:tcBorders>
            <w:vAlign w:val="center"/>
          </w:tcPr>
          <w:p w14:paraId="32020269" w14:textId="77777777" w:rsidR="00D73553" w:rsidRPr="002F108B" w:rsidRDefault="00D73553" w:rsidP="000C5F9D">
            <w:pPr>
              <w:spacing w:before="0" w:after="0" w:line="240" w:lineRule="auto"/>
              <w:rPr>
                <w:rFonts w:cs="Calibri"/>
                <w:color w:val="000000"/>
                <w:sz w:val="18"/>
                <w:szCs w:val="18"/>
                <w:lang w:val="en-NZ" w:eastAsia="en-US"/>
              </w:rPr>
            </w:pPr>
          </w:p>
        </w:tc>
        <w:tc>
          <w:tcPr>
            <w:tcW w:w="923" w:type="pct"/>
            <w:tcBorders>
              <w:top w:val="nil"/>
              <w:left w:val="nil"/>
              <w:bottom w:val="single" w:sz="8" w:space="0" w:color="FFFFFF"/>
              <w:right w:val="single" w:sz="8" w:space="0" w:color="FFFFFF"/>
            </w:tcBorders>
            <w:shd w:val="clear" w:color="000000" w:fill="F2F2F2"/>
            <w:vAlign w:val="center"/>
          </w:tcPr>
          <w:p w14:paraId="12233F0E" w14:textId="685A12AC" w:rsidR="00D73553" w:rsidRPr="002F108B" w:rsidRDefault="00D73553" w:rsidP="000C5F9D">
            <w:pPr>
              <w:spacing w:before="0" w:after="0" w:line="240" w:lineRule="auto"/>
              <w:rPr>
                <w:rFonts w:cs="Calibri"/>
                <w:sz w:val="18"/>
                <w:szCs w:val="18"/>
                <w:lang w:val="en-NZ" w:eastAsia="en-US"/>
              </w:rPr>
            </w:pPr>
            <w:r>
              <w:rPr>
                <w:rFonts w:cs="Calibri"/>
                <w:sz w:val="18"/>
                <w:szCs w:val="18"/>
                <w:lang w:val="en-NZ" w:eastAsia="en-US"/>
              </w:rPr>
              <w:t>Prizes</w:t>
            </w:r>
          </w:p>
        </w:tc>
        <w:tc>
          <w:tcPr>
            <w:tcW w:w="542" w:type="pct"/>
            <w:tcBorders>
              <w:top w:val="nil"/>
              <w:left w:val="nil"/>
              <w:bottom w:val="single" w:sz="8" w:space="0" w:color="FFFFFF"/>
              <w:right w:val="single" w:sz="8" w:space="0" w:color="FFFFFF"/>
            </w:tcBorders>
            <w:shd w:val="clear" w:color="000000" w:fill="F2F2F2"/>
            <w:vAlign w:val="center"/>
          </w:tcPr>
          <w:p w14:paraId="6D36A572" w14:textId="595943E5"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$8,141</w:t>
            </w:r>
          </w:p>
        </w:tc>
        <w:tc>
          <w:tcPr>
            <w:tcW w:w="542" w:type="pct"/>
            <w:tcBorders>
              <w:top w:val="nil"/>
              <w:left w:val="nil"/>
              <w:bottom w:val="single" w:sz="8" w:space="0" w:color="FFFFFF"/>
              <w:right w:val="single" w:sz="8" w:space="0" w:color="FFFFFF"/>
            </w:tcBorders>
            <w:shd w:val="clear" w:color="000000" w:fill="F2F2F2"/>
            <w:vAlign w:val="center"/>
          </w:tcPr>
          <w:p w14:paraId="6475EA71" w14:textId="0DD09092"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$8,550</w:t>
            </w:r>
          </w:p>
        </w:tc>
        <w:tc>
          <w:tcPr>
            <w:tcW w:w="543" w:type="pct"/>
            <w:tcBorders>
              <w:top w:val="nil"/>
              <w:left w:val="nil"/>
              <w:bottom w:val="single" w:sz="8" w:space="0" w:color="FFFFFF"/>
              <w:right w:val="single" w:sz="8" w:space="0" w:color="FFFFFF"/>
            </w:tcBorders>
            <w:shd w:val="clear" w:color="000000" w:fill="F2F2F2"/>
            <w:vAlign w:val="center"/>
          </w:tcPr>
          <w:p w14:paraId="1AAFDDC6" w14:textId="755A1544"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$8,931</w:t>
            </w:r>
          </w:p>
        </w:tc>
        <w:tc>
          <w:tcPr>
            <w:tcW w:w="567" w:type="pct"/>
            <w:tcBorders>
              <w:top w:val="nil"/>
              <w:left w:val="nil"/>
              <w:bottom w:val="single" w:sz="8" w:space="0" w:color="FFFFFF"/>
              <w:right w:val="single" w:sz="8" w:space="0" w:color="FFFFFF"/>
            </w:tcBorders>
            <w:shd w:val="clear" w:color="000000" w:fill="F2F2F2"/>
            <w:vAlign w:val="center"/>
          </w:tcPr>
          <w:p w14:paraId="67DBBDE8" w14:textId="3CE102DC"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$9,154</w:t>
            </w:r>
          </w:p>
        </w:tc>
        <w:tc>
          <w:tcPr>
            <w:tcW w:w="567" w:type="pct"/>
            <w:tcBorders>
              <w:top w:val="nil"/>
              <w:left w:val="nil"/>
              <w:bottom w:val="single" w:sz="8" w:space="0" w:color="FFFFFF"/>
              <w:right w:val="single" w:sz="8" w:space="0" w:color="FFFFFF"/>
            </w:tcBorders>
            <w:shd w:val="clear" w:color="000000" w:fill="F2F2F2"/>
            <w:vAlign w:val="center"/>
          </w:tcPr>
          <w:p w14:paraId="74116A55" w14:textId="69285540" w:rsidR="00D73553" w:rsidRPr="002F108B" w:rsidRDefault="00D73553" w:rsidP="000C5F9D">
            <w:pPr>
              <w:spacing w:before="0" w:after="0" w:line="240" w:lineRule="auto"/>
              <w:jc w:val="right"/>
              <w:rPr>
                <w:rFonts w:cs="Calibri"/>
                <w:sz w:val="18"/>
                <w:szCs w:val="18"/>
                <w:lang w:val="en-NZ" w:eastAsia="en-US"/>
              </w:rPr>
            </w:pPr>
            <w:r>
              <w:rPr>
                <w:rFonts w:cs="Calibri"/>
                <w:sz w:val="18"/>
                <w:szCs w:val="18"/>
                <w:lang w:val="en-NZ" w:eastAsia="en-US"/>
              </w:rPr>
              <w:t>$9,440</w:t>
            </w:r>
          </w:p>
        </w:tc>
        <w:tc>
          <w:tcPr>
            <w:tcW w:w="541" w:type="pct"/>
            <w:tcBorders>
              <w:top w:val="nil"/>
              <w:left w:val="nil"/>
              <w:bottom w:val="single" w:sz="8" w:space="0" w:color="FFFFFF"/>
              <w:right w:val="nil"/>
            </w:tcBorders>
            <w:shd w:val="clear" w:color="000000" w:fill="F2F2F2"/>
            <w:vAlign w:val="center"/>
          </w:tcPr>
          <w:p w14:paraId="5B294526" w14:textId="1F56E35C" w:rsidR="00D73553" w:rsidRPr="002F108B" w:rsidRDefault="00D73553" w:rsidP="000C5F9D">
            <w:pPr>
              <w:spacing w:before="0" w:after="0" w:line="240" w:lineRule="auto"/>
              <w:jc w:val="right"/>
              <w:rPr>
                <w:rFonts w:cs="Calibri"/>
                <w:color w:val="000000"/>
                <w:sz w:val="18"/>
                <w:szCs w:val="18"/>
                <w:lang w:val="en-NZ" w:eastAsia="en-US"/>
              </w:rPr>
            </w:pPr>
            <w:r>
              <w:rPr>
                <w:rFonts w:cs="Calibri"/>
                <w:color w:val="000000"/>
                <w:sz w:val="18"/>
                <w:szCs w:val="18"/>
                <w:lang w:val="en-NZ" w:eastAsia="en-US"/>
              </w:rPr>
              <w:t>$8,209</w:t>
            </w:r>
          </w:p>
        </w:tc>
      </w:tr>
      <w:tr w:rsidR="00C90CD5" w:rsidRPr="002F108B" w14:paraId="0D2FC2BD" w14:textId="77777777" w:rsidTr="000617ED">
        <w:trPr>
          <w:trHeight w:val="315"/>
        </w:trPr>
        <w:tc>
          <w:tcPr>
            <w:tcW w:w="776" w:type="pct"/>
            <w:vMerge/>
            <w:tcBorders>
              <w:top w:val="nil"/>
              <w:left w:val="nil"/>
              <w:bottom w:val="single" w:sz="8" w:space="0" w:color="FFFFFF"/>
              <w:right w:val="single" w:sz="8" w:space="0" w:color="FFFFFF"/>
            </w:tcBorders>
            <w:vAlign w:val="center"/>
            <w:hideMark/>
          </w:tcPr>
          <w:p w14:paraId="2D3B4D06" w14:textId="77777777" w:rsidR="000C5F9D" w:rsidRPr="002F108B" w:rsidRDefault="000C5F9D" w:rsidP="000C5F9D">
            <w:pPr>
              <w:spacing w:before="0" w:after="0" w:line="240" w:lineRule="auto"/>
              <w:rPr>
                <w:rFonts w:cs="Calibri"/>
                <w:color w:val="000000"/>
                <w:sz w:val="18"/>
                <w:szCs w:val="18"/>
                <w:lang w:val="en-NZ" w:eastAsia="en-US"/>
              </w:rPr>
            </w:pPr>
          </w:p>
        </w:tc>
        <w:tc>
          <w:tcPr>
            <w:tcW w:w="923" w:type="pct"/>
            <w:tcBorders>
              <w:top w:val="nil"/>
              <w:left w:val="nil"/>
              <w:bottom w:val="single" w:sz="8" w:space="0" w:color="FFFFFF"/>
              <w:right w:val="single" w:sz="8" w:space="0" w:color="FFFFFF"/>
            </w:tcBorders>
            <w:shd w:val="clear" w:color="000000" w:fill="F2F2F2"/>
            <w:vAlign w:val="center"/>
            <w:hideMark/>
          </w:tcPr>
          <w:p w14:paraId="5706AF5A"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sz w:val="18"/>
                <w:szCs w:val="18"/>
                <w:lang w:val="en-NZ" w:eastAsia="en-US"/>
              </w:rPr>
              <w:t>Turnover</w:t>
            </w:r>
          </w:p>
        </w:tc>
        <w:tc>
          <w:tcPr>
            <w:tcW w:w="542" w:type="pct"/>
            <w:tcBorders>
              <w:top w:val="nil"/>
              <w:left w:val="nil"/>
              <w:bottom w:val="single" w:sz="8" w:space="0" w:color="FFFFFF"/>
              <w:right w:val="single" w:sz="8" w:space="0" w:color="FFFFFF"/>
            </w:tcBorders>
            <w:shd w:val="clear" w:color="000000" w:fill="F2F2F2"/>
            <w:vAlign w:val="center"/>
            <w:hideMark/>
          </w:tcPr>
          <w:p w14:paraId="3681F72C"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$8,849</w:t>
            </w:r>
          </w:p>
        </w:tc>
        <w:tc>
          <w:tcPr>
            <w:tcW w:w="542" w:type="pct"/>
            <w:tcBorders>
              <w:top w:val="nil"/>
              <w:left w:val="nil"/>
              <w:bottom w:val="single" w:sz="8" w:space="0" w:color="FFFFFF"/>
              <w:right w:val="single" w:sz="8" w:space="0" w:color="FFFFFF"/>
            </w:tcBorders>
            <w:shd w:val="clear" w:color="000000" w:fill="F2F2F2"/>
            <w:vAlign w:val="center"/>
            <w:hideMark/>
          </w:tcPr>
          <w:p w14:paraId="32F426E8"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$9,393</w:t>
            </w:r>
          </w:p>
        </w:tc>
        <w:tc>
          <w:tcPr>
            <w:tcW w:w="543" w:type="pct"/>
            <w:tcBorders>
              <w:top w:val="nil"/>
              <w:left w:val="nil"/>
              <w:bottom w:val="single" w:sz="8" w:space="0" w:color="FFFFFF"/>
              <w:right w:val="single" w:sz="8" w:space="0" w:color="FFFFFF"/>
            </w:tcBorders>
            <w:shd w:val="clear" w:color="000000" w:fill="F2F2F2"/>
            <w:vAlign w:val="center"/>
            <w:hideMark/>
          </w:tcPr>
          <w:p w14:paraId="5B85568A"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$9,801</w:t>
            </w:r>
          </w:p>
        </w:tc>
        <w:tc>
          <w:tcPr>
            <w:tcW w:w="567" w:type="pct"/>
            <w:tcBorders>
              <w:top w:val="nil"/>
              <w:left w:val="nil"/>
              <w:bottom w:val="single" w:sz="8" w:space="0" w:color="FFFFFF"/>
              <w:right w:val="single" w:sz="8" w:space="0" w:color="FFFFFF"/>
            </w:tcBorders>
            <w:shd w:val="clear" w:color="000000" w:fill="F2F2F2"/>
            <w:vAlign w:val="center"/>
            <w:hideMark/>
          </w:tcPr>
          <w:p w14:paraId="2555D82E"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$10,049</w:t>
            </w:r>
          </w:p>
        </w:tc>
        <w:tc>
          <w:tcPr>
            <w:tcW w:w="567" w:type="pct"/>
            <w:tcBorders>
              <w:top w:val="nil"/>
              <w:left w:val="nil"/>
              <w:bottom w:val="single" w:sz="8" w:space="0" w:color="FFFFFF"/>
              <w:right w:val="single" w:sz="8" w:space="0" w:color="FFFFFF"/>
            </w:tcBorders>
            <w:shd w:val="clear" w:color="000000" w:fill="F2F2F2"/>
            <w:vAlign w:val="center"/>
            <w:hideMark/>
          </w:tcPr>
          <w:p w14:paraId="695333B3"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sz w:val="18"/>
                <w:szCs w:val="18"/>
                <w:lang w:val="en-NZ" w:eastAsia="en-US"/>
              </w:rPr>
              <w:t>$10,364</w:t>
            </w:r>
          </w:p>
        </w:tc>
        <w:tc>
          <w:tcPr>
            <w:tcW w:w="541" w:type="pct"/>
            <w:tcBorders>
              <w:top w:val="nil"/>
              <w:left w:val="nil"/>
              <w:bottom w:val="single" w:sz="8" w:space="0" w:color="FFFFFF"/>
              <w:right w:val="nil"/>
            </w:tcBorders>
            <w:shd w:val="clear" w:color="000000" w:fill="F2F2F2"/>
            <w:vAlign w:val="center"/>
            <w:hideMark/>
          </w:tcPr>
          <w:p w14:paraId="37F355CF"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$8,209</w:t>
            </w:r>
          </w:p>
        </w:tc>
      </w:tr>
      <w:tr w:rsidR="00C90CD5" w:rsidRPr="002F108B" w14:paraId="48C6CDBC" w14:textId="77777777" w:rsidTr="000617ED">
        <w:trPr>
          <w:cantSplit/>
          <w:trHeight w:val="315"/>
        </w:trPr>
        <w:tc>
          <w:tcPr>
            <w:tcW w:w="776" w:type="pct"/>
            <w:tcBorders>
              <w:top w:val="nil"/>
              <w:left w:val="nil"/>
              <w:bottom w:val="single" w:sz="8" w:space="0" w:color="FFFFFF"/>
              <w:right w:val="single" w:sz="8" w:space="0" w:color="FFFFFF"/>
            </w:tcBorders>
            <w:shd w:val="clear" w:color="000000" w:fill="D3E2F1"/>
            <w:vAlign w:val="center"/>
            <w:hideMark/>
          </w:tcPr>
          <w:p w14:paraId="7C4E8CA5"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color w:val="000000"/>
                <w:sz w:val="18"/>
                <w:szCs w:val="18"/>
                <w:lang w:val="en-NZ" w:eastAsia="en-US"/>
              </w:rPr>
              <w:t>Casinos</w:t>
            </w:r>
          </w:p>
        </w:tc>
        <w:tc>
          <w:tcPr>
            <w:tcW w:w="923" w:type="pct"/>
            <w:tcBorders>
              <w:top w:val="nil"/>
              <w:left w:val="nil"/>
              <w:bottom w:val="single" w:sz="8" w:space="0" w:color="FFFFFF"/>
              <w:right w:val="single" w:sz="8" w:space="0" w:color="FFFFFF"/>
            </w:tcBorders>
            <w:shd w:val="clear" w:color="000000" w:fill="F2F2F2"/>
            <w:vAlign w:val="center"/>
            <w:hideMark/>
          </w:tcPr>
          <w:p w14:paraId="6C769AC9"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sz w:val="18"/>
                <w:szCs w:val="18"/>
                <w:lang w:val="en-NZ" w:eastAsia="en-US"/>
              </w:rPr>
              <w:t>Expenditure</w:t>
            </w:r>
          </w:p>
        </w:tc>
        <w:tc>
          <w:tcPr>
            <w:tcW w:w="542" w:type="pct"/>
            <w:tcBorders>
              <w:top w:val="nil"/>
              <w:left w:val="nil"/>
              <w:bottom w:val="single" w:sz="8" w:space="0" w:color="FFFFFF"/>
              <w:right w:val="single" w:sz="8" w:space="0" w:color="FFFFFF"/>
            </w:tcBorders>
            <w:shd w:val="clear" w:color="000000" w:fill="F2F2F2"/>
            <w:vAlign w:val="center"/>
            <w:hideMark/>
          </w:tcPr>
          <w:p w14:paraId="1D1D132C"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$527</w:t>
            </w:r>
          </w:p>
        </w:tc>
        <w:tc>
          <w:tcPr>
            <w:tcW w:w="542" w:type="pct"/>
            <w:tcBorders>
              <w:top w:val="nil"/>
              <w:left w:val="nil"/>
              <w:bottom w:val="single" w:sz="8" w:space="0" w:color="FFFFFF"/>
              <w:right w:val="single" w:sz="8" w:space="0" w:color="FFFFFF"/>
            </w:tcBorders>
            <w:shd w:val="clear" w:color="000000" w:fill="F2F2F2"/>
            <w:vAlign w:val="center"/>
            <w:hideMark/>
          </w:tcPr>
          <w:p w14:paraId="7F754616"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$586</w:t>
            </w:r>
          </w:p>
        </w:tc>
        <w:tc>
          <w:tcPr>
            <w:tcW w:w="543" w:type="pct"/>
            <w:tcBorders>
              <w:top w:val="nil"/>
              <w:left w:val="nil"/>
              <w:bottom w:val="single" w:sz="8" w:space="0" w:color="FFFFFF"/>
              <w:right w:val="single" w:sz="8" w:space="0" w:color="FFFFFF"/>
            </w:tcBorders>
            <w:shd w:val="clear" w:color="000000" w:fill="F2F2F2"/>
            <w:vAlign w:val="center"/>
            <w:hideMark/>
          </w:tcPr>
          <w:p w14:paraId="510EC8A8"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$572</w:t>
            </w:r>
          </w:p>
        </w:tc>
        <w:tc>
          <w:tcPr>
            <w:tcW w:w="567" w:type="pct"/>
            <w:tcBorders>
              <w:top w:val="nil"/>
              <w:left w:val="nil"/>
              <w:bottom w:val="single" w:sz="8" w:space="0" w:color="FFFFFF"/>
              <w:right w:val="single" w:sz="8" w:space="0" w:color="FFFFFF"/>
            </w:tcBorders>
            <w:shd w:val="clear" w:color="000000" w:fill="F2F2F2"/>
            <w:vAlign w:val="center"/>
            <w:hideMark/>
          </w:tcPr>
          <w:p w14:paraId="3F34A8E0"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$578</w:t>
            </w:r>
          </w:p>
        </w:tc>
        <w:tc>
          <w:tcPr>
            <w:tcW w:w="567" w:type="pct"/>
            <w:tcBorders>
              <w:top w:val="nil"/>
              <w:left w:val="nil"/>
              <w:bottom w:val="single" w:sz="8" w:space="0" w:color="FFFFFF"/>
              <w:right w:val="single" w:sz="8" w:space="0" w:color="FFFFFF"/>
            </w:tcBorders>
            <w:shd w:val="clear" w:color="000000" w:fill="F2F2F2"/>
            <w:vAlign w:val="center"/>
            <w:hideMark/>
          </w:tcPr>
          <w:p w14:paraId="623F7D07"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$616</w:t>
            </w:r>
          </w:p>
        </w:tc>
        <w:tc>
          <w:tcPr>
            <w:tcW w:w="541" w:type="pct"/>
            <w:tcBorders>
              <w:top w:val="nil"/>
              <w:left w:val="nil"/>
              <w:bottom w:val="single" w:sz="8" w:space="0" w:color="FFFFFF"/>
              <w:right w:val="nil"/>
            </w:tcBorders>
            <w:shd w:val="clear" w:color="000000" w:fill="F2F2F2"/>
            <w:vAlign w:val="center"/>
            <w:hideMark/>
          </w:tcPr>
          <w:p w14:paraId="38AC65B6" w14:textId="77777777" w:rsidR="000C5F9D" w:rsidRPr="002F108B" w:rsidRDefault="000C5F9D" w:rsidP="000C5F9D">
            <w:pPr>
              <w:spacing w:before="0" w:after="0" w:line="240" w:lineRule="auto"/>
              <w:jc w:val="right"/>
              <w:rPr>
                <w:rFonts w:cs="Calibri"/>
                <w:color w:val="000000"/>
                <w:sz w:val="18"/>
                <w:szCs w:val="18"/>
                <w:lang w:val="en-NZ" w:eastAsia="en-US"/>
              </w:rPr>
            </w:pPr>
            <w:r w:rsidRPr="002F108B">
              <w:rPr>
                <w:rFonts w:cs="Calibri"/>
                <w:color w:val="000000"/>
                <w:sz w:val="18"/>
                <w:szCs w:val="18"/>
                <w:lang w:val="en-NZ" w:eastAsia="en-US"/>
              </w:rPr>
              <w:t>$504</w:t>
            </w:r>
          </w:p>
        </w:tc>
      </w:tr>
      <w:tr w:rsidR="00C90CD5" w:rsidRPr="002F108B" w14:paraId="4505BEC5" w14:textId="77777777" w:rsidTr="000617ED">
        <w:trPr>
          <w:cantSplit/>
          <w:trHeight w:val="300"/>
        </w:trPr>
        <w:tc>
          <w:tcPr>
            <w:tcW w:w="776" w:type="pct"/>
            <w:tcBorders>
              <w:top w:val="nil"/>
              <w:left w:val="nil"/>
              <w:bottom w:val="nil"/>
              <w:right w:val="single" w:sz="8" w:space="0" w:color="FFFFFF"/>
            </w:tcBorders>
            <w:shd w:val="clear" w:color="000000" w:fill="D3E2F1"/>
            <w:vAlign w:val="center"/>
            <w:hideMark/>
          </w:tcPr>
          <w:p w14:paraId="0DCF7E3D" w14:textId="77777777" w:rsidR="000C5F9D" w:rsidRPr="002F108B" w:rsidRDefault="000C5F9D" w:rsidP="000C5F9D">
            <w:pPr>
              <w:spacing w:before="0" w:after="0" w:line="240" w:lineRule="auto"/>
              <w:rPr>
                <w:rFonts w:cs="Calibri"/>
                <w:b/>
                <w:color w:val="000000"/>
                <w:sz w:val="18"/>
                <w:szCs w:val="18"/>
                <w:lang w:val="en-NZ" w:eastAsia="en-US"/>
              </w:rPr>
            </w:pPr>
            <w:r w:rsidRPr="002F108B">
              <w:rPr>
                <w:rFonts w:cs="Calibri"/>
                <w:b/>
                <w:color w:val="000000"/>
                <w:sz w:val="18"/>
                <w:szCs w:val="18"/>
                <w:lang w:val="en-NZ" w:eastAsia="en-US"/>
              </w:rPr>
              <w:t>Total</w:t>
            </w:r>
          </w:p>
        </w:tc>
        <w:tc>
          <w:tcPr>
            <w:tcW w:w="923" w:type="pct"/>
            <w:tcBorders>
              <w:top w:val="nil"/>
              <w:left w:val="nil"/>
              <w:bottom w:val="nil"/>
              <w:right w:val="single" w:sz="8" w:space="0" w:color="FFFFFF"/>
            </w:tcBorders>
            <w:shd w:val="clear" w:color="000000" w:fill="F2F2F2"/>
            <w:vAlign w:val="center"/>
            <w:hideMark/>
          </w:tcPr>
          <w:p w14:paraId="6C2AB4F0" w14:textId="77777777" w:rsidR="000C5F9D" w:rsidRPr="002F108B" w:rsidRDefault="000C5F9D" w:rsidP="000C5F9D">
            <w:pPr>
              <w:spacing w:before="0" w:after="0" w:line="240" w:lineRule="auto"/>
              <w:rPr>
                <w:rFonts w:cs="Calibri"/>
                <w:color w:val="000000"/>
                <w:sz w:val="18"/>
                <w:szCs w:val="18"/>
                <w:lang w:val="en-NZ" w:eastAsia="en-US"/>
              </w:rPr>
            </w:pPr>
            <w:r w:rsidRPr="002F108B">
              <w:rPr>
                <w:rFonts w:cs="Calibri"/>
                <w:sz w:val="18"/>
                <w:szCs w:val="18"/>
                <w:lang w:val="en-NZ" w:eastAsia="en-US"/>
              </w:rPr>
              <w:t>Expenditure</w:t>
            </w:r>
          </w:p>
        </w:tc>
        <w:tc>
          <w:tcPr>
            <w:tcW w:w="542" w:type="pct"/>
            <w:tcBorders>
              <w:top w:val="nil"/>
              <w:left w:val="nil"/>
              <w:bottom w:val="nil"/>
              <w:right w:val="single" w:sz="8" w:space="0" w:color="FFFFFF"/>
            </w:tcBorders>
            <w:shd w:val="clear" w:color="000000" w:fill="F2F2F2"/>
            <w:vAlign w:val="center"/>
            <w:hideMark/>
          </w:tcPr>
          <w:p w14:paraId="3D6C3FAB" w14:textId="77777777" w:rsidR="000C5F9D" w:rsidRPr="002F108B" w:rsidRDefault="000C5F9D" w:rsidP="000C5F9D">
            <w:pPr>
              <w:spacing w:before="0" w:after="0" w:line="240" w:lineRule="auto"/>
              <w:jc w:val="right"/>
              <w:rPr>
                <w:rFonts w:cs="Calibri"/>
                <w:b/>
                <w:color w:val="000000"/>
                <w:sz w:val="18"/>
                <w:szCs w:val="18"/>
                <w:lang w:val="en-NZ" w:eastAsia="en-US"/>
              </w:rPr>
            </w:pPr>
            <w:r w:rsidRPr="002F108B">
              <w:rPr>
                <w:rFonts w:cs="Calibri"/>
                <w:b/>
                <w:color w:val="000000"/>
                <w:sz w:val="18"/>
                <w:szCs w:val="18"/>
                <w:lang w:val="en-NZ" w:eastAsia="en-US"/>
              </w:rPr>
              <w:t>$2,091</w:t>
            </w:r>
          </w:p>
        </w:tc>
        <w:tc>
          <w:tcPr>
            <w:tcW w:w="542" w:type="pct"/>
            <w:tcBorders>
              <w:top w:val="nil"/>
              <w:left w:val="nil"/>
              <w:bottom w:val="nil"/>
              <w:right w:val="single" w:sz="8" w:space="0" w:color="FFFFFF"/>
            </w:tcBorders>
            <w:shd w:val="clear" w:color="000000" w:fill="F2F2F2"/>
            <w:vAlign w:val="center"/>
            <w:hideMark/>
          </w:tcPr>
          <w:p w14:paraId="7CD34CEC" w14:textId="77777777" w:rsidR="000C5F9D" w:rsidRPr="002F108B" w:rsidRDefault="000C5F9D" w:rsidP="000C5F9D">
            <w:pPr>
              <w:spacing w:before="0" w:after="0" w:line="240" w:lineRule="auto"/>
              <w:jc w:val="right"/>
              <w:rPr>
                <w:rFonts w:cs="Calibri"/>
                <w:b/>
                <w:color w:val="000000"/>
                <w:sz w:val="18"/>
                <w:szCs w:val="18"/>
                <w:lang w:val="en-NZ" w:eastAsia="en-US"/>
              </w:rPr>
            </w:pPr>
            <w:r w:rsidRPr="002F108B">
              <w:rPr>
                <w:rFonts w:cs="Calibri"/>
                <w:b/>
                <w:color w:val="000000"/>
                <w:sz w:val="18"/>
                <w:szCs w:val="18"/>
                <w:lang w:val="en-NZ" w:eastAsia="en-US"/>
              </w:rPr>
              <w:t>$2,209</w:t>
            </w:r>
          </w:p>
        </w:tc>
        <w:tc>
          <w:tcPr>
            <w:tcW w:w="543" w:type="pct"/>
            <w:tcBorders>
              <w:top w:val="nil"/>
              <w:left w:val="nil"/>
              <w:bottom w:val="nil"/>
              <w:right w:val="single" w:sz="8" w:space="0" w:color="FFFFFF"/>
            </w:tcBorders>
            <w:shd w:val="clear" w:color="000000" w:fill="F2F2F2"/>
            <w:vAlign w:val="center"/>
            <w:hideMark/>
          </w:tcPr>
          <w:p w14:paraId="513AF6B7" w14:textId="77777777" w:rsidR="000C5F9D" w:rsidRPr="002F108B" w:rsidRDefault="000C5F9D" w:rsidP="000C5F9D">
            <w:pPr>
              <w:spacing w:before="0" w:after="0" w:line="240" w:lineRule="auto"/>
              <w:jc w:val="right"/>
              <w:rPr>
                <w:rFonts w:cs="Calibri"/>
                <w:b/>
                <w:color w:val="000000"/>
                <w:sz w:val="18"/>
                <w:szCs w:val="18"/>
                <w:lang w:val="en-NZ" w:eastAsia="en-US"/>
              </w:rPr>
            </w:pPr>
            <w:r w:rsidRPr="002F108B">
              <w:rPr>
                <w:rFonts w:cs="Calibri"/>
                <w:b/>
                <w:color w:val="000000"/>
                <w:sz w:val="18"/>
                <w:szCs w:val="18"/>
                <w:lang w:val="en-NZ" w:eastAsia="en-US"/>
              </w:rPr>
              <w:t>$2,334</w:t>
            </w:r>
          </w:p>
        </w:tc>
        <w:tc>
          <w:tcPr>
            <w:tcW w:w="567" w:type="pct"/>
            <w:tcBorders>
              <w:top w:val="nil"/>
              <w:left w:val="nil"/>
              <w:bottom w:val="nil"/>
              <w:right w:val="single" w:sz="8" w:space="0" w:color="FFFFFF"/>
            </w:tcBorders>
            <w:shd w:val="clear" w:color="000000" w:fill="F2F2F2"/>
            <w:vAlign w:val="center"/>
            <w:hideMark/>
          </w:tcPr>
          <w:p w14:paraId="5E17A36B" w14:textId="77777777" w:rsidR="000C5F9D" w:rsidRPr="002F108B" w:rsidRDefault="000C5F9D" w:rsidP="000C5F9D">
            <w:pPr>
              <w:spacing w:before="0" w:after="0" w:line="240" w:lineRule="auto"/>
              <w:jc w:val="right"/>
              <w:rPr>
                <w:rFonts w:cs="Calibri"/>
                <w:b/>
                <w:color w:val="000000"/>
                <w:sz w:val="18"/>
                <w:szCs w:val="18"/>
                <w:lang w:val="en-NZ" w:eastAsia="en-US"/>
              </w:rPr>
            </w:pPr>
            <w:r w:rsidRPr="002F108B">
              <w:rPr>
                <w:rFonts w:cs="Calibri"/>
                <w:b/>
                <w:color w:val="000000"/>
                <w:sz w:val="18"/>
                <w:szCs w:val="18"/>
                <w:lang w:val="en-NZ" w:eastAsia="en-US"/>
              </w:rPr>
              <w:t>$2,383</w:t>
            </w:r>
          </w:p>
        </w:tc>
        <w:tc>
          <w:tcPr>
            <w:tcW w:w="567" w:type="pct"/>
            <w:tcBorders>
              <w:top w:val="nil"/>
              <w:left w:val="nil"/>
              <w:bottom w:val="nil"/>
              <w:right w:val="single" w:sz="8" w:space="0" w:color="FFFFFF"/>
            </w:tcBorders>
            <w:shd w:val="clear" w:color="000000" w:fill="F2F2F2"/>
            <w:vAlign w:val="center"/>
            <w:hideMark/>
          </w:tcPr>
          <w:p w14:paraId="4BE53103" w14:textId="77777777" w:rsidR="000C5F9D" w:rsidRPr="002F108B" w:rsidRDefault="000C5F9D" w:rsidP="000C5F9D">
            <w:pPr>
              <w:spacing w:before="0" w:after="0" w:line="240" w:lineRule="auto"/>
              <w:jc w:val="right"/>
              <w:rPr>
                <w:rFonts w:cs="Calibri"/>
                <w:b/>
                <w:color w:val="000000"/>
                <w:sz w:val="18"/>
                <w:szCs w:val="18"/>
                <w:lang w:val="en-NZ" w:eastAsia="en-US"/>
              </w:rPr>
            </w:pPr>
            <w:r w:rsidRPr="002F108B">
              <w:rPr>
                <w:rFonts w:cs="Calibri"/>
                <w:b/>
                <w:color w:val="000000"/>
                <w:sz w:val="18"/>
                <w:szCs w:val="18"/>
                <w:lang w:val="en-NZ" w:eastAsia="en-US"/>
              </w:rPr>
              <w:t>$2,402</w:t>
            </w:r>
          </w:p>
        </w:tc>
        <w:tc>
          <w:tcPr>
            <w:tcW w:w="541" w:type="pct"/>
            <w:tcBorders>
              <w:top w:val="nil"/>
              <w:left w:val="nil"/>
              <w:bottom w:val="nil"/>
              <w:right w:val="nil"/>
            </w:tcBorders>
            <w:shd w:val="clear" w:color="000000" w:fill="F2F2F2"/>
            <w:vAlign w:val="center"/>
            <w:hideMark/>
          </w:tcPr>
          <w:p w14:paraId="32962492" w14:textId="77777777" w:rsidR="000C5F9D" w:rsidRPr="002F108B" w:rsidRDefault="000C5F9D" w:rsidP="000C5F9D">
            <w:pPr>
              <w:spacing w:before="0" w:after="0" w:line="240" w:lineRule="auto"/>
              <w:jc w:val="right"/>
              <w:rPr>
                <w:rFonts w:cs="Calibri"/>
                <w:b/>
                <w:color w:val="000000"/>
                <w:sz w:val="18"/>
                <w:szCs w:val="18"/>
                <w:lang w:val="en-NZ" w:eastAsia="en-US"/>
              </w:rPr>
            </w:pPr>
            <w:r w:rsidRPr="002F108B">
              <w:rPr>
                <w:rFonts w:cs="Calibri"/>
                <w:b/>
                <w:color w:val="000000"/>
                <w:sz w:val="18"/>
                <w:szCs w:val="18"/>
                <w:lang w:val="en-NZ" w:eastAsia="en-US"/>
              </w:rPr>
              <w:t>$2,252</w:t>
            </w:r>
          </w:p>
        </w:tc>
      </w:tr>
    </w:tbl>
    <w:p w14:paraId="4C11EBDA" w14:textId="6C0426DF" w:rsidR="000617ED" w:rsidRDefault="000617ED" w:rsidP="000617ED">
      <w:pPr>
        <w:spacing w:before="120"/>
        <w:rPr>
          <w:shd w:val="clear" w:color="auto" w:fill="FFFFFF"/>
          <w:lang w:val="en-NZ"/>
        </w:rPr>
      </w:pPr>
      <w:r>
        <w:rPr>
          <w:lang w:val="en-NZ"/>
        </w:rPr>
        <w:fldChar w:fldCharType="begin"/>
      </w:r>
      <w:r>
        <w:rPr>
          <w:lang w:val="en-NZ"/>
        </w:rPr>
        <w:instrText xml:space="preserve"> REF _Ref69198131 \h </w:instrText>
      </w:r>
      <w:r>
        <w:rPr>
          <w:lang w:val="en-NZ"/>
        </w:rPr>
      </w:r>
      <w:r>
        <w:rPr>
          <w:lang w:val="en-NZ"/>
        </w:rPr>
        <w:fldChar w:fldCharType="separate"/>
      </w:r>
      <w:r w:rsidR="009B1BDF" w:rsidRPr="002F108B">
        <w:rPr>
          <w:lang w:val="en-NZ"/>
        </w:rPr>
        <w:t xml:space="preserve">Table </w:t>
      </w:r>
      <w:r w:rsidR="009B1BDF">
        <w:rPr>
          <w:noProof/>
          <w:lang w:val="en-NZ"/>
        </w:rPr>
        <w:t>3</w:t>
      </w:r>
      <w:r>
        <w:rPr>
          <w:lang w:val="en-NZ"/>
        </w:rPr>
        <w:fldChar w:fldCharType="end"/>
      </w:r>
      <w:r>
        <w:rPr>
          <w:lang w:val="en-NZ"/>
        </w:rPr>
        <w:t xml:space="preserve"> also shows t</w:t>
      </w:r>
      <w:r w:rsidRPr="002F108B">
        <w:rPr>
          <w:lang w:val="en-NZ"/>
        </w:rPr>
        <w:t>he highest spend in 2019/20 was on non-casino EGMs ($802 million), followed by Lotteries products ($631 million), Casinos ($504 million) and TAB ($315 million) (</w:t>
      </w:r>
      <w:r w:rsidRPr="002F108B">
        <w:rPr>
          <w:lang w:val="en-NZ"/>
        </w:rPr>
        <w:fldChar w:fldCharType="begin"/>
      </w:r>
      <w:r w:rsidRPr="002F108B">
        <w:rPr>
          <w:lang w:val="en-NZ"/>
        </w:rPr>
        <w:instrText xml:space="preserve"> REF _Ref69198131 \h </w:instrText>
      </w:r>
      <w:r w:rsidRPr="002F108B">
        <w:rPr>
          <w:lang w:val="en-NZ"/>
        </w:rPr>
      </w:r>
      <w:r w:rsidRPr="002F108B">
        <w:rPr>
          <w:lang w:val="en-NZ"/>
        </w:rPr>
        <w:fldChar w:fldCharType="separate"/>
      </w:r>
      <w:r w:rsidR="009B1BDF" w:rsidRPr="002F108B">
        <w:rPr>
          <w:lang w:val="en-NZ"/>
        </w:rPr>
        <w:t xml:space="preserve">Table </w:t>
      </w:r>
      <w:r w:rsidR="009B1BDF">
        <w:rPr>
          <w:noProof/>
          <w:lang w:val="en-NZ"/>
        </w:rPr>
        <w:t>3</w:t>
      </w:r>
      <w:r w:rsidRPr="002F108B">
        <w:rPr>
          <w:lang w:val="en-NZ"/>
        </w:rPr>
        <w:fldChar w:fldCharType="end"/>
      </w:r>
      <w:r w:rsidRPr="002F108B">
        <w:rPr>
          <w:lang w:val="en-NZ"/>
        </w:rPr>
        <w:t xml:space="preserve">). </w:t>
      </w:r>
      <w:r w:rsidRPr="002F108B">
        <w:rPr>
          <w:lang w:val="en-NZ"/>
        </w:rPr>
        <w:lastRenderedPageBreak/>
        <w:t xml:space="preserve">Unsurprisingly, between 2018/19 and 2019/20, expenditure increased on non-Lotteries products and decreased for </w:t>
      </w:r>
      <w:r w:rsidRPr="002F108B">
        <w:rPr>
          <w:shd w:val="clear" w:color="auto" w:fill="FFFFFF"/>
          <w:lang w:val="en-NZ"/>
        </w:rPr>
        <w:t>TAB, non-Casino EGMs and Casinos</w:t>
      </w:r>
      <w:r>
        <w:rPr>
          <w:rStyle w:val="FootnoteReference"/>
          <w:shd w:val="clear" w:color="auto" w:fill="FFFFFF"/>
          <w:lang w:val="en-NZ"/>
        </w:rPr>
        <w:footnoteReference w:id="21"/>
      </w:r>
      <w:r w:rsidRPr="002F108B">
        <w:rPr>
          <w:shd w:val="clear" w:color="auto" w:fill="FFFFFF"/>
          <w:lang w:val="en-NZ"/>
        </w:rPr>
        <w:t xml:space="preserve">. </w:t>
      </w:r>
    </w:p>
    <w:p w14:paraId="36FCCC49" w14:textId="5BED6EB4" w:rsidR="00304B98" w:rsidRDefault="0096133A" w:rsidP="000617ED">
      <w:pPr>
        <w:spacing w:before="120"/>
        <w:rPr>
          <w:lang w:val="en-NZ"/>
        </w:rPr>
      </w:pPr>
      <w:r w:rsidRPr="002F108B">
        <w:rPr>
          <w:lang w:val="en-NZ"/>
        </w:rPr>
        <w:t xml:space="preserve">Sense Partners </w:t>
      </w:r>
      <w:r w:rsidR="002C0294" w:rsidRPr="002F108B">
        <w:rPr>
          <w:rFonts w:cs="Calibri"/>
          <w:lang w:val="en-NZ"/>
        </w:rPr>
        <w:t>(2019)</w:t>
      </w:r>
      <w:r w:rsidR="00B46481" w:rsidRPr="002F108B">
        <w:rPr>
          <w:lang w:val="en-NZ"/>
        </w:rPr>
        <w:t xml:space="preserve"> </w:t>
      </w:r>
      <w:r w:rsidR="00622BF3" w:rsidRPr="002F108B">
        <w:rPr>
          <w:lang w:val="en-NZ"/>
        </w:rPr>
        <w:t xml:space="preserve">identified </w:t>
      </w:r>
      <w:r w:rsidR="0005763D" w:rsidRPr="002F108B">
        <w:rPr>
          <w:lang w:val="en-NZ"/>
        </w:rPr>
        <w:t>increased expenditure on o</w:t>
      </w:r>
      <w:r w:rsidR="006947CC" w:rsidRPr="002F108B">
        <w:rPr>
          <w:lang w:val="en-NZ"/>
        </w:rPr>
        <w:t>ff</w:t>
      </w:r>
      <w:r w:rsidR="00356DF9" w:rsidRPr="002F108B">
        <w:rPr>
          <w:lang w:val="en-NZ"/>
        </w:rPr>
        <w:t xml:space="preserve">shore online gambling between 2009 and 2019 with an </w:t>
      </w:r>
      <w:r w:rsidR="00B46481" w:rsidRPr="002F108B">
        <w:rPr>
          <w:lang w:val="en-NZ"/>
        </w:rPr>
        <w:t xml:space="preserve">estimated </w:t>
      </w:r>
      <w:r w:rsidR="00356DF9" w:rsidRPr="002F108B">
        <w:rPr>
          <w:lang w:val="en-NZ"/>
        </w:rPr>
        <w:t xml:space="preserve">spend of </w:t>
      </w:r>
      <w:r w:rsidR="00122DA4" w:rsidRPr="002F108B">
        <w:rPr>
          <w:lang w:val="en-NZ"/>
        </w:rPr>
        <w:t>$200 million</w:t>
      </w:r>
      <w:r w:rsidR="00356DF9" w:rsidRPr="002F108B">
        <w:rPr>
          <w:lang w:val="en-NZ"/>
        </w:rPr>
        <w:t xml:space="preserve"> in the 2018/19 financial year (</w:t>
      </w:r>
      <w:r w:rsidR="00A255DD">
        <w:rPr>
          <w:lang w:val="en-NZ"/>
        </w:rPr>
        <w:fldChar w:fldCharType="begin"/>
      </w:r>
      <w:r w:rsidR="00A255DD">
        <w:rPr>
          <w:lang w:val="en-NZ"/>
        </w:rPr>
        <w:instrText xml:space="preserve"> REF _Ref66368616 \h </w:instrText>
      </w:r>
      <w:r w:rsidR="00A255DD">
        <w:rPr>
          <w:lang w:val="en-NZ"/>
        </w:rPr>
      </w:r>
      <w:r w:rsidR="00A255DD">
        <w:rPr>
          <w:lang w:val="en-NZ"/>
        </w:rPr>
        <w:fldChar w:fldCharType="separate"/>
      </w:r>
      <w:r w:rsidR="009B1BDF" w:rsidRPr="002F108B">
        <w:rPr>
          <w:lang w:val="en-NZ"/>
        </w:rPr>
        <w:t xml:space="preserve">Figure </w:t>
      </w:r>
      <w:r w:rsidR="009B1BDF">
        <w:rPr>
          <w:noProof/>
          <w:lang w:val="en-NZ"/>
        </w:rPr>
        <w:t>5</w:t>
      </w:r>
      <w:r w:rsidR="00A255DD">
        <w:rPr>
          <w:lang w:val="en-NZ"/>
        </w:rPr>
        <w:fldChar w:fldCharType="end"/>
      </w:r>
      <w:r w:rsidR="00356DF9">
        <w:rPr>
          <w:lang w:val="en-NZ"/>
        </w:rPr>
        <w:t>).</w:t>
      </w:r>
    </w:p>
    <w:p w14:paraId="44CFA969" w14:textId="77777777" w:rsidR="00A255DD" w:rsidRPr="002F108B" w:rsidRDefault="00A255DD" w:rsidP="002B4028">
      <w:pPr>
        <w:pStyle w:val="Caption"/>
        <w:rPr>
          <w:lang w:val="en-NZ"/>
        </w:rPr>
      </w:pPr>
      <w:bookmarkStart w:id="121" w:name="_Ref65075460"/>
      <w:bookmarkStart w:id="122" w:name="_Toc65103665"/>
      <w:r w:rsidRPr="002F108B">
        <w:rPr>
          <w:noProof/>
          <w:lang w:val="en-NZ"/>
        </w:rPr>
        <w:drawing>
          <wp:inline distT="0" distB="0" distL="0" distR="0" wp14:anchorId="078530B8" wp14:editId="5BEF72F8">
            <wp:extent cx="4269850" cy="21190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4269850" cy="2119064"/>
                    </a:xfrm>
                    <a:prstGeom prst="rect">
                      <a:avLst/>
                    </a:prstGeom>
                  </pic:spPr>
                </pic:pic>
              </a:graphicData>
            </a:graphic>
          </wp:inline>
        </w:drawing>
      </w:r>
    </w:p>
    <w:p w14:paraId="7FB47EB2" w14:textId="2D5765DF" w:rsidR="00304B98" w:rsidRPr="002F108B" w:rsidRDefault="00A255DD" w:rsidP="002B4028">
      <w:pPr>
        <w:pStyle w:val="Caption"/>
        <w:rPr>
          <w:lang w:val="en-NZ"/>
        </w:rPr>
      </w:pPr>
      <w:bookmarkStart w:id="123" w:name="_Ref66368616"/>
      <w:bookmarkStart w:id="124" w:name="_Toc72752870"/>
      <w:r w:rsidRPr="002F108B">
        <w:rPr>
          <w:lang w:val="en-NZ"/>
        </w:rPr>
        <w:t xml:space="preserve">Figure </w:t>
      </w:r>
      <w:r w:rsidRPr="002F108B">
        <w:rPr>
          <w:lang w:val="en-NZ"/>
        </w:rPr>
        <w:fldChar w:fldCharType="begin"/>
      </w:r>
      <w:r w:rsidRPr="002F108B">
        <w:rPr>
          <w:lang w:val="en-NZ"/>
        </w:rPr>
        <w:instrText xml:space="preserve"> SEQ Figure \* ARABIC </w:instrText>
      </w:r>
      <w:r w:rsidRPr="002F108B">
        <w:rPr>
          <w:lang w:val="en-NZ"/>
        </w:rPr>
        <w:fldChar w:fldCharType="separate"/>
      </w:r>
      <w:r w:rsidR="009B1BDF">
        <w:rPr>
          <w:noProof/>
          <w:lang w:val="en-NZ"/>
        </w:rPr>
        <w:t>5</w:t>
      </w:r>
      <w:r w:rsidRPr="002F108B">
        <w:rPr>
          <w:lang w:val="en-NZ"/>
        </w:rPr>
        <w:fldChar w:fldCharType="end"/>
      </w:r>
      <w:bookmarkEnd w:id="121"/>
      <w:bookmarkEnd w:id="123"/>
      <w:r w:rsidR="00304B98" w:rsidRPr="002F108B">
        <w:rPr>
          <w:lang w:val="en-NZ"/>
        </w:rPr>
        <w:t>: N</w:t>
      </w:r>
      <w:r w:rsidR="00BA28B0" w:rsidRPr="002F108B">
        <w:rPr>
          <w:lang w:val="en-NZ"/>
        </w:rPr>
        <w:t xml:space="preserve">ew </w:t>
      </w:r>
      <w:r w:rsidR="00304B98" w:rsidRPr="002F108B">
        <w:rPr>
          <w:lang w:val="en-NZ"/>
        </w:rPr>
        <w:t>Z</w:t>
      </w:r>
      <w:r w:rsidR="00BA28B0" w:rsidRPr="002F108B">
        <w:rPr>
          <w:lang w:val="en-NZ"/>
        </w:rPr>
        <w:t>ealand</w:t>
      </w:r>
      <w:r w:rsidR="00304B98" w:rsidRPr="002F108B">
        <w:rPr>
          <w:lang w:val="en-NZ"/>
        </w:rPr>
        <w:t xml:space="preserve"> online gambling spend</w:t>
      </w:r>
      <w:bookmarkEnd w:id="122"/>
      <w:bookmarkEnd w:id="124"/>
    </w:p>
    <w:p w14:paraId="1D4CAF90" w14:textId="08EE4BCC" w:rsidR="002B213E" w:rsidRPr="002F108B" w:rsidRDefault="001D5E1E" w:rsidP="00C015A7">
      <w:pPr>
        <w:pStyle w:val="Heading2"/>
        <w:rPr>
          <w:lang w:val="en-NZ"/>
        </w:rPr>
      </w:pPr>
      <w:bookmarkStart w:id="125" w:name="_Toc65250309"/>
      <w:bookmarkStart w:id="126" w:name="_Toc76469784"/>
      <w:r w:rsidRPr="002F108B">
        <w:rPr>
          <w:lang w:val="en-NZ"/>
        </w:rPr>
        <w:t xml:space="preserve">Post-Covid online gambling </w:t>
      </w:r>
      <w:r w:rsidR="00B0482B" w:rsidRPr="002F108B">
        <w:rPr>
          <w:lang w:val="en-NZ"/>
        </w:rPr>
        <w:t xml:space="preserve">expenditure </w:t>
      </w:r>
      <w:r w:rsidRPr="002F108B">
        <w:rPr>
          <w:lang w:val="en-NZ"/>
        </w:rPr>
        <w:t>increased</w:t>
      </w:r>
      <w:bookmarkEnd w:id="125"/>
      <w:bookmarkEnd w:id="126"/>
      <w:r w:rsidRPr="002F108B">
        <w:rPr>
          <w:lang w:val="en-NZ"/>
        </w:rPr>
        <w:t xml:space="preserve"> </w:t>
      </w:r>
    </w:p>
    <w:p w14:paraId="751A52C4" w14:textId="36486082" w:rsidR="00231C17" w:rsidRPr="002F108B" w:rsidRDefault="004F1C5C" w:rsidP="00D307B3">
      <w:pPr>
        <w:rPr>
          <w:lang w:val="en-NZ"/>
        </w:rPr>
      </w:pPr>
      <w:r w:rsidRPr="002F108B">
        <w:rPr>
          <w:lang w:val="en-NZ"/>
        </w:rPr>
        <w:t xml:space="preserve">During COVID-19 lockdowns in 2020 </w:t>
      </w:r>
      <w:r w:rsidR="00AA6BEC" w:rsidRPr="002F108B">
        <w:rPr>
          <w:lang w:val="en-NZ"/>
        </w:rPr>
        <w:t>(see section 3.4.2)</w:t>
      </w:r>
      <w:r w:rsidR="00F678BD" w:rsidRPr="002F108B">
        <w:rPr>
          <w:lang w:val="en-NZ"/>
        </w:rPr>
        <w:t>,</w:t>
      </w:r>
      <w:r w:rsidR="00AA6BEC" w:rsidRPr="002F108B">
        <w:rPr>
          <w:lang w:val="en-NZ"/>
        </w:rPr>
        <w:t xml:space="preserve"> </w:t>
      </w:r>
      <w:r w:rsidRPr="002F108B">
        <w:rPr>
          <w:lang w:val="en-NZ"/>
        </w:rPr>
        <w:t>there was</w:t>
      </w:r>
      <w:r w:rsidR="0062478C" w:rsidRPr="002F108B">
        <w:rPr>
          <w:lang w:val="en-NZ"/>
        </w:rPr>
        <w:t xml:space="preserve">: </w:t>
      </w:r>
    </w:p>
    <w:p w14:paraId="5A81CA31" w14:textId="131A0048" w:rsidR="005E234C" w:rsidRDefault="0062478C" w:rsidP="00045413">
      <w:pPr>
        <w:pStyle w:val="Bulletpointindented"/>
      </w:pPr>
      <w:r>
        <w:t xml:space="preserve">A significant </w:t>
      </w:r>
      <w:r w:rsidR="007A3BB2">
        <w:t>increase in online gambling expenditure</w:t>
      </w:r>
      <w:r w:rsidR="00AD75CD">
        <w:t xml:space="preserve">: </w:t>
      </w:r>
      <w:r w:rsidR="005E234C">
        <w:t>O</w:t>
      </w:r>
      <w:r w:rsidR="005E234C" w:rsidRPr="00D33202">
        <w:t xml:space="preserve">nline gambling </w:t>
      </w:r>
      <w:r w:rsidR="00407168">
        <w:t xml:space="preserve">expenditure </w:t>
      </w:r>
      <w:r w:rsidR="005E234C" w:rsidRPr="00D33202">
        <w:t>increased from an average of $4.1 million a week at the start of 2020 to $6.25 million a week.</w:t>
      </w:r>
      <w:r w:rsidR="00D50C85">
        <w:t xml:space="preserve"> </w:t>
      </w:r>
      <w:r w:rsidR="00696311" w:rsidRPr="00696311">
        <w:t>(Sense Partners, 2020)</w:t>
      </w:r>
    </w:p>
    <w:p w14:paraId="0A34FBF5" w14:textId="00D69B3F" w:rsidR="005E234C" w:rsidRDefault="005E234C" w:rsidP="00045413">
      <w:pPr>
        <w:pStyle w:val="Bulletpointindented"/>
      </w:pPr>
      <w:r>
        <w:t>M</w:t>
      </w:r>
      <w:r w:rsidRPr="000A054B">
        <w:t xml:space="preserve">en spent more on overseas gambling than women during the level 3-level 4 periods </w:t>
      </w:r>
    </w:p>
    <w:p w14:paraId="2DB2AADD" w14:textId="16D3ED64" w:rsidR="005E234C" w:rsidRDefault="005E234C" w:rsidP="00045413">
      <w:pPr>
        <w:pStyle w:val="Bulletpointindented"/>
      </w:pPr>
      <w:r>
        <w:t>S</w:t>
      </w:r>
      <w:r w:rsidRPr="000A054B">
        <w:t xml:space="preserve">pending across all ages increased, </w:t>
      </w:r>
      <w:r>
        <w:t xml:space="preserve">but </w:t>
      </w:r>
      <w:r w:rsidR="005702F0">
        <w:t>it will be important to monitor those aged under 40 years old</w:t>
      </w:r>
      <w:r w:rsidRPr="000A054B">
        <w:t xml:space="preserve"> </w:t>
      </w:r>
      <w:r w:rsidR="005702F0">
        <w:t xml:space="preserve">who </w:t>
      </w:r>
      <w:r w:rsidRPr="000A054B">
        <w:t xml:space="preserve">may </w:t>
      </w:r>
      <w:r>
        <w:t xml:space="preserve">have </w:t>
      </w:r>
      <w:r w:rsidRPr="000A054B">
        <w:t>experience</w:t>
      </w:r>
      <w:r>
        <w:t>d</w:t>
      </w:r>
      <w:r w:rsidRPr="000A054B">
        <w:t xml:space="preserve"> a more permanent increase</w:t>
      </w:r>
    </w:p>
    <w:p w14:paraId="6FB23593" w14:textId="2F83B630" w:rsidR="00F46055" w:rsidRPr="002F108B" w:rsidRDefault="00F46055" w:rsidP="00F46055">
      <w:pPr>
        <w:pStyle w:val="Bulletpointindented"/>
        <w:rPr>
          <w:lang w:val="en-NZ"/>
        </w:rPr>
      </w:pPr>
      <w:r>
        <w:rPr>
          <w:lang w:val="en-NZ"/>
        </w:rPr>
        <w:t>R</w:t>
      </w:r>
      <w:r w:rsidRPr="002F108B">
        <w:rPr>
          <w:lang w:val="en-NZ"/>
        </w:rPr>
        <w:t>egistered MyLotto players increased by 385,000 (845,000 in 2019) to 1,230,000 (Lotto New Zealand, 2020)</w:t>
      </w:r>
    </w:p>
    <w:p w14:paraId="18A21853" w14:textId="0C643F27" w:rsidR="00A922D2" w:rsidRDefault="00A922D2" w:rsidP="00045413">
      <w:pPr>
        <w:pStyle w:val="Bulletpointindented"/>
      </w:pPr>
      <w:r>
        <w:t>A drastic reduction in EGM expenditure: G</w:t>
      </w:r>
      <w:r w:rsidRPr="00D33202">
        <w:t xml:space="preserve">ambling </w:t>
      </w:r>
      <w:r>
        <w:t xml:space="preserve">expenditure </w:t>
      </w:r>
      <w:r w:rsidRPr="00D33202">
        <w:t>at physical gaming machine outlets fell from an average of $17 million a week at the start of 2020 to zero</w:t>
      </w:r>
      <w:r>
        <w:t xml:space="preserve"> </w:t>
      </w:r>
      <w:r w:rsidR="00696311" w:rsidRPr="00696311">
        <w:t>(</w:t>
      </w:r>
      <w:r w:rsidR="004E7BE7">
        <w:t xml:space="preserve">Sense Partners, </w:t>
      </w:r>
      <w:r w:rsidR="00696311" w:rsidRPr="00696311">
        <w:t>2020)</w:t>
      </w:r>
      <w:r w:rsidRPr="00D33202">
        <w:t xml:space="preserve">. </w:t>
      </w:r>
    </w:p>
    <w:p w14:paraId="3090AAF4" w14:textId="67825028" w:rsidR="00D90AFF" w:rsidRPr="002F108B" w:rsidRDefault="00D90AFF" w:rsidP="00D90AFF">
      <w:pPr>
        <w:rPr>
          <w:lang w:val="en-NZ"/>
        </w:rPr>
      </w:pPr>
      <w:r w:rsidRPr="002F108B">
        <w:rPr>
          <w:shd w:val="clear" w:color="auto" w:fill="FFFFFF"/>
          <w:lang w:val="en-NZ"/>
        </w:rPr>
        <w:t>SkyCity's online casino</w:t>
      </w:r>
      <w:r w:rsidR="006C74DF" w:rsidRPr="002F108B">
        <w:rPr>
          <w:shd w:val="clear" w:color="auto" w:fill="FFFFFF"/>
          <w:lang w:val="en-NZ"/>
        </w:rPr>
        <w:t>,</w:t>
      </w:r>
      <w:r w:rsidRPr="002F108B">
        <w:rPr>
          <w:shd w:val="clear" w:color="auto" w:fill="FFFFFF"/>
          <w:lang w:val="en-NZ"/>
        </w:rPr>
        <w:t xml:space="preserve"> introduc</w:t>
      </w:r>
      <w:r w:rsidR="007B06D1" w:rsidRPr="002F108B">
        <w:rPr>
          <w:shd w:val="clear" w:color="auto" w:fill="FFFFFF"/>
          <w:lang w:val="en-NZ"/>
        </w:rPr>
        <w:t xml:space="preserve">ed </w:t>
      </w:r>
      <w:r w:rsidRPr="002F108B">
        <w:rPr>
          <w:lang w:val="en-NZ"/>
        </w:rPr>
        <w:t xml:space="preserve">in </w:t>
      </w:r>
      <w:r w:rsidR="007B06D1" w:rsidRPr="002F108B">
        <w:rPr>
          <w:lang w:val="en-NZ"/>
        </w:rPr>
        <w:t xml:space="preserve">August </w:t>
      </w:r>
      <w:r w:rsidRPr="002F108B">
        <w:rPr>
          <w:lang w:val="en-NZ"/>
        </w:rPr>
        <w:t>2019</w:t>
      </w:r>
      <w:r w:rsidR="006C74DF" w:rsidRPr="002F108B">
        <w:rPr>
          <w:lang w:val="en-NZ"/>
        </w:rPr>
        <w:t>,</w:t>
      </w:r>
      <w:r w:rsidR="00F7001F" w:rsidRPr="002F108B">
        <w:rPr>
          <w:rStyle w:val="FootnoteReference"/>
          <w:lang w:val="en-NZ"/>
        </w:rPr>
        <w:footnoteReference w:id="22"/>
      </w:r>
      <w:r w:rsidR="007B06D1" w:rsidRPr="002F108B">
        <w:rPr>
          <w:lang w:val="en-NZ"/>
        </w:rPr>
        <w:t xml:space="preserve"> </w:t>
      </w:r>
      <w:r w:rsidR="00FC37DC" w:rsidRPr="002F108B">
        <w:rPr>
          <w:lang w:val="en-NZ"/>
        </w:rPr>
        <w:t xml:space="preserve">operates out of Malta </w:t>
      </w:r>
      <w:r w:rsidR="009F1446" w:rsidRPr="002F108B">
        <w:rPr>
          <w:lang w:val="en-NZ"/>
        </w:rPr>
        <w:t xml:space="preserve">and </w:t>
      </w:r>
      <w:r w:rsidRPr="002F108B">
        <w:rPr>
          <w:lang w:val="en-NZ"/>
        </w:rPr>
        <w:t>is expected to increase gambling expenditure in 2020/21.</w:t>
      </w:r>
      <w:r w:rsidR="007B06D1" w:rsidRPr="002F108B">
        <w:rPr>
          <w:lang w:val="en-NZ"/>
        </w:rPr>
        <w:t xml:space="preserve"> As of </w:t>
      </w:r>
      <w:r w:rsidR="005349B6" w:rsidRPr="002F108B">
        <w:rPr>
          <w:lang w:val="en-NZ"/>
        </w:rPr>
        <w:t xml:space="preserve">31 August 2020, there were </w:t>
      </w:r>
      <w:r w:rsidR="0090260F" w:rsidRPr="002F108B">
        <w:rPr>
          <w:lang w:val="en-NZ"/>
        </w:rPr>
        <w:t>35,000 registered customers.</w:t>
      </w:r>
      <w:r w:rsidR="002D0861" w:rsidRPr="002F108B">
        <w:rPr>
          <w:lang w:val="en-NZ"/>
        </w:rPr>
        <w:t xml:space="preserve"> </w:t>
      </w:r>
      <w:r w:rsidR="00BE30A3" w:rsidRPr="002F108B">
        <w:rPr>
          <w:lang w:val="en-NZ"/>
        </w:rPr>
        <w:t xml:space="preserve">Expenditure on </w:t>
      </w:r>
      <w:r w:rsidR="00525992" w:rsidRPr="002F108B">
        <w:rPr>
          <w:lang w:val="en-NZ"/>
        </w:rPr>
        <w:t>the</w:t>
      </w:r>
      <w:r w:rsidR="00FC57C9" w:rsidRPr="002F108B">
        <w:rPr>
          <w:lang w:val="en-NZ"/>
        </w:rPr>
        <w:t xml:space="preserve"> SkyCity </w:t>
      </w:r>
      <w:r w:rsidR="00525992" w:rsidRPr="002F108B">
        <w:rPr>
          <w:lang w:val="en-NZ"/>
        </w:rPr>
        <w:t>o</w:t>
      </w:r>
      <w:r w:rsidR="00FC57C9" w:rsidRPr="002F108B">
        <w:rPr>
          <w:lang w:val="en-NZ"/>
        </w:rPr>
        <w:t>nline casin</w:t>
      </w:r>
      <w:r w:rsidR="001B0336" w:rsidRPr="002F108B">
        <w:rPr>
          <w:lang w:val="en-NZ"/>
        </w:rPr>
        <w:t xml:space="preserve">o </w:t>
      </w:r>
      <w:r w:rsidR="004D1528" w:rsidRPr="002F108B">
        <w:rPr>
          <w:lang w:val="en-NZ"/>
        </w:rPr>
        <w:t xml:space="preserve">is </w:t>
      </w:r>
      <w:r w:rsidR="00FC57C9" w:rsidRPr="002F108B">
        <w:rPr>
          <w:lang w:val="en-NZ"/>
        </w:rPr>
        <w:t xml:space="preserve">not </w:t>
      </w:r>
      <w:r w:rsidR="00531833" w:rsidRPr="002F108B">
        <w:rPr>
          <w:lang w:val="en-NZ"/>
        </w:rPr>
        <w:t xml:space="preserve">included in the </w:t>
      </w:r>
      <w:r w:rsidR="00D37E3E" w:rsidRPr="002F108B">
        <w:rPr>
          <w:lang w:val="en-NZ"/>
        </w:rPr>
        <w:t xml:space="preserve">DIA expenditure figures </w:t>
      </w:r>
      <w:r w:rsidR="0000024B" w:rsidRPr="002F108B">
        <w:rPr>
          <w:lang w:val="en-NZ"/>
        </w:rPr>
        <w:t xml:space="preserve">noted </w:t>
      </w:r>
      <w:r w:rsidR="004D1528" w:rsidRPr="002F108B">
        <w:rPr>
          <w:lang w:val="en-NZ"/>
        </w:rPr>
        <w:t>in section 4.1</w:t>
      </w:r>
      <w:r w:rsidR="0000024B" w:rsidRPr="002F108B">
        <w:rPr>
          <w:lang w:val="en-NZ"/>
        </w:rPr>
        <w:t xml:space="preserve"> (</w:t>
      </w:r>
      <w:r w:rsidR="00B4788B" w:rsidRPr="002F108B">
        <w:rPr>
          <w:lang w:val="en-NZ"/>
        </w:rPr>
        <w:t>i.e. approximately $2.4 billion</w:t>
      </w:r>
      <w:r w:rsidR="00B1031C" w:rsidRPr="002F108B">
        <w:rPr>
          <w:lang w:val="en-NZ"/>
        </w:rPr>
        <w:t>).</w:t>
      </w:r>
    </w:p>
    <w:p w14:paraId="0864D88D" w14:textId="2178F139" w:rsidR="00883663" w:rsidRPr="002F108B" w:rsidRDefault="002B5A6B" w:rsidP="002B5A6B">
      <w:pPr>
        <w:pStyle w:val="Quotes"/>
        <w:rPr>
          <w:lang w:val="en-NZ"/>
        </w:rPr>
      </w:pPr>
      <w:r w:rsidRPr="002F108B">
        <w:rPr>
          <w:lang w:val="en-NZ"/>
        </w:rPr>
        <w:lastRenderedPageBreak/>
        <w:t xml:space="preserve">“We have observed a slight reduction in online gaming revenue following the reopening of our properties in May, but we saw an increase in activity during the second Auckland closure period in August. </w:t>
      </w:r>
      <w:r w:rsidR="005C1823" w:rsidRPr="002F108B">
        <w:rPr>
          <w:lang w:val="en-NZ"/>
        </w:rPr>
        <w:t>We now have over 35,000 customer registrations</w:t>
      </w:r>
      <w:r w:rsidR="00266294" w:rsidRPr="002F108B">
        <w:rPr>
          <w:lang w:val="en-NZ"/>
        </w:rPr>
        <w:t>,</w:t>
      </w:r>
      <w:r w:rsidR="005C1823" w:rsidRPr="002F108B">
        <w:rPr>
          <w:lang w:val="en-NZ"/>
        </w:rPr>
        <w:t xml:space="preserve"> and we continue to prepare for a regulated gaming industry in New Zealand.”</w:t>
      </w:r>
      <w:r w:rsidR="00D7334A" w:rsidRPr="002F108B">
        <w:rPr>
          <w:rStyle w:val="FootnoteReference"/>
          <w:lang w:val="en-NZ"/>
        </w:rPr>
        <w:footnoteReference w:id="23"/>
      </w:r>
    </w:p>
    <w:p w14:paraId="45908439" w14:textId="1BC28223" w:rsidR="00FE0B99" w:rsidRPr="002F108B" w:rsidRDefault="00E526CF" w:rsidP="00C015A7">
      <w:pPr>
        <w:pStyle w:val="Heading2"/>
        <w:rPr>
          <w:lang w:val="en-NZ"/>
        </w:rPr>
      </w:pPr>
      <w:bookmarkStart w:id="127" w:name="_Toc65250310"/>
      <w:bookmarkStart w:id="128" w:name="_Toc76469785"/>
      <w:r w:rsidRPr="002F108B">
        <w:rPr>
          <w:lang w:val="en-NZ"/>
        </w:rPr>
        <w:t>Quarterly g</w:t>
      </w:r>
      <w:r w:rsidR="00A5235A" w:rsidRPr="002F108B">
        <w:rPr>
          <w:lang w:val="en-NZ"/>
        </w:rPr>
        <w:t>aming machine profits</w:t>
      </w:r>
      <w:r w:rsidR="001736B0">
        <w:rPr>
          <w:lang w:val="en-NZ"/>
        </w:rPr>
        <w:t xml:space="preserve"> </w:t>
      </w:r>
      <w:r w:rsidR="00623DDF" w:rsidRPr="002F108B">
        <w:rPr>
          <w:lang w:val="en-NZ"/>
        </w:rPr>
        <w:t>ha</w:t>
      </w:r>
      <w:r w:rsidR="00EB558D" w:rsidRPr="002F108B">
        <w:rPr>
          <w:lang w:val="en-NZ"/>
        </w:rPr>
        <w:t>ve</w:t>
      </w:r>
      <w:r w:rsidR="00623DDF" w:rsidRPr="002F108B">
        <w:rPr>
          <w:lang w:val="en-NZ"/>
        </w:rPr>
        <w:t xml:space="preserve"> returned to pre-COVID leve</w:t>
      </w:r>
      <w:r w:rsidR="00B46900" w:rsidRPr="002F108B">
        <w:rPr>
          <w:lang w:val="en-NZ"/>
        </w:rPr>
        <w:t>l</w:t>
      </w:r>
      <w:r w:rsidR="00623DDF" w:rsidRPr="002F108B">
        <w:rPr>
          <w:lang w:val="en-NZ"/>
        </w:rPr>
        <w:t>s</w:t>
      </w:r>
      <w:bookmarkEnd w:id="127"/>
      <w:bookmarkEnd w:id="128"/>
      <w:r w:rsidR="00623DDF" w:rsidRPr="002F108B">
        <w:rPr>
          <w:lang w:val="en-NZ"/>
        </w:rPr>
        <w:t xml:space="preserve"> </w:t>
      </w:r>
    </w:p>
    <w:p w14:paraId="5E0F8CAA" w14:textId="2D1036E7" w:rsidR="000617ED" w:rsidRDefault="00964C70" w:rsidP="008B1B7A">
      <w:pPr>
        <w:rPr>
          <w:noProof/>
          <w:lang w:val="en-NZ"/>
        </w:rPr>
      </w:pPr>
      <w:r w:rsidRPr="002F108B">
        <w:rPr>
          <w:lang w:val="en-NZ"/>
        </w:rPr>
        <w:t>GM</w:t>
      </w:r>
      <w:r w:rsidR="00D97440" w:rsidRPr="002F108B">
        <w:rPr>
          <w:lang w:val="en-NZ"/>
        </w:rPr>
        <w:t>P comparisons</w:t>
      </w:r>
      <w:r w:rsidR="008A2A71" w:rsidRPr="002F108B">
        <w:rPr>
          <w:lang w:val="en-NZ"/>
        </w:rPr>
        <w:t xml:space="preserve"> </w:t>
      </w:r>
      <w:r w:rsidR="00465AB1" w:rsidRPr="002F108B">
        <w:rPr>
          <w:lang w:val="en-NZ"/>
        </w:rPr>
        <w:t>between</w:t>
      </w:r>
      <w:r w:rsidR="007C17B0" w:rsidRPr="002F108B">
        <w:rPr>
          <w:lang w:val="en-NZ"/>
        </w:rPr>
        <w:t xml:space="preserve"> </w:t>
      </w:r>
      <w:r w:rsidR="00465AB1" w:rsidRPr="002F108B">
        <w:rPr>
          <w:lang w:val="en-NZ"/>
        </w:rPr>
        <w:t xml:space="preserve">December </w:t>
      </w:r>
      <w:r w:rsidR="007C17B0" w:rsidRPr="002F108B">
        <w:rPr>
          <w:lang w:val="en-NZ"/>
        </w:rPr>
        <w:t xml:space="preserve">2019 and </w:t>
      </w:r>
      <w:r w:rsidR="00465AB1" w:rsidRPr="002F108B">
        <w:rPr>
          <w:lang w:val="en-NZ"/>
        </w:rPr>
        <w:t xml:space="preserve">December </w:t>
      </w:r>
      <w:r w:rsidR="007C17B0" w:rsidRPr="002F108B">
        <w:rPr>
          <w:lang w:val="en-NZ"/>
        </w:rPr>
        <w:t xml:space="preserve">2020 </w:t>
      </w:r>
      <w:r w:rsidR="000328E3" w:rsidRPr="002F108B">
        <w:rPr>
          <w:lang w:val="en-NZ"/>
        </w:rPr>
        <w:t>decrease</w:t>
      </w:r>
      <w:r w:rsidR="009B7632" w:rsidRPr="002F108B">
        <w:rPr>
          <w:lang w:val="en-NZ"/>
        </w:rPr>
        <w:t>d by 1</w:t>
      </w:r>
      <w:r w:rsidR="00F46FD0" w:rsidRPr="002F108B">
        <w:rPr>
          <w:lang w:val="en-NZ"/>
        </w:rPr>
        <w:t xml:space="preserve">3.6% - an impact of COVID-19 and Class 4 venue closures. </w:t>
      </w:r>
      <w:r w:rsidR="009B7632" w:rsidRPr="002F108B">
        <w:rPr>
          <w:lang w:val="en-NZ"/>
        </w:rPr>
        <w:t xml:space="preserve">However, </w:t>
      </w:r>
      <w:r w:rsidR="002B4028">
        <w:rPr>
          <w:lang w:val="en-NZ"/>
        </w:rPr>
        <w:fldChar w:fldCharType="begin"/>
      </w:r>
      <w:r w:rsidR="002B4028">
        <w:rPr>
          <w:lang w:val="en-NZ"/>
        </w:rPr>
        <w:instrText xml:space="preserve"> REF _Ref72152703 \h </w:instrText>
      </w:r>
      <w:r w:rsidR="002B4028">
        <w:rPr>
          <w:lang w:val="en-NZ"/>
        </w:rPr>
      </w:r>
      <w:r w:rsidR="002B4028">
        <w:rPr>
          <w:lang w:val="en-NZ"/>
        </w:rPr>
        <w:fldChar w:fldCharType="separate"/>
      </w:r>
      <w:r w:rsidR="009B1BDF" w:rsidRPr="000617ED">
        <w:rPr>
          <w:b/>
          <w:bCs/>
        </w:rPr>
        <w:t xml:space="preserve">Figure </w:t>
      </w:r>
      <w:r w:rsidR="009B1BDF">
        <w:rPr>
          <w:b/>
          <w:bCs/>
          <w:noProof/>
        </w:rPr>
        <w:t>6</w:t>
      </w:r>
      <w:r w:rsidR="002B4028">
        <w:rPr>
          <w:lang w:val="en-NZ"/>
        </w:rPr>
        <w:fldChar w:fldCharType="end"/>
      </w:r>
      <w:r w:rsidR="002B4028">
        <w:rPr>
          <w:lang w:val="en-NZ"/>
        </w:rPr>
        <w:t xml:space="preserve"> </w:t>
      </w:r>
      <w:r w:rsidR="00552E23" w:rsidRPr="002F108B">
        <w:rPr>
          <w:shd w:val="clear" w:color="auto" w:fill="FFFFFF"/>
          <w:lang w:val="en-NZ"/>
        </w:rPr>
        <w:t xml:space="preserve">shows that </w:t>
      </w:r>
      <w:r w:rsidR="00F46FD0" w:rsidRPr="002F108B">
        <w:rPr>
          <w:lang w:val="en-NZ"/>
        </w:rPr>
        <w:t xml:space="preserve">GMP </w:t>
      </w:r>
      <w:r w:rsidR="000328E3" w:rsidRPr="002F108B">
        <w:rPr>
          <w:lang w:val="en-NZ"/>
        </w:rPr>
        <w:t xml:space="preserve">per quarter </w:t>
      </w:r>
      <w:r w:rsidR="00F46FD0" w:rsidRPr="002F108B">
        <w:rPr>
          <w:lang w:val="en-NZ"/>
        </w:rPr>
        <w:t>quickly returned to pre-COVID levels</w:t>
      </w:r>
      <w:r w:rsidR="008B1B7A" w:rsidRPr="002F108B">
        <w:rPr>
          <w:shd w:val="clear" w:color="auto" w:fill="FFFFFF"/>
          <w:lang w:val="en-NZ"/>
        </w:rPr>
        <w:t xml:space="preserve"> shortly after</w:t>
      </w:r>
      <w:r w:rsidR="009A5EE5" w:rsidRPr="002F108B">
        <w:rPr>
          <w:shd w:val="clear" w:color="auto" w:fill="FFFFFF"/>
          <w:lang w:val="en-NZ"/>
        </w:rPr>
        <w:t xml:space="preserve"> </w:t>
      </w:r>
      <w:r w:rsidR="00C62001" w:rsidRPr="002F108B">
        <w:rPr>
          <w:shd w:val="clear" w:color="auto" w:fill="FFFFFF"/>
          <w:lang w:val="en-NZ"/>
        </w:rPr>
        <w:t xml:space="preserve">COVID-19 </w:t>
      </w:r>
      <w:r w:rsidR="00B46900" w:rsidRPr="002F108B">
        <w:rPr>
          <w:shd w:val="clear" w:color="auto" w:fill="FFFFFF"/>
          <w:lang w:val="en-NZ"/>
        </w:rPr>
        <w:t>lockdowns ceased</w:t>
      </w:r>
      <w:r w:rsidR="005046E3" w:rsidRPr="002F108B">
        <w:rPr>
          <w:shd w:val="clear" w:color="auto" w:fill="FFFFFF"/>
          <w:lang w:val="en-NZ"/>
        </w:rPr>
        <w:t xml:space="preserve"> in 2020</w:t>
      </w:r>
      <w:r w:rsidR="00BD4EAB" w:rsidRPr="002F108B">
        <w:rPr>
          <w:shd w:val="clear" w:color="auto" w:fill="FFFFFF"/>
          <w:lang w:val="en-NZ"/>
        </w:rPr>
        <w:t>,</w:t>
      </w:r>
      <w:r w:rsidR="008B2CF6" w:rsidRPr="002F108B">
        <w:rPr>
          <w:shd w:val="clear" w:color="auto" w:fill="FFFFFF"/>
          <w:lang w:val="en-NZ"/>
        </w:rPr>
        <w:t xml:space="preserve"> indicating a surge of Class 4 gambling activity as the sector recover</w:t>
      </w:r>
      <w:r w:rsidR="008A68A2" w:rsidRPr="002F108B">
        <w:rPr>
          <w:shd w:val="clear" w:color="auto" w:fill="FFFFFF"/>
          <w:lang w:val="en-NZ"/>
        </w:rPr>
        <w:t>s</w:t>
      </w:r>
      <w:r w:rsidR="008B2CF6" w:rsidRPr="002F108B">
        <w:rPr>
          <w:shd w:val="clear" w:color="auto" w:fill="FFFFFF"/>
          <w:lang w:val="en-NZ"/>
        </w:rPr>
        <w:t xml:space="preserve"> from </w:t>
      </w:r>
      <w:r w:rsidR="00F46055">
        <w:rPr>
          <w:shd w:val="clear" w:color="auto" w:fill="FFFFFF"/>
          <w:lang w:val="en-NZ"/>
        </w:rPr>
        <w:t>the impact of</w:t>
      </w:r>
      <w:r w:rsidR="008B2CF6" w:rsidRPr="002F108B">
        <w:rPr>
          <w:lang w:val="en-NZ"/>
        </w:rPr>
        <w:t xml:space="preserve"> COVID-19 lockdown</w:t>
      </w:r>
      <w:r w:rsidR="008A68A2" w:rsidRPr="002F108B">
        <w:rPr>
          <w:lang w:val="en-NZ"/>
        </w:rPr>
        <w:t>s</w:t>
      </w:r>
      <w:r w:rsidR="00F46055">
        <w:rPr>
          <w:lang w:val="en-NZ"/>
        </w:rPr>
        <w:t xml:space="preserve"> throughout 2020</w:t>
      </w:r>
      <w:r w:rsidR="008B2CF6" w:rsidRPr="002F108B">
        <w:rPr>
          <w:lang w:val="en-NZ"/>
        </w:rPr>
        <w:t>.</w:t>
      </w:r>
      <w:r w:rsidR="000617ED" w:rsidRPr="000617ED">
        <w:rPr>
          <w:noProof/>
          <w:lang w:val="en-NZ"/>
        </w:rPr>
        <w:t xml:space="preserve"> </w:t>
      </w:r>
    </w:p>
    <w:p w14:paraId="7F65827D" w14:textId="0BCD6F28" w:rsidR="002434DF" w:rsidRPr="000617ED" w:rsidRDefault="000617ED" w:rsidP="000617ED">
      <w:pPr>
        <w:jc w:val="center"/>
        <w:rPr>
          <w:b/>
          <w:bCs/>
          <w:lang w:val="en-NZ"/>
        </w:rPr>
      </w:pPr>
      <w:bookmarkStart w:id="129" w:name="_Toc72752871"/>
      <w:r w:rsidRPr="002F108B">
        <w:rPr>
          <w:noProof/>
          <w:lang w:val="en-NZ"/>
        </w:rPr>
        <w:drawing>
          <wp:inline distT="0" distB="0" distL="0" distR="0" wp14:anchorId="1BADB3AD" wp14:editId="1942A93F">
            <wp:extent cx="4831080" cy="192902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1929022"/>
                    </a:xfrm>
                    <a:prstGeom prst="rect">
                      <a:avLst/>
                    </a:prstGeom>
                    <a:noFill/>
                    <a:ln>
                      <a:noFill/>
                    </a:ln>
                  </pic:spPr>
                </pic:pic>
              </a:graphicData>
            </a:graphic>
          </wp:inline>
        </w:drawing>
      </w:r>
      <w:bookmarkStart w:id="130" w:name="_Ref72152703"/>
      <w:r w:rsidR="002B4028" w:rsidRPr="000617ED">
        <w:rPr>
          <w:b/>
          <w:bCs/>
        </w:rPr>
        <w:t xml:space="preserve">Figure </w:t>
      </w:r>
      <w:r w:rsidR="002B4028" w:rsidRPr="000617ED">
        <w:rPr>
          <w:b/>
          <w:bCs/>
        </w:rPr>
        <w:fldChar w:fldCharType="begin"/>
      </w:r>
      <w:r w:rsidR="002B4028" w:rsidRPr="000617ED">
        <w:rPr>
          <w:b/>
          <w:bCs/>
        </w:rPr>
        <w:instrText xml:space="preserve"> SEQ Figure \* ARABIC </w:instrText>
      </w:r>
      <w:r w:rsidR="002B4028" w:rsidRPr="000617ED">
        <w:rPr>
          <w:b/>
          <w:bCs/>
        </w:rPr>
        <w:fldChar w:fldCharType="separate"/>
      </w:r>
      <w:r w:rsidR="009B1BDF">
        <w:rPr>
          <w:b/>
          <w:bCs/>
          <w:noProof/>
        </w:rPr>
        <w:t>6</w:t>
      </w:r>
      <w:r w:rsidR="002B4028" w:rsidRPr="000617ED">
        <w:rPr>
          <w:b/>
          <w:bCs/>
        </w:rPr>
        <w:fldChar w:fldCharType="end"/>
      </w:r>
      <w:bookmarkEnd w:id="130"/>
      <w:r w:rsidR="002B4028" w:rsidRPr="000617ED">
        <w:rPr>
          <w:b/>
          <w:bCs/>
        </w:rPr>
        <w:t xml:space="preserve">: </w:t>
      </w:r>
      <w:r w:rsidR="002434DF" w:rsidRPr="000617ED">
        <w:rPr>
          <w:b/>
          <w:bCs/>
          <w:lang w:val="en-NZ"/>
        </w:rPr>
        <w:t>Gaming machine profit (GMP per quarter)</w:t>
      </w:r>
      <w:bookmarkEnd w:id="129"/>
    </w:p>
    <w:p w14:paraId="49DCC561" w14:textId="777AB00C" w:rsidR="00C0492B" w:rsidRDefault="005349E8" w:rsidP="00A747B9">
      <w:pPr>
        <w:rPr>
          <w:lang w:val="en-NZ"/>
        </w:rPr>
      </w:pPr>
      <w:r w:rsidRPr="002F108B">
        <w:rPr>
          <w:lang w:val="en-NZ"/>
        </w:rPr>
        <w:t xml:space="preserve">Between September and </w:t>
      </w:r>
      <w:r w:rsidR="007B4524" w:rsidRPr="002F108B">
        <w:rPr>
          <w:lang w:val="en-NZ"/>
        </w:rPr>
        <w:t xml:space="preserve">December 2020, </w:t>
      </w:r>
      <w:r w:rsidR="007F6E76" w:rsidRPr="002F108B">
        <w:rPr>
          <w:lang w:val="en-NZ"/>
        </w:rPr>
        <w:t>G</w:t>
      </w:r>
      <w:r w:rsidR="007B4524" w:rsidRPr="002F108B">
        <w:rPr>
          <w:lang w:val="en-NZ"/>
        </w:rPr>
        <w:t xml:space="preserve">MP </w:t>
      </w:r>
      <w:r w:rsidRPr="002F108B">
        <w:rPr>
          <w:lang w:val="en-NZ"/>
        </w:rPr>
        <w:t>increased 3.</w:t>
      </w:r>
      <w:r w:rsidR="00A16DD6" w:rsidRPr="002F108B">
        <w:rPr>
          <w:lang w:val="en-NZ"/>
        </w:rPr>
        <w:t>7</w:t>
      </w:r>
      <w:r w:rsidRPr="002F108B">
        <w:rPr>
          <w:lang w:val="en-NZ"/>
        </w:rPr>
        <w:t>%</w:t>
      </w:r>
      <w:r w:rsidR="00396BB6" w:rsidRPr="002F108B">
        <w:rPr>
          <w:lang w:val="en-NZ"/>
        </w:rPr>
        <w:t xml:space="preserve"> </w:t>
      </w:r>
      <w:r w:rsidR="002434DF">
        <w:rPr>
          <w:lang w:val="en-NZ"/>
        </w:rPr>
        <w:t>(</w:t>
      </w:r>
      <w:r w:rsidR="002434DF">
        <w:rPr>
          <w:lang w:val="en-NZ"/>
        </w:rPr>
        <w:fldChar w:fldCharType="begin"/>
      </w:r>
      <w:r w:rsidR="002434DF">
        <w:rPr>
          <w:lang w:val="en-NZ"/>
        </w:rPr>
        <w:instrText xml:space="preserve"> REF _Ref71636034 \h </w:instrText>
      </w:r>
      <w:r w:rsidR="002434DF">
        <w:rPr>
          <w:lang w:val="en-NZ"/>
        </w:rPr>
      </w:r>
      <w:r w:rsidR="002434DF">
        <w:rPr>
          <w:lang w:val="en-NZ"/>
        </w:rPr>
        <w:fldChar w:fldCharType="separate"/>
      </w:r>
      <w:r w:rsidR="009B1BDF">
        <w:t xml:space="preserve">Figure </w:t>
      </w:r>
      <w:r w:rsidR="009B1BDF">
        <w:rPr>
          <w:noProof/>
        </w:rPr>
        <w:t>7</w:t>
      </w:r>
      <w:r w:rsidR="002434DF">
        <w:rPr>
          <w:lang w:val="en-NZ"/>
        </w:rPr>
        <w:fldChar w:fldCharType="end"/>
      </w:r>
      <w:r w:rsidR="002434DF">
        <w:rPr>
          <w:lang w:val="en-NZ"/>
        </w:rPr>
        <w:t xml:space="preserve">) </w:t>
      </w:r>
      <w:r w:rsidR="00396BB6" w:rsidRPr="002F108B">
        <w:rPr>
          <w:lang w:val="en-NZ"/>
        </w:rPr>
        <w:t>(Department of Internal Affairs, 2021</w:t>
      </w:r>
      <w:r w:rsidR="00B9347C" w:rsidRPr="002F108B">
        <w:rPr>
          <w:lang w:val="en-NZ"/>
        </w:rPr>
        <w:t>b</w:t>
      </w:r>
      <w:r w:rsidR="00396BB6" w:rsidRPr="002F108B">
        <w:rPr>
          <w:lang w:val="en-NZ"/>
        </w:rPr>
        <w:t>). Q</w:t>
      </w:r>
      <w:r w:rsidR="00530674" w:rsidRPr="002F108B">
        <w:rPr>
          <w:lang w:val="en-NZ"/>
        </w:rPr>
        <w:t xml:space="preserve">uarterly GMP for December has been the highest quarterly figure </w:t>
      </w:r>
      <w:r w:rsidR="00C54954" w:rsidRPr="002F108B">
        <w:rPr>
          <w:lang w:val="en-NZ"/>
        </w:rPr>
        <w:t>recorded since 2007</w:t>
      </w:r>
      <w:r w:rsidR="00530674" w:rsidRPr="002F108B">
        <w:rPr>
          <w:lang w:val="en-NZ"/>
        </w:rPr>
        <w:t xml:space="preserve"> </w:t>
      </w:r>
      <w:r w:rsidR="000B5C28" w:rsidRPr="002F108B">
        <w:rPr>
          <w:lang w:val="en-NZ"/>
        </w:rPr>
        <w:t xml:space="preserve">(Department of Internal Affairs, </w:t>
      </w:r>
      <w:r w:rsidR="002434DF">
        <w:rPr>
          <w:lang w:val="en-NZ"/>
        </w:rPr>
        <w:t xml:space="preserve">2021b; </w:t>
      </w:r>
      <w:r w:rsidR="000B5C28" w:rsidRPr="002F108B">
        <w:rPr>
          <w:lang w:val="en-NZ"/>
        </w:rPr>
        <w:t>2021</w:t>
      </w:r>
      <w:r w:rsidR="00B9347C" w:rsidRPr="002F108B">
        <w:rPr>
          <w:lang w:val="en-NZ"/>
        </w:rPr>
        <w:t>c</w:t>
      </w:r>
      <w:r w:rsidR="000B5C28" w:rsidRPr="002F108B">
        <w:rPr>
          <w:lang w:val="en-NZ"/>
        </w:rPr>
        <w:t>)</w:t>
      </w:r>
      <w:r w:rsidR="00332B32" w:rsidRPr="002F108B">
        <w:rPr>
          <w:lang w:val="en-NZ"/>
        </w:rPr>
        <w:t>.</w:t>
      </w:r>
      <w:r w:rsidR="000F475C" w:rsidRPr="002F108B">
        <w:rPr>
          <w:lang w:val="en-NZ"/>
        </w:rPr>
        <w:t xml:space="preserve"> </w:t>
      </w:r>
    </w:p>
    <w:p w14:paraId="55B6383E" w14:textId="77777777" w:rsidR="002434DF" w:rsidRDefault="002434DF" w:rsidP="00C104D1">
      <w:pPr>
        <w:keepNext/>
        <w:jc w:val="center"/>
      </w:pPr>
      <w:r w:rsidRPr="002434DF">
        <w:rPr>
          <w:noProof/>
        </w:rPr>
        <w:drawing>
          <wp:inline distT="0" distB="0" distL="0" distR="0" wp14:anchorId="37411C6F" wp14:editId="2ACF7461">
            <wp:extent cx="2691441" cy="8971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1457" cy="903819"/>
                    </a:xfrm>
                    <a:prstGeom prst="rect">
                      <a:avLst/>
                    </a:prstGeom>
                    <a:noFill/>
                    <a:ln>
                      <a:noFill/>
                    </a:ln>
                  </pic:spPr>
                </pic:pic>
              </a:graphicData>
            </a:graphic>
          </wp:inline>
        </w:drawing>
      </w:r>
    </w:p>
    <w:p w14:paraId="41B5139A" w14:textId="6DFE1DA8" w:rsidR="002434DF" w:rsidRPr="002F108B" w:rsidRDefault="002434DF" w:rsidP="002B4028">
      <w:pPr>
        <w:pStyle w:val="Caption"/>
        <w:rPr>
          <w:lang w:val="en-NZ"/>
        </w:rPr>
      </w:pPr>
      <w:bookmarkStart w:id="131" w:name="_Ref71636034"/>
      <w:bookmarkStart w:id="132" w:name="_Toc72752872"/>
      <w:r>
        <w:t xml:space="preserve">Figure </w:t>
      </w:r>
      <w:r>
        <w:fldChar w:fldCharType="begin"/>
      </w:r>
      <w:r>
        <w:instrText xml:space="preserve"> SEQ Figure \* ARABIC </w:instrText>
      </w:r>
      <w:r>
        <w:fldChar w:fldCharType="separate"/>
      </w:r>
      <w:r w:rsidR="009B1BDF">
        <w:rPr>
          <w:noProof/>
        </w:rPr>
        <w:t>7</w:t>
      </w:r>
      <w:r>
        <w:fldChar w:fldCharType="end"/>
      </w:r>
      <w:bookmarkEnd w:id="131"/>
      <w:r>
        <w:t>: Quarterly GMP</w:t>
      </w:r>
      <w:bookmarkEnd w:id="132"/>
    </w:p>
    <w:p w14:paraId="5FDC8C30" w14:textId="77777777" w:rsidR="003D119A" w:rsidRPr="002F108B" w:rsidRDefault="003D119A" w:rsidP="00FE0B99">
      <w:pPr>
        <w:rPr>
          <w:shd w:val="clear" w:color="auto" w:fill="FFFFFF"/>
          <w:lang w:val="en-NZ"/>
        </w:rPr>
      </w:pPr>
    </w:p>
    <w:p w14:paraId="4EFCE52C" w14:textId="7B3AFAFB" w:rsidR="009061BB" w:rsidRPr="002F108B" w:rsidRDefault="00694505" w:rsidP="00EC7A69">
      <w:pPr>
        <w:pStyle w:val="Heading1"/>
        <w:rPr>
          <w:lang w:val="en-NZ"/>
        </w:rPr>
      </w:pPr>
      <w:bookmarkStart w:id="133" w:name="_Toc65250311"/>
      <w:bookmarkStart w:id="134" w:name="_Toc76469786"/>
      <w:r w:rsidRPr="002F108B">
        <w:rPr>
          <w:lang w:val="en-NZ"/>
        </w:rPr>
        <w:lastRenderedPageBreak/>
        <w:t>The</w:t>
      </w:r>
      <w:r w:rsidR="00D81E6D">
        <w:rPr>
          <w:lang w:val="en-NZ"/>
        </w:rPr>
        <w:t xml:space="preserve"> </w:t>
      </w:r>
      <w:r w:rsidR="00714E06" w:rsidRPr="002F108B">
        <w:rPr>
          <w:lang w:val="en-NZ"/>
        </w:rPr>
        <w:t xml:space="preserve">prevalence </w:t>
      </w:r>
      <w:r w:rsidRPr="002F108B">
        <w:rPr>
          <w:lang w:val="en-NZ"/>
        </w:rPr>
        <w:t>of harmful gambling</w:t>
      </w:r>
      <w:bookmarkEnd w:id="133"/>
      <w:bookmarkEnd w:id="134"/>
    </w:p>
    <w:p w14:paraId="75647280" w14:textId="120855B3" w:rsidR="009E48C6" w:rsidRPr="002F108B" w:rsidRDefault="00A84D74" w:rsidP="00C015A7">
      <w:pPr>
        <w:pStyle w:val="Heading2"/>
        <w:rPr>
          <w:lang w:val="en-NZ"/>
        </w:rPr>
      </w:pPr>
      <w:bookmarkStart w:id="135" w:name="_Toc65250312"/>
      <w:bookmarkStart w:id="136" w:name="_Toc76469787"/>
      <w:r w:rsidRPr="002F108B">
        <w:rPr>
          <w:lang w:val="en-NZ"/>
        </w:rPr>
        <w:t>The prevalence of</w:t>
      </w:r>
      <w:r w:rsidR="000D3552" w:rsidRPr="002F108B">
        <w:rPr>
          <w:lang w:val="en-NZ"/>
        </w:rPr>
        <w:t xml:space="preserve"> </w:t>
      </w:r>
      <w:r w:rsidR="00C23BC5" w:rsidRPr="002F108B">
        <w:rPr>
          <w:lang w:val="en-NZ"/>
        </w:rPr>
        <w:t>harmful gambl</w:t>
      </w:r>
      <w:r w:rsidR="001B3C5D" w:rsidRPr="002F108B">
        <w:rPr>
          <w:lang w:val="en-NZ"/>
        </w:rPr>
        <w:t>ing</w:t>
      </w:r>
      <w:r w:rsidR="00C23BC5" w:rsidRPr="002F108B">
        <w:rPr>
          <w:lang w:val="en-NZ"/>
        </w:rPr>
        <w:t xml:space="preserve"> </w:t>
      </w:r>
      <w:r w:rsidRPr="002F108B">
        <w:rPr>
          <w:lang w:val="en-NZ"/>
        </w:rPr>
        <w:t xml:space="preserve">in Aotearoa New Zealand </w:t>
      </w:r>
      <w:r w:rsidR="000D3552" w:rsidRPr="002F108B">
        <w:rPr>
          <w:lang w:val="en-NZ"/>
        </w:rPr>
        <w:t xml:space="preserve">remains </w:t>
      </w:r>
      <w:r w:rsidR="00991776" w:rsidRPr="002F108B">
        <w:rPr>
          <w:lang w:val="en-NZ"/>
        </w:rPr>
        <w:t xml:space="preserve">relatively </w:t>
      </w:r>
      <w:r w:rsidR="000D3552" w:rsidRPr="002F108B">
        <w:rPr>
          <w:lang w:val="en-NZ"/>
        </w:rPr>
        <w:t>unchanged</w:t>
      </w:r>
      <w:bookmarkEnd w:id="135"/>
      <w:bookmarkEnd w:id="136"/>
    </w:p>
    <w:p w14:paraId="197DA143" w14:textId="548FDF0A" w:rsidR="00AC74C4" w:rsidRPr="002F108B" w:rsidRDefault="00CF2F97" w:rsidP="00A04DE7">
      <w:pPr>
        <w:rPr>
          <w:lang w:val="en-NZ"/>
        </w:rPr>
      </w:pPr>
      <w:r>
        <w:rPr>
          <w:lang w:val="en-NZ"/>
        </w:rPr>
        <w:t>The most recent gambling participation and prevalence data captured in the HLS survey showed that b</w:t>
      </w:r>
      <w:r w:rsidRPr="002F108B">
        <w:rPr>
          <w:lang w:val="en-NZ"/>
        </w:rPr>
        <w:t xml:space="preserve">etween </w:t>
      </w:r>
      <w:r w:rsidR="00A04DE7" w:rsidRPr="002F108B">
        <w:rPr>
          <w:lang w:val="en-NZ"/>
        </w:rPr>
        <w:t>2016 and 2018, t</w:t>
      </w:r>
      <w:r w:rsidR="0068759F" w:rsidRPr="002F108B">
        <w:rPr>
          <w:lang w:val="en-NZ"/>
        </w:rPr>
        <w:t xml:space="preserve">he prevalence of </w:t>
      </w:r>
      <w:r w:rsidR="007C15EE" w:rsidRPr="002F108B">
        <w:rPr>
          <w:lang w:val="en-NZ"/>
        </w:rPr>
        <w:t xml:space="preserve">harmful </w:t>
      </w:r>
      <w:r w:rsidR="0068759F" w:rsidRPr="002F108B">
        <w:rPr>
          <w:lang w:val="en-NZ"/>
        </w:rPr>
        <w:t xml:space="preserve">gambling </w:t>
      </w:r>
      <w:r w:rsidR="00071E49" w:rsidRPr="002F108B">
        <w:rPr>
          <w:lang w:val="en-NZ"/>
        </w:rPr>
        <w:t xml:space="preserve">among adults (aged 15 years and over) </w:t>
      </w:r>
      <w:r w:rsidR="000F4883" w:rsidRPr="002F108B">
        <w:rPr>
          <w:lang w:val="en-NZ"/>
        </w:rPr>
        <w:t xml:space="preserve">in Aotearoa New Zealand </w:t>
      </w:r>
      <w:r w:rsidR="009D59EE" w:rsidRPr="002F108B">
        <w:rPr>
          <w:lang w:val="en-NZ"/>
        </w:rPr>
        <w:t>remained relatively unchanged</w:t>
      </w:r>
      <w:r w:rsidR="000C00AE" w:rsidRPr="002F108B">
        <w:rPr>
          <w:lang w:val="en-NZ"/>
        </w:rPr>
        <w:t xml:space="preserve"> </w:t>
      </w:r>
      <w:r w:rsidR="00E5687A" w:rsidRPr="002F108B">
        <w:rPr>
          <w:rFonts w:cs="Calibri"/>
          <w:lang w:val="en-NZ"/>
        </w:rPr>
        <w:t xml:space="preserve">(Te Hiringa Hauora, </w:t>
      </w:r>
      <w:r w:rsidR="001C02B8" w:rsidRPr="002F108B">
        <w:rPr>
          <w:rFonts w:cs="Calibri"/>
          <w:lang w:val="en-NZ"/>
        </w:rPr>
        <w:t>2018</w:t>
      </w:r>
      <w:r w:rsidR="00E5687A" w:rsidRPr="002F108B">
        <w:rPr>
          <w:rFonts w:cs="Calibri"/>
          <w:lang w:val="en-NZ"/>
        </w:rPr>
        <w:t>)</w:t>
      </w:r>
      <w:r w:rsidR="0068759F" w:rsidRPr="002F108B">
        <w:rPr>
          <w:lang w:val="en-NZ"/>
        </w:rPr>
        <w:t xml:space="preserve">. </w:t>
      </w:r>
      <w:r>
        <w:rPr>
          <w:lang w:val="en-NZ"/>
        </w:rPr>
        <w:t>It also identified that a</w:t>
      </w:r>
      <w:r w:rsidR="00677A8C" w:rsidRPr="002F108B">
        <w:rPr>
          <w:lang w:val="en-NZ"/>
        </w:rPr>
        <w:t>lthough not statistically significant:</w:t>
      </w:r>
    </w:p>
    <w:p w14:paraId="5EE6F54D" w14:textId="6990A8C4" w:rsidR="005041AD" w:rsidRPr="005041AD" w:rsidRDefault="00677A8C" w:rsidP="000466B0">
      <w:pPr>
        <w:pStyle w:val="Bullet"/>
        <w:spacing w:before="60" w:after="120" w:line="276" w:lineRule="auto"/>
        <w:rPr>
          <w:b/>
        </w:rPr>
      </w:pPr>
      <w:r>
        <w:t>T</w:t>
      </w:r>
      <w:r w:rsidR="007A746A">
        <w:t>he</w:t>
      </w:r>
      <w:r w:rsidR="00FB7A5F">
        <w:t xml:space="preserve"> </w:t>
      </w:r>
      <w:r w:rsidR="00DF2DD5">
        <w:t xml:space="preserve">prevalence of </w:t>
      </w:r>
      <w:r w:rsidR="004D175A">
        <w:t xml:space="preserve">low-risk </w:t>
      </w:r>
      <w:r w:rsidR="001C3029">
        <w:t xml:space="preserve">gambling </w:t>
      </w:r>
      <w:r w:rsidR="007A746A">
        <w:t>among</w:t>
      </w:r>
      <w:r w:rsidR="001C3029">
        <w:t xml:space="preserve"> adults </w:t>
      </w:r>
      <w:r w:rsidR="00991776">
        <w:t xml:space="preserve">increased </w:t>
      </w:r>
      <w:r w:rsidR="009D59EE">
        <w:t>slightly</w:t>
      </w:r>
      <w:r w:rsidR="00991776">
        <w:t xml:space="preserve"> from </w:t>
      </w:r>
      <w:r w:rsidR="000E0E10">
        <w:t>3.3% to</w:t>
      </w:r>
      <w:r w:rsidR="001C3029">
        <w:t xml:space="preserve"> </w:t>
      </w:r>
      <w:r w:rsidR="003B6987">
        <w:t>3.6%</w:t>
      </w:r>
      <w:r w:rsidR="001C3029">
        <w:t xml:space="preserve"> </w:t>
      </w:r>
      <w:r w:rsidR="007A746A">
        <w:t>(approximately</w:t>
      </w:r>
      <w:r w:rsidR="001C3029">
        <w:t xml:space="preserve"> </w:t>
      </w:r>
      <w:r w:rsidR="003B6987">
        <w:t>142,000</w:t>
      </w:r>
      <w:r w:rsidR="001C3029">
        <w:t xml:space="preserve"> people</w:t>
      </w:r>
      <w:r w:rsidR="00071E49">
        <w:t>)</w:t>
      </w:r>
    </w:p>
    <w:p w14:paraId="74786353" w14:textId="243D69EB" w:rsidR="003B6987" w:rsidRDefault="005041AD" w:rsidP="000466B0">
      <w:pPr>
        <w:pStyle w:val="Bullet"/>
        <w:spacing w:before="60" w:after="120" w:line="276" w:lineRule="auto"/>
        <w:rPr>
          <w:b/>
        </w:rPr>
      </w:pPr>
      <w:r>
        <w:t>T</w:t>
      </w:r>
      <w:r w:rsidR="003B6987">
        <w:t>he prevalence of moderate-risk</w:t>
      </w:r>
      <w:r w:rsidR="00240EA6">
        <w:t xml:space="preserve"> </w:t>
      </w:r>
      <w:r w:rsidR="004171C0">
        <w:t xml:space="preserve">and </w:t>
      </w:r>
      <w:r w:rsidR="00923A46">
        <w:t>harmful</w:t>
      </w:r>
      <w:r w:rsidR="003B6987">
        <w:t xml:space="preserve"> gambling </w:t>
      </w:r>
      <w:r w:rsidR="00564C78">
        <w:t>among adults</w:t>
      </w:r>
      <w:r>
        <w:t xml:space="preserve"> increased </w:t>
      </w:r>
      <w:r w:rsidR="009D59EE">
        <w:t xml:space="preserve">slightly </w:t>
      </w:r>
      <w:r>
        <w:t xml:space="preserve">from 1.5% to </w:t>
      </w:r>
      <w:r w:rsidR="003B6987">
        <w:t>1.9%</w:t>
      </w:r>
      <w:r>
        <w:t>,</w:t>
      </w:r>
      <w:r w:rsidR="00564C78">
        <w:t xml:space="preserve"> representing a further 76,000 adults</w:t>
      </w:r>
      <w:r w:rsidR="00BD4243">
        <w:t xml:space="preserve"> </w:t>
      </w:r>
      <w:r w:rsidR="00DA5F22">
        <w:t>in 2018</w:t>
      </w:r>
      <w:r w:rsidR="0046262C">
        <w:t>.</w:t>
      </w:r>
    </w:p>
    <w:p w14:paraId="040A8811" w14:textId="7633936F" w:rsidR="00DB4C47" w:rsidRPr="002F108B" w:rsidRDefault="00842144" w:rsidP="00F40281">
      <w:pPr>
        <w:rPr>
          <w:lang w:val="en-NZ"/>
        </w:rPr>
      </w:pPr>
      <w:r w:rsidRPr="002F108B">
        <w:rPr>
          <w:lang w:val="en-NZ"/>
        </w:rPr>
        <w:t>It is important to note that t</w:t>
      </w:r>
      <w:r w:rsidR="00D64D2E" w:rsidRPr="002F108B">
        <w:rPr>
          <w:lang w:val="en-NZ"/>
        </w:rPr>
        <w:t xml:space="preserve">he 2018 HLS </w:t>
      </w:r>
      <w:r w:rsidR="00715506" w:rsidRPr="002F108B">
        <w:rPr>
          <w:lang w:val="en-NZ"/>
        </w:rPr>
        <w:t>does</w:t>
      </w:r>
      <w:r w:rsidR="00D64D2E" w:rsidRPr="002F108B">
        <w:rPr>
          <w:lang w:val="en-NZ"/>
        </w:rPr>
        <w:t xml:space="preserve"> not capture the impact of COVID-19 lockdowns </w:t>
      </w:r>
      <w:r w:rsidR="00F303A9" w:rsidRPr="002F108B">
        <w:rPr>
          <w:lang w:val="en-NZ"/>
        </w:rPr>
        <w:t xml:space="preserve">(and the consequent </w:t>
      </w:r>
      <w:r w:rsidR="00715506" w:rsidRPr="002F108B">
        <w:rPr>
          <w:lang w:val="en-NZ"/>
        </w:rPr>
        <w:t>shift from land-based to online gambling</w:t>
      </w:r>
      <w:r w:rsidR="00F303A9" w:rsidRPr="002F108B">
        <w:rPr>
          <w:lang w:val="en-NZ"/>
        </w:rPr>
        <w:t xml:space="preserve">) </w:t>
      </w:r>
      <w:r w:rsidR="00D64D2E" w:rsidRPr="002F108B">
        <w:rPr>
          <w:lang w:val="en-NZ"/>
        </w:rPr>
        <w:t>on gambling prevalence</w:t>
      </w:r>
      <w:r w:rsidR="00A1698B" w:rsidRPr="002F108B">
        <w:rPr>
          <w:lang w:val="en-NZ"/>
        </w:rPr>
        <w:t xml:space="preserve"> (see section </w:t>
      </w:r>
      <w:r w:rsidR="00AF2F1E" w:rsidRPr="002F108B">
        <w:rPr>
          <w:lang w:val="en-NZ"/>
        </w:rPr>
        <w:fldChar w:fldCharType="begin"/>
      </w:r>
      <w:r w:rsidR="00AF2F1E" w:rsidRPr="002F108B">
        <w:rPr>
          <w:lang w:val="en-NZ"/>
        </w:rPr>
        <w:instrText xml:space="preserve"> REF _Ref65075608 \r \h </w:instrText>
      </w:r>
      <w:r w:rsidR="00AF2F1E" w:rsidRPr="002F108B">
        <w:rPr>
          <w:lang w:val="en-NZ"/>
        </w:rPr>
      </w:r>
      <w:r w:rsidR="00AF2F1E" w:rsidRPr="002F108B">
        <w:rPr>
          <w:lang w:val="en-NZ"/>
        </w:rPr>
        <w:fldChar w:fldCharType="separate"/>
      </w:r>
      <w:r w:rsidR="009B1BDF">
        <w:rPr>
          <w:lang w:val="en-NZ"/>
        </w:rPr>
        <w:t>3.3</w:t>
      </w:r>
      <w:r w:rsidR="00AF2F1E" w:rsidRPr="002F108B">
        <w:rPr>
          <w:lang w:val="en-NZ"/>
        </w:rPr>
        <w:fldChar w:fldCharType="end"/>
      </w:r>
      <w:r w:rsidR="009513CD" w:rsidRPr="002F108B">
        <w:rPr>
          <w:lang w:val="en-NZ"/>
        </w:rPr>
        <w:t>)</w:t>
      </w:r>
      <w:r w:rsidR="00E16D46" w:rsidRPr="002F108B">
        <w:rPr>
          <w:lang w:val="en-NZ"/>
        </w:rPr>
        <w:t xml:space="preserve">. </w:t>
      </w:r>
      <w:r w:rsidR="00612BC8" w:rsidRPr="002F108B">
        <w:rPr>
          <w:lang w:val="en-NZ"/>
        </w:rPr>
        <w:t>HLS was in the field surveying</w:t>
      </w:r>
      <w:r w:rsidR="008A5F05" w:rsidRPr="002F108B">
        <w:rPr>
          <w:lang w:val="en-NZ"/>
        </w:rPr>
        <w:t xml:space="preserve"> in 2020, but results were not available at the time of writing the Gambling Harm Needs Assessment literature review 2021. </w:t>
      </w:r>
    </w:p>
    <w:p w14:paraId="4877F433" w14:textId="3783072F" w:rsidR="00F00E06" w:rsidRPr="002F108B" w:rsidRDefault="00FD62B6" w:rsidP="00F00E06">
      <w:pPr>
        <w:rPr>
          <w:lang w:val="en-NZ"/>
        </w:rPr>
      </w:pPr>
      <w:r w:rsidRPr="002F108B">
        <w:rPr>
          <w:lang w:val="en-NZ"/>
        </w:rPr>
        <w:t>It is also important to note that prevalence rates may not tell the whole story</w:t>
      </w:r>
      <w:r w:rsidR="004C1F6B" w:rsidRPr="002F108B">
        <w:rPr>
          <w:lang w:val="en-NZ"/>
        </w:rPr>
        <w:t xml:space="preserve">. </w:t>
      </w:r>
      <w:r w:rsidR="00F00E06" w:rsidRPr="002F108B">
        <w:rPr>
          <w:lang w:val="en-NZ"/>
        </w:rPr>
        <w:t xml:space="preserve">Abbott, Bellringer, &amp; Garrett </w:t>
      </w:r>
      <w:r w:rsidR="00F00E06" w:rsidRPr="002F108B">
        <w:rPr>
          <w:rFonts w:cs="Calibri"/>
          <w:lang w:val="en-NZ"/>
        </w:rPr>
        <w:t>(2018)</w:t>
      </w:r>
      <w:r w:rsidR="00F00E06" w:rsidRPr="002F108B">
        <w:rPr>
          <w:lang w:val="en-NZ"/>
        </w:rPr>
        <w:t xml:space="preserve"> caution that due to New Zealand's population growth and changing demographics since the initial 1990 national study, although gambling harm</w:t>
      </w:r>
      <w:r w:rsidR="00F00E06" w:rsidRPr="002F108B">
        <w:rPr>
          <w:i/>
          <w:lang w:val="en-NZ"/>
        </w:rPr>
        <w:t xml:space="preserve"> rates</w:t>
      </w:r>
      <w:r w:rsidR="00F00E06" w:rsidRPr="002F108B">
        <w:rPr>
          <w:lang w:val="en-NZ"/>
        </w:rPr>
        <w:t xml:space="preserve"> may appear unchanged, the </w:t>
      </w:r>
      <w:r w:rsidR="00F00E06" w:rsidRPr="002F108B">
        <w:rPr>
          <w:i/>
          <w:lang w:val="en-NZ"/>
        </w:rPr>
        <w:t>total number</w:t>
      </w:r>
      <w:r w:rsidR="00F00E06" w:rsidRPr="002F108B">
        <w:rPr>
          <w:lang w:val="en-NZ"/>
        </w:rPr>
        <w:t xml:space="preserve"> of people experiencing harm may have increased. To gain a more accurate understanding of harm in the community, Abbott, Bellringer, &amp; Garrett </w:t>
      </w:r>
      <w:r w:rsidR="00F00E06" w:rsidRPr="002F108B">
        <w:rPr>
          <w:rFonts w:cs="Calibri"/>
          <w:lang w:val="en-NZ"/>
        </w:rPr>
        <w:t>(2018)</w:t>
      </w:r>
      <w:r w:rsidR="00F00E06" w:rsidRPr="002F108B">
        <w:rPr>
          <w:lang w:val="en-NZ"/>
        </w:rPr>
        <w:t xml:space="preserve"> recommend reporting gambling harm rates</w:t>
      </w:r>
      <w:r w:rsidR="00F00E06" w:rsidRPr="002F108B">
        <w:rPr>
          <w:i/>
          <w:lang w:val="en-NZ"/>
        </w:rPr>
        <w:t xml:space="preserve"> and</w:t>
      </w:r>
      <w:r w:rsidR="00F00E06" w:rsidRPr="002F108B">
        <w:rPr>
          <w:lang w:val="en-NZ"/>
        </w:rPr>
        <w:t xml:space="preserve"> absolute numbers. </w:t>
      </w:r>
    </w:p>
    <w:p w14:paraId="41D29645" w14:textId="127F0B63" w:rsidR="00FD4919" w:rsidRPr="002F108B" w:rsidRDefault="006B5D68" w:rsidP="00C015A7">
      <w:pPr>
        <w:pStyle w:val="Heading2"/>
        <w:rPr>
          <w:lang w:val="en-NZ"/>
        </w:rPr>
      </w:pPr>
      <w:bookmarkStart w:id="137" w:name="_Toc65250313"/>
      <w:bookmarkStart w:id="138" w:name="_Toc76469788"/>
      <w:r w:rsidRPr="002F108B">
        <w:rPr>
          <w:lang w:val="en-NZ"/>
        </w:rPr>
        <w:t xml:space="preserve">The prevalence of harmful gambling among </w:t>
      </w:r>
      <w:r w:rsidR="00FD4919" w:rsidRPr="002F108B">
        <w:rPr>
          <w:lang w:val="en-NZ"/>
        </w:rPr>
        <w:t xml:space="preserve">Māori and Pacific </w:t>
      </w:r>
      <w:r w:rsidR="001B3C5D" w:rsidRPr="002F108B">
        <w:rPr>
          <w:lang w:val="en-NZ"/>
        </w:rPr>
        <w:t xml:space="preserve">peoples </w:t>
      </w:r>
      <w:r w:rsidRPr="002F108B">
        <w:rPr>
          <w:lang w:val="en-NZ"/>
        </w:rPr>
        <w:t xml:space="preserve">remains higher </w:t>
      </w:r>
      <w:r w:rsidR="00FF3534" w:rsidRPr="002F108B">
        <w:rPr>
          <w:lang w:val="en-NZ"/>
        </w:rPr>
        <w:t>than</w:t>
      </w:r>
      <w:r w:rsidRPr="002F108B">
        <w:rPr>
          <w:lang w:val="en-NZ"/>
        </w:rPr>
        <w:t xml:space="preserve"> other ethnic groups</w:t>
      </w:r>
      <w:bookmarkEnd w:id="137"/>
      <w:bookmarkEnd w:id="138"/>
    </w:p>
    <w:p w14:paraId="6437D0F0" w14:textId="1379F186" w:rsidR="00A13685" w:rsidRPr="002F108B" w:rsidRDefault="007C2ECD" w:rsidP="00E7500A">
      <w:pPr>
        <w:rPr>
          <w:rFonts w:cs="Calibri"/>
          <w:lang w:val="en-NZ"/>
        </w:rPr>
      </w:pPr>
      <w:r w:rsidRPr="002F108B">
        <w:rPr>
          <w:rFonts w:cs="Calibri"/>
          <w:lang w:val="en-NZ"/>
        </w:rPr>
        <w:t>New Zealand</w:t>
      </w:r>
      <w:r w:rsidR="00B62D45" w:rsidRPr="002F108B">
        <w:rPr>
          <w:rFonts w:cs="Calibri"/>
          <w:lang w:val="en-NZ"/>
        </w:rPr>
        <w:t>’s</w:t>
      </w:r>
      <w:r w:rsidR="00B06F00" w:rsidRPr="002F108B">
        <w:rPr>
          <w:rFonts w:cs="Calibri"/>
          <w:lang w:val="en-NZ"/>
        </w:rPr>
        <w:t xml:space="preserve"> </w:t>
      </w:r>
      <w:r w:rsidR="00174D54" w:rsidRPr="002F108B">
        <w:rPr>
          <w:rFonts w:cs="Calibri"/>
          <w:lang w:val="en-NZ"/>
        </w:rPr>
        <w:t>N</w:t>
      </w:r>
      <w:r w:rsidR="000F1A87" w:rsidRPr="002F108B">
        <w:rPr>
          <w:rFonts w:cs="Calibri"/>
          <w:lang w:val="en-NZ"/>
        </w:rPr>
        <w:t xml:space="preserve">ational </w:t>
      </w:r>
      <w:r w:rsidR="00174D54" w:rsidRPr="002F108B">
        <w:rPr>
          <w:rFonts w:cs="Calibri"/>
          <w:lang w:val="en-NZ"/>
        </w:rPr>
        <w:t>P</w:t>
      </w:r>
      <w:r w:rsidR="00B06F00" w:rsidRPr="002F108B">
        <w:rPr>
          <w:rFonts w:cs="Calibri"/>
          <w:lang w:val="en-NZ"/>
        </w:rPr>
        <w:t xml:space="preserve">revalence </w:t>
      </w:r>
      <w:r w:rsidR="00174D54" w:rsidRPr="002F108B">
        <w:rPr>
          <w:rFonts w:cs="Calibri"/>
          <w:lang w:val="en-NZ"/>
        </w:rPr>
        <w:t>Survey</w:t>
      </w:r>
      <w:r w:rsidR="00B62D45" w:rsidRPr="002F108B">
        <w:rPr>
          <w:rFonts w:cs="Calibri"/>
          <w:lang w:val="en-NZ"/>
        </w:rPr>
        <w:t xml:space="preserve">s </w:t>
      </w:r>
      <w:r w:rsidR="00902E12" w:rsidRPr="002F108B">
        <w:rPr>
          <w:rFonts w:cs="Calibri"/>
          <w:lang w:val="en-NZ"/>
        </w:rPr>
        <w:t>ha</w:t>
      </w:r>
      <w:r w:rsidR="00B62D45" w:rsidRPr="002F108B">
        <w:rPr>
          <w:rFonts w:cs="Calibri"/>
          <w:lang w:val="en-NZ"/>
        </w:rPr>
        <w:t>ve</w:t>
      </w:r>
      <w:r w:rsidR="00902E12" w:rsidRPr="002F108B">
        <w:rPr>
          <w:rFonts w:cs="Calibri"/>
          <w:lang w:val="en-NZ"/>
        </w:rPr>
        <w:t xml:space="preserve"> consistently identified </w:t>
      </w:r>
      <w:r w:rsidR="008D02A7" w:rsidRPr="002F108B">
        <w:rPr>
          <w:rFonts w:cs="Calibri"/>
          <w:lang w:val="en-NZ"/>
        </w:rPr>
        <w:t>M</w:t>
      </w:r>
      <w:r w:rsidR="004E29FC" w:rsidRPr="00243941">
        <w:rPr>
          <w:rFonts w:cs="Calibri"/>
          <w:lang w:val="en-NZ"/>
        </w:rPr>
        <w:t xml:space="preserve">āori and </w:t>
      </w:r>
      <w:r w:rsidR="00902E12" w:rsidRPr="002F108B">
        <w:rPr>
          <w:rFonts w:cs="Calibri"/>
          <w:lang w:val="en-NZ"/>
        </w:rPr>
        <w:t xml:space="preserve">Pacific </w:t>
      </w:r>
      <w:r w:rsidR="00862FDA" w:rsidRPr="002F108B">
        <w:rPr>
          <w:rFonts w:cs="Calibri"/>
          <w:lang w:val="en-NZ"/>
        </w:rPr>
        <w:t xml:space="preserve">ethnic groups as having the highest prevalence of harmful gambling behaviour </w:t>
      </w:r>
      <w:r w:rsidR="00E35160" w:rsidRPr="002F108B">
        <w:rPr>
          <w:rFonts w:cs="Calibri"/>
          <w:lang w:val="en-NZ"/>
        </w:rPr>
        <w:t xml:space="preserve">compared </w:t>
      </w:r>
      <w:r w:rsidR="007B47ED" w:rsidRPr="002F108B">
        <w:rPr>
          <w:rFonts w:cs="Calibri"/>
          <w:lang w:val="en-NZ"/>
        </w:rPr>
        <w:t>to</w:t>
      </w:r>
      <w:r w:rsidR="00862FDA" w:rsidRPr="002F108B">
        <w:rPr>
          <w:rFonts w:cs="Calibri"/>
          <w:lang w:val="en-NZ"/>
        </w:rPr>
        <w:t xml:space="preserve"> all other ethnic groups</w:t>
      </w:r>
      <w:r w:rsidR="00F80B0C" w:rsidRPr="002F108B">
        <w:rPr>
          <w:rFonts w:cs="Calibri"/>
          <w:lang w:val="en-NZ"/>
        </w:rPr>
        <w:t xml:space="preserve"> </w:t>
      </w:r>
      <w:r w:rsidR="00DD4547" w:rsidRPr="002F108B">
        <w:rPr>
          <w:rFonts w:cs="Calibri"/>
          <w:lang w:val="en-NZ"/>
        </w:rPr>
        <w:t>(Abbott &amp; Volberg, 1991; Abbott &amp; Volberg, 2000; Abbott et al., 2014)</w:t>
      </w:r>
      <w:r w:rsidR="00EB7343" w:rsidRPr="002F108B">
        <w:rPr>
          <w:rFonts w:cs="Calibri"/>
          <w:lang w:val="en-NZ"/>
        </w:rPr>
        <w:t xml:space="preserve">. </w:t>
      </w:r>
      <w:r w:rsidR="00B62D45" w:rsidRPr="002F108B">
        <w:rPr>
          <w:rFonts w:cs="Calibri"/>
          <w:lang w:val="en-NZ"/>
        </w:rPr>
        <w:t>In line with this</w:t>
      </w:r>
      <w:r w:rsidR="00A13685" w:rsidRPr="002F108B">
        <w:rPr>
          <w:rFonts w:cs="Calibri"/>
          <w:lang w:val="en-NZ"/>
        </w:rPr>
        <w:t>:</w:t>
      </w:r>
    </w:p>
    <w:p w14:paraId="4E45E9B0" w14:textId="21CE18D2" w:rsidR="00566287" w:rsidRDefault="00A13685" w:rsidP="006E01F5">
      <w:pPr>
        <w:pStyle w:val="Bullet"/>
        <w:spacing w:before="60" w:after="120" w:line="276" w:lineRule="auto"/>
      </w:pPr>
      <w:r>
        <w:t>T</w:t>
      </w:r>
      <w:r w:rsidR="00A51DCD">
        <w:t>he New Zealand Health Survey 2011/12</w:t>
      </w:r>
      <w:r w:rsidR="00942C30">
        <w:t xml:space="preserve"> identified that</w:t>
      </w:r>
      <w:r w:rsidR="00B62D45">
        <w:t xml:space="preserve"> Māori and Pacific people were approximately three times more likely </w:t>
      </w:r>
      <w:r w:rsidR="00566287" w:rsidRPr="006C386C">
        <w:t>(OR=3.2 for Māori, OR=3.0 for Pac</w:t>
      </w:r>
      <w:r w:rsidR="00566287" w:rsidRPr="0028580A">
        <w:t>ific</w:t>
      </w:r>
      <w:r w:rsidR="00566287">
        <w:t xml:space="preserve">) </w:t>
      </w:r>
      <w:r w:rsidR="00566287" w:rsidRPr="006C386C">
        <w:t xml:space="preserve">than </w:t>
      </w:r>
      <w:r w:rsidR="00B70D37">
        <w:t xml:space="preserve">people from </w:t>
      </w:r>
      <w:r w:rsidR="00EE79D7">
        <w:t xml:space="preserve">New Zealand </w:t>
      </w:r>
      <w:r w:rsidR="00566287" w:rsidRPr="006C386C">
        <w:t xml:space="preserve">European/Other </w:t>
      </w:r>
      <w:r w:rsidR="00B70D37">
        <w:t xml:space="preserve">ethnic groups </w:t>
      </w:r>
      <w:r w:rsidR="00566287" w:rsidRPr="006C386C">
        <w:t xml:space="preserve">to be categorised as </w:t>
      </w:r>
      <w:r w:rsidR="00566287" w:rsidRPr="00B77FEF">
        <w:t>moderate-risk</w:t>
      </w:r>
      <w:r w:rsidR="00566287">
        <w:t>/problem</w:t>
      </w:r>
      <w:r w:rsidR="00566287" w:rsidRPr="00B77FEF">
        <w:t xml:space="preserve"> </w:t>
      </w:r>
      <w:r w:rsidR="00566287" w:rsidRPr="006C386C">
        <w:t>gamblers</w:t>
      </w:r>
      <w:r w:rsidR="00C2510C">
        <w:t xml:space="preserve"> </w:t>
      </w:r>
      <w:r w:rsidR="002165A8" w:rsidRPr="00AF2F1E">
        <w:t>(Rossen, 2015)</w:t>
      </w:r>
      <w:r w:rsidR="00E7500A" w:rsidRPr="0028580A">
        <w:t>.</w:t>
      </w:r>
      <w:r w:rsidR="00566287" w:rsidRPr="0028580A">
        <w:t xml:space="preserve"> </w:t>
      </w:r>
    </w:p>
    <w:p w14:paraId="6AE5A5F8" w14:textId="1AEF5A18" w:rsidR="00E109A2" w:rsidRPr="002F108B" w:rsidRDefault="00A13685" w:rsidP="006E01F5">
      <w:pPr>
        <w:pStyle w:val="Bullet"/>
        <w:spacing w:before="60" w:after="120" w:line="276" w:lineRule="auto"/>
      </w:pPr>
      <w:r>
        <w:t>The HLS</w:t>
      </w:r>
      <w:r w:rsidR="00B15114">
        <w:t xml:space="preserve"> (2014) </w:t>
      </w:r>
      <w:r w:rsidR="003C2AE7">
        <w:t xml:space="preserve">identified that Māori and Pacific gamblers have the highest prevalence of current harmful or moderate-risk gambling (6.2% and 8% respectively) when compared with Asian (3%) and </w:t>
      </w:r>
      <w:r w:rsidR="00EE79D7">
        <w:t xml:space="preserve">New Zealand </w:t>
      </w:r>
      <w:r w:rsidR="003C2AE7">
        <w:t xml:space="preserve">European/other ethnic groups (1.8%) </w:t>
      </w:r>
      <w:r w:rsidR="003C2AE7">
        <w:fldChar w:fldCharType="begin" w:fldLock="1"/>
      </w:r>
      <w:r w:rsidR="003C2AE7">
        <w:instrText>ADDIN CSL_CITATION {"citationItems":[{"id":"ITEM-1","itemData":{"author":[{"dropping-particle":"","family":"Ministry of Health","given":"","non-dropping-particle":"","parse-names":false,"suffix":""}],"id":"ITEM-1","issued":{"date-parts":[["2014"]]},"publisher-place":"Wellington","title":"New Zealand 2012 National Gambling Study: Gambling Harm and Problem Gambling.","type":"report"},"uris":["http://www.mendeley.com/documents/?uuid=ff49c36a-23dc-463d-bed7-555c5fa04a0a"]}],"mendeley":{"formattedCitation":"(Ministry of Health, 2014)","plainTextFormattedCitation":"(Ministry of Health, 2014)","previouslyFormattedCitation":"(Ministry of Health, 2014)"},"properties":{"noteIndex":0},"schema":"https://github.com/citation-style-language/schema/raw/master/csl-citation.json"}</w:instrText>
      </w:r>
      <w:r w:rsidR="003C2AE7">
        <w:fldChar w:fldCharType="separate"/>
      </w:r>
      <w:r w:rsidR="003C2AE7" w:rsidRPr="00334BF9">
        <w:rPr>
          <w:noProof/>
        </w:rPr>
        <w:t>(Ministry of Health, 2014)</w:t>
      </w:r>
      <w:r w:rsidR="003C2AE7">
        <w:fldChar w:fldCharType="end"/>
      </w:r>
      <w:r w:rsidR="003C2AE7">
        <w:t>.</w:t>
      </w:r>
    </w:p>
    <w:p w14:paraId="459EA293" w14:textId="664D3BF3" w:rsidR="00FA540A" w:rsidRPr="00315AA8" w:rsidRDefault="00E109A2" w:rsidP="006E01F5">
      <w:pPr>
        <w:pStyle w:val="Bullet"/>
        <w:spacing w:before="60" w:after="120" w:line="276" w:lineRule="auto"/>
      </w:pPr>
      <w:r>
        <w:t>The</w:t>
      </w:r>
      <w:r w:rsidR="00C07907">
        <w:t xml:space="preserve"> HLS (2018) identified that d</w:t>
      </w:r>
      <w:r w:rsidR="00CE14F7" w:rsidRPr="00315AA8">
        <w:t xml:space="preserve">espite having lower </w:t>
      </w:r>
      <w:r w:rsidR="00465C56" w:rsidRPr="00315AA8">
        <w:t xml:space="preserve">gambling participation </w:t>
      </w:r>
      <w:r w:rsidR="00465C56" w:rsidRPr="00E362A8">
        <w:t>rates</w:t>
      </w:r>
      <w:r w:rsidR="00050F9B" w:rsidRPr="00E362A8">
        <w:t xml:space="preserve"> </w:t>
      </w:r>
      <w:r w:rsidR="004E05A0" w:rsidRPr="00E362A8">
        <w:t xml:space="preserve">(see section </w:t>
      </w:r>
      <w:r w:rsidR="00E362A8" w:rsidRPr="00E362A8">
        <w:fldChar w:fldCharType="begin"/>
      </w:r>
      <w:r w:rsidR="00E362A8" w:rsidRPr="00E362A8">
        <w:instrText xml:space="preserve"> REF _Ref65074882 \r \h </w:instrText>
      </w:r>
      <w:r w:rsidR="00E362A8">
        <w:instrText xml:space="preserve"> \* MERGEFORMAT </w:instrText>
      </w:r>
      <w:r w:rsidR="00E362A8" w:rsidRPr="00E362A8">
        <w:fldChar w:fldCharType="separate"/>
      </w:r>
      <w:r w:rsidR="009B1BDF">
        <w:t>2.1</w:t>
      </w:r>
      <w:r w:rsidR="00E362A8" w:rsidRPr="00E362A8">
        <w:fldChar w:fldCharType="end"/>
      </w:r>
      <w:r w:rsidR="004E05A0" w:rsidRPr="00E362A8">
        <w:t>)</w:t>
      </w:r>
      <w:r w:rsidR="00CE14F7" w:rsidRPr="00E362A8">
        <w:t>,</w:t>
      </w:r>
      <w:r w:rsidR="00CE14F7" w:rsidRPr="00315AA8">
        <w:t xml:space="preserve"> </w:t>
      </w:r>
      <w:r w:rsidR="002E1CD8" w:rsidRPr="00315AA8">
        <w:t xml:space="preserve">the prevalence of </w:t>
      </w:r>
      <w:r w:rsidR="006213DE" w:rsidRPr="00315AA8">
        <w:t>harmful</w:t>
      </w:r>
      <w:r w:rsidR="00CE14F7" w:rsidRPr="00315AA8">
        <w:t xml:space="preserve"> gambling continue</w:t>
      </w:r>
      <w:r w:rsidR="005F4749" w:rsidRPr="00315AA8">
        <w:t>d</w:t>
      </w:r>
      <w:r w:rsidR="00CE14F7" w:rsidRPr="00315AA8">
        <w:t xml:space="preserve"> to</w:t>
      </w:r>
      <w:r w:rsidR="002E1CD8" w:rsidRPr="00315AA8">
        <w:t xml:space="preserve"> </w:t>
      </w:r>
      <w:r w:rsidR="00AD0587">
        <w:t>impact Māori and Pacific gamblers disproportionately</w:t>
      </w:r>
      <w:r w:rsidR="00CE14F7" w:rsidRPr="00315AA8">
        <w:t xml:space="preserve">. </w:t>
      </w:r>
      <w:r w:rsidR="00FA540A" w:rsidRPr="00315AA8">
        <w:t>Between 2016-</w:t>
      </w:r>
      <w:r w:rsidR="006E24F9">
        <w:t>20</w:t>
      </w:r>
      <w:r w:rsidR="00FA540A" w:rsidRPr="00315AA8">
        <w:t>18:</w:t>
      </w:r>
    </w:p>
    <w:p w14:paraId="687C29E2" w14:textId="42A06920" w:rsidR="009A1679" w:rsidRPr="002F108B" w:rsidRDefault="00271CC5" w:rsidP="006E01F5">
      <w:pPr>
        <w:pStyle w:val="Bulletpointindented"/>
        <w:numPr>
          <w:ilvl w:val="1"/>
          <w:numId w:val="3"/>
        </w:numPr>
        <w:rPr>
          <w:lang w:val="en-NZ"/>
        </w:rPr>
      </w:pPr>
      <w:r w:rsidRPr="002F108B">
        <w:rPr>
          <w:lang w:val="en-NZ"/>
        </w:rPr>
        <w:lastRenderedPageBreak/>
        <w:t>Although t</w:t>
      </w:r>
      <w:r w:rsidR="003D434A" w:rsidRPr="002F108B">
        <w:rPr>
          <w:lang w:val="en-NZ"/>
        </w:rPr>
        <w:t xml:space="preserve">he </w:t>
      </w:r>
      <w:r w:rsidR="003E0E0B" w:rsidRPr="002F108B">
        <w:rPr>
          <w:lang w:val="en-NZ"/>
        </w:rPr>
        <w:t>proportion</w:t>
      </w:r>
      <w:r w:rsidR="003D434A" w:rsidRPr="002F108B">
        <w:rPr>
          <w:lang w:val="en-NZ"/>
        </w:rPr>
        <w:t xml:space="preserve"> of </w:t>
      </w:r>
      <w:r w:rsidR="00CC2C5F" w:rsidRPr="002F108B">
        <w:rPr>
          <w:lang w:val="en-NZ"/>
        </w:rPr>
        <w:t xml:space="preserve">Māori and Pacific </w:t>
      </w:r>
      <w:r w:rsidR="003D434A" w:rsidRPr="002F108B">
        <w:rPr>
          <w:lang w:val="en-NZ"/>
        </w:rPr>
        <w:t xml:space="preserve">low-risk </w:t>
      </w:r>
      <w:r w:rsidR="00B139AB" w:rsidRPr="002F108B">
        <w:rPr>
          <w:lang w:val="en-NZ"/>
        </w:rPr>
        <w:t>gamblers</w:t>
      </w:r>
      <w:r w:rsidR="00456537" w:rsidRPr="002F108B">
        <w:rPr>
          <w:lang w:val="en-NZ"/>
        </w:rPr>
        <w:t xml:space="preserve"> decreased (</w:t>
      </w:r>
      <w:r w:rsidR="00CB1D70" w:rsidRPr="002F108B">
        <w:rPr>
          <w:lang w:val="en-NZ"/>
        </w:rPr>
        <w:t xml:space="preserve">from </w:t>
      </w:r>
      <w:r w:rsidR="00A503AA" w:rsidRPr="002F108B">
        <w:rPr>
          <w:lang w:val="en-NZ"/>
        </w:rPr>
        <w:t xml:space="preserve">5.3% to 4.5% and </w:t>
      </w:r>
      <w:r w:rsidR="008A4138" w:rsidRPr="002F108B">
        <w:rPr>
          <w:lang w:val="en-NZ"/>
        </w:rPr>
        <w:t xml:space="preserve">7.3% to </w:t>
      </w:r>
      <w:r w:rsidR="009A1679" w:rsidRPr="002F108B">
        <w:rPr>
          <w:lang w:val="en-NZ"/>
        </w:rPr>
        <w:t>3.0% respectively)</w:t>
      </w:r>
      <w:r w:rsidRPr="002F108B">
        <w:rPr>
          <w:lang w:val="en-NZ"/>
        </w:rPr>
        <w:t xml:space="preserve">, there were increases in the </w:t>
      </w:r>
      <w:r w:rsidR="003E0E0B" w:rsidRPr="002F108B">
        <w:rPr>
          <w:lang w:val="en-NZ"/>
        </w:rPr>
        <w:t xml:space="preserve">proportion </w:t>
      </w:r>
      <w:r w:rsidR="009A1679" w:rsidRPr="002F108B">
        <w:rPr>
          <w:lang w:val="en-NZ"/>
        </w:rPr>
        <w:t xml:space="preserve">of </w:t>
      </w:r>
      <w:r w:rsidR="00CC2C5F" w:rsidRPr="002F108B">
        <w:rPr>
          <w:lang w:val="en-NZ"/>
        </w:rPr>
        <w:t xml:space="preserve">Māori and Pacific moderate/problem risk gamblers (from </w:t>
      </w:r>
      <w:r w:rsidR="00856758" w:rsidRPr="002F108B">
        <w:rPr>
          <w:lang w:val="en-NZ"/>
        </w:rPr>
        <w:t xml:space="preserve">4.6% to 5.9% and </w:t>
      </w:r>
      <w:r w:rsidR="00CB0DFC" w:rsidRPr="002F108B">
        <w:rPr>
          <w:lang w:val="en-NZ"/>
        </w:rPr>
        <w:t>2.4% to 3.5% respectively)</w:t>
      </w:r>
    </w:p>
    <w:p w14:paraId="2792D779" w14:textId="5E52CEAA" w:rsidR="007A0CDC" w:rsidRPr="002F108B" w:rsidRDefault="007A0CDC" w:rsidP="006E01F5">
      <w:pPr>
        <w:pStyle w:val="Bulletpointindented"/>
        <w:numPr>
          <w:ilvl w:val="1"/>
          <w:numId w:val="3"/>
        </w:numPr>
        <w:rPr>
          <w:lang w:val="en-NZ"/>
        </w:rPr>
      </w:pPr>
      <w:r w:rsidRPr="002F108B">
        <w:rPr>
          <w:lang w:val="en-NZ"/>
        </w:rPr>
        <w:t>The</w:t>
      </w:r>
      <w:r w:rsidR="007F4D2C" w:rsidRPr="002F108B">
        <w:rPr>
          <w:lang w:val="en-NZ"/>
        </w:rPr>
        <w:t xml:space="preserve"> proportion of Asian </w:t>
      </w:r>
      <w:r w:rsidR="00ED774C" w:rsidRPr="002F108B">
        <w:rPr>
          <w:lang w:val="en-NZ"/>
        </w:rPr>
        <w:t>low</w:t>
      </w:r>
      <w:r w:rsidR="002F6ED7" w:rsidRPr="002F108B">
        <w:rPr>
          <w:lang w:val="en-NZ"/>
        </w:rPr>
        <w:t>-</w:t>
      </w:r>
      <w:r w:rsidR="00ED774C" w:rsidRPr="002F108B">
        <w:rPr>
          <w:lang w:val="en-NZ"/>
        </w:rPr>
        <w:t xml:space="preserve">risk gamblers </w:t>
      </w:r>
      <w:r w:rsidR="00B46BF1" w:rsidRPr="002F108B">
        <w:rPr>
          <w:lang w:val="en-NZ"/>
        </w:rPr>
        <w:t>increased (from 3.2% to 3.8%)</w:t>
      </w:r>
      <w:r w:rsidR="009D1215" w:rsidRPr="002F108B">
        <w:rPr>
          <w:lang w:val="en-NZ"/>
        </w:rPr>
        <w:t>,</w:t>
      </w:r>
      <w:r w:rsidR="00B46BF1" w:rsidRPr="002F108B">
        <w:rPr>
          <w:lang w:val="en-NZ"/>
        </w:rPr>
        <w:t xml:space="preserve"> and moderate</w:t>
      </w:r>
      <w:r w:rsidR="002B46C5" w:rsidRPr="002F108B">
        <w:rPr>
          <w:lang w:val="en-NZ"/>
        </w:rPr>
        <w:t xml:space="preserve">/problem risk gamblers decreased (from </w:t>
      </w:r>
      <w:r w:rsidR="00F533B5" w:rsidRPr="002F108B">
        <w:rPr>
          <w:lang w:val="en-NZ"/>
        </w:rPr>
        <w:t>2.2% to 1.1%).</w:t>
      </w:r>
    </w:p>
    <w:p w14:paraId="60379B6B" w14:textId="5578909C" w:rsidR="005E5EB6" w:rsidRPr="002F108B" w:rsidRDefault="00EE79D7" w:rsidP="00C015A7">
      <w:pPr>
        <w:pStyle w:val="Heading2"/>
        <w:rPr>
          <w:lang w:val="en-NZ"/>
        </w:rPr>
      </w:pPr>
      <w:bookmarkStart w:id="139" w:name="_Toc65250314"/>
      <w:bookmarkStart w:id="140" w:name="_Toc76469789"/>
      <w:r w:rsidRPr="002F108B">
        <w:rPr>
          <w:lang w:val="en-NZ"/>
        </w:rPr>
        <w:t>Y</w:t>
      </w:r>
      <w:r w:rsidR="005E5EB6" w:rsidRPr="002F108B">
        <w:rPr>
          <w:lang w:val="en-NZ"/>
        </w:rPr>
        <w:t>outh gambling</w:t>
      </w:r>
      <w:bookmarkEnd w:id="139"/>
      <w:r w:rsidR="0017305D" w:rsidRPr="002F108B">
        <w:rPr>
          <w:lang w:val="en-NZ"/>
        </w:rPr>
        <w:t xml:space="preserve"> </w:t>
      </w:r>
      <w:r w:rsidRPr="002F108B">
        <w:rPr>
          <w:lang w:val="en-NZ"/>
        </w:rPr>
        <w:t xml:space="preserve">rates </w:t>
      </w:r>
      <w:r w:rsidR="00630144" w:rsidRPr="002F108B">
        <w:rPr>
          <w:lang w:val="en-NZ"/>
        </w:rPr>
        <w:t>appear to be decreasing</w:t>
      </w:r>
      <w:bookmarkEnd w:id="140"/>
    </w:p>
    <w:p w14:paraId="7B6E9C13" w14:textId="0423B37E" w:rsidR="00861D72" w:rsidRPr="002F108B" w:rsidRDefault="00861D72" w:rsidP="005A7FEF">
      <w:pPr>
        <w:rPr>
          <w:lang w:val="en-NZ"/>
        </w:rPr>
      </w:pPr>
      <w:r w:rsidRPr="002F108B">
        <w:rPr>
          <w:lang w:val="en-NZ"/>
        </w:rPr>
        <w:t xml:space="preserve">International evidence has consistently shown that </w:t>
      </w:r>
      <w:r w:rsidR="00AF0A45" w:rsidRPr="002F108B">
        <w:rPr>
          <w:lang w:val="en-NZ"/>
        </w:rPr>
        <w:t xml:space="preserve">high proportions </w:t>
      </w:r>
      <w:r w:rsidR="00154E97" w:rsidRPr="002F108B">
        <w:rPr>
          <w:lang w:val="en-NZ"/>
        </w:rPr>
        <w:t xml:space="preserve">(between 20-90%) </w:t>
      </w:r>
      <w:r w:rsidR="00AF0A45" w:rsidRPr="002F108B">
        <w:rPr>
          <w:lang w:val="en-NZ"/>
        </w:rPr>
        <w:t xml:space="preserve">of young people </w:t>
      </w:r>
      <w:r w:rsidR="00720D5D" w:rsidRPr="002F108B">
        <w:rPr>
          <w:lang w:val="en-NZ"/>
        </w:rPr>
        <w:t xml:space="preserve">across the UK, North America, Europe and Oceania </w:t>
      </w:r>
      <w:r w:rsidR="00154E97" w:rsidRPr="002F108B">
        <w:rPr>
          <w:lang w:val="en-NZ"/>
        </w:rPr>
        <w:t>participate</w:t>
      </w:r>
      <w:r w:rsidR="00CC7915" w:rsidRPr="002F108B">
        <w:rPr>
          <w:lang w:val="en-NZ"/>
        </w:rPr>
        <w:t>d</w:t>
      </w:r>
      <w:r w:rsidR="00AF0A45" w:rsidRPr="002F108B">
        <w:rPr>
          <w:lang w:val="en-NZ"/>
        </w:rPr>
        <w:t xml:space="preserve"> in various forms of gambling</w:t>
      </w:r>
      <w:r w:rsidR="001F3204" w:rsidRPr="002F108B">
        <w:rPr>
          <w:lang w:val="en-NZ"/>
        </w:rPr>
        <w:t xml:space="preserve"> in the past year</w:t>
      </w:r>
      <w:r w:rsidR="00CC7915" w:rsidRPr="002F108B">
        <w:rPr>
          <w:lang w:val="en-NZ"/>
        </w:rPr>
        <w:t xml:space="preserve"> – with </w:t>
      </w:r>
      <w:r w:rsidR="00207D5B" w:rsidRPr="002F108B">
        <w:rPr>
          <w:lang w:val="en-NZ"/>
        </w:rPr>
        <w:t>b</w:t>
      </w:r>
      <w:r w:rsidR="00740858" w:rsidRPr="002F108B">
        <w:rPr>
          <w:lang w:val="en-NZ"/>
        </w:rPr>
        <w:t xml:space="preserve">etween </w:t>
      </w:r>
      <w:r w:rsidR="00274CDE" w:rsidRPr="002F108B">
        <w:rPr>
          <w:lang w:val="en-NZ"/>
        </w:rPr>
        <w:t xml:space="preserve">4-8% </w:t>
      </w:r>
      <w:r w:rsidR="007A44F5" w:rsidRPr="002F108B">
        <w:rPr>
          <w:lang w:val="en-NZ"/>
        </w:rPr>
        <w:t>gambl</w:t>
      </w:r>
      <w:r w:rsidR="00CC7915" w:rsidRPr="002F108B">
        <w:rPr>
          <w:lang w:val="en-NZ"/>
        </w:rPr>
        <w:t>ing</w:t>
      </w:r>
      <w:r w:rsidR="007A44F5" w:rsidRPr="002F108B">
        <w:rPr>
          <w:lang w:val="en-NZ"/>
        </w:rPr>
        <w:t xml:space="preserve"> at problem/pathological gambling levels, and a further 10-15% at risk of developing a gambling problem</w:t>
      </w:r>
      <w:r w:rsidR="003A13BF" w:rsidRPr="002F108B">
        <w:rPr>
          <w:lang w:val="en-NZ"/>
        </w:rPr>
        <w:t xml:space="preserve"> </w:t>
      </w:r>
      <w:r w:rsidR="00440C28" w:rsidRPr="002F108B">
        <w:rPr>
          <w:rFonts w:cs="Calibri"/>
          <w:lang w:val="en-NZ"/>
        </w:rPr>
        <w:t>(Rossen et al., 2013)</w:t>
      </w:r>
      <w:r w:rsidR="005B2AE6" w:rsidRPr="002F108B">
        <w:rPr>
          <w:lang w:val="en-NZ"/>
        </w:rPr>
        <w:t xml:space="preserve">. </w:t>
      </w:r>
    </w:p>
    <w:p w14:paraId="78DBFCD2" w14:textId="3CE48C6D" w:rsidR="00E35160" w:rsidRPr="002F108B" w:rsidRDefault="00276B8A" w:rsidP="00643A7F">
      <w:pPr>
        <w:rPr>
          <w:lang w:val="en-NZ"/>
        </w:rPr>
      </w:pPr>
      <w:r w:rsidRPr="002F108B">
        <w:rPr>
          <w:lang w:val="en-NZ"/>
        </w:rPr>
        <w:t>T</w:t>
      </w:r>
      <w:r w:rsidR="00E35160" w:rsidRPr="002F108B">
        <w:rPr>
          <w:lang w:val="en-NZ"/>
        </w:rPr>
        <w:t xml:space="preserve">he 2018 HLS </w:t>
      </w:r>
      <w:r w:rsidR="00B70D37">
        <w:rPr>
          <w:lang w:val="en-NZ"/>
        </w:rPr>
        <w:t>found</w:t>
      </w:r>
      <w:r w:rsidR="00E35160" w:rsidRPr="002F108B">
        <w:rPr>
          <w:lang w:val="en-NZ"/>
        </w:rPr>
        <w:t xml:space="preserve"> that 45% of young people (aged 15-24) surveyed had gambled in the past year, the equivalent of 305,000 people. A decrease of 8% from 2016 HLS results, when 53% of young people surveyed reported having gambled in the past year</w:t>
      </w:r>
      <w:r w:rsidR="002B4028">
        <w:rPr>
          <w:lang w:val="en-NZ"/>
        </w:rPr>
        <w:t xml:space="preserve"> (</w:t>
      </w:r>
      <w:r w:rsidR="002B4028">
        <w:rPr>
          <w:lang w:val="en-NZ"/>
        </w:rPr>
        <w:fldChar w:fldCharType="begin"/>
      </w:r>
      <w:r w:rsidR="002B4028">
        <w:rPr>
          <w:lang w:val="en-NZ"/>
        </w:rPr>
        <w:instrText xml:space="preserve"> REF _Ref72152774 \h </w:instrText>
      </w:r>
      <w:r w:rsidR="002B4028">
        <w:rPr>
          <w:lang w:val="en-NZ"/>
        </w:rPr>
      </w:r>
      <w:r w:rsidR="002B4028">
        <w:rPr>
          <w:lang w:val="en-NZ"/>
        </w:rPr>
        <w:fldChar w:fldCharType="separate"/>
      </w:r>
      <w:r w:rsidR="009B1BDF">
        <w:t xml:space="preserve">Figure </w:t>
      </w:r>
      <w:r w:rsidR="009B1BDF">
        <w:rPr>
          <w:noProof/>
        </w:rPr>
        <w:t>8</w:t>
      </w:r>
      <w:r w:rsidR="002B4028">
        <w:rPr>
          <w:lang w:val="en-NZ"/>
        </w:rPr>
        <w:fldChar w:fldCharType="end"/>
      </w:r>
      <w:r w:rsidR="00465B9B" w:rsidRPr="002F108B">
        <w:rPr>
          <w:lang w:val="en-NZ"/>
        </w:rPr>
        <w:t>)</w:t>
      </w:r>
      <w:r w:rsidR="003D3FA4" w:rsidRPr="002F108B">
        <w:rPr>
          <w:lang w:val="en-NZ"/>
        </w:rPr>
        <w:t>.</w:t>
      </w:r>
      <w:r w:rsidR="00B564A7" w:rsidRPr="002F108B">
        <w:rPr>
          <w:lang w:val="en-NZ"/>
        </w:rPr>
        <w:t xml:space="preserve"> </w:t>
      </w:r>
      <w:r w:rsidR="004015E1" w:rsidRPr="002F108B">
        <w:rPr>
          <w:lang w:val="en-NZ"/>
        </w:rPr>
        <w:t xml:space="preserve">Young people made up </w:t>
      </w:r>
      <w:r w:rsidR="008175AA" w:rsidRPr="002F108B">
        <w:rPr>
          <w:lang w:val="en-NZ"/>
        </w:rPr>
        <w:t>approximately 27%</w:t>
      </w:r>
      <w:r w:rsidR="004015E1" w:rsidRPr="002F108B">
        <w:rPr>
          <w:lang w:val="en-NZ"/>
        </w:rPr>
        <w:t xml:space="preserve"> </w:t>
      </w:r>
      <w:r w:rsidR="00520E10" w:rsidRPr="002F108B">
        <w:rPr>
          <w:lang w:val="en-NZ"/>
        </w:rPr>
        <w:t xml:space="preserve">(21,000 people) </w:t>
      </w:r>
      <w:r w:rsidR="004015E1" w:rsidRPr="002F108B">
        <w:rPr>
          <w:lang w:val="en-NZ"/>
        </w:rPr>
        <w:t xml:space="preserve">of the </w:t>
      </w:r>
      <w:r w:rsidR="00B30A70" w:rsidRPr="002F108B">
        <w:rPr>
          <w:lang w:val="en-NZ"/>
        </w:rPr>
        <w:t>total proportion of moderate-risk and harmful gamblers</w:t>
      </w:r>
      <w:r w:rsidR="006F1695" w:rsidRPr="002F108B">
        <w:rPr>
          <w:lang w:val="en-NZ"/>
        </w:rPr>
        <w:t xml:space="preserve"> </w:t>
      </w:r>
      <w:r w:rsidR="00BF39D3" w:rsidRPr="002F108B">
        <w:rPr>
          <w:lang w:val="en-NZ"/>
        </w:rPr>
        <w:t>(1.9% of all adults – 76,000 people)</w:t>
      </w:r>
      <w:r w:rsidR="00021051" w:rsidRPr="002F108B">
        <w:rPr>
          <w:rStyle w:val="FootnoteReference"/>
          <w:lang w:val="en-NZ"/>
        </w:rPr>
        <w:footnoteReference w:id="24"/>
      </w:r>
      <w:r w:rsidR="00021051" w:rsidRPr="002F108B">
        <w:rPr>
          <w:rFonts w:cs="Calibri"/>
          <w:lang w:val="en-NZ"/>
        </w:rPr>
        <w:t xml:space="preserve"> (Te Hiringa Hauora, 2018)</w:t>
      </w:r>
      <w:r w:rsidR="00BF39D3" w:rsidRPr="002F108B">
        <w:rPr>
          <w:lang w:val="en-NZ"/>
        </w:rPr>
        <w:t>.</w:t>
      </w:r>
      <w:r w:rsidR="002013FF" w:rsidRPr="002F108B">
        <w:rPr>
          <w:lang w:val="en-NZ"/>
        </w:rPr>
        <w:t xml:space="preserve"> </w:t>
      </w:r>
    </w:p>
    <w:p w14:paraId="4BD99E2D" w14:textId="77777777" w:rsidR="002B4028" w:rsidRDefault="00B43C67" w:rsidP="002B4028">
      <w:pPr>
        <w:keepNext/>
      </w:pPr>
      <w:r w:rsidRPr="002F108B">
        <w:rPr>
          <w:noProof/>
          <w:lang w:val="en-NZ"/>
        </w:rPr>
        <w:drawing>
          <wp:inline distT="0" distB="0" distL="0" distR="0" wp14:anchorId="506234D4" wp14:editId="33C8D628">
            <wp:extent cx="5126400" cy="2048400"/>
            <wp:effectExtent l="0" t="0" r="17145" b="9525"/>
            <wp:docPr id="19" name="Chart 19">
              <a:extLst xmlns:a="http://schemas.openxmlformats.org/drawingml/2006/main">
                <a:ext uri="{FF2B5EF4-FFF2-40B4-BE49-F238E27FC236}">
                  <a16:creationId xmlns:a16="http://schemas.microsoft.com/office/drawing/2014/main" id="{7DACEC18-FA49-4206-B206-5D4580BD6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7970DE" w14:textId="1FC98EDB" w:rsidR="00B43C67" w:rsidRPr="002F108B" w:rsidRDefault="002B4028" w:rsidP="002B4028">
      <w:pPr>
        <w:pStyle w:val="Caption"/>
        <w:rPr>
          <w:lang w:val="en-NZ"/>
        </w:rPr>
      </w:pPr>
      <w:bookmarkStart w:id="141" w:name="_Ref72152774"/>
      <w:bookmarkStart w:id="142" w:name="_Toc72752873"/>
      <w:r>
        <w:t xml:space="preserve">Figure </w:t>
      </w:r>
      <w:r>
        <w:fldChar w:fldCharType="begin"/>
      </w:r>
      <w:r>
        <w:instrText xml:space="preserve"> SEQ Figure \* ARABIC </w:instrText>
      </w:r>
      <w:r>
        <w:fldChar w:fldCharType="separate"/>
      </w:r>
      <w:r w:rsidR="009B1BDF">
        <w:rPr>
          <w:noProof/>
        </w:rPr>
        <w:t>8</w:t>
      </w:r>
      <w:r>
        <w:fldChar w:fldCharType="end"/>
      </w:r>
      <w:bookmarkEnd w:id="141"/>
      <w:r w:rsidR="00B43C67" w:rsidRPr="002F108B">
        <w:rPr>
          <w:lang w:val="en-NZ"/>
        </w:rPr>
        <w:t>: Gambling prevalence of 15-24-year-olds</w:t>
      </w:r>
      <w:bookmarkEnd w:id="142"/>
    </w:p>
    <w:p w14:paraId="7AC35023" w14:textId="4A656362" w:rsidR="006012AC" w:rsidRPr="002F108B" w:rsidRDefault="006012AC" w:rsidP="006012AC">
      <w:pPr>
        <w:rPr>
          <w:lang w:val="en-NZ"/>
        </w:rPr>
      </w:pPr>
      <w:r w:rsidRPr="002F108B">
        <w:rPr>
          <w:lang w:val="en-NZ"/>
        </w:rPr>
        <w:t xml:space="preserve">The Youth’12 survey showed that one in ten students aged 13 to 17 had gambled in the past four weeks, and almost one-quarter (24%) had gambled in the last year. The survey also showed a higher proportion of Pacific (14.2%) and Māori (12.1%) students gambling in the past four weeks compared with New Zealand European (8.7%), Asian (9.3%) and Other (11.6%) </w:t>
      </w:r>
      <w:r w:rsidRPr="002F108B">
        <w:rPr>
          <w:rFonts w:cs="Calibri"/>
          <w:lang w:val="en-NZ"/>
        </w:rPr>
        <w:t>(Rossen et al., 2013)</w:t>
      </w:r>
      <w:r w:rsidRPr="002F108B">
        <w:rPr>
          <w:lang w:val="en-NZ"/>
        </w:rPr>
        <w:t>.</w:t>
      </w:r>
    </w:p>
    <w:p w14:paraId="7DBB078C" w14:textId="4FEBF333" w:rsidR="005E471E" w:rsidRPr="002F108B" w:rsidRDefault="005A7FEF" w:rsidP="005A7FEF">
      <w:pPr>
        <w:rPr>
          <w:lang w:val="en-NZ"/>
        </w:rPr>
      </w:pPr>
      <w:r w:rsidRPr="002F108B">
        <w:rPr>
          <w:lang w:val="en-NZ"/>
        </w:rPr>
        <w:t>New evidence since</w:t>
      </w:r>
      <w:r w:rsidR="005262BC" w:rsidRPr="002F108B">
        <w:rPr>
          <w:lang w:val="en-NZ"/>
        </w:rPr>
        <w:t xml:space="preserve"> 2018 has </w:t>
      </w:r>
      <w:r w:rsidR="006C0FF4" w:rsidRPr="002F108B">
        <w:rPr>
          <w:lang w:val="en-NZ"/>
        </w:rPr>
        <w:t xml:space="preserve">highlighted </w:t>
      </w:r>
      <w:r w:rsidR="00486461" w:rsidRPr="002F108B">
        <w:rPr>
          <w:lang w:val="en-NZ"/>
        </w:rPr>
        <w:t xml:space="preserve">that </w:t>
      </w:r>
      <w:r w:rsidR="00C67D31" w:rsidRPr="002F108B">
        <w:rPr>
          <w:lang w:val="en-NZ"/>
        </w:rPr>
        <w:t xml:space="preserve">one in 40 </w:t>
      </w:r>
      <w:r w:rsidR="00D8148B" w:rsidRPr="002F108B">
        <w:rPr>
          <w:lang w:val="en-NZ"/>
        </w:rPr>
        <w:t>young</w:t>
      </w:r>
      <w:r w:rsidR="00CA74A6" w:rsidRPr="002F108B">
        <w:rPr>
          <w:lang w:val="en-NZ"/>
        </w:rPr>
        <w:t xml:space="preserve"> Pacific</w:t>
      </w:r>
      <w:r w:rsidR="00D8148B" w:rsidRPr="002F108B">
        <w:rPr>
          <w:lang w:val="en-NZ"/>
        </w:rPr>
        <w:t xml:space="preserve"> </w:t>
      </w:r>
      <w:r w:rsidR="002B11A9" w:rsidRPr="002F108B">
        <w:rPr>
          <w:lang w:val="en-NZ"/>
        </w:rPr>
        <w:t>males</w:t>
      </w:r>
      <w:r w:rsidR="00D8148B" w:rsidRPr="002F108B">
        <w:rPr>
          <w:lang w:val="en-NZ"/>
        </w:rPr>
        <w:t xml:space="preserve"> </w:t>
      </w:r>
      <w:r w:rsidR="005F3FC2" w:rsidRPr="002F108B">
        <w:rPr>
          <w:lang w:val="en-NZ"/>
        </w:rPr>
        <w:t xml:space="preserve">(17 years old) </w:t>
      </w:r>
      <w:r w:rsidR="00844E4B" w:rsidRPr="002F108B">
        <w:rPr>
          <w:lang w:val="en-NZ"/>
        </w:rPr>
        <w:t>reported harmful gambling behaviours compared with</w:t>
      </w:r>
      <w:r w:rsidR="002B11A9" w:rsidRPr="002F108B">
        <w:rPr>
          <w:lang w:val="en-NZ"/>
        </w:rPr>
        <w:t xml:space="preserve"> </w:t>
      </w:r>
      <w:r w:rsidR="004235A1" w:rsidRPr="002F108B">
        <w:rPr>
          <w:lang w:val="en-NZ"/>
        </w:rPr>
        <w:t xml:space="preserve">one in 167 </w:t>
      </w:r>
      <w:r w:rsidR="005F3FC2" w:rsidRPr="002F108B">
        <w:rPr>
          <w:lang w:val="en-NZ"/>
        </w:rPr>
        <w:t xml:space="preserve">young </w:t>
      </w:r>
      <w:r w:rsidR="004235A1" w:rsidRPr="002F108B">
        <w:rPr>
          <w:lang w:val="en-NZ"/>
        </w:rPr>
        <w:t>Pacific females</w:t>
      </w:r>
      <w:r w:rsidR="00C0056D" w:rsidRPr="002F108B">
        <w:rPr>
          <w:lang w:val="en-NZ"/>
        </w:rPr>
        <w:t xml:space="preserve">. </w:t>
      </w:r>
      <w:r w:rsidR="00CE104C" w:rsidRPr="002F108B">
        <w:rPr>
          <w:lang w:val="en-NZ"/>
        </w:rPr>
        <w:t>Significant</w:t>
      </w:r>
      <w:r w:rsidR="00FA5872" w:rsidRPr="002F108B">
        <w:rPr>
          <w:lang w:val="en-NZ"/>
        </w:rPr>
        <w:t xml:space="preserve"> risk factors a</w:t>
      </w:r>
      <w:r w:rsidR="001056C4" w:rsidRPr="002F108B">
        <w:rPr>
          <w:lang w:val="en-NZ"/>
        </w:rPr>
        <w:t xml:space="preserve">ssociated </w:t>
      </w:r>
      <w:r w:rsidR="00CE104C" w:rsidRPr="002F108B">
        <w:rPr>
          <w:lang w:val="en-NZ"/>
        </w:rPr>
        <w:t xml:space="preserve">with </w:t>
      </w:r>
      <w:r w:rsidRPr="002F108B">
        <w:rPr>
          <w:lang w:val="en-NZ"/>
        </w:rPr>
        <w:t xml:space="preserve">harmful gambling </w:t>
      </w:r>
      <w:r w:rsidR="00CE104C" w:rsidRPr="002F108B">
        <w:rPr>
          <w:lang w:val="en-NZ"/>
        </w:rPr>
        <w:t>at age 17</w:t>
      </w:r>
      <w:r w:rsidRPr="002F108B">
        <w:rPr>
          <w:lang w:val="en-NZ"/>
        </w:rPr>
        <w:t xml:space="preserve"> for Pacific young people included </w:t>
      </w:r>
      <w:r w:rsidR="00263424" w:rsidRPr="002F108B">
        <w:rPr>
          <w:lang w:val="en-NZ"/>
        </w:rPr>
        <w:t>ma</w:t>
      </w:r>
      <w:r w:rsidRPr="002F108B">
        <w:rPr>
          <w:lang w:val="en-NZ"/>
        </w:rPr>
        <w:t xml:space="preserve">le gender, </w:t>
      </w:r>
      <w:r w:rsidRPr="002F108B">
        <w:rPr>
          <w:lang w:val="en-NZ"/>
        </w:rPr>
        <w:lastRenderedPageBreak/>
        <w:t xml:space="preserve">attending secondary school, electronic cigarette smoking, gang involvement and family members or friends as gang members </w:t>
      </w:r>
      <w:r w:rsidR="00DD4547" w:rsidRPr="002F108B">
        <w:rPr>
          <w:rFonts w:cs="Calibri"/>
          <w:lang w:val="en-NZ"/>
        </w:rPr>
        <w:t>(Bellringer et al., 2019)</w:t>
      </w:r>
    </w:p>
    <w:p w14:paraId="1152B915" w14:textId="36D07E68" w:rsidR="0049115E" w:rsidRPr="002F108B" w:rsidRDefault="0017305D" w:rsidP="00C015A7">
      <w:pPr>
        <w:pStyle w:val="Heading2"/>
        <w:rPr>
          <w:lang w:val="en-NZ"/>
        </w:rPr>
      </w:pPr>
      <w:bookmarkStart w:id="143" w:name="_Toc76469790"/>
      <w:r w:rsidRPr="002F108B">
        <w:rPr>
          <w:lang w:val="en-NZ"/>
        </w:rPr>
        <w:t>There are increased gambling harm risks for women</w:t>
      </w:r>
      <w:bookmarkEnd w:id="143"/>
    </w:p>
    <w:p w14:paraId="4C7F8716" w14:textId="622F51FE" w:rsidR="00A9621F" w:rsidRPr="002F108B" w:rsidRDefault="00BB68FE" w:rsidP="00A9621F">
      <w:pPr>
        <w:rPr>
          <w:lang w:val="en-NZ"/>
        </w:rPr>
      </w:pPr>
      <w:r w:rsidRPr="002F108B">
        <w:rPr>
          <w:lang w:val="en-NZ"/>
        </w:rPr>
        <w:t xml:space="preserve">In </w:t>
      </w:r>
      <w:r w:rsidR="00443A08" w:rsidRPr="002F108B">
        <w:rPr>
          <w:lang w:val="en-NZ"/>
        </w:rPr>
        <w:t>2019/20</w:t>
      </w:r>
      <w:r w:rsidRPr="002F108B">
        <w:rPr>
          <w:lang w:val="en-NZ"/>
        </w:rPr>
        <w:t>, a</w:t>
      </w:r>
      <w:r w:rsidR="002014D6" w:rsidRPr="002F108B">
        <w:rPr>
          <w:lang w:val="en-NZ"/>
        </w:rPr>
        <w:t xml:space="preserve">lthough similar proportions of adults males </w:t>
      </w:r>
      <w:r w:rsidR="006218D9" w:rsidRPr="002F108B">
        <w:rPr>
          <w:lang w:val="en-NZ"/>
        </w:rPr>
        <w:t>(</w:t>
      </w:r>
      <w:r w:rsidR="00443A08" w:rsidRPr="002F108B">
        <w:rPr>
          <w:lang w:val="en-NZ"/>
        </w:rPr>
        <w:t>50.7</w:t>
      </w:r>
      <w:r w:rsidR="006218D9" w:rsidRPr="002F108B">
        <w:rPr>
          <w:lang w:val="en-NZ"/>
        </w:rPr>
        <w:t xml:space="preserve">%) </w:t>
      </w:r>
      <w:r w:rsidR="002014D6" w:rsidRPr="002F108B">
        <w:rPr>
          <w:lang w:val="en-NZ"/>
        </w:rPr>
        <w:t>and females</w:t>
      </w:r>
      <w:r w:rsidR="006218D9" w:rsidRPr="002F108B">
        <w:rPr>
          <w:lang w:val="en-NZ"/>
        </w:rPr>
        <w:t xml:space="preserve"> (</w:t>
      </w:r>
      <w:r w:rsidR="00443A08" w:rsidRPr="002F108B">
        <w:rPr>
          <w:lang w:val="en-NZ"/>
        </w:rPr>
        <w:t>49.3</w:t>
      </w:r>
      <w:r w:rsidR="006218D9" w:rsidRPr="002F108B">
        <w:rPr>
          <w:lang w:val="en-NZ"/>
        </w:rPr>
        <w:t>%)</w:t>
      </w:r>
      <w:r w:rsidR="002014D6" w:rsidRPr="002F108B">
        <w:rPr>
          <w:lang w:val="en-NZ"/>
        </w:rPr>
        <w:t xml:space="preserve"> presented to </w:t>
      </w:r>
      <w:r w:rsidR="006218D9" w:rsidRPr="002F108B">
        <w:rPr>
          <w:lang w:val="en-NZ"/>
        </w:rPr>
        <w:t>gambling harm intervention services</w:t>
      </w:r>
      <w:r w:rsidR="00443A08" w:rsidRPr="002F108B">
        <w:rPr>
          <w:lang w:val="en-NZ"/>
        </w:rPr>
        <w:t xml:space="preserve"> (Ministry of Health, 2021)</w:t>
      </w:r>
      <w:r w:rsidR="006218D9" w:rsidRPr="002F108B">
        <w:rPr>
          <w:lang w:val="en-NZ"/>
        </w:rPr>
        <w:t>, r</w:t>
      </w:r>
      <w:r w:rsidR="00A9621F" w:rsidRPr="002F108B">
        <w:rPr>
          <w:lang w:val="en-NZ"/>
        </w:rPr>
        <w:t xml:space="preserve">ecent evidence suggests </w:t>
      </w:r>
      <w:r w:rsidR="007D2416" w:rsidRPr="002F108B">
        <w:rPr>
          <w:lang w:val="en-NZ"/>
        </w:rPr>
        <w:t xml:space="preserve">there are </w:t>
      </w:r>
      <w:r w:rsidR="002B3318" w:rsidRPr="002F108B">
        <w:rPr>
          <w:lang w:val="en-NZ"/>
        </w:rPr>
        <w:t xml:space="preserve">gender </w:t>
      </w:r>
      <w:r w:rsidR="007D2416" w:rsidRPr="002F108B">
        <w:rPr>
          <w:lang w:val="en-NZ"/>
        </w:rPr>
        <w:t xml:space="preserve">differences </w:t>
      </w:r>
      <w:r w:rsidR="002B3318" w:rsidRPr="002F108B">
        <w:rPr>
          <w:lang w:val="en-NZ"/>
        </w:rPr>
        <w:t>in relation to</w:t>
      </w:r>
      <w:r w:rsidR="00954903" w:rsidRPr="002F108B">
        <w:rPr>
          <w:lang w:val="en-NZ"/>
        </w:rPr>
        <w:t xml:space="preserve"> gambling engagement in Aotearoa New Zealand.</w:t>
      </w:r>
      <w:r w:rsidR="00070BDC" w:rsidRPr="002F108B">
        <w:rPr>
          <w:lang w:val="en-NZ"/>
        </w:rPr>
        <w:t xml:space="preserve"> </w:t>
      </w:r>
      <w:r w:rsidR="00135503" w:rsidRPr="002F108B">
        <w:rPr>
          <w:lang w:val="en-NZ"/>
        </w:rPr>
        <w:t>The HLS 201</w:t>
      </w:r>
      <w:r w:rsidR="0036093E">
        <w:rPr>
          <w:lang w:val="en-NZ"/>
        </w:rPr>
        <w:t>8</w:t>
      </w:r>
      <w:r w:rsidR="00135503" w:rsidRPr="002F108B">
        <w:rPr>
          <w:lang w:val="en-NZ"/>
        </w:rPr>
        <w:t xml:space="preserve"> found that women living in areas with a high social deprivation index score were two times (2.18) more likely than women in areas of low deprivation to experience gambling-related arguments or money problems related to gambling</w:t>
      </w:r>
      <w:r w:rsidR="00912C47" w:rsidRPr="002F108B">
        <w:rPr>
          <w:rStyle w:val="FootnoteReference"/>
          <w:lang w:val="en-NZ"/>
        </w:rPr>
        <w:footnoteReference w:id="25"/>
      </w:r>
      <w:r w:rsidR="00135503" w:rsidRPr="002F108B">
        <w:rPr>
          <w:lang w:val="en-NZ"/>
        </w:rPr>
        <w:t xml:space="preserve"> </w:t>
      </w:r>
      <w:r w:rsidR="00135503" w:rsidRPr="002F108B">
        <w:rPr>
          <w:rFonts w:cs="Calibri"/>
          <w:lang w:val="en-NZ"/>
        </w:rPr>
        <w:t>(Te Hiringa Hauora, 2018)</w:t>
      </w:r>
      <w:r w:rsidR="00912C47" w:rsidRPr="002F108B">
        <w:rPr>
          <w:rFonts w:cs="Calibri"/>
          <w:lang w:val="en-NZ"/>
        </w:rPr>
        <w:t xml:space="preserve">. A </w:t>
      </w:r>
      <w:r w:rsidR="00070BDC" w:rsidRPr="002F108B">
        <w:rPr>
          <w:lang w:val="en-NZ"/>
        </w:rPr>
        <w:t>mixed methods analysis of gambling harm for women in New Zealand identified</w:t>
      </w:r>
      <w:r w:rsidR="00F11386" w:rsidRPr="002F108B">
        <w:rPr>
          <w:lang w:val="en-NZ"/>
        </w:rPr>
        <w:t xml:space="preserve"> </w:t>
      </w:r>
      <w:r w:rsidR="00A12D8E" w:rsidRPr="002F108B">
        <w:rPr>
          <w:rFonts w:cs="Calibri"/>
          <w:lang w:val="en-NZ"/>
        </w:rPr>
        <w:t>(Palmer du Preez et al., 2019)</w:t>
      </w:r>
      <w:r w:rsidR="00070BDC" w:rsidRPr="002F108B">
        <w:rPr>
          <w:lang w:val="en-NZ"/>
        </w:rPr>
        <w:t>:</w:t>
      </w:r>
    </w:p>
    <w:p w14:paraId="764AE19C" w14:textId="41361F4C" w:rsidR="00070BDC" w:rsidRPr="00204F65" w:rsidRDefault="00070BDC" w:rsidP="00133A61">
      <w:pPr>
        <w:pStyle w:val="Bullet"/>
        <w:spacing w:before="60" w:after="120" w:line="276" w:lineRule="auto"/>
      </w:pPr>
      <w:r w:rsidRPr="00204F65">
        <w:t xml:space="preserve">Heightened </w:t>
      </w:r>
      <w:r>
        <w:t xml:space="preserve">gambling harm </w:t>
      </w:r>
      <w:r w:rsidRPr="00204F65">
        <w:t>risk</w:t>
      </w:r>
      <w:r>
        <w:t>s</w:t>
      </w:r>
      <w:r w:rsidRPr="00204F65">
        <w:t xml:space="preserve"> for women, especially in non-casino EGM contexts</w:t>
      </w:r>
    </w:p>
    <w:p w14:paraId="31BE103D" w14:textId="286950A7" w:rsidR="00070BDC" w:rsidRDefault="00070BDC" w:rsidP="00133A61">
      <w:pPr>
        <w:pStyle w:val="Bullet"/>
        <w:spacing w:before="60" w:after="120" w:line="276" w:lineRule="auto"/>
      </w:pPr>
      <w:r w:rsidRPr="00204F65">
        <w:t xml:space="preserve">Gambling risk for women was associated with six gambling engagement categories in order of risk magnitude: non-casino EGMs, cards not in a casino, housie/bingo, casino gambling, horse/dog race betting and Instant Kiwi. This could have implications for </w:t>
      </w:r>
      <w:r>
        <w:t>gender-aware public health strategies and interventions.</w:t>
      </w:r>
    </w:p>
    <w:p w14:paraId="6381C3A8" w14:textId="3E7BE979" w:rsidR="00070BDC" w:rsidRDefault="00070BDC" w:rsidP="00133A61">
      <w:pPr>
        <w:pStyle w:val="Bullet"/>
        <w:spacing w:before="60" w:after="120" w:line="276" w:lineRule="auto"/>
      </w:pPr>
      <w:r>
        <w:t>Though a much smaller proportion of women engaged in card games or poker than men (6.4% men, 2.2% women), they engaged in ways similar to men (frequency and expenditure) associated with a similar gambling risk level.</w:t>
      </w:r>
    </w:p>
    <w:p w14:paraId="32B8902A" w14:textId="22722B93" w:rsidR="00F307A7" w:rsidRPr="002F108B" w:rsidRDefault="00D309FF" w:rsidP="00F307A7">
      <w:pPr>
        <w:rPr>
          <w:lang w:val="en-NZ"/>
        </w:rPr>
      </w:pPr>
      <w:r w:rsidRPr="002F108B">
        <w:rPr>
          <w:lang w:val="en-NZ"/>
        </w:rPr>
        <w:t>Palmer du Pree</w:t>
      </w:r>
      <w:r w:rsidR="00744E62" w:rsidRPr="002F108B">
        <w:rPr>
          <w:lang w:val="en-NZ"/>
        </w:rPr>
        <w:t xml:space="preserve">z et al. (2019) infer that </w:t>
      </w:r>
      <w:r w:rsidR="00A0795F" w:rsidRPr="002F108B">
        <w:rPr>
          <w:lang w:val="en-NZ"/>
        </w:rPr>
        <w:t xml:space="preserve">women, who are commonly the primary caregivers within their family or whānau, are also particularly vulnerable to the economic strain caused by </w:t>
      </w:r>
      <w:r w:rsidR="00995E04" w:rsidRPr="002F108B">
        <w:rPr>
          <w:lang w:val="en-NZ"/>
        </w:rPr>
        <w:t>harmful</w:t>
      </w:r>
      <w:r w:rsidR="00A0795F" w:rsidRPr="002F108B">
        <w:rPr>
          <w:lang w:val="en-NZ"/>
        </w:rPr>
        <w:t xml:space="preserve"> gambling. </w:t>
      </w:r>
      <w:r w:rsidR="00995E04" w:rsidRPr="002F108B">
        <w:rPr>
          <w:lang w:val="en-NZ"/>
        </w:rPr>
        <w:t xml:space="preserve">The authors cite research that </w:t>
      </w:r>
      <w:r w:rsidR="00A0795F" w:rsidRPr="002F108B">
        <w:rPr>
          <w:lang w:val="en-NZ"/>
        </w:rPr>
        <w:t xml:space="preserve">has shown that </w:t>
      </w:r>
      <w:r w:rsidR="007853A7">
        <w:rPr>
          <w:lang w:val="en-NZ"/>
        </w:rPr>
        <w:t>women's socio-cultural positioning as primary caregivers for families contributes to gambling harm by placing unrealistic expectations on women while simultaneously constraining their ability to prioritise their own well-being and access rest, relaxation,</w:t>
      </w:r>
      <w:r w:rsidR="00A0795F" w:rsidRPr="002F108B">
        <w:rPr>
          <w:lang w:val="en-NZ"/>
        </w:rPr>
        <w:t xml:space="preserve"> and support. Gambling venues in local communities appear to offer women respite, distraction, comfort, time-out and/or connection - while placing them at heightened risk of experiencing problems and harm.</w:t>
      </w:r>
    </w:p>
    <w:p w14:paraId="2EF9719C" w14:textId="77777777" w:rsidR="00EB4756" w:rsidRPr="002F108B" w:rsidRDefault="00EB4756" w:rsidP="00F307A7">
      <w:pPr>
        <w:rPr>
          <w:lang w:val="en-NZ"/>
        </w:rPr>
      </w:pPr>
    </w:p>
    <w:p w14:paraId="7584012E" w14:textId="34F4D089" w:rsidR="007D3256" w:rsidRPr="002F108B" w:rsidRDefault="007D3256" w:rsidP="007D3256">
      <w:pPr>
        <w:pStyle w:val="Heading1"/>
        <w:rPr>
          <w:lang w:val="en-NZ"/>
        </w:rPr>
      </w:pPr>
      <w:bookmarkStart w:id="144" w:name="_Toc65250316"/>
      <w:bookmarkStart w:id="145" w:name="_Toc76469791"/>
      <w:r w:rsidRPr="002F108B">
        <w:rPr>
          <w:lang w:val="en-NZ"/>
        </w:rPr>
        <w:lastRenderedPageBreak/>
        <w:t>Harmful gambling risks remain extensive</w:t>
      </w:r>
      <w:bookmarkEnd w:id="144"/>
      <w:bookmarkEnd w:id="145"/>
      <w:r w:rsidRPr="002F108B">
        <w:rPr>
          <w:lang w:val="en-NZ"/>
        </w:rPr>
        <w:t xml:space="preserve"> </w:t>
      </w:r>
    </w:p>
    <w:p w14:paraId="642E2F1B" w14:textId="206B8569" w:rsidR="007D3256" w:rsidRPr="002F108B" w:rsidRDefault="004E79D5" w:rsidP="007D3256">
      <w:pPr>
        <w:rPr>
          <w:lang w:val="en-NZ"/>
        </w:rPr>
      </w:pPr>
      <w:r w:rsidRPr="002F108B">
        <w:rPr>
          <w:lang w:val="en-NZ"/>
        </w:rPr>
        <w:t xml:space="preserve">The majority of general population gambling research nationally and internationally recognises the importance of identifying the socio-demographic variables and risk factors associated with </w:t>
      </w:r>
      <w:r w:rsidR="00A4107C" w:rsidRPr="002F108B">
        <w:rPr>
          <w:lang w:val="en-NZ"/>
        </w:rPr>
        <w:t>harmful</w:t>
      </w:r>
      <w:r w:rsidRPr="002F108B">
        <w:rPr>
          <w:lang w:val="en-NZ"/>
        </w:rPr>
        <w:t xml:space="preserve"> gambling because of the major role they can play in the development and maintenance of </w:t>
      </w:r>
      <w:r w:rsidR="009C5308" w:rsidRPr="002F108B">
        <w:rPr>
          <w:lang w:val="en-NZ"/>
        </w:rPr>
        <w:t xml:space="preserve">harmful </w:t>
      </w:r>
      <w:r w:rsidRPr="002F108B">
        <w:rPr>
          <w:lang w:val="en-NZ"/>
        </w:rPr>
        <w:t>gambling</w:t>
      </w:r>
      <w:r w:rsidR="009C5308" w:rsidRPr="002F108B">
        <w:rPr>
          <w:lang w:val="en-NZ"/>
        </w:rPr>
        <w:t xml:space="preserve"> behaviour.</w:t>
      </w:r>
    </w:p>
    <w:p w14:paraId="4014EB4D" w14:textId="1D5A75B0" w:rsidR="00963332" w:rsidRPr="002F108B" w:rsidRDefault="007D3256" w:rsidP="007D3256">
      <w:pPr>
        <w:rPr>
          <w:lang w:val="en-NZ"/>
        </w:rPr>
      </w:pPr>
      <w:r w:rsidRPr="002F108B">
        <w:rPr>
          <w:rFonts w:eastAsiaTheme="majorEastAsia"/>
          <w:lang w:val="en-NZ"/>
        </w:rPr>
        <w:t>Internationally, the risk factors for developing harmful gambling include: being male, being young, belonging to a particular ethnic group</w:t>
      </w:r>
      <w:r w:rsidR="00963332" w:rsidRPr="002F108B">
        <w:rPr>
          <w:rStyle w:val="FootnoteReference"/>
          <w:rFonts w:eastAsiaTheme="majorEastAsia"/>
          <w:lang w:val="en-NZ"/>
        </w:rPr>
        <w:footnoteReference w:id="26"/>
      </w:r>
      <w:r w:rsidRPr="002F108B">
        <w:rPr>
          <w:rFonts w:eastAsiaTheme="majorEastAsia"/>
          <w:lang w:val="en-NZ"/>
        </w:rPr>
        <w:t>, single marital status, low educational and/or occupational status and residence in urban areas (</w:t>
      </w:r>
      <w:r w:rsidRPr="002F108B">
        <w:rPr>
          <w:lang w:val="en-NZ"/>
        </w:rPr>
        <w:t>Abbott &amp; Volberg, 1991, 1992; Becona, 1996; Dickerson, Baron, Hong, &amp; Cottrell, 1996; Shaffer, Hall, &amp; Vander-Bilt, 1997; Volberg, 1996; Volberg &amp; Abbott, 1994; Welte, Barnes, Wieczorek, Tidwell, &amp; Parker, 2002, 2004).</w:t>
      </w:r>
    </w:p>
    <w:p w14:paraId="71029AA9" w14:textId="075E36FD" w:rsidR="004413D4" w:rsidRPr="002F108B" w:rsidRDefault="00BA3E15" w:rsidP="00C015A7">
      <w:pPr>
        <w:pStyle w:val="Heading2"/>
        <w:rPr>
          <w:rFonts w:eastAsiaTheme="majorEastAsia"/>
          <w:lang w:val="en-NZ"/>
        </w:rPr>
      </w:pPr>
      <w:bookmarkStart w:id="146" w:name="_Toc65250317"/>
      <w:bookmarkStart w:id="147" w:name="_Toc76469792"/>
      <w:r w:rsidRPr="002F108B">
        <w:rPr>
          <w:rFonts w:eastAsiaTheme="majorEastAsia"/>
          <w:lang w:val="en-NZ"/>
        </w:rPr>
        <w:t xml:space="preserve">Māori and Pacific </w:t>
      </w:r>
      <w:r w:rsidR="002104D9" w:rsidRPr="002F108B">
        <w:rPr>
          <w:rFonts w:eastAsiaTheme="majorEastAsia"/>
          <w:lang w:val="en-NZ"/>
        </w:rPr>
        <w:t xml:space="preserve">peoples </w:t>
      </w:r>
      <w:r w:rsidRPr="002F108B">
        <w:rPr>
          <w:rFonts w:eastAsiaTheme="majorEastAsia"/>
          <w:lang w:val="en-NZ"/>
        </w:rPr>
        <w:t xml:space="preserve">remain </w:t>
      </w:r>
      <w:r w:rsidR="00C66633" w:rsidRPr="002F108B">
        <w:rPr>
          <w:rFonts w:eastAsiaTheme="majorEastAsia"/>
          <w:lang w:val="en-NZ"/>
        </w:rPr>
        <w:t>most at-risk</w:t>
      </w:r>
      <w:bookmarkEnd w:id="146"/>
      <w:bookmarkEnd w:id="147"/>
    </w:p>
    <w:p w14:paraId="077C4F8A" w14:textId="76367504" w:rsidR="00DF3E1F" w:rsidRPr="002F108B" w:rsidRDefault="00770B1C" w:rsidP="00DF3E1F">
      <w:pPr>
        <w:rPr>
          <w:lang w:val="en-NZ"/>
        </w:rPr>
      </w:pPr>
      <w:r w:rsidRPr="002F108B">
        <w:rPr>
          <w:lang w:val="en-NZ"/>
        </w:rPr>
        <w:t xml:space="preserve">New Zealand’s </w:t>
      </w:r>
      <w:r w:rsidR="00C92748" w:rsidRPr="002F108B">
        <w:rPr>
          <w:lang w:val="en-NZ"/>
        </w:rPr>
        <w:t>NPS</w:t>
      </w:r>
      <w:r w:rsidR="006E3DFB" w:rsidRPr="002F108B">
        <w:rPr>
          <w:lang w:val="en-NZ"/>
        </w:rPr>
        <w:t>’s</w:t>
      </w:r>
      <w:r w:rsidRPr="002F108B">
        <w:rPr>
          <w:lang w:val="en-NZ"/>
        </w:rPr>
        <w:t xml:space="preserve"> have consiste</w:t>
      </w:r>
      <w:r w:rsidR="002F75BD" w:rsidRPr="002F108B">
        <w:rPr>
          <w:lang w:val="en-NZ"/>
        </w:rPr>
        <w:t xml:space="preserve">ntly identified </w:t>
      </w:r>
      <w:r w:rsidR="009147BE" w:rsidRPr="002F108B">
        <w:rPr>
          <w:lang w:val="en-NZ"/>
        </w:rPr>
        <w:t xml:space="preserve">Māori and </w:t>
      </w:r>
      <w:r w:rsidR="002F75BD" w:rsidRPr="002F108B">
        <w:rPr>
          <w:lang w:val="en-NZ"/>
        </w:rPr>
        <w:t xml:space="preserve">Pacific ethnic groups as the most at risk of developing harmful gambling. </w:t>
      </w:r>
      <w:r w:rsidR="0054007C" w:rsidRPr="002F108B">
        <w:rPr>
          <w:lang w:val="en-NZ"/>
        </w:rPr>
        <w:t xml:space="preserve">Abbott et al. </w:t>
      </w:r>
      <w:r w:rsidR="0008790A" w:rsidRPr="002F108B">
        <w:rPr>
          <w:lang w:val="en-NZ"/>
        </w:rPr>
        <w:t>(2014)</w:t>
      </w:r>
      <w:r w:rsidR="000E2529" w:rsidRPr="002F108B">
        <w:rPr>
          <w:lang w:val="en-NZ"/>
        </w:rPr>
        <w:t xml:space="preserve"> and more recently</w:t>
      </w:r>
      <w:r w:rsidR="005F5566" w:rsidRPr="002F108B">
        <w:rPr>
          <w:lang w:val="en-NZ"/>
        </w:rPr>
        <w:t>,</w:t>
      </w:r>
      <w:r w:rsidR="000E2529" w:rsidRPr="002F108B">
        <w:rPr>
          <w:lang w:val="en-NZ"/>
        </w:rPr>
        <w:t xml:space="preserve"> the </w:t>
      </w:r>
      <w:r w:rsidR="00B22AF9" w:rsidRPr="002F108B">
        <w:rPr>
          <w:lang w:val="en-NZ"/>
        </w:rPr>
        <w:t>HLS (2018)</w:t>
      </w:r>
      <w:r w:rsidR="0008790A" w:rsidRPr="002F108B">
        <w:rPr>
          <w:lang w:val="en-NZ"/>
        </w:rPr>
        <w:t xml:space="preserve"> verified</w:t>
      </w:r>
      <w:r w:rsidR="00873B7B" w:rsidRPr="002F108B">
        <w:rPr>
          <w:lang w:val="en-NZ"/>
        </w:rPr>
        <w:t xml:space="preserve"> that </w:t>
      </w:r>
      <w:r w:rsidR="00C53714" w:rsidRPr="002F108B">
        <w:rPr>
          <w:lang w:val="en-NZ"/>
        </w:rPr>
        <w:t xml:space="preserve">Māori and Pacific peoples </w:t>
      </w:r>
      <w:r w:rsidR="00873B7B" w:rsidRPr="002F108B">
        <w:rPr>
          <w:lang w:val="en-NZ"/>
        </w:rPr>
        <w:t>remain</w:t>
      </w:r>
      <w:r w:rsidR="00C53714" w:rsidRPr="002F108B">
        <w:rPr>
          <w:lang w:val="en-NZ"/>
        </w:rPr>
        <w:t xml:space="preserve"> more at risk of developing </w:t>
      </w:r>
      <w:r w:rsidR="00D96865" w:rsidRPr="002F108B">
        <w:rPr>
          <w:lang w:val="en-NZ"/>
        </w:rPr>
        <w:t xml:space="preserve">problems from </w:t>
      </w:r>
      <w:r w:rsidR="00C53714" w:rsidRPr="002F108B">
        <w:rPr>
          <w:lang w:val="en-NZ"/>
        </w:rPr>
        <w:t xml:space="preserve">harmful gambling than people </w:t>
      </w:r>
      <w:r w:rsidR="008C7141" w:rsidRPr="002F108B">
        <w:rPr>
          <w:lang w:val="en-NZ"/>
        </w:rPr>
        <w:t>from</w:t>
      </w:r>
      <w:r w:rsidR="00C53714" w:rsidRPr="002F108B">
        <w:rPr>
          <w:lang w:val="en-NZ"/>
        </w:rPr>
        <w:t xml:space="preserve"> </w:t>
      </w:r>
      <w:r w:rsidR="008C7141" w:rsidRPr="002F108B">
        <w:rPr>
          <w:lang w:val="en-NZ"/>
        </w:rPr>
        <w:t>New Zealand</w:t>
      </w:r>
      <w:r w:rsidR="00C53714" w:rsidRPr="002F108B">
        <w:rPr>
          <w:lang w:val="en-NZ"/>
        </w:rPr>
        <w:t xml:space="preserve"> </w:t>
      </w:r>
      <w:r w:rsidR="00EE79D7" w:rsidRPr="002F108B">
        <w:rPr>
          <w:lang w:val="en-NZ"/>
        </w:rPr>
        <w:t xml:space="preserve">European </w:t>
      </w:r>
      <w:r w:rsidR="00C53714" w:rsidRPr="002F108B">
        <w:rPr>
          <w:lang w:val="en-NZ"/>
        </w:rPr>
        <w:t xml:space="preserve">and other ethnic groups </w:t>
      </w:r>
      <w:r w:rsidR="000A7A7F" w:rsidRPr="002F108B">
        <w:rPr>
          <w:rFonts w:cs="Calibri"/>
          <w:lang w:val="en-NZ"/>
        </w:rPr>
        <w:t>(Abbott et al., 2014</w:t>
      </w:r>
      <w:r w:rsidR="00314D48" w:rsidRPr="002F108B">
        <w:rPr>
          <w:rFonts w:cs="Calibri"/>
          <w:lang w:val="en-NZ"/>
        </w:rPr>
        <w:t xml:space="preserve">; Rendall et al., </w:t>
      </w:r>
      <w:r w:rsidR="006C6D46" w:rsidRPr="002F108B">
        <w:rPr>
          <w:rFonts w:cs="Calibri"/>
          <w:lang w:val="en-NZ"/>
        </w:rPr>
        <w:t>2019</w:t>
      </w:r>
      <w:r w:rsidR="000A7A7F" w:rsidRPr="002F108B">
        <w:rPr>
          <w:rFonts w:cs="Calibri"/>
          <w:lang w:val="en-NZ"/>
        </w:rPr>
        <w:t>)</w:t>
      </w:r>
      <w:r w:rsidR="0020652B" w:rsidRPr="002F108B">
        <w:rPr>
          <w:lang w:val="en-NZ"/>
        </w:rPr>
        <w:t xml:space="preserve"> and are likely to be affected by </w:t>
      </w:r>
      <w:r w:rsidR="00F37389" w:rsidRPr="002F108B">
        <w:rPr>
          <w:lang w:val="en-NZ"/>
        </w:rPr>
        <w:t>other harmful gamb</w:t>
      </w:r>
      <w:r w:rsidR="00051821" w:rsidRPr="002F108B">
        <w:rPr>
          <w:lang w:val="en-NZ"/>
        </w:rPr>
        <w:t>l</w:t>
      </w:r>
      <w:r w:rsidR="00F37389" w:rsidRPr="002F108B">
        <w:rPr>
          <w:lang w:val="en-NZ"/>
        </w:rPr>
        <w:t xml:space="preserve">ing risk factors such as </w:t>
      </w:r>
      <w:r w:rsidR="00DF3E1F" w:rsidRPr="002F108B">
        <w:rPr>
          <w:lang w:val="en-NZ"/>
        </w:rPr>
        <w:t xml:space="preserve">low </w:t>
      </w:r>
      <w:r w:rsidR="00EC4A5D" w:rsidRPr="002F108B">
        <w:rPr>
          <w:lang w:val="en-NZ"/>
        </w:rPr>
        <w:t>s</w:t>
      </w:r>
      <w:r w:rsidR="00DF3E1F" w:rsidRPr="002F108B">
        <w:rPr>
          <w:lang w:val="en-NZ"/>
        </w:rPr>
        <w:t xml:space="preserve">ocioeconomic status </w:t>
      </w:r>
      <w:r w:rsidR="00DF3E1F" w:rsidRPr="002F108B">
        <w:rPr>
          <w:lang w:val="en-NZ"/>
        </w:rPr>
        <w:fldChar w:fldCharType="begin" w:fldLock="1"/>
      </w:r>
      <w:r w:rsidR="00DF3E1F" w:rsidRPr="002F108B">
        <w:rPr>
          <w:lang w:val="en-NZ"/>
        </w:rPr>
        <w:instrText>ADDIN CSL_CITATION {"citationItems":[{"id":"ITEM-1","itemData":{"abstract":"The need for financial literacy has become increasingly significant with the deregulation of financial markets and the easier access to credit; the ready issue of credit cards; the rapid growth in marketing financial products and the Government's encouragement for its citizens to take more self-responsibility for their retirement incomes. This paper reviews, compares and analyses studies conducted in Australia, the United States and the United Kingdom to determine areas of both commonality and inconsistency. As a result of this analysis, the paper presents recurrent themes that could be extended, together with potential new areas for financial literacy research.","author":[{"dropping-particle":"","family":"Marcolin","given":"Sonia","non-dropping-particle":"","parse-names":false,"suffix":""},{"dropping-particle":"","family":"Abraham","given":"Anne","non-dropping-particle":"","parse-names":false,"suffix":""}],"container-title":"Proceedings of the 3rd International Conference on Contemporary Business, Australia","id":"ITEM-1","issue":"September","issued":{"date-parts":[["2006"]]},"page":"21-22","title":"Financial literacy research: current literature and future opportunities","type":"article-journal"},"uris":["http://www.mendeley.com/documents/?uuid=a03b5367-53c0-439b-84a9-f722f72726c0"]}],"mendeley":{"formattedCitation":"(Marcolin &amp; Abraham, 2006)","plainTextFormattedCitation":"(Marcolin &amp; Abraham, 2006)","previouslyFormattedCitation":"(Marcolin &amp; Abraham, 2006)"},"properties":{"noteIndex":0},"schema":"https://github.com/citation-style-language/schema/raw/master/csl-citation.json"}</w:instrText>
      </w:r>
      <w:r w:rsidR="00DF3E1F" w:rsidRPr="002F108B">
        <w:rPr>
          <w:lang w:val="en-NZ"/>
        </w:rPr>
        <w:fldChar w:fldCharType="separate"/>
      </w:r>
      <w:r w:rsidR="00DF3E1F" w:rsidRPr="002F108B">
        <w:rPr>
          <w:lang w:val="en-NZ"/>
        </w:rPr>
        <w:t>(Marcolin &amp; Abraham, 2006)</w:t>
      </w:r>
      <w:r w:rsidR="00DF3E1F" w:rsidRPr="002F108B">
        <w:rPr>
          <w:lang w:val="en-NZ"/>
        </w:rPr>
        <w:fldChar w:fldCharType="end"/>
      </w:r>
      <w:r w:rsidR="00F37389" w:rsidRPr="002F108B">
        <w:rPr>
          <w:lang w:val="en-NZ"/>
        </w:rPr>
        <w:t xml:space="preserve"> and deprivation </w:t>
      </w:r>
      <w:r w:rsidR="002547B7" w:rsidRPr="002F108B">
        <w:rPr>
          <w:rFonts w:cs="Calibri"/>
          <w:lang w:val="en-NZ"/>
        </w:rPr>
        <w:t>(Tu et al., 2014)</w:t>
      </w:r>
      <w:r w:rsidR="00DF3E1F" w:rsidRPr="002F108B">
        <w:rPr>
          <w:lang w:val="en-NZ"/>
        </w:rPr>
        <w:t xml:space="preserve">. </w:t>
      </w:r>
    </w:p>
    <w:p w14:paraId="630038F5" w14:textId="4089915C" w:rsidR="00D70B75" w:rsidRPr="002F108B" w:rsidRDefault="00D70B75" w:rsidP="00C015A7">
      <w:pPr>
        <w:pStyle w:val="Heading2"/>
        <w:rPr>
          <w:lang w:val="en-NZ"/>
        </w:rPr>
      </w:pPr>
      <w:bookmarkStart w:id="148" w:name="_Toc65250318"/>
      <w:bookmarkStart w:id="149" w:name="_Toc76469793"/>
      <w:r w:rsidRPr="002F108B">
        <w:rPr>
          <w:lang w:val="en-NZ"/>
        </w:rPr>
        <w:t>Risk factors can be categorised into individual and environmental</w:t>
      </w:r>
      <w:r w:rsidR="001A16D5" w:rsidRPr="002F108B">
        <w:rPr>
          <w:lang w:val="en-NZ"/>
        </w:rPr>
        <w:t xml:space="preserve"> factors</w:t>
      </w:r>
      <w:bookmarkEnd w:id="148"/>
      <w:bookmarkEnd w:id="149"/>
    </w:p>
    <w:p w14:paraId="292A1B1F" w14:textId="45A39B53" w:rsidR="007D3256" w:rsidRPr="002F108B" w:rsidRDefault="007B2858" w:rsidP="007D3256">
      <w:pPr>
        <w:rPr>
          <w:lang w:val="en-NZ"/>
        </w:rPr>
      </w:pPr>
      <w:r w:rsidRPr="002F108B">
        <w:rPr>
          <w:lang w:val="en-NZ"/>
        </w:rPr>
        <w:t xml:space="preserve">Since 2018, evidence </w:t>
      </w:r>
      <w:r w:rsidR="00BF557D" w:rsidRPr="002F108B">
        <w:rPr>
          <w:lang w:val="en-NZ"/>
        </w:rPr>
        <w:t>has validated the consistency of gambling harm risk factors</w:t>
      </w:r>
      <w:r w:rsidR="009E70F2" w:rsidRPr="002F108B">
        <w:rPr>
          <w:lang w:val="en-NZ"/>
        </w:rPr>
        <w:t>. Recent evidence categorises</w:t>
      </w:r>
      <w:r w:rsidR="007D3256" w:rsidRPr="002F108B">
        <w:rPr>
          <w:lang w:val="en-NZ"/>
        </w:rPr>
        <w:t xml:space="preserve"> risk factors as either individual or environmental. Examples of individual risk factors include Māori or Pacific ethnicity, male gender, younger age, low income, unemployment, substance use, gambling frequently, and never married status </w:t>
      </w:r>
      <w:r w:rsidR="006227FB" w:rsidRPr="002F108B">
        <w:rPr>
          <w:rFonts w:cs="Calibri"/>
          <w:lang w:val="en-NZ"/>
        </w:rPr>
        <w:t>(Bellringer et al., 2020)</w:t>
      </w:r>
      <w:r w:rsidR="00FD455B" w:rsidRPr="002F108B">
        <w:rPr>
          <w:lang w:val="en-NZ"/>
        </w:rPr>
        <w:t xml:space="preserve">. </w:t>
      </w:r>
      <w:r w:rsidR="007D3256" w:rsidRPr="002F108B">
        <w:rPr>
          <w:lang w:val="en-NZ"/>
        </w:rPr>
        <w:t>Prior research identified environmental risk factors</w:t>
      </w:r>
      <w:r w:rsidR="00D00403" w:rsidRPr="002F108B">
        <w:rPr>
          <w:lang w:val="en-NZ"/>
        </w:rPr>
        <w:t>,</w:t>
      </w:r>
      <w:r w:rsidR="007D3256" w:rsidRPr="002F108B">
        <w:rPr>
          <w:lang w:val="en-NZ"/>
        </w:rPr>
        <w:t xml:space="preserve"> including larger household size, living close to gambling venues, and recently experiencing major life events </w:t>
      </w:r>
      <w:r w:rsidR="00D40A03" w:rsidRPr="002F108B">
        <w:rPr>
          <w:rFonts w:cs="Calibri"/>
          <w:lang w:val="en-NZ"/>
        </w:rPr>
        <w:t>(Abbott et al., 2018; Bellringer et al., 2020)</w:t>
      </w:r>
      <w:r w:rsidR="006D0E0A" w:rsidRPr="002F108B">
        <w:rPr>
          <w:lang w:val="en-NZ"/>
        </w:rPr>
        <w:t>.</w:t>
      </w:r>
    </w:p>
    <w:p w14:paraId="4F5F391F" w14:textId="1135172F" w:rsidR="007D3256" w:rsidRPr="002F108B" w:rsidRDefault="007D3256" w:rsidP="007D3256">
      <w:pPr>
        <w:rPr>
          <w:lang w:val="en-NZ"/>
        </w:rPr>
      </w:pPr>
      <w:r w:rsidRPr="002F108B">
        <w:rPr>
          <w:lang w:val="en-NZ"/>
        </w:rPr>
        <w:t>Bellringer et al. 2020</w:t>
      </w:r>
      <w:r w:rsidR="008D4524" w:rsidRPr="002F108B">
        <w:rPr>
          <w:lang w:val="en-NZ"/>
        </w:rPr>
        <w:t xml:space="preserve"> also identified that</w:t>
      </w:r>
      <w:r w:rsidRPr="002F108B">
        <w:rPr>
          <w:lang w:val="en-NZ"/>
        </w:rPr>
        <w:t>:</w:t>
      </w:r>
    </w:p>
    <w:p w14:paraId="131F3155" w14:textId="77777777" w:rsidR="007D3256" w:rsidRDefault="007D3256" w:rsidP="001258B3">
      <w:pPr>
        <w:pStyle w:val="Bullet"/>
        <w:spacing w:before="60" w:after="120" w:line="276" w:lineRule="auto"/>
      </w:pPr>
      <w:r w:rsidRPr="00B65221">
        <w:rPr>
          <w:i/>
          <w:iCs/>
        </w:rPr>
        <w:t>Transitioning</w:t>
      </w:r>
      <w:r>
        <w:t xml:space="preserve"> into risky gambling behaviour was more likely to be associated with continuous tobacco smoking, cannabis use and low quality of life</w:t>
      </w:r>
    </w:p>
    <w:p w14:paraId="2EB43FE7" w14:textId="77777777" w:rsidR="007D3256" w:rsidRDefault="007D3256" w:rsidP="001258B3">
      <w:pPr>
        <w:pStyle w:val="Bullet"/>
        <w:spacing w:before="60" w:after="120" w:line="276" w:lineRule="auto"/>
      </w:pPr>
      <w:r w:rsidRPr="00B65221">
        <w:rPr>
          <w:i/>
          <w:iCs/>
        </w:rPr>
        <w:t xml:space="preserve">Transitioning </w:t>
      </w:r>
      <w:r>
        <w:t>into risky gambling was more likely to be associated with stopping memberships of organised groups</w:t>
      </w:r>
    </w:p>
    <w:p w14:paraId="54045955" w14:textId="168255CD" w:rsidR="007D3256" w:rsidRDefault="007D3256" w:rsidP="001258B3">
      <w:pPr>
        <w:pStyle w:val="Bullet"/>
        <w:spacing w:before="60" w:after="120" w:line="276" w:lineRule="auto"/>
      </w:pPr>
      <w:r>
        <w:lastRenderedPageBreak/>
        <w:t>Gambling risk level transitions were not associated with other social connectedness factors such as being able to access help from family, friends or neighbours</w:t>
      </w:r>
      <w:r w:rsidR="0042550B">
        <w:t>,</w:t>
      </w:r>
      <w:r>
        <w:t xml:space="preserve"> liking living in the community</w:t>
      </w:r>
      <w:r w:rsidR="0042550B">
        <w:t>,</w:t>
      </w:r>
      <w:r>
        <w:t xml:space="preserve"> and the quality of services available in the community</w:t>
      </w:r>
      <w:r w:rsidR="007D1A21">
        <w:t>.</w:t>
      </w:r>
    </w:p>
    <w:p w14:paraId="7EA3BC4A" w14:textId="19360D90" w:rsidR="00B27F0D" w:rsidRPr="002F108B" w:rsidRDefault="00C46EB8" w:rsidP="00C015A7">
      <w:pPr>
        <w:pStyle w:val="Heading2"/>
        <w:rPr>
          <w:lang w:val="en-NZ"/>
        </w:rPr>
      </w:pPr>
      <w:bookmarkStart w:id="150" w:name="_Toc65250319"/>
      <w:bookmarkStart w:id="151" w:name="_Toc76469794"/>
      <w:r w:rsidRPr="002F108B">
        <w:rPr>
          <w:lang w:val="en-NZ"/>
        </w:rPr>
        <w:t xml:space="preserve">There are mixed views </w:t>
      </w:r>
      <w:r w:rsidR="0000530C" w:rsidRPr="002F108B">
        <w:rPr>
          <w:lang w:val="en-NZ"/>
        </w:rPr>
        <w:t>about</w:t>
      </w:r>
      <w:r w:rsidRPr="002F108B">
        <w:rPr>
          <w:lang w:val="en-NZ"/>
        </w:rPr>
        <w:t xml:space="preserve"> the association between </w:t>
      </w:r>
      <w:r w:rsidR="004B0208" w:rsidRPr="002F108B">
        <w:rPr>
          <w:lang w:val="en-NZ"/>
        </w:rPr>
        <w:t xml:space="preserve">gambling and </w:t>
      </w:r>
      <w:r w:rsidR="003E3EE3" w:rsidRPr="002F108B">
        <w:rPr>
          <w:lang w:val="en-NZ"/>
        </w:rPr>
        <w:t>mental and physical health</w:t>
      </w:r>
      <w:bookmarkEnd w:id="150"/>
      <w:bookmarkEnd w:id="151"/>
    </w:p>
    <w:p w14:paraId="4FF4BAF0" w14:textId="68353BD3" w:rsidR="009D324C" w:rsidRPr="002F108B" w:rsidRDefault="004232CD" w:rsidP="005D3CAD">
      <w:pPr>
        <w:rPr>
          <w:lang w:val="en-NZ"/>
        </w:rPr>
      </w:pPr>
      <w:r w:rsidRPr="002F108B">
        <w:rPr>
          <w:lang w:val="en-NZ"/>
        </w:rPr>
        <w:t>There is growing national and international evidence suggesting that</w:t>
      </w:r>
      <w:r w:rsidR="00890197" w:rsidRPr="002F108B">
        <w:rPr>
          <w:lang w:val="en-NZ"/>
        </w:rPr>
        <w:t xml:space="preserve"> t</w:t>
      </w:r>
      <w:r w:rsidRPr="002F108B">
        <w:rPr>
          <w:lang w:val="en-NZ"/>
        </w:rPr>
        <w:t xml:space="preserve">here is a </w:t>
      </w:r>
      <w:r w:rsidR="005B6DDD" w:rsidRPr="002F108B">
        <w:rPr>
          <w:lang w:val="en-NZ"/>
        </w:rPr>
        <w:t xml:space="preserve">huge potential that the increase in online gambling participation is likely to </w:t>
      </w:r>
      <w:r w:rsidR="00E2212C" w:rsidRPr="002F108B">
        <w:rPr>
          <w:lang w:val="en-NZ"/>
        </w:rPr>
        <w:t>i</w:t>
      </w:r>
      <w:r w:rsidR="0042550B" w:rsidRPr="002F108B">
        <w:rPr>
          <w:lang w:val="en-NZ"/>
        </w:rPr>
        <w:t>ncrease</w:t>
      </w:r>
      <w:r w:rsidR="00E2212C" w:rsidRPr="002F108B">
        <w:rPr>
          <w:lang w:val="en-NZ"/>
        </w:rPr>
        <w:t xml:space="preserve"> gambling harm behaviours</w:t>
      </w:r>
      <w:r w:rsidR="0042550B" w:rsidRPr="002F108B">
        <w:rPr>
          <w:lang w:val="en-NZ"/>
        </w:rPr>
        <w:t>,</w:t>
      </w:r>
      <w:r w:rsidR="00F77928" w:rsidRPr="002F108B">
        <w:rPr>
          <w:lang w:val="en-NZ"/>
        </w:rPr>
        <w:t xml:space="preserve"> including </w:t>
      </w:r>
      <w:r w:rsidR="00EF7CF9" w:rsidRPr="002F108B">
        <w:rPr>
          <w:lang w:val="en-NZ"/>
        </w:rPr>
        <w:t>increased mental health, anxiety and depression</w:t>
      </w:r>
      <w:r w:rsidR="009D324C" w:rsidRPr="002F108B">
        <w:rPr>
          <w:lang w:val="en-NZ"/>
        </w:rPr>
        <w:t xml:space="preserve"> (Ab</w:t>
      </w:r>
      <w:r w:rsidR="004C4CDC" w:rsidRPr="002F108B">
        <w:rPr>
          <w:lang w:val="en-NZ"/>
        </w:rPr>
        <w:t>b</w:t>
      </w:r>
      <w:r w:rsidR="009D324C" w:rsidRPr="002F108B">
        <w:rPr>
          <w:lang w:val="en-NZ"/>
        </w:rPr>
        <w:t>ott et al., 2019)</w:t>
      </w:r>
      <w:r w:rsidR="00EF7CF9" w:rsidRPr="002F108B">
        <w:rPr>
          <w:lang w:val="en-NZ"/>
        </w:rPr>
        <w:t>.</w:t>
      </w:r>
      <w:r w:rsidR="005B6DDD" w:rsidRPr="002F108B">
        <w:rPr>
          <w:lang w:val="en-NZ"/>
        </w:rPr>
        <w:t xml:space="preserve"> </w:t>
      </w:r>
    </w:p>
    <w:p w14:paraId="2D3CD140" w14:textId="51750A6D" w:rsidR="005D3CAD" w:rsidRPr="002F108B" w:rsidRDefault="00ED1E7D" w:rsidP="005D3CAD">
      <w:pPr>
        <w:rPr>
          <w:lang w:val="en-NZ"/>
        </w:rPr>
      </w:pPr>
      <w:r w:rsidRPr="002F108B">
        <w:rPr>
          <w:lang w:val="en-NZ"/>
        </w:rPr>
        <w:t>In contrast</w:t>
      </w:r>
      <w:r w:rsidR="00876A7B" w:rsidRPr="002F108B">
        <w:rPr>
          <w:lang w:val="en-NZ"/>
        </w:rPr>
        <w:t xml:space="preserve"> with the majority of literature on this topic</w:t>
      </w:r>
      <w:r w:rsidRPr="002F108B">
        <w:rPr>
          <w:lang w:val="en-NZ"/>
        </w:rPr>
        <w:t>, i</w:t>
      </w:r>
      <w:r w:rsidR="005D3CAD" w:rsidRPr="002F108B">
        <w:rPr>
          <w:lang w:val="en-NZ"/>
        </w:rPr>
        <w:t>t is important to note</w:t>
      </w:r>
      <w:r w:rsidR="007D306A" w:rsidRPr="002F108B">
        <w:rPr>
          <w:lang w:val="en-NZ"/>
        </w:rPr>
        <w:t xml:space="preserve"> recent evidence provided </w:t>
      </w:r>
      <w:r w:rsidR="00696311" w:rsidRPr="002F108B">
        <w:rPr>
          <w:rFonts w:cs="Calibri"/>
          <w:lang w:val="en-NZ"/>
        </w:rPr>
        <w:t>(Bellringer et al., 2020)</w:t>
      </w:r>
      <w:r w:rsidR="005D3CAD" w:rsidRPr="002F108B">
        <w:rPr>
          <w:lang w:val="en-NZ"/>
        </w:rPr>
        <w:t xml:space="preserve"> </w:t>
      </w:r>
      <w:r w:rsidR="007D306A" w:rsidRPr="002F108B">
        <w:rPr>
          <w:lang w:val="en-NZ"/>
        </w:rPr>
        <w:t>suggests</w:t>
      </w:r>
      <w:r w:rsidRPr="002F108B">
        <w:rPr>
          <w:lang w:val="en-NZ"/>
        </w:rPr>
        <w:t xml:space="preserve"> that mental health </w:t>
      </w:r>
      <w:r w:rsidR="007E553F" w:rsidRPr="002F108B">
        <w:rPr>
          <w:lang w:val="en-NZ"/>
        </w:rPr>
        <w:t>(e.g.</w:t>
      </w:r>
      <w:r w:rsidRPr="002F108B">
        <w:rPr>
          <w:lang w:val="en-NZ"/>
        </w:rPr>
        <w:t xml:space="preserve"> anxiety, depression</w:t>
      </w:r>
      <w:r w:rsidR="007E553F" w:rsidRPr="002F108B">
        <w:rPr>
          <w:lang w:val="en-NZ"/>
        </w:rPr>
        <w:t xml:space="preserve">, past trauma) and physical health (e.g. disability, obesity) were not </w:t>
      </w:r>
      <w:r w:rsidR="00860299" w:rsidRPr="002F108B">
        <w:rPr>
          <w:lang w:val="en-NZ"/>
        </w:rPr>
        <w:t>associated wit</w:t>
      </w:r>
      <w:r w:rsidR="007D306A" w:rsidRPr="002F108B">
        <w:rPr>
          <w:lang w:val="en-NZ"/>
        </w:rPr>
        <w:t xml:space="preserve">h the </w:t>
      </w:r>
      <w:r w:rsidR="00876A7B" w:rsidRPr="002F108B">
        <w:rPr>
          <w:lang w:val="en-NZ"/>
        </w:rPr>
        <w:t xml:space="preserve">transition levels of gambling risk. </w:t>
      </w:r>
    </w:p>
    <w:p w14:paraId="4B8DEBBF" w14:textId="77777777" w:rsidR="005D3CAD" w:rsidRPr="002F108B" w:rsidRDefault="005D3CAD" w:rsidP="005D3CAD">
      <w:pPr>
        <w:pStyle w:val="Bulletpointindented"/>
        <w:numPr>
          <w:ilvl w:val="0"/>
          <w:numId w:val="0"/>
        </w:numPr>
        <w:ind w:left="709" w:hanging="425"/>
        <w:rPr>
          <w:lang w:val="en-NZ"/>
        </w:rPr>
      </w:pPr>
    </w:p>
    <w:p w14:paraId="0E3E3B0A" w14:textId="73116E73" w:rsidR="009901AA" w:rsidRPr="002F108B" w:rsidRDefault="009901AA" w:rsidP="009901AA">
      <w:pPr>
        <w:pStyle w:val="Heading1"/>
        <w:rPr>
          <w:lang w:val="en-NZ"/>
        </w:rPr>
      </w:pPr>
      <w:bookmarkStart w:id="152" w:name="_Toc65250320"/>
      <w:bookmarkStart w:id="153" w:name="_Toc76469795"/>
      <w:r w:rsidRPr="002F108B">
        <w:rPr>
          <w:lang w:val="en-NZ"/>
        </w:rPr>
        <w:lastRenderedPageBreak/>
        <w:t>Harmful gambling impacts</w:t>
      </w:r>
      <w:bookmarkEnd w:id="152"/>
      <w:bookmarkEnd w:id="153"/>
    </w:p>
    <w:p w14:paraId="16B9956E" w14:textId="4B38E59A" w:rsidR="004A52AE" w:rsidRPr="002F108B" w:rsidRDefault="0036093E" w:rsidP="00C015A7">
      <w:pPr>
        <w:pStyle w:val="Heading2"/>
        <w:rPr>
          <w:lang w:val="en-NZ"/>
        </w:rPr>
      </w:pPr>
      <w:bookmarkStart w:id="154" w:name="_Toc65250321"/>
      <w:bookmarkStart w:id="155" w:name="_Toc76469796"/>
      <w:r>
        <w:rPr>
          <w:lang w:val="en-NZ"/>
        </w:rPr>
        <w:t>Much evidence infers that s</w:t>
      </w:r>
      <w:r w:rsidR="004A52AE" w:rsidRPr="002F108B">
        <w:rPr>
          <w:lang w:val="en-NZ"/>
        </w:rPr>
        <w:t>upporting one social problem through</w:t>
      </w:r>
      <w:r w:rsidR="00A44BFD" w:rsidRPr="002F108B">
        <w:rPr>
          <w:lang w:val="en-NZ"/>
        </w:rPr>
        <w:t xml:space="preserve"> the support</w:t>
      </w:r>
      <w:r w:rsidR="00AA0C82" w:rsidRPr="002F108B">
        <w:rPr>
          <w:lang w:val="en-NZ"/>
        </w:rPr>
        <w:t>/</w:t>
      </w:r>
      <w:r w:rsidR="00A44BFD" w:rsidRPr="002F108B">
        <w:rPr>
          <w:lang w:val="en-NZ"/>
        </w:rPr>
        <w:t>creation of another is not real progress for our society</w:t>
      </w:r>
      <w:bookmarkEnd w:id="154"/>
      <w:bookmarkEnd w:id="155"/>
    </w:p>
    <w:p w14:paraId="28495BAE" w14:textId="58DC7FED" w:rsidR="008361D5" w:rsidRPr="002F108B" w:rsidRDefault="0098750B" w:rsidP="00BE287F">
      <w:pPr>
        <w:rPr>
          <w:lang w:val="en-NZ"/>
        </w:rPr>
      </w:pPr>
      <w:r w:rsidRPr="002F108B">
        <w:rPr>
          <w:lang w:val="en-NZ"/>
        </w:rPr>
        <w:t xml:space="preserve">Many international and national gambling studies </w:t>
      </w:r>
      <w:r w:rsidR="00B911F4" w:rsidRPr="002F108B">
        <w:rPr>
          <w:lang w:val="en-NZ"/>
        </w:rPr>
        <w:t xml:space="preserve">have consistently </w:t>
      </w:r>
      <w:r w:rsidRPr="002F108B">
        <w:rPr>
          <w:lang w:val="en-NZ"/>
        </w:rPr>
        <w:t>identif</w:t>
      </w:r>
      <w:r w:rsidR="00B911F4" w:rsidRPr="002F108B">
        <w:rPr>
          <w:lang w:val="en-NZ"/>
        </w:rPr>
        <w:t xml:space="preserve">ied </w:t>
      </w:r>
      <w:r w:rsidRPr="002F108B">
        <w:rPr>
          <w:lang w:val="en-NZ"/>
        </w:rPr>
        <w:t>both costs and benefits associated with gambling behaviour</w:t>
      </w:r>
      <w:r w:rsidR="00973A18" w:rsidRPr="002F108B">
        <w:rPr>
          <w:lang w:val="en-NZ"/>
        </w:rPr>
        <w:t xml:space="preserve"> and expenditure</w:t>
      </w:r>
      <w:r w:rsidRPr="002F108B">
        <w:rPr>
          <w:lang w:val="en-NZ"/>
        </w:rPr>
        <w:t>.</w:t>
      </w:r>
      <w:r w:rsidR="00D81E6D">
        <w:rPr>
          <w:lang w:val="en-NZ"/>
        </w:rPr>
        <w:t xml:space="preserve"> </w:t>
      </w:r>
    </w:p>
    <w:p w14:paraId="4A532877" w14:textId="585FC098" w:rsidR="006F0537" w:rsidRPr="002F108B" w:rsidRDefault="006F0537" w:rsidP="0041026D">
      <w:pPr>
        <w:pStyle w:val="Heading3"/>
        <w:rPr>
          <w:lang w:val="en-NZ"/>
        </w:rPr>
      </w:pPr>
      <w:r w:rsidRPr="002F108B">
        <w:rPr>
          <w:lang w:val="en-NZ"/>
        </w:rPr>
        <w:t>On one side of the coin, gambling can be viewed positively</w:t>
      </w:r>
    </w:p>
    <w:p w14:paraId="412F430B" w14:textId="0D1BCE6F" w:rsidR="000B63E0" w:rsidRPr="002F108B" w:rsidRDefault="0098750B" w:rsidP="00BE287F">
      <w:pPr>
        <w:rPr>
          <w:lang w:val="en-NZ"/>
        </w:rPr>
      </w:pPr>
      <w:r w:rsidRPr="002F108B">
        <w:rPr>
          <w:lang w:val="en-NZ"/>
        </w:rPr>
        <w:t xml:space="preserve">On one side of the coin, </w:t>
      </w:r>
      <w:r w:rsidR="008A68A2" w:rsidRPr="002F108B">
        <w:rPr>
          <w:lang w:val="en-NZ"/>
        </w:rPr>
        <w:t xml:space="preserve">evidence has consistently identified that </w:t>
      </w:r>
      <w:r w:rsidRPr="002F108B">
        <w:rPr>
          <w:lang w:val="en-NZ"/>
        </w:rPr>
        <w:t xml:space="preserve">gambling can be viewed positively as </w:t>
      </w:r>
      <w:r w:rsidR="00667CE4" w:rsidRPr="002F108B">
        <w:rPr>
          <w:lang w:val="en-NZ"/>
        </w:rPr>
        <w:t xml:space="preserve">a form of fun, socialising, relaxation, entertainment, and provide </w:t>
      </w:r>
      <w:r w:rsidR="0090083E" w:rsidRPr="002F108B">
        <w:rPr>
          <w:lang w:val="en-NZ"/>
        </w:rPr>
        <w:t xml:space="preserve">a </w:t>
      </w:r>
      <w:r w:rsidR="00667CE4" w:rsidRPr="002F108B">
        <w:rPr>
          <w:lang w:val="en-NZ"/>
        </w:rPr>
        <w:t xml:space="preserve">reprieve from stress and worry </w:t>
      </w:r>
      <w:r w:rsidR="00667CE4" w:rsidRPr="002F108B">
        <w:rPr>
          <w:lang w:val="en-NZ"/>
        </w:rPr>
        <w:fldChar w:fldCharType="begin"/>
      </w:r>
      <w:r w:rsidR="00667CE4" w:rsidRPr="002F108B">
        <w:rPr>
          <w:lang w:val="en-NZ"/>
        </w:rPr>
        <w:instrText xml:space="preserve"> ADDIN EN.CITE &lt;EndNote&gt;&lt;Cite ExcludeAuth="1"&gt;&lt;Author&gt;Abbott&lt;/Author&gt;&lt;Year&gt;2001&lt;/Year&gt;&lt;RecNum&gt;19&lt;/RecNum&gt;&lt;Prefix&gt;Abbott&lt;/Prefix&gt;&lt;record&gt;&lt;rec-number&gt;19&lt;/rec-number&gt;&lt;ref-type name="Report"&gt;27&lt;/ref-type&gt;&lt;contributors&gt;&lt;authors&gt;&lt;author&gt;Abbott, M.&lt;/author&gt;&lt;/authors&gt;&lt;/contributors&gt;&lt;titles&gt;&lt;title&gt;What Do We Know About Gambling and Problem Gambling in New Zealand?  Report Number Seven of the New Zealand Gaming Survey&lt;/title&gt;&lt;/titles&gt;&lt;dates&gt;&lt;year&gt;2001&lt;/year&gt;&lt;/dates&gt;&lt;pub-location&gt;Wellington&lt;/pub-location&gt;&lt;publisher&gt;New Zealand Department of Internal Affairs&lt;/publisher&gt;&lt;urls&gt;&lt;/urls&gt;&lt;/record&gt;&lt;/Cite&gt;&lt;Cite&gt;&lt;Author&gt;Productivity Commission&lt;/Author&gt;&lt;Year&gt;1999&lt;/Year&gt;&lt;RecNum&gt;7&lt;/RecNum&gt;&lt;record&gt;&lt;rec-number&gt;7&lt;/rec-number&gt;&lt;ref-type name="Report"&gt;27&lt;/ref-type&gt;&lt;contributors&gt;&lt;authors&gt;&lt;author&gt;Productivity Commission,&lt;/author&gt;&lt;/authors&gt;&lt;/contributors&gt;&lt;titles&gt;&lt;title&gt;Australia&amp;apos;s Gambling Industries&lt;/title&gt;&lt;/titles&gt;&lt;dates&gt;&lt;year&gt;1999&lt;/year&gt;&lt;/dates&gt;&lt;pub-location&gt;Canberra&lt;/pub-location&gt;&lt;publisher&gt;AusInfo&lt;/publisher&gt;&lt;isbn&gt;Report No. 10&lt;/isbn&gt;&lt;work-type&gt;Volume 3&lt;/work-type&gt;&lt;urls&gt;&lt;/urls&gt;&lt;/record&gt;&lt;/Cite&gt;&lt;Cite ExcludeAuth="1"&gt;&lt;Author&gt;Perese&lt;/Author&gt;&lt;Year&gt;2000&lt;/Year&gt;&lt;RecNum&gt;57&lt;/RecNum&gt;&lt;Prefix&gt;Perese&lt;/Prefix&gt;&lt;record&gt;&lt;rec-number&gt;57&lt;/rec-number&gt;&lt;ref-type name="Thesis"&gt;32&lt;/ref-type&gt;&lt;contributors&gt;&lt;authors&gt;&lt;author&gt;Perese, L.&lt;/author&gt;&lt;/authors&gt;&lt;/contributors&gt;&lt;titles&gt;&lt;title&gt;The Influence of Gender on Samoan Gambling:  A Comparative Analysis&lt;/title&gt;&lt;secondary-title&gt;Psychology&lt;/secondary-title&gt;&lt;/titles&gt;&lt;dates&gt;&lt;year&gt;2000&lt;/year&gt;&lt;/dates&gt;&lt;pub-location&gt;Auckland&lt;/pub-location&gt;&lt;publisher&gt;The University of Auckland&lt;/publisher&gt;&lt;work-type&gt;Honours Dissertation&lt;/work-type&gt;&lt;urls&gt;&lt;/urls&gt;&lt;/record&gt;&lt;/Cite&gt;&lt;Cite&gt;&lt;Author&gt;Morrison&lt;/Author&gt;&lt;Year&gt;2004&lt;/Year&gt;&lt;RecNum&gt;68&lt;/RecNum&gt;&lt;record&gt;&lt;rec-number&gt;68&lt;/rec-number&gt;&lt;ref-type name="Journal Article"&gt;17&lt;/ref-type&gt;&lt;contributors&gt;&lt;authors&gt;&lt;author&gt;L. Morrison&lt;/author&gt;&lt;/authors&gt;&lt;/contributors&gt;&lt;titles&gt;&lt;title&gt;Pokie gambling and Maori women: Friend or foe?&lt;/title&gt;&lt;secondary-title&gt;The Electronic Jounal of Gambling Issues&lt;/secondary-title&gt;&lt;/titles&gt;&lt;number&gt;12&lt;/number&gt;&lt;dates&gt;&lt;year&gt;2004&lt;/year&gt;&lt;/dates&gt;&lt;urls&gt;&lt;related-urls&gt;&lt;url&gt;http://www.camh.net/egambling/issue12/jgi_12_morrison.html&lt;/url&gt;&lt;/related-urls&gt;&lt;/urls&gt;&lt;/record&gt;&lt;/Cite&gt;&lt;Cite&gt;&lt;Author&gt;Wong&lt;/Author&gt;&lt;Year&gt;2003&lt;/Year&gt;&lt;RecNum&gt;58&lt;/RecNum&gt;&lt;record&gt;&lt;rec-number&gt;58&lt;/rec-number&gt;&lt;ref-type name="Journal Article"&gt;17&lt;/ref-type&gt;&lt;contributors&gt;&lt;authors&gt;&lt;author&gt;J. Wong&lt;/author&gt;&lt;author&gt;S. Tse&lt;/author&gt;&lt;/authors&gt;&lt;/contributors&gt;&lt;titles&gt;&lt;title&gt;The face of Chinese migrants&amp;apos; gambling: A perspective from New Zealand&lt;/title&gt;&lt;secondary-title&gt;The Electronic Jounal of Gambling Issues&lt;/secondary-title&gt;&lt;/titles&gt;&lt;volume&gt;1&lt;/volume&gt;&lt;number&gt;9&lt;/number&gt;&lt;dates&gt;&lt;year&gt;2003&lt;/year&gt;&lt;/dates&gt;&lt;work-type&gt;Opinion&lt;/work-type&gt;&lt;urls&gt;&lt;related-urls&gt;&lt;url&gt;http://www.camh.net/egambling/archive/pdf/EJGI-Issue9/EJGI-Issue9-op-wong.pdf&lt;/url&gt;&lt;/related-urls&gt;&lt;/urls&gt;&lt;/record&gt;&lt;/Cite&gt;&lt;/EndNote&gt;</w:instrText>
      </w:r>
      <w:r w:rsidR="00667CE4" w:rsidRPr="002F108B">
        <w:rPr>
          <w:lang w:val="en-NZ"/>
        </w:rPr>
        <w:fldChar w:fldCharType="separate"/>
      </w:r>
      <w:r w:rsidR="00667CE4" w:rsidRPr="002F108B">
        <w:rPr>
          <w:lang w:val="en-NZ"/>
        </w:rPr>
        <w:t xml:space="preserve">(Abbott, 2001b; </w:t>
      </w:r>
      <w:r w:rsidR="005C2652" w:rsidRPr="002F108B">
        <w:rPr>
          <w:lang w:val="en-NZ"/>
        </w:rPr>
        <w:t xml:space="preserve">Berl, 2019; </w:t>
      </w:r>
      <w:r w:rsidR="00667CE4" w:rsidRPr="002F108B">
        <w:rPr>
          <w:lang w:val="en-NZ"/>
        </w:rPr>
        <w:t>Morrison, 2004; Perese</w:t>
      </w:r>
      <w:r w:rsidR="00EA25BF" w:rsidRPr="002F108B">
        <w:rPr>
          <w:lang w:val="en-NZ"/>
        </w:rPr>
        <w:t xml:space="preserve"> &amp; Faleafa</w:t>
      </w:r>
      <w:r w:rsidR="00667CE4" w:rsidRPr="002F108B">
        <w:rPr>
          <w:lang w:val="en-NZ"/>
        </w:rPr>
        <w:t>, 2000; Productivity Commission, 1999; Wong &amp; Tse, 2003)</w:t>
      </w:r>
      <w:r w:rsidR="00667CE4" w:rsidRPr="002F108B">
        <w:rPr>
          <w:lang w:val="en-NZ"/>
        </w:rPr>
        <w:fldChar w:fldCharType="end"/>
      </w:r>
      <w:r w:rsidR="00667CE4" w:rsidRPr="002F108B">
        <w:rPr>
          <w:lang w:val="en-NZ"/>
        </w:rPr>
        <w:t xml:space="preserve">. </w:t>
      </w:r>
      <w:r w:rsidR="0017305D" w:rsidRPr="002F108B">
        <w:rPr>
          <w:lang w:val="en-NZ"/>
        </w:rPr>
        <w:t>Gambling contributes</w:t>
      </w:r>
      <w:r w:rsidR="007D7B79" w:rsidRPr="002F108B">
        <w:rPr>
          <w:lang w:val="en-NZ"/>
        </w:rPr>
        <w:t xml:space="preserve"> </w:t>
      </w:r>
      <w:r w:rsidR="0017305D" w:rsidRPr="002F108B">
        <w:rPr>
          <w:lang w:val="en-NZ"/>
        </w:rPr>
        <w:t xml:space="preserve">to </w:t>
      </w:r>
      <w:r w:rsidR="007D7B79" w:rsidRPr="002F108B">
        <w:rPr>
          <w:lang w:val="en-NZ"/>
        </w:rPr>
        <w:t>economic development and employment</w:t>
      </w:r>
      <w:r w:rsidR="00EC460C" w:rsidRPr="002F108B">
        <w:rPr>
          <w:lang w:val="en-NZ"/>
        </w:rPr>
        <w:t>,</w:t>
      </w:r>
      <w:r w:rsidR="007D7B79" w:rsidRPr="002F108B">
        <w:rPr>
          <w:lang w:val="en-NZ"/>
        </w:rPr>
        <w:t xml:space="preserve"> and </w:t>
      </w:r>
      <w:r w:rsidR="0017305D" w:rsidRPr="002F108B">
        <w:rPr>
          <w:lang w:val="en-NZ"/>
        </w:rPr>
        <w:t xml:space="preserve">gambling proceeds are used as </w:t>
      </w:r>
      <w:r w:rsidR="007853A7">
        <w:rPr>
          <w:lang w:val="en-NZ"/>
        </w:rPr>
        <w:t>funding sources</w:t>
      </w:r>
      <w:r w:rsidRPr="002F108B">
        <w:rPr>
          <w:lang w:val="en-NZ"/>
        </w:rPr>
        <w:t xml:space="preserve"> for community </w:t>
      </w:r>
      <w:r w:rsidR="007231E8" w:rsidRPr="002F108B">
        <w:rPr>
          <w:lang w:val="en-NZ"/>
        </w:rPr>
        <w:t xml:space="preserve">and sports </w:t>
      </w:r>
      <w:r w:rsidRPr="002F108B">
        <w:rPr>
          <w:lang w:val="en-NZ"/>
        </w:rPr>
        <w:t>groups</w:t>
      </w:r>
      <w:r w:rsidR="00DB054D" w:rsidRPr="002F108B">
        <w:rPr>
          <w:lang w:val="en-NZ"/>
        </w:rPr>
        <w:t xml:space="preserve">. In 2019, </w:t>
      </w:r>
      <w:r w:rsidR="005111A7" w:rsidRPr="002F108B">
        <w:rPr>
          <w:lang w:val="en-NZ"/>
        </w:rPr>
        <w:t xml:space="preserve">the Class 4 sector returned </w:t>
      </w:r>
      <w:r w:rsidR="00D131BD" w:rsidRPr="002F108B">
        <w:rPr>
          <w:lang w:val="en-NZ"/>
        </w:rPr>
        <w:t xml:space="preserve">about </w:t>
      </w:r>
      <w:r w:rsidR="00DB054D" w:rsidRPr="002F108B">
        <w:rPr>
          <w:lang w:val="en-NZ"/>
        </w:rPr>
        <w:t xml:space="preserve">$241 million </w:t>
      </w:r>
      <w:r w:rsidR="002C5B04" w:rsidRPr="002F108B">
        <w:rPr>
          <w:lang w:val="en-NZ"/>
        </w:rPr>
        <w:t xml:space="preserve">to </w:t>
      </w:r>
      <w:r w:rsidR="00206707" w:rsidRPr="002F108B">
        <w:rPr>
          <w:lang w:val="en-NZ"/>
        </w:rPr>
        <w:t xml:space="preserve">13,000 </w:t>
      </w:r>
      <w:r w:rsidR="002C5B04" w:rsidRPr="002F108B">
        <w:rPr>
          <w:lang w:val="en-NZ"/>
        </w:rPr>
        <w:t>comm</w:t>
      </w:r>
      <w:r w:rsidR="00206707" w:rsidRPr="002F108B">
        <w:rPr>
          <w:lang w:val="en-NZ"/>
        </w:rPr>
        <w:t>u</w:t>
      </w:r>
      <w:r w:rsidR="002C5B04" w:rsidRPr="002F108B">
        <w:rPr>
          <w:lang w:val="en-NZ"/>
        </w:rPr>
        <w:t>nit</w:t>
      </w:r>
      <w:r w:rsidR="00206707" w:rsidRPr="002F108B">
        <w:rPr>
          <w:lang w:val="en-NZ"/>
        </w:rPr>
        <w:t>y groups</w:t>
      </w:r>
      <w:r w:rsidR="002C5B04" w:rsidRPr="002F108B">
        <w:rPr>
          <w:lang w:val="en-NZ"/>
        </w:rPr>
        <w:t xml:space="preserve"> in the form of grants funding </w:t>
      </w:r>
      <w:r w:rsidR="00206707" w:rsidRPr="002F108B">
        <w:rPr>
          <w:lang w:val="en-NZ"/>
        </w:rPr>
        <w:t xml:space="preserve">(in addition to tax and duty payments to </w:t>
      </w:r>
      <w:r w:rsidR="00BD433F" w:rsidRPr="002F108B">
        <w:rPr>
          <w:lang w:val="en-NZ"/>
        </w:rPr>
        <w:t xml:space="preserve">the </w:t>
      </w:r>
      <w:r w:rsidR="00206707" w:rsidRPr="002F108B">
        <w:rPr>
          <w:lang w:val="en-NZ"/>
        </w:rPr>
        <w:t>government)</w:t>
      </w:r>
      <w:r w:rsidR="000D3F8A" w:rsidRPr="002F108B">
        <w:rPr>
          <w:lang w:val="en-NZ"/>
        </w:rPr>
        <w:t xml:space="preserve"> </w:t>
      </w:r>
      <w:r w:rsidR="000A296B" w:rsidRPr="002F108B">
        <w:rPr>
          <w:lang w:val="en-NZ"/>
        </w:rPr>
        <w:t xml:space="preserve">(see </w:t>
      </w:r>
      <w:r w:rsidR="00AD4A6C">
        <w:rPr>
          <w:lang w:val="en-NZ"/>
        </w:rPr>
        <w:t>Appendix 2</w:t>
      </w:r>
      <w:r w:rsidR="000A296B" w:rsidRPr="002F108B">
        <w:rPr>
          <w:lang w:val="en-NZ"/>
        </w:rPr>
        <w:t>)</w:t>
      </w:r>
      <w:r w:rsidR="00110FDE" w:rsidRPr="002F108B">
        <w:rPr>
          <w:lang w:val="en-NZ"/>
        </w:rPr>
        <w:t xml:space="preserve"> </w:t>
      </w:r>
      <w:r w:rsidR="00110FDE" w:rsidRPr="002F108B">
        <w:rPr>
          <w:rFonts w:cs="Calibri"/>
          <w:lang w:val="en-NZ"/>
        </w:rPr>
        <w:t>(PGF Group et al., 2020)</w:t>
      </w:r>
      <w:r w:rsidR="002B4C7B" w:rsidRPr="002F108B">
        <w:rPr>
          <w:lang w:val="en-NZ"/>
        </w:rPr>
        <w:t>.</w:t>
      </w:r>
    </w:p>
    <w:p w14:paraId="18C8209A" w14:textId="1F913D9B" w:rsidR="006F0537" w:rsidRPr="002F108B" w:rsidRDefault="000267D3" w:rsidP="0041026D">
      <w:pPr>
        <w:pStyle w:val="Heading3"/>
        <w:rPr>
          <w:lang w:val="en-NZ"/>
        </w:rPr>
      </w:pPr>
      <w:r w:rsidRPr="002F108B">
        <w:rPr>
          <w:lang w:val="en-NZ"/>
        </w:rPr>
        <w:t>On the other side of the coin, there are extensive social costs</w:t>
      </w:r>
      <w:r w:rsidR="0041026D" w:rsidRPr="002F108B">
        <w:rPr>
          <w:lang w:val="en-NZ"/>
        </w:rPr>
        <w:t xml:space="preserve"> and harms</w:t>
      </w:r>
    </w:p>
    <w:p w14:paraId="2F8CE30B" w14:textId="58DC8F34" w:rsidR="00997298" w:rsidRPr="002F108B" w:rsidRDefault="0098750B" w:rsidP="00BE287F">
      <w:pPr>
        <w:rPr>
          <w:lang w:val="en-NZ"/>
        </w:rPr>
      </w:pPr>
      <w:r w:rsidRPr="002F108B">
        <w:rPr>
          <w:lang w:val="en-NZ"/>
        </w:rPr>
        <w:t xml:space="preserve">On the other side of the coin, </w:t>
      </w:r>
      <w:r w:rsidR="0015770D" w:rsidRPr="002F108B">
        <w:rPr>
          <w:lang w:val="en-NZ"/>
        </w:rPr>
        <w:t xml:space="preserve">a plethora of evidence </w:t>
      </w:r>
      <w:r w:rsidR="006B1A85" w:rsidRPr="002F108B">
        <w:rPr>
          <w:lang w:val="en-NZ"/>
        </w:rPr>
        <w:t xml:space="preserve">has consistently identified </w:t>
      </w:r>
      <w:r w:rsidRPr="002F108B">
        <w:rPr>
          <w:lang w:val="en-NZ"/>
        </w:rPr>
        <w:t xml:space="preserve">there are </w:t>
      </w:r>
      <w:r w:rsidR="0017305D" w:rsidRPr="002F108B">
        <w:rPr>
          <w:lang w:val="en-NZ"/>
        </w:rPr>
        <w:t>extensive</w:t>
      </w:r>
      <w:r w:rsidRPr="002F108B">
        <w:rPr>
          <w:lang w:val="en-NZ"/>
        </w:rPr>
        <w:t xml:space="preserve"> social costs and gambling-related harms that impact individuals, families and communities</w:t>
      </w:r>
      <w:r w:rsidR="00997298" w:rsidRPr="002F108B">
        <w:rPr>
          <w:lang w:val="en-NZ"/>
        </w:rPr>
        <w:t xml:space="preserve"> </w:t>
      </w:r>
      <w:r w:rsidR="00DD4547" w:rsidRPr="002F108B">
        <w:rPr>
          <w:rFonts w:cs="Calibri"/>
          <w:lang w:val="en-NZ"/>
        </w:rPr>
        <w:t>(Centre for Social and Health Outcomes Research and Evaluation &amp; Te Ropu Whariki, 2008; Guttenbeil-Po’uhila et al., 2004; Abbott et al., 2000; Perese &amp; Faleafa 2000; PGF Group et al., 2020; Rankine &amp; Haigh, 2003)</w:t>
      </w:r>
      <w:r w:rsidR="00460A8E" w:rsidRPr="002F108B">
        <w:rPr>
          <w:lang w:val="en-NZ"/>
        </w:rPr>
        <w:t>.</w:t>
      </w:r>
    </w:p>
    <w:p w14:paraId="4A831DE5" w14:textId="3CD3ABC7" w:rsidR="00834FFB" w:rsidRPr="002F108B" w:rsidRDefault="00AB59CF" w:rsidP="00DB2868">
      <w:pPr>
        <w:rPr>
          <w:lang w:val="en-NZ"/>
        </w:rPr>
      </w:pPr>
      <w:r w:rsidRPr="002F108B">
        <w:rPr>
          <w:lang w:val="en-NZ"/>
        </w:rPr>
        <w:t xml:space="preserve">Findings from </w:t>
      </w:r>
      <w:r w:rsidR="00221950" w:rsidRPr="002F108B">
        <w:rPr>
          <w:lang w:val="en-NZ"/>
        </w:rPr>
        <w:t>the</w:t>
      </w:r>
      <w:r w:rsidRPr="002F108B">
        <w:rPr>
          <w:lang w:val="en-NZ"/>
        </w:rPr>
        <w:t xml:space="preserve"> </w:t>
      </w:r>
      <w:r w:rsidR="00460A8E" w:rsidRPr="002F108B">
        <w:rPr>
          <w:lang w:val="en-NZ"/>
        </w:rPr>
        <w:t>New Zealand Institute of Economic Researc</w:t>
      </w:r>
      <w:r w:rsidR="00221950" w:rsidRPr="002F108B">
        <w:rPr>
          <w:lang w:val="en-NZ"/>
        </w:rPr>
        <w:t>h</w:t>
      </w:r>
      <w:r w:rsidR="00460A8E" w:rsidRPr="002F108B">
        <w:rPr>
          <w:lang w:val="en-NZ"/>
        </w:rPr>
        <w:t xml:space="preserve"> (</w:t>
      </w:r>
      <w:r w:rsidR="000733A9" w:rsidRPr="002F108B">
        <w:rPr>
          <w:lang w:val="en-NZ"/>
        </w:rPr>
        <w:t>NZIER</w:t>
      </w:r>
      <w:r w:rsidR="00221950" w:rsidRPr="002F108B">
        <w:rPr>
          <w:lang w:val="en-NZ"/>
        </w:rPr>
        <w:t>)</w:t>
      </w:r>
      <w:r w:rsidR="000733A9" w:rsidRPr="002F108B">
        <w:rPr>
          <w:lang w:val="en-NZ"/>
        </w:rPr>
        <w:t xml:space="preserve"> </w:t>
      </w:r>
      <w:r w:rsidR="00221950" w:rsidRPr="002F108B">
        <w:rPr>
          <w:rFonts w:cs="Calibri"/>
          <w:lang w:val="en-NZ"/>
        </w:rPr>
        <w:t>(2020)</w:t>
      </w:r>
      <w:r w:rsidR="000733A9" w:rsidRPr="002F108B">
        <w:rPr>
          <w:lang w:val="en-NZ"/>
        </w:rPr>
        <w:t xml:space="preserve"> </w:t>
      </w:r>
      <w:r w:rsidR="00CC6938" w:rsidRPr="002F108B">
        <w:rPr>
          <w:lang w:val="en-NZ"/>
        </w:rPr>
        <w:t xml:space="preserve">on </w:t>
      </w:r>
      <w:r w:rsidR="00506AD8" w:rsidRPr="002F108B">
        <w:rPr>
          <w:lang w:val="en-NZ"/>
        </w:rPr>
        <w:t xml:space="preserve">the retail and employment </w:t>
      </w:r>
      <w:r w:rsidR="00837EFC" w:rsidRPr="002F108B">
        <w:rPr>
          <w:lang w:val="en-NZ"/>
        </w:rPr>
        <w:t xml:space="preserve">tax costs of Class 4 gambling in New Zealand </w:t>
      </w:r>
      <w:r w:rsidRPr="002F108B">
        <w:rPr>
          <w:lang w:val="en-NZ"/>
        </w:rPr>
        <w:t>contradict</w:t>
      </w:r>
      <w:r w:rsidR="004F519C" w:rsidRPr="002F108B">
        <w:rPr>
          <w:lang w:val="en-NZ"/>
        </w:rPr>
        <w:t>ed</w:t>
      </w:r>
      <w:r w:rsidR="00893CCB" w:rsidRPr="002F108B">
        <w:rPr>
          <w:lang w:val="en-NZ"/>
        </w:rPr>
        <w:t xml:space="preserve"> </w:t>
      </w:r>
      <w:r w:rsidR="00D3474B" w:rsidRPr="002F108B">
        <w:rPr>
          <w:lang w:val="en-NZ"/>
        </w:rPr>
        <w:t xml:space="preserve">findings above that </w:t>
      </w:r>
      <w:r w:rsidR="000D71BC" w:rsidRPr="002F108B">
        <w:rPr>
          <w:lang w:val="en-NZ"/>
        </w:rPr>
        <w:t xml:space="preserve">gambling </w:t>
      </w:r>
      <w:r w:rsidR="00D13ED8" w:rsidRPr="002F108B">
        <w:rPr>
          <w:lang w:val="en-NZ"/>
        </w:rPr>
        <w:t xml:space="preserve">increases economic development and employment. NZIER </w:t>
      </w:r>
      <w:r w:rsidR="008F28F3" w:rsidRPr="002F108B">
        <w:rPr>
          <w:rFonts w:cs="Calibri"/>
          <w:lang w:val="en-NZ"/>
        </w:rPr>
        <w:t>(2020)</w:t>
      </w:r>
      <w:r w:rsidR="00D13ED8" w:rsidRPr="002F108B">
        <w:rPr>
          <w:lang w:val="en-NZ"/>
        </w:rPr>
        <w:t xml:space="preserve"> contend that</w:t>
      </w:r>
      <w:r w:rsidR="00A047B2" w:rsidRPr="002F108B">
        <w:rPr>
          <w:lang w:val="en-NZ"/>
        </w:rPr>
        <w:t>:</w:t>
      </w:r>
    </w:p>
    <w:p w14:paraId="550A9F09" w14:textId="77777777" w:rsidR="00A047B2" w:rsidRDefault="00A047B2" w:rsidP="001258B3">
      <w:pPr>
        <w:pStyle w:val="Bullet"/>
        <w:spacing w:before="60" w:after="120" w:line="276" w:lineRule="auto"/>
      </w:pPr>
      <w:r w:rsidRPr="005B6345">
        <w:t xml:space="preserve">The cost to retail industry sales of Class 4 gambling is estimated to be $445 million for 2018/19. </w:t>
      </w:r>
    </w:p>
    <w:p w14:paraId="13840985" w14:textId="77777777" w:rsidR="00A047B2" w:rsidRPr="002D12C5" w:rsidRDefault="00A047B2" w:rsidP="001258B3">
      <w:pPr>
        <w:pStyle w:val="Bullet"/>
        <w:spacing w:before="60" w:after="120" w:line="276" w:lineRule="auto"/>
      </w:pPr>
      <w:r w:rsidRPr="005B6345">
        <w:rPr>
          <w:rFonts w:cs="Calibri"/>
          <w:color w:val="000000"/>
        </w:rPr>
        <w:t xml:space="preserve">The increased retail sales would generate an additional 1,127 full-time equivalent jobs for 1,724 workers, worth approximately $50 million in wages and salaries. </w:t>
      </w:r>
    </w:p>
    <w:p w14:paraId="4B6DE059" w14:textId="77777777" w:rsidR="00A047B2" w:rsidRPr="002D12C5" w:rsidRDefault="00A047B2" w:rsidP="001258B3">
      <w:pPr>
        <w:pStyle w:val="Bullet"/>
        <w:spacing w:before="60" w:after="120" w:line="276" w:lineRule="auto"/>
      </w:pPr>
      <w:r w:rsidRPr="005B6345">
        <w:rPr>
          <w:rFonts w:cs="Calibri"/>
          <w:color w:val="000000"/>
        </w:rPr>
        <w:t xml:space="preserve">These additional jobs and workers would be concentrated in the food and beverage services, specialised food retailing, and supermarkets and grocery stores. </w:t>
      </w:r>
    </w:p>
    <w:p w14:paraId="5144968A" w14:textId="77777777" w:rsidR="00A047B2" w:rsidRPr="002D12C5" w:rsidRDefault="00A047B2" w:rsidP="001258B3">
      <w:pPr>
        <w:pStyle w:val="Bullet"/>
        <w:spacing w:before="60" w:after="120" w:line="276" w:lineRule="auto"/>
      </w:pPr>
      <w:r w:rsidRPr="005B6345">
        <w:rPr>
          <w:rFonts w:cs="Calibri"/>
          <w:color w:val="000000"/>
        </w:rPr>
        <w:t xml:space="preserve">The additional GST revenue expected is estimated to be $58.01 million, with the biggest shares coming from sales in the motor vehicle and parts retail sector (consistent with transport being a major expenditure category for households) and supermarkets and grocery stores. </w:t>
      </w:r>
    </w:p>
    <w:p w14:paraId="4F500EAA" w14:textId="26E5BA5D" w:rsidR="00A047B2" w:rsidRPr="00D12E40" w:rsidRDefault="00A047B2" w:rsidP="001258B3">
      <w:pPr>
        <w:pStyle w:val="Bullet"/>
        <w:spacing w:before="60" w:after="120" w:line="276" w:lineRule="auto"/>
      </w:pPr>
      <w:r w:rsidRPr="005B6345">
        <w:rPr>
          <w:rFonts w:cs="Calibri"/>
          <w:color w:val="000000"/>
        </w:rPr>
        <w:t xml:space="preserve">Income tax collected from additional retail sector workers is expected to be between $7 million and $7.6 million. The greatest contributor to this amount is expected to be the food and beverage sales industry, followed by specialised food retailing and supermarket and grocery store workers. </w:t>
      </w:r>
    </w:p>
    <w:p w14:paraId="19CA1F46" w14:textId="2F385855" w:rsidR="0098750B" w:rsidRDefault="00F30A17" w:rsidP="00DB2868">
      <w:pPr>
        <w:rPr>
          <w:lang w:val="en-NZ"/>
        </w:rPr>
      </w:pPr>
      <w:r w:rsidRPr="002F108B">
        <w:rPr>
          <w:lang w:val="en-NZ"/>
        </w:rPr>
        <w:lastRenderedPageBreak/>
        <w:t>In 2020, t</w:t>
      </w:r>
      <w:r w:rsidR="0022339A" w:rsidRPr="002F108B">
        <w:rPr>
          <w:lang w:val="en-NZ"/>
        </w:rPr>
        <w:t xml:space="preserve">he </w:t>
      </w:r>
      <w:r w:rsidR="001258B3">
        <w:rPr>
          <w:lang w:val="en-NZ"/>
        </w:rPr>
        <w:t xml:space="preserve">PGF </w:t>
      </w:r>
      <w:r w:rsidR="0022339A">
        <w:rPr>
          <w:lang w:val="en-NZ"/>
        </w:rPr>
        <w:t xml:space="preserve">Group, Hāpai Te Hauora </w:t>
      </w:r>
      <w:r>
        <w:rPr>
          <w:lang w:val="en-NZ"/>
        </w:rPr>
        <w:t>and</w:t>
      </w:r>
      <w:r w:rsidR="0022339A">
        <w:rPr>
          <w:lang w:val="en-NZ"/>
        </w:rPr>
        <w:t xml:space="preserve"> </w:t>
      </w:r>
      <w:r w:rsidR="006A2C29">
        <w:rPr>
          <w:lang w:val="en-NZ"/>
        </w:rPr>
        <w:t>T</w:t>
      </w:r>
      <w:r w:rsidR="0022339A">
        <w:rPr>
          <w:lang w:val="en-NZ"/>
        </w:rPr>
        <w:t>he Salvation Army</w:t>
      </w:r>
      <w:r>
        <w:rPr>
          <w:lang w:val="en-NZ"/>
        </w:rPr>
        <w:t xml:space="preserve"> </w:t>
      </w:r>
      <w:r w:rsidR="009C41D6">
        <w:rPr>
          <w:lang w:val="en-NZ"/>
        </w:rPr>
        <w:t>validated early evide</w:t>
      </w:r>
      <w:r w:rsidR="00E15174">
        <w:rPr>
          <w:lang w:val="en-NZ"/>
        </w:rPr>
        <w:t>nce identifying that</w:t>
      </w:r>
      <w:r w:rsidR="00CC3F3D">
        <w:rPr>
          <w:lang w:val="en-NZ"/>
        </w:rPr>
        <w:t>:</w:t>
      </w:r>
    </w:p>
    <w:p w14:paraId="4060B4AB" w14:textId="396C94B8" w:rsidR="00EB0144" w:rsidRDefault="00557ABC" w:rsidP="001258B3">
      <w:pPr>
        <w:pStyle w:val="Bullet"/>
        <w:spacing w:before="60" w:after="120" w:line="276" w:lineRule="auto"/>
      </w:pPr>
      <w:r>
        <w:t xml:space="preserve">Up to two-thirds of the money paid out in community grants comes from </w:t>
      </w:r>
      <w:r w:rsidR="00E10D30">
        <w:t xml:space="preserve">the money </w:t>
      </w:r>
      <w:r w:rsidR="00AC1342">
        <w:t>problem gambler</w:t>
      </w:r>
      <w:r w:rsidR="0035003D">
        <w:t>s</w:t>
      </w:r>
      <w:r w:rsidR="008A128C">
        <w:t xml:space="preserve"> </w:t>
      </w:r>
      <w:r w:rsidR="00785601">
        <w:t xml:space="preserve">have spent and lost on gambling. </w:t>
      </w:r>
      <w:r w:rsidR="00EB25F3">
        <w:t>The NGS reiter</w:t>
      </w:r>
      <w:r w:rsidR="00AE128A">
        <w:t>at</w:t>
      </w:r>
      <w:r w:rsidR="00EB25F3">
        <w:t>es extensive expenditure</w:t>
      </w:r>
      <w:r w:rsidR="002D650D">
        <w:t xml:space="preserve"> </w:t>
      </w:r>
      <w:r w:rsidR="00AF0975">
        <w:t>from problem and moderate risk-gamblers o</w:t>
      </w:r>
      <w:r w:rsidR="00E8729F">
        <w:t>n Class 4 EGMs</w:t>
      </w:r>
      <w:r w:rsidR="00C341F8">
        <w:t xml:space="preserve"> and </w:t>
      </w:r>
      <w:r w:rsidR="00AE128A">
        <w:t>highlights</w:t>
      </w:r>
      <w:r w:rsidR="009333A7">
        <w:t xml:space="preserve"> that </w:t>
      </w:r>
      <w:r w:rsidR="008D1333">
        <w:t xml:space="preserve">problem gamblers’ </w:t>
      </w:r>
      <w:r w:rsidR="009C7671">
        <w:t>self-report</w:t>
      </w:r>
      <w:r w:rsidR="008D1333">
        <w:t xml:space="preserve">ing of </w:t>
      </w:r>
      <w:r w:rsidR="00991EC1">
        <w:t xml:space="preserve">EGM </w:t>
      </w:r>
      <w:r w:rsidR="009C7671">
        <w:t xml:space="preserve">expenditure is </w:t>
      </w:r>
      <w:r w:rsidR="008D1333">
        <w:t>likely lower than actual expenditure.</w:t>
      </w:r>
      <w:r w:rsidR="005F1AC2">
        <w:t xml:space="preserve"> The NGS self-reported EGM expenditure estimates for Class 4 gambling were $296m in 2012, $193m in 2013, and $157m in 2014; the actual expenditure recorded by the DIA was $854m, $826m, and $808m, respectively.</w:t>
      </w:r>
    </w:p>
    <w:p w14:paraId="6087A59C" w14:textId="69967F86" w:rsidR="00142E35" w:rsidRPr="00142E35" w:rsidRDefault="00E93C9A" w:rsidP="001258B3">
      <w:pPr>
        <w:pStyle w:val="Bullet"/>
        <w:spacing w:before="60" w:after="120" w:line="276" w:lineRule="auto"/>
        <w:rPr>
          <w:b/>
          <w:bCs/>
        </w:rPr>
      </w:pPr>
      <w:r>
        <w:t>Only 1.3% of New Zealanders regularly use Class 4 EGMs, and 50% of the 15,476 machines (7,700) are in the most deprived communities (decile 8-10)</w:t>
      </w:r>
      <w:r w:rsidR="0017305D">
        <w:rPr>
          <w:rStyle w:val="FootnoteReference"/>
        </w:rPr>
        <w:footnoteReference w:id="27"/>
      </w:r>
      <w:r w:rsidR="008E5A59">
        <w:t xml:space="preserve"> </w:t>
      </w:r>
      <w:r w:rsidR="0002413F" w:rsidRPr="002F108B">
        <w:rPr>
          <w:shd w:val="clear" w:color="auto" w:fill="FFFFFF"/>
        </w:rPr>
        <w:t>(Ward et al., 2020)</w:t>
      </w:r>
    </w:p>
    <w:p w14:paraId="742F3443" w14:textId="309F0185" w:rsidR="0099562A" w:rsidRDefault="0099562A" w:rsidP="001258B3">
      <w:pPr>
        <w:pStyle w:val="Bullet"/>
        <w:spacing w:before="60" w:after="120" w:line="276" w:lineRule="auto"/>
      </w:pPr>
      <w:r>
        <w:t xml:space="preserve">Community </w:t>
      </w:r>
      <w:r w:rsidR="00B51FBE">
        <w:t xml:space="preserve">groups and </w:t>
      </w:r>
      <w:r>
        <w:t>services</w:t>
      </w:r>
      <w:r w:rsidR="00B11A2B">
        <w:t xml:space="preserve"> and sports funding recipients</w:t>
      </w:r>
      <w:r>
        <w:t xml:space="preserve"> </w:t>
      </w:r>
      <w:r w:rsidR="00381005">
        <w:t>have become dependent on the grants system for survival</w:t>
      </w:r>
      <w:r w:rsidR="0017177A">
        <w:t>.</w:t>
      </w:r>
    </w:p>
    <w:p w14:paraId="6633CFF3" w14:textId="681EA13F" w:rsidR="00AB571F" w:rsidRDefault="00AB571F" w:rsidP="001258B3">
      <w:pPr>
        <w:pStyle w:val="Bullet"/>
        <w:spacing w:before="60" w:after="120" w:line="276" w:lineRule="auto"/>
      </w:pPr>
      <w:r w:rsidRPr="0099562A">
        <w:t xml:space="preserve">The </w:t>
      </w:r>
      <w:r w:rsidR="00CD41AF">
        <w:t>grants</w:t>
      </w:r>
      <w:r w:rsidRPr="0099562A">
        <w:t xml:space="preserve"> paid out by Trusts and Societies to community groups </w:t>
      </w:r>
      <w:r w:rsidR="00B51FBE">
        <w:t>and services</w:t>
      </w:r>
      <w:r w:rsidR="00AD7236">
        <w:t>,</w:t>
      </w:r>
      <w:r w:rsidR="00B51FBE">
        <w:t xml:space="preserve"> and sports funding recipients </w:t>
      </w:r>
      <w:r w:rsidRPr="0099562A">
        <w:t>come from New Zealanders who can least afford it</w:t>
      </w:r>
      <w:r>
        <w:t>.</w:t>
      </w:r>
    </w:p>
    <w:p w14:paraId="63ECA350" w14:textId="2A74D390" w:rsidR="002A6764" w:rsidRPr="002F108B" w:rsidRDefault="002A6764" w:rsidP="00BF2BBA">
      <w:pPr>
        <w:rPr>
          <w:lang w:val="en-NZ"/>
        </w:rPr>
      </w:pPr>
      <w:r w:rsidRPr="002F108B">
        <w:rPr>
          <w:lang w:val="en-NZ"/>
        </w:rPr>
        <w:t xml:space="preserve">Importantly, the overall distribution of funds has shifted away from local communities. While Class 4 gambling provides more local community funding, it also comes with the highest risk of harm </w:t>
      </w:r>
      <w:r w:rsidR="00751C25" w:rsidRPr="002F108B">
        <w:rPr>
          <w:lang w:val="en-NZ"/>
        </w:rPr>
        <w:t>fr</w:t>
      </w:r>
      <w:r w:rsidR="00702849" w:rsidRPr="002F108B">
        <w:rPr>
          <w:lang w:val="en-NZ"/>
        </w:rPr>
        <w:t>om</w:t>
      </w:r>
      <w:r w:rsidRPr="002F108B">
        <w:rPr>
          <w:lang w:val="en-NZ"/>
        </w:rPr>
        <w:t xml:space="preserve"> problem gambling</w:t>
      </w:r>
      <w:r w:rsidR="00423697" w:rsidRPr="002F108B">
        <w:rPr>
          <w:lang w:val="en-NZ"/>
        </w:rPr>
        <w:t xml:space="preserve"> than</w:t>
      </w:r>
      <w:r w:rsidRPr="002F108B">
        <w:rPr>
          <w:lang w:val="en-NZ"/>
        </w:rPr>
        <w:t xml:space="preserve"> other forms of gambling</w:t>
      </w:r>
      <w:r w:rsidR="00560C46" w:rsidRPr="002F108B">
        <w:rPr>
          <w:lang w:val="en-NZ"/>
        </w:rPr>
        <w:t xml:space="preserve"> </w:t>
      </w:r>
      <w:r w:rsidR="00AD7236" w:rsidRPr="002F108B">
        <w:rPr>
          <w:lang w:val="en-NZ"/>
        </w:rPr>
        <w:t>(Department of Internal Affairs, 2016</w:t>
      </w:r>
      <w:r w:rsidR="008F2C4B" w:rsidRPr="002F108B">
        <w:rPr>
          <w:lang w:val="en-NZ"/>
        </w:rPr>
        <w:t>a</w:t>
      </w:r>
      <w:r w:rsidR="00AD7236" w:rsidRPr="002F108B">
        <w:rPr>
          <w:lang w:val="en-NZ"/>
        </w:rPr>
        <w:t>)</w:t>
      </w:r>
      <w:r w:rsidRPr="002F108B">
        <w:rPr>
          <w:lang w:val="en-NZ"/>
        </w:rPr>
        <w:t>.</w:t>
      </w:r>
    </w:p>
    <w:p w14:paraId="4C777792" w14:textId="5C602B85" w:rsidR="00200C31" w:rsidRPr="002F108B" w:rsidRDefault="00200C31" w:rsidP="00200C31">
      <w:pPr>
        <w:rPr>
          <w:lang w:val="en-NZ"/>
        </w:rPr>
      </w:pPr>
      <w:r w:rsidRPr="002F108B">
        <w:rPr>
          <w:lang w:val="en-NZ"/>
        </w:rPr>
        <w:t>In line with th</w:t>
      </w:r>
      <w:r w:rsidR="005C2652" w:rsidRPr="002F108B">
        <w:rPr>
          <w:lang w:val="en-NZ"/>
        </w:rPr>
        <w:t>e</w:t>
      </w:r>
      <w:r w:rsidRPr="002F108B">
        <w:rPr>
          <w:lang w:val="en-NZ"/>
        </w:rPr>
        <w:t>s</w:t>
      </w:r>
      <w:r w:rsidR="005C2652" w:rsidRPr="002F108B">
        <w:rPr>
          <w:lang w:val="en-NZ"/>
        </w:rPr>
        <w:t>e</w:t>
      </w:r>
      <w:r w:rsidRPr="002F108B">
        <w:rPr>
          <w:lang w:val="en-NZ"/>
        </w:rPr>
        <w:t xml:space="preserve"> view</w:t>
      </w:r>
      <w:r w:rsidR="005C2652" w:rsidRPr="002F108B">
        <w:rPr>
          <w:lang w:val="en-NZ"/>
        </w:rPr>
        <w:t>s</w:t>
      </w:r>
      <w:r w:rsidRPr="002F108B">
        <w:rPr>
          <w:lang w:val="en-NZ"/>
        </w:rPr>
        <w:t>, it is important to note</w:t>
      </w:r>
      <w:r w:rsidR="005C2652" w:rsidRPr="002F108B">
        <w:rPr>
          <w:lang w:val="en-NZ"/>
        </w:rPr>
        <w:t xml:space="preserve"> a </w:t>
      </w:r>
      <w:r w:rsidR="007853A7">
        <w:rPr>
          <w:lang w:val="en-NZ"/>
        </w:rPr>
        <w:t>BERL report</w:t>
      </w:r>
      <w:r w:rsidR="005C2652" w:rsidRPr="002F108B">
        <w:rPr>
          <w:lang w:val="en-NZ"/>
        </w:rPr>
        <w:t xml:space="preserve"> (2020) showing an inequitable distribution of</w:t>
      </w:r>
      <w:r w:rsidRPr="002F108B">
        <w:rPr>
          <w:lang w:val="en-NZ"/>
        </w:rPr>
        <w:t xml:space="preserve"> community grants back into </w:t>
      </w:r>
      <w:r w:rsidR="005C2652" w:rsidRPr="002F108B">
        <w:rPr>
          <w:lang w:val="en-NZ"/>
        </w:rPr>
        <w:t xml:space="preserve">the most deprived </w:t>
      </w:r>
      <w:r w:rsidRPr="002F108B">
        <w:rPr>
          <w:lang w:val="en-NZ"/>
        </w:rPr>
        <w:t>communities where the majority of Class 4 venues are located</w:t>
      </w:r>
      <w:r w:rsidR="005C2652" w:rsidRPr="002F108B">
        <w:rPr>
          <w:lang w:val="en-NZ"/>
        </w:rPr>
        <w:t xml:space="preserve"> and </w:t>
      </w:r>
      <w:r w:rsidRPr="002F108B">
        <w:rPr>
          <w:lang w:val="en-NZ"/>
        </w:rPr>
        <w:t>EGM expenditure is high</w:t>
      </w:r>
      <w:r w:rsidR="005C2652" w:rsidRPr="002F108B">
        <w:rPr>
          <w:lang w:val="en-NZ"/>
        </w:rPr>
        <w:t xml:space="preserve"> </w:t>
      </w:r>
      <w:r w:rsidRPr="002F108B">
        <w:rPr>
          <w:lang w:val="en-NZ"/>
        </w:rPr>
        <w:t>(NZIER, 2020).</w:t>
      </w:r>
      <w:r w:rsidR="00D81E6D">
        <w:rPr>
          <w:lang w:val="en-NZ"/>
        </w:rPr>
        <w:t xml:space="preserve"> </w:t>
      </w:r>
    </w:p>
    <w:p w14:paraId="6CC4C251" w14:textId="77777777" w:rsidR="002B4028" w:rsidRDefault="00200C31" w:rsidP="002B4028">
      <w:pPr>
        <w:keepNext/>
      </w:pPr>
      <w:r w:rsidRPr="002F108B">
        <w:rPr>
          <w:noProof/>
          <w:lang w:val="en-NZ"/>
        </w:rPr>
        <w:lastRenderedPageBreak/>
        <w:drawing>
          <wp:inline distT="0" distB="0" distL="0" distR="0" wp14:anchorId="22439F1B" wp14:editId="173B8908">
            <wp:extent cx="4831080" cy="282325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399" t="14348" r="60647" b="68556"/>
                    <a:stretch/>
                  </pic:blipFill>
                  <pic:spPr bwMode="auto">
                    <a:xfrm>
                      <a:off x="0" y="0"/>
                      <a:ext cx="4831080" cy="2823258"/>
                    </a:xfrm>
                    <a:prstGeom prst="rect">
                      <a:avLst/>
                    </a:prstGeom>
                    <a:ln>
                      <a:noFill/>
                    </a:ln>
                    <a:extLst>
                      <a:ext uri="{53640926-AAD7-44D8-BBD7-CCE9431645EC}">
                        <a14:shadowObscured xmlns:a14="http://schemas.microsoft.com/office/drawing/2010/main"/>
                      </a:ext>
                    </a:extLst>
                  </pic:spPr>
                </pic:pic>
              </a:graphicData>
            </a:graphic>
          </wp:inline>
        </w:drawing>
      </w:r>
    </w:p>
    <w:p w14:paraId="1E32E9E4" w14:textId="02E6E0A7" w:rsidR="00200C31" w:rsidRPr="002F108B" w:rsidRDefault="002B4028" w:rsidP="002B4028">
      <w:pPr>
        <w:pStyle w:val="Caption"/>
        <w:rPr>
          <w:lang w:val="en-NZ"/>
        </w:rPr>
      </w:pPr>
      <w:bookmarkStart w:id="156" w:name="_Toc72752874"/>
      <w:r>
        <w:t xml:space="preserve">Figure </w:t>
      </w:r>
      <w:r>
        <w:fldChar w:fldCharType="begin"/>
      </w:r>
      <w:r>
        <w:instrText xml:space="preserve"> SEQ Figure \* ARABIC </w:instrText>
      </w:r>
      <w:r>
        <w:fldChar w:fldCharType="separate"/>
      </w:r>
      <w:r w:rsidR="009B1BDF">
        <w:rPr>
          <w:noProof/>
        </w:rPr>
        <w:t>9</w:t>
      </w:r>
      <w:r>
        <w:fldChar w:fldCharType="end"/>
      </w:r>
      <w:r>
        <w:t xml:space="preserve">: </w:t>
      </w:r>
      <w:r w:rsidR="00933F0D" w:rsidRPr="002F108B">
        <w:rPr>
          <w:lang w:val="en-NZ"/>
        </w:rPr>
        <w:t>Origin of Gaming Machine Profit and destination of community and sports grants by deprivation.</w:t>
      </w:r>
      <w:bookmarkEnd w:id="156"/>
    </w:p>
    <w:p w14:paraId="65A825C2" w14:textId="46A43CB2" w:rsidR="00BF2BBA" w:rsidRPr="002F108B" w:rsidRDefault="00BF2BBA" w:rsidP="00BF2BBA">
      <w:pPr>
        <w:rPr>
          <w:lang w:val="en-NZ"/>
        </w:rPr>
      </w:pPr>
      <w:r w:rsidRPr="002F108B">
        <w:rPr>
          <w:lang w:val="en-NZ"/>
        </w:rPr>
        <w:t xml:space="preserve">The </w:t>
      </w:r>
      <w:r w:rsidR="00550876">
        <w:rPr>
          <w:lang w:val="en-NZ"/>
        </w:rPr>
        <w:t xml:space="preserve">PGF </w:t>
      </w:r>
      <w:r>
        <w:rPr>
          <w:lang w:val="en-NZ"/>
        </w:rPr>
        <w:t xml:space="preserve">Group, Hāpai Te Hauora and the Salvation Army </w:t>
      </w:r>
      <w:r w:rsidR="00CA49C8" w:rsidRPr="002F108B">
        <w:rPr>
          <w:lang w:val="en-NZ"/>
        </w:rPr>
        <w:t>(2020)</w:t>
      </w:r>
      <w:r w:rsidR="00CA49C8">
        <w:rPr>
          <w:lang w:val="en-NZ"/>
        </w:rPr>
        <w:t xml:space="preserve"> </w:t>
      </w:r>
      <w:r>
        <w:rPr>
          <w:lang w:val="en-NZ"/>
        </w:rPr>
        <w:t>argue that replac</w:t>
      </w:r>
      <w:r w:rsidR="00C90C70">
        <w:rPr>
          <w:lang w:val="en-NZ"/>
        </w:rPr>
        <w:t>ing</w:t>
      </w:r>
      <w:r>
        <w:rPr>
          <w:lang w:val="en-NZ"/>
        </w:rPr>
        <w:t xml:space="preserve"> the grants system with a government grants programme would ensure sustainable delivery of community and sports services</w:t>
      </w:r>
      <w:r w:rsidR="00C90C70">
        <w:rPr>
          <w:lang w:val="en-NZ"/>
        </w:rPr>
        <w:t xml:space="preserve"> and</w:t>
      </w:r>
      <w:r w:rsidR="00346DDD">
        <w:rPr>
          <w:lang w:val="en-NZ"/>
        </w:rPr>
        <w:t xml:space="preserve"> </w:t>
      </w:r>
      <w:r w:rsidR="00C90C70">
        <w:rPr>
          <w:lang w:val="en-NZ"/>
        </w:rPr>
        <w:t xml:space="preserve">the </w:t>
      </w:r>
      <w:r w:rsidR="0050382E">
        <w:rPr>
          <w:lang w:val="en-NZ"/>
        </w:rPr>
        <w:t>equitable and transparent distribution of funds</w:t>
      </w:r>
      <w:r w:rsidR="00433F31">
        <w:rPr>
          <w:lang w:val="en-NZ"/>
        </w:rPr>
        <w:t>.</w:t>
      </w:r>
      <w:r w:rsidR="00E75360">
        <w:rPr>
          <w:lang w:val="en-NZ"/>
        </w:rPr>
        <w:t xml:space="preserve"> </w:t>
      </w:r>
    </w:p>
    <w:p w14:paraId="22839283" w14:textId="7B071A64" w:rsidR="008575FE" w:rsidRPr="002F108B" w:rsidRDefault="008575FE" w:rsidP="00C015A7">
      <w:pPr>
        <w:pStyle w:val="Heading2"/>
        <w:rPr>
          <w:lang w:val="en-NZ"/>
        </w:rPr>
      </w:pPr>
      <w:bookmarkStart w:id="157" w:name="_Toc65250322"/>
      <w:bookmarkStart w:id="158" w:name="_Toc76469797"/>
      <w:r w:rsidRPr="002F108B">
        <w:rPr>
          <w:lang w:val="en-NZ"/>
        </w:rPr>
        <w:t>Harmful gambling impacts all aspects of wellbeing for individuals and their wh</w:t>
      </w:r>
      <w:r w:rsidRPr="002F108B">
        <w:rPr>
          <w:rFonts w:cs="Calibri"/>
          <w:lang w:val="en-NZ"/>
        </w:rPr>
        <w:t>ā</w:t>
      </w:r>
      <w:r w:rsidRPr="002F108B">
        <w:rPr>
          <w:lang w:val="en-NZ"/>
        </w:rPr>
        <w:t>nau</w:t>
      </w:r>
      <w:bookmarkEnd w:id="157"/>
      <w:bookmarkEnd w:id="158"/>
    </w:p>
    <w:p w14:paraId="2C9875B2" w14:textId="79E0A7F7" w:rsidR="008575FE" w:rsidRPr="002F108B" w:rsidRDefault="008575FE" w:rsidP="008575FE">
      <w:pPr>
        <w:rPr>
          <w:lang w:val="en-NZ"/>
        </w:rPr>
      </w:pPr>
      <w:r w:rsidRPr="002F108B">
        <w:rPr>
          <w:lang w:val="en-NZ"/>
        </w:rPr>
        <w:t>The consequences of harmful gambling behaviour experienced by gamblers and their family and friends are far-reaching. For example, numerous studies have identified negative impacts on finances, mental health and wellbeing, physical health, work or study performance</w:t>
      </w:r>
      <w:r w:rsidR="003472ED" w:rsidRPr="002F108B">
        <w:rPr>
          <w:lang w:val="en-NZ"/>
        </w:rPr>
        <w:t xml:space="preserve">, </w:t>
      </w:r>
      <w:r w:rsidRPr="002F108B">
        <w:rPr>
          <w:lang w:val="en-NZ"/>
        </w:rPr>
        <w:t>relationships with others</w:t>
      </w:r>
      <w:r w:rsidR="003472ED" w:rsidRPr="002F108B">
        <w:rPr>
          <w:lang w:val="en-NZ"/>
        </w:rPr>
        <w:t xml:space="preserve">, </w:t>
      </w:r>
      <w:r w:rsidR="001D4D85" w:rsidRPr="002F108B">
        <w:rPr>
          <w:lang w:val="en-NZ"/>
        </w:rPr>
        <w:t>increased crime, and potential suicidality</w:t>
      </w:r>
      <w:r w:rsidRPr="002F108B">
        <w:rPr>
          <w:lang w:val="en-NZ"/>
        </w:rPr>
        <w:t xml:space="preserve"> </w:t>
      </w:r>
      <w:r w:rsidR="00DD4547" w:rsidRPr="002F108B">
        <w:rPr>
          <w:rFonts w:cs="Calibri"/>
          <w:lang w:val="en-NZ"/>
        </w:rPr>
        <w:t>(Bellringer et al., 2019)</w:t>
      </w:r>
      <w:r w:rsidRPr="002F108B">
        <w:rPr>
          <w:lang w:val="en-NZ"/>
        </w:rPr>
        <w:t>.</w:t>
      </w:r>
    </w:p>
    <w:p w14:paraId="532466EE" w14:textId="451541B3" w:rsidR="0041026D" w:rsidRPr="002F108B" w:rsidRDefault="008575FE" w:rsidP="0041026D">
      <w:pPr>
        <w:pStyle w:val="Heading3"/>
        <w:rPr>
          <w:lang w:val="en-NZ"/>
        </w:rPr>
      </w:pPr>
      <w:r w:rsidRPr="002F108B">
        <w:rPr>
          <w:lang w:val="en-NZ"/>
        </w:rPr>
        <w:t>Māori and Pacific peoples and their whānau remain disp</w:t>
      </w:r>
      <w:r w:rsidR="00D01299" w:rsidRPr="002F108B">
        <w:rPr>
          <w:lang w:val="en-NZ"/>
        </w:rPr>
        <w:t>ro</w:t>
      </w:r>
      <w:r w:rsidRPr="002F108B">
        <w:rPr>
          <w:lang w:val="en-NZ"/>
        </w:rPr>
        <w:t>portionately negatively impacted by gambling-related harms</w:t>
      </w:r>
    </w:p>
    <w:p w14:paraId="6FE7F9CA" w14:textId="7CAF239C" w:rsidR="008575FE" w:rsidRPr="002F108B" w:rsidRDefault="008575FE" w:rsidP="008575FE">
      <w:pPr>
        <w:rPr>
          <w:lang w:val="en-NZ"/>
        </w:rPr>
      </w:pPr>
      <w:r w:rsidRPr="002F108B">
        <w:rPr>
          <w:lang w:val="en-NZ"/>
        </w:rPr>
        <w:t xml:space="preserve">It is important to note that evidence has consistently identified that one problem gambler can affect at least five to </w:t>
      </w:r>
      <w:r w:rsidR="00FF4F2B" w:rsidRPr="002F108B">
        <w:rPr>
          <w:lang w:val="en-NZ"/>
        </w:rPr>
        <w:t>ten</w:t>
      </w:r>
      <w:r w:rsidRPr="002F108B">
        <w:rPr>
          <w:lang w:val="en-NZ"/>
        </w:rPr>
        <w:t xml:space="preserve"> others</w:t>
      </w:r>
      <w:r w:rsidR="00AE65A6" w:rsidRPr="002F108B">
        <w:rPr>
          <w:lang w:val="en-NZ"/>
        </w:rPr>
        <w:t xml:space="preserve"> </w:t>
      </w:r>
      <w:r w:rsidR="000A2E9C" w:rsidRPr="002F108B">
        <w:rPr>
          <w:lang w:val="en-NZ"/>
        </w:rPr>
        <w:t>(</w:t>
      </w:r>
      <w:r w:rsidR="00A55661" w:rsidRPr="002F108B">
        <w:rPr>
          <w:lang w:val="en-NZ"/>
        </w:rPr>
        <w:t>Productivity Commission</w:t>
      </w:r>
      <w:r w:rsidR="0095760F" w:rsidRPr="002F108B">
        <w:rPr>
          <w:lang w:val="en-NZ"/>
        </w:rPr>
        <w:t>, 199</w:t>
      </w:r>
      <w:r w:rsidR="008339ED" w:rsidRPr="002F108B">
        <w:rPr>
          <w:lang w:val="en-NZ"/>
        </w:rPr>
        <w:t>9</w:t>
      </w:r>
      <w:r w:rsidR="0095760F" w:rsidRPr="002F108B">
        <w:rPr>
          <w:lang w:val="en-NZ"/>
        </w:rPr>
        <w:t xml:space="preserve">; </w:t>
      </w:r>
      <w:r w:rsidR="000A2E9C" w:rsidRPr="002F108B">
        <w:rPr>
          <w:lang w:val="en-NZ"/>
        </w:rPr>
        <w:t>Goodwin et al., 2017)</w:t>
      </w:r>
      <w:r w:rsidRPr="002F108B">
        <w:rPr>
          <w:lang w:val="en-NZ"/>
        </w:rPr>
        <w:t>. Perese</w:t>
      </w:r>
      <w:r w:rsidR="000A2E9C" w:rsidRPr="002F108B">
        <w:rPr>
          <w:lang w:val="en-NZ"/>
        </w:rPr>
        <w:t xml:space="preserve"> (2009)</w:t>
      </w:r>
      <w:r w:rsidRPr="002F108B">
        <w:rPr>
          <w:lang w:val="en-NZ"/>
        </w:rPr>
        <w:t xml:space="preserve"> contends these estimates are conservative in light of </w:t>
      </w:r>
      <w:r w:rsidR="007853A7">
        <w:rPr>
          <w:lang w:val="en-NZ"/>
        </w:rPr>
        <w:t>many Māori and Pacific communities' collective nature</w:t>
      </w:r>
      <w:r w:rsidR="000A2E9C" w:rsidRPr="002F108B">
        <w:rPr>
          <w:lang w:val="en-NZ"/>
        </w:rPr>
        <w:t xml:space="preserve"> and</w:t>
      </w:r>
      <w:r w:rsidRPr="002F108B">
        <w:rPr>
          <w:lang w:val="en-NZ"/>
        </w:rPr>
        <w:t xml:space="preserve"> the negative profile of harmful gambling within these communities.</w:t>
      </w:r>
    </w:p>
    <w:p w14:paraId="14A950CB" w14:textId="2D497AC3" w:rsidR="00877E77" w:rsidRPr="002F108B" w:rsidRDefault="008575FE" w:rsidP="008575FE">
      <w:pPr>
        <w:rPr>
          <w:rFonts w:eastAsiaTheme="majorEastAsia"/>
          <w:lang w:val="en-NZ"/>
        </w:rPr>
      </w:pPr>
      <w:r w:rsidRPr="002F108B">
        <w:rPr>
          <w:lang w:val="en-NZ"/>
        </w:rPr>
        <w:t xml:space="preserve">Historically, extensive evidence has shown that </w:t>
      </w:r>
      <w:r w:rsidRPr="002F108B">
        <w:rPr>
          <w:rFonts w:eastAsiaTheme="majorEastAsia"/>
          <w:lang w:val="en-NZ"/>
        </w:rPr>
        <w:t>Māori and Pacific problem gamblers and their family/whānau/aiga are exposed to numerous social, cultural and economic gambling-related harms at an individual, family and community level. For individuals</w:t>
      </w:r>
      <w:r w:rsidR="000A2E9C" w:rsidRPr="002F108B">
        <w:rPr>
          <w:rFonts w:eastAsiaTheme="majorEastAsia"/>
          <w:lang w:val="en-NZ"/>
        </w:rPr>
        <w:t>,</w:t>
      </w:r>
      <w:r w:rsidRPr="002F108B">
        <w:rPr>
          <w:rFonts w:eastAsiaTheme="majorEastAsia"/>
          <w:lang w:val="en-NZ"/>
        </w:rPr>
        <w:t xml:space="preserve"> these include depression, anxiety, suicidal ideation, loss of identity, ill health, stress and mental health problems, erosion of savings, debt, and eviction or housing mortgagee sales.</w:t>
      </w:r>
      <w:r w:rsidR="00D81E6D">
        <w:rPr>
          <w:rFonts w:eastAsiaTheme="majorEastAsia"/>
          <w:lang w:val="en-NZ"/>
        </w:rPr>
        <w:t xml:space="preserve"> </w:t>
      </w:r>
      <w:r w:rsidRPr="002F108B">
        <w:rPr>
          <w:rFonts w:eastAsiaTheme="majorEastAsia"/>
          <w:lang w:val="en-NZ"/>
        </w:rPr>
        <w:t xml:space="preserve">Familial impacts include </w:t>
      </w:r>
      <w:r w:rsidR="00877E77" w:rsidRPr="002F108B">
        <w:rPr>
          <w:rFonts w:eastAsiaTheme="majorEastAsia"/>
          <w:lang w:val="en-NZ"/>
        </w:rPr>
        <w:t>neglecting</w:t>
      </w:r>
      <w:r w:rsidRPr="002F108B">
        <w:rPr>
          <w:rFonts w:eastAsiaTheme="majorEastAsia"/>
          <w:lang w:val="en-NZ"/>
        </w:rPr>
        <w:t xml:space="preserve"> children, relationship break-ups, family violence, anger, arguments</w:t>
      </w:r>
      <w:r w:rsidR="00877E77" w:rsidRPr="002F108B">
        <w:rPr>
          <w:rFonts w:eastAsiaTheme="majorEastAsia"/>
          <w:lang w:val="en-NZ"/>
        </w:rPr>
        <w:t>,</w:t>
      </w:r>
      <w:r w:rsidRPr="002F108B">
        <w:rPr>
          <w:rFonts w:eastAsiaTheme="majorEastAsia"/>
          <w:lang w:val="en-NZ"/>
        </w:rPr>
        <w:t xml:space="preserve"> frustration, resentment, loss of trust and severed familial relationships.</w:t>
      </w:r>
      <w:r w:rsidR="00D81E6D">
        <w:rPr>
          <w:rFonts w:eastAsiaTheme="majorEastAsia"/>
          <w:lang w:val="en-NZ"/>
        </w:rPr>
        <w:t xml:space="preserve"> </w:t>
      </w:r>
      <w:r w:rsidRPr="002F108B">
        <w:rPr>
          <w:rFonts w:eastAsiaTheme="majorEastAsia"/>
          <w:lang w:val="en-NZ"/>
        </w:rPr>
        <w:t>Community impacts encompass crime, health system costs, impacts on friends, employers, work colleagues and cultural community connectedness, participation and sense of belonging</w:t>
      </w:r>
      <w:r w:rsidR="00A62AEB" w:rsidRPr="002F108B">
        <w:rPr>
          <w:rFonts w:eastAsiaTheme="majorEastAsia"/>
          <w:lang w:val="en-NZ"/>
        </w:rPr>
        <w:t xml:space="preserve"> </w:t>
      </w:r>
      <w:r w:rsidR="00DD4547" w:rsidRPr="002F108B">
        <w:rPr>
          <w:rFonts w:eastAsiaTheme="majorEastAsia"/>
          <w:lang w:val="en-NZ"/>
        </w:rPr>
        <w:t xml:space="preserve">(Centre for Social and Health Outcomes Research and Evaluation &amp; Te Ropu </w:t>
      </w:r>
      <w:r w:rsidR="00DD4547" w:rsidRPr="002F108B">
        <w:rPr>
          <w:rFonts w:eastAsiaTheme="majorEastAsia"/>
          <w:lang w:val="en-NZ"/>
        </w:rPr>
        <w:lastRenderedPageBreak/>
        <w:t>Whariki, 2008; Department of Internal Affairs, 2001; Dyall, 2009; Guttenbeil-Po’uhila et al., 2004; Morrison, 2004; Rankine &amp; Haigh, 2003)</w:t>
      </w:r>
      <w:r w:rsidR="00436014" w:rsidRPr="002F108B">
        <w:rPr>
          <w:rFonts w:eastAsiaTheme="majorEastAsia"/>
          <w:lang w:val="en-NZ"/>
        </w:rPr>
        <w:t>.</w:t>
      </w:r>
    </w:p>
    <w:p w14:paraId="6CAFDB84" w14:textId="77777777" w:rsidR="00DC0D58" w:rsidRPr="002F108B" w:rsidRDefault="00DC0D58" w:rsidP="00B10B88">
      <w:pPr>
        <w:rPr>
          <w:lang w:val="en-NZ"/>
        </w:rPr>
      </w:pPr>
    </w:p>
    <w:p w14:paraId="09AC6E42" w14:textId="68AB5F12" w:rsidR="00AA3B76" w:rsidRPr="002F108B" w:rsidRDefault="00AA3B76" w:rsidP="00AA3B76">
      <w:pPr>
        <w:pStyle w:val="Heading1"/>
        <w:rPr>
          <w:lang w:val="en-NZ"/>
        </w:rPr>
      </w:pPr>
      <w:bookmarkStart w:id="159" w:name="_Toc65250323"/>
      <w:bookmarkStart w:id="160" w:name="_Toc76469798"/>
      <w:r w:rsidRPr="002F108B">
        <w:rPr>
          <w:lang w:val="en-NZ"/>
        </w:rPr>
        <w:lastRenderedPageBreak/>
        <w:t xml:space="preserve">Gambling harm minimisation </w:t>
      </w:r>
      <w:r w:rsidR="00C22723" w:rsidRPr="002F108B">
        <w:rPr>
          <w:lang w:val="en-NZ"/>
        </w:rPr>
        <w:t>approaches</w:t>
      </w:r>
      <w:bookmarkEnd w:id="159"/>
      <w:bookmarkEnd w:id="160"/>
    </w:p>
    <w:p w14:paraId="343764B6" w14:textId="20826921" w:rsidR="0042167F" w:rsidRPr="002F108B" w:rsidRDefault="00FA4EFA" w:rsidP="00A6714B">
      <w:pPr>
        <w:rPr>
          <w:lang w:val="en-NZ"/>
        </w:rPr>
      </w:pPr>
      <w:r w:rsidRPr="002F108B">
        <w:rPr>
          <w:lang w:val="en-NZ"/>
        </w:rPr>
        <w:t xml:space="preserve">Gambling harm minimisation </w:t>
      </w:r>
      <w:r w:rsidR="00160D7F" w:rsidRPr="002F108B">
        <w:rPr>
          <w:lang w:val="en-NZ"/>
        </w:rPr>
        <w:t>approaches in Aotearoa</w:t>
      </w:r>
      <w:r w:rsidR="0062114A" w:rsidRPr="002F108B">
        <w:rPr>
          <w:lang w:val="en-NZ"/>
        </w:rPr>
        <w:t>,</w:t>
      </w:r>
      <w:r w:rsidR="00160D7F" w:rsidRPr="002F108B">
        <w:rPr>
          <w:lang w:val="en-NZ"/>
        </w:rPr>
        <w:t xml:space="preserve"> New Zealand</w:t>
      </w:r>
      <w:r w:rsidRPr="002F108B">
        <w:rPr>
          <w:lang w:val="en-NZ"/>
        </w:rPr>
        <w:t xml:space="preserve"> include</w:t>
      </w:r>
      <w:r w:rsidR="0042167F" w:rsidRPr="002F108B">
        <w:rPr>
          <w:lang w:val="en-NZ"/>
        </w:rPr>
        <w:t>:</w:t>
      </w:r>
    </w:p>
    <w:p w14:paraId="5CCA3647" w14:textId="38BD7744" w:rsidR="0042167F" w:rsidRDefault="0042167F" w:rsidP="00F119F2">
      <w:pPr>
        <w:pStyle w:val="Bullet"/>
        <w:spacing w:before="60" w:after="120" w:line="276" w:lineRule="auto"/>
      </w:pPr>
      <w:r w:rsidRPr="00751C25">
        <w:rPr>
          <w:b/>
        </w:rPr>
        <w:t>P</w:t>
      </w:r>
      <w:r w:rsidR="00393BBA" w:rsidRPr="00751C25">
        <w:rPr>
          <w:b/>
        </w:rPr>
        <w:t>ublic health</w:t>
      </w:r>
      <w:r w:rsidR="00E924A2" w:rsidRPr="00751C25">
        <w:rPr>
          <w:b/>
        </w:rPr>
        <w:t xml:space="preserve"> services</w:t>
      </w:r>
      <w:r w:rsidRPr="00751C25">
        <w:rPr>
          <w:b/>
        </w:rPr>
        <w:t>:</w:t>
      </w:r>
      <w:r>
        <w:t xml:space="preserve"> Primary prevention, workforce development, awareness and education programmes, National co</w:t>
      </w:r>
      <w:r w:rsidR="00E91CE0">
        <w:t>-</w:t>
      </w:r>
      <w:r>
        <w:t>ordination service, consumer network and conference support</w:t>
      </w:r>
      <w:r w:rsidR="00BF063D">
        <w:t xml:space="preserve">. </w:t>
      </w:r>
      <w:r w:rsidR="00AD15A1">
        <w:t>It specifically promotes</w:t>
      </w:r>
      <w:r w:rsidR="005511D6">
        <w:t xml:space="preserve"> healthy </w:t>
      </w:r>
      <w:r w:rsidR="00BB044C">
        <w:t xml:space="preserve">gambling policies and environments, raising awareness of </w:t>
      </w:r>
      <w:r w:rsidR="001F78F1">
        <w:t xml:space="preserve">the signs of </w:t>
      </w:r>
      <w:r w:rsidR="00BB044C">
        <w:t>gambling harm</w:t>
      </w:r>
      <w:r w:rsidR="0055687D">
        <w:t xml:space="preserve"> and </w:t>
      </w:r>
      <w:r w:rsidR="001F78F1">
        <w:t xml:space="preserve">counselling </w:t>
      </w:r>
      <w:r w:rsidR="0055687D">
        <w:t>services</w:t>
      </w:r>
      <w:r w:rsidR="00BB044C">
        <w:t xml:space="preserve">, </w:t>
      </w:r>
      <w:r w:rsidR="00397B16">
        <w:t xml:space="preserve">and </w:t>
      </w:r>
      <w:r w:rsidR="004E744B">
        <w:t>mobilising</w:t>
      </w:r>
      <w:r w:rsidR="0055687D">
        <w:t xml:space="preserve"> and </w:t>
      </w:r>
      <w:r w:rsidR="00397B16">
        <w:t>s</w:t>
      </w:r>
      <w:r w:rsidR="00AB1292">
        <w:t xml:space="preserve">upporting </w:t>
      </w:r>
      <w:r w:rsidR="00122261">
        <w:t xml:space="preserve">community </w:t>
      </w:r>
      <w:r w:rsidR="00AB1292">
        <w:t xml:space="preserve">action and </w:t>
      </w:r>
      <w:r w:rsidR="00122261">
        <w:t xml:space="preserve">resiliency. </w:t>
      </w:r>
    </w:p>
    <w:p w14:paraId="1AE101A2" w14:textId="7CC8B419" w:rsidR="00DD17E8" w:rsidRDefault="0042167F" w:rsidP="00F119F2">
      <w:pPr>
        <w:pStyle w:val="Bullet"/>
        <w:spacing w:before="60" w:after="120" w:line="276" w:lineRule="auto"/>
      </w:pPr>
      <w:r w:rsidRPr="00751C25">
        <w:rPr>
          <w:b/>
        </w:rPr>
        <w:t>Intervention services:</w:t>
      </w:r>
      <w:r>
        <w:t xml:space="preserve"> </w:t>
      </w:r>
      <w:r w:rsidR="00DD17E8">
        <w:t>Helpline and web-based services, ps</w:t>
      </w:r>
      <w:r w:rsidR="0062114A">
        <w:t>y</w:t>
      </w:r>
      <w:r w:rsidR="00DD17E8">
        <w:t xml:space="preserve">chosocial intervention </w:t>
      </w:r>
      <w:r w:rsidR="006E298B">
        <w:t>counselling</w:t>
      </w:r>
      <w:r w:rsidR="00DD17E8">
        <w:t xml:space="preserve"> and support.</w:t>
      </w:r>
    </w:p>
    <w:p w14:paraId="6711AF2E" w14:textId="341F9AEF" w:rsidR="0044037E" w:rsidRDefault="00CC5771" w:rsidP="00F62428">
      <w:pPr>
        <w:rPr>
          <w:lang w:val="en-NZ"/>
        </w:rPr>
      </w:pPr>
      <w:r w:rsidRPr="009A3FFD">
        <w:rPr>
          <w:lang w:val="en-NZ"/>
        </w:rPr>
        <w:t xml:space="preserve">Workforce survey respondents identified </w:t>
      </w:r>
      <w:r w:rsidR="00EF6223" w:rsidRPr="009A3FFD">
        <w:rPr>
          <w:lang w:val="en-NZ"/>
        </w:rPr>
        <w:t xml:space="preserve">a range of </w:t>
      </w:r>
      <w:r w:rsidR="00EC731C" w:rsidRPr="009A3FFD">
        <w:rPr>
          <w:lang w:val="en-NZ"/>
        </w:rPr>
        <w:t>public health and/or interventions services</w:t>
      </w:r>
      <w:r w:rsidR="001E237A" w:rsidRPr="009A3FFD">
        <w:rPr>
          <w:lang w:val="en-NZ"/>
        </w:rPr>
        <w:t xml:space="preserve"> </w:t>
      </w:r>
      <w:r w:rsidR="00EF7F98">
        <w:rPr>
          <w:lang w:val="en-NZ"/>
        </w:rPr>
        <w:t xml:space="preserve">they </w:t>
      </w:r>
      <w:r w:rsidR="001E237A" w:rsidRPr="009A3FFD">
        <w:rPr>
          <w:lang w:val="en-NZ"/>
        </w:rPr>
        <w:t xml:space="preserve">provided within </w:t>
      </w:r>
      <w:r w:rsidR="009A3FFD">
        <w:rPr>
          <w:lang w:val="en-NZ"/>
        </w:rPr>
        <w:t xml:space="preserve">Ministry funded </w:t>
      </w:r>
      <w:r w:rsidR="009A3FFD" w:rsidRPr="009A3FFD">
        <w:rPr>
          <w:lang w:val="en-NZ"/>
        </w:rPr>
        <w:t>gambling harm services.</w:t>
      </w:r>
    </w:p>
    <w:p w14:paraId="2377EB9C" w14:textId="77777777" w:rsidR="002B4028" w:rsidRDefault="00EC731C" w:rsidP="002B4028">
      <w:pPr>
        <w:keepNext/>
      </w:pPr>
      <w:r w:rsidRPr="002F108B">
        <w:rPr>
          <w:noProof/>
          <w:lang w:val="en-NZ"/>
        </w:rPr>
        <w:drawing>
          <wp:inline distT="0" distB="0" distL="0" distR="0" wp14:anchorId="4E3EC318" wp14:editId="1125D5A7">
            <wp:extent cx="4831080" cy="274828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1080" cy="2748280"/>
                    </a:xfrm>
                    <a:prstGeom prst="rect">
                      <a:avLst/>
                    </a:prstGeom>
                    <a:noFill/>
                    <a:ln>
                      <a:noFill/>
                    </a:ln>
                  </pic:spPr>
                </pic:pic>
              </a:graphicData>
            </a:graphic>
          </wp:inline>
        </w:drawing>
      </w:r>
    </w:p>
    <w:p w14:paraId="6D6ECAAF" w14:textId="1BB736FF" w:rsidR="0044037E" w:rsidRDefault="002B4028" w:rsidP="002B4028">
      <w:pPr>
        <w:pStyle w:val="Caption"/>
        <w:rPr>
          <w:lang w:val="en-NZ"/>
        </w:rPr>
      </w:pPr>
      <w:bookmarkStart w:id="161" w:name="_Toc72752875"/>
      <w:r>
        <w:t xml:space="preserve">Figure </w:t>
      </w:r>
      <w:r>
        <w:fldChar w:fldCharType="begin"/>
      </w:r>
      <w:r>
        <w:instrText xml:space="preserve"> SEQ Figure \* ARABIC </w:instrText>
      </w:r>
      <w:r>
        <w:fldChar w:fldCharType="separate"/>
      </w:r>
      <w:r w:rsidR="009B1BDF">
        <w:rPr>
          <w:noProof/>
        </w:rPr>
        <w:t>10</w:t>
      </w:r>
      <w:r>
        <w:fldChar w:fldCharType="end"/>
      </w:r>
      <w:r>
        <w:t xml:space="preserve">: </w:t>
      </w:r>
      <w:r w:rsidR="00C84F9B">
        <w:t>Types of support provided (n=66)</w:t>
      </w:r>
      <w:bookmarkEnd w:id="161"/>
    </w:p>
    <w:p w14:paraId="3478AE5A" w14:textId="162D7633" w:rsidR="00F62428" w:rsidRPr="002F108B" w:rsidRDefault="00F62428" w:rsidP="00F62428">
      <w:pPr>
        <w:rPr>
          <w:lang w:val="en-NZ"/>
        </w:rPr>
      </w:pPr>
      <w:r w:rsidRPr="002F108B">
        <w:rPr>
          <w:lang w:val="en-NZ"/>
        </w:rPr>
        <w:t xml:space="preserve">Under the Gambling Act, </w:t>
      </w:r>
      <w:r w:rsidR="00700639" w:rsidRPr="002F108B">
        <w:rPr>
          <w:lang w:val="en-NZ"/>
        </w:rPr>
        <w:t xml:space="preserve">Class 4 venues </w:t>
      </w:r>
      <w:r w:rsidR="00044102" w:rsidRPr="002F108B">
        <w:rPr>
          <w:lang w:val="en-NZ"/>
        </w:rPr>
        <w:t xml:space="preserve">also </w:t>
      </w:r>
      <w:r w:rsidR="00700639" w:rsidRPr="002F108B">
        <w:rPr>
          <w:lang w:val="en-NZ"/>
        </w:rPr>
        <w:t>have a legal duty to minimise gambling harm</w:t>
      </w:r>
      <w:r w:rsidR="00D93FEE" w:rsidRPr="002F108B">
        <w:rPr>
          <w:lang w:val="en-NZ"/>
        </w:rPr>
        <w:t xml:space="preserve"> and responsibilities to keep gamblers safe. </w:t>
      </w:r>
      <w:r w:rsidR="0026761D" w:rsidRPr="002F108B">
        <w:rPr>
          <w:lang w:val="en-NZ"/>
        </w:rPr>
        <w:t>Harm minimisation approaches include:</w:t>
      </w:r>
    </w:p>
    <w:p w14:paraId="737F25D1" w14:textId="384D2C47" w:rsidR="0026761D" w:rsidRPr="00413572" w:rsidRDefault="00004C25" w:rsidP="00413572">
      <w:pPr>
        <w:pStyle w:val="Bullet"/>
      </w:pPr>
      <w:r w:rsidRPr="00413572">
        <w:t>Problem gambling awareness training for venue managers and staff</w:t>
      </w:r>
    </w:p>
    <w:p w14:paraId="6A927A09" w14:textId="7A367841" w:rsidR="00874FC8" w:rsidRPr="00413572" w:rsidRDefault="00874FC8" w:rsidP="00413572">
      <w:pPr>
        <w:pStyle w:val="Bullet"/>
      </w:pPr>
      <w:r w:rsidRPr="00413572">
        <w:t>Signage for pubs, clubs and casinos</w:t>
      </w:r>
    </w:p>
    <w:p w14:paraId="171EF50D" w14:textId="153321B4" w:rsidR="00F27CBC" w:rsidRPr="00413572" w:rsidRDefault="00F27CBC" w:rsidP="00286D3C">
      <w:pPr>
        <w:pStyle w:val="Bullet"/>
      </w:pPr>
      <w:r w:rsidRPr="00413572">
        <w:t>Self-exclusion orders</w:t>
      </w:r>
      <w:r w:rsidR="0036093E">
        <w:t xml:space="preserve"> (including Multi-venue exclusion).</w:t>
      </w:r>
    </w:p>
    <w:p w14:paraId="682EA615" w14:textId="6ECFB037" w:rsidR="0036093E" w:rsidRDefault="0036093E" w:rsidP="00443751">
      <w:pPr>
        <w:rPr>
          <w:lang w:val="en-NZ"/>
        </w:rPr>
      </w:pPr>
      <w:r>
        <w:rPr>
          <w:lang w:val="en-NZ"/>
        </w:rPr>
        <w:t xml:space="preserve">Casino Licence conditions require Host responsibility programmes </w:t>
      </w:r>
      <w:r w:rsidR="00F02B29">
        <w:rPr>
          <w:lang w:val="en-NZ"/>
        </w:rPr>
        <w:t>(including the provision and display of adequate gambling harm minimisation information</w:t>
      </w:r>
      <w:r>
        <w:rPr>
          <w:lang w:val="en-NZ"/>
        </w:rPr>
        <w:t xml:space="preserve"> </w:t>
      </w:r>
      <w:r w:rsidR="00F02B29">
        <w:rPr>
          <w:lang w:val="en-NZ"/>
        </w:rPr>
        <w:t xml:space="preserve">and signage, a policy for identifying harmful gamblers, staff training, adequate support for staff with potential harmful gambling, tailored provision of support and information for different cultural groups, responsible marketing and advertising, a gambling environment conducive to minimising and identifying gambling harm, and liaison with harmful gambling provider services). </w:t>
      </w:r>
      <w:r>
        <w:rPr>
          <w:lang w:val="en-NZ"/>
        </w:rPr>
        <w:t>Casino’s are also required to comply with exclusions in a similar way to Class 4 venues.</w:t>
      </w:r>
    </w:p>
    <w:p w14:paraId="083A37F0" w14:textId="608A4E2B" w:rsidR="009A156F" w:rsidRDefault="009A156F" w:rsidP="00443751">
      <w:pPr>
        <w:rPr>
          <w:lang w:val="en-NZ"/>
        </w:rPr>
      </w:pPr>
      <w:r>
        <w:rPr>
          <w:lang w:val="en-NZ"/>
        </w:rPr>
        <w:lastRenderedPageBreak/>
        <w:t>TAB NZ are legally required to provide and display information about harmful gambling (encouraging players to gamble only at levels they can afford, and advice about how to seek assistance for harmful gambling), as well as harmful gambling awareness training for all employees.</w:t>
      </w:r>
    </w:p>
    <w:p w14:paraId="2C38187C" w14:textId="0149D342" w:rsidR="00443751" w:rsidRPr="002F108B" w:rsidRDefault="00443751" w:rsidP="00443751">
      <w:pPr>
        <w:rPr>
          <w:lang w:val="en-NZ"/>
        </w:rPr>
      </w:pPr>
      <w:r w:rsidRPr="002F108B">
        <w:rPr>
          <w:lang w:val="en-NZ"/>
        </w:rPr>
        <w:t xml:space="preserve">The unique COVID-19 situation in 2020 prompted a different harm reduction response from </w:t>
      </w:r>
      <w:r w:rsidR="00331469" w:rsidRPr="002F108B">
        <w:rPr>
          <w:lang w:val="en-NZ"/>
        </w:rPr>
        <w:t xml:space="preserve">some parts of </w:t>
      </w:r>
      <w:r w:rsidRPr="002F108B">
        <w:rPr>
          <w:lang w:val="en-NZ"/>
        </w:rPr>
        <w:t>the gambling industry. Lotto NZ added information on their website about responsible gambling and where to get help. New and existing MyLotto players received emails with information about harm minimisation, such as lowering online spending limits and blocking themselves from games, and Lotto NZ established a new Lottery COVID-19 Wellbeing fund worth $40 million to support community and social initiatives that lost access to funding</w:t>
      </w:r>
      <w:r w:rsidR="00127A84" w:rsidRPr="002F108B">
        <w:rPr>
          <w:lang w:val="en-NZ"/>
        </w:rPr>
        <w:t>.</w:t>
      </w:r>
      <w:r w:rsidR="00465B9B" w:rsidRPr="002F108B">
        <w:rPr>
          <w:lang w:val="en-NZ"/>
        </w:rPr>
        <w:t xml:space="preserve"> </w:t>
      </w:r>
    </w:p>
    <w:p w14:paraId="71F0A7C6" w14:textId="22BCDAB1" w:rsidR="00BA3C99" w:rsidRPr="002F108B" w:rsidRDefault="00314B29" w:rsidP="00C015A7">
      <w:pPr>
        <w:pStyle w:val="Heading2"/>
        <w:rPr>
          <w:lang w:val="en-NZ"/>
        </w:rPr>
      </w:pPr>
      <w:bookmarkStart w:id="162" w:name="_Toc65250324"/>
      <w:bookmarkStart w:id="163" w:name="_Toc76469799"/>
      <w:r w:rsidRPr="002F108B">
        <w:rPr>
          <w:lang w:val="en-NZ"/>
        </w:rPr>
        <w:t>The profile of c</w:t>
      </w:r>
      <w:r w:rsidR="00605F3B" w:rsidRPr="002F108B">
        <w:rPr>
          <w:lang w:val="en-NZ"/>
        </w:rPr>
        <w:t>lients accessing i</w:t>
      </w:r>
      <w:r w:rsidR="00114B90" w:rsidRPr="002F108B">
        <w:rPr>
          <w:lang w:val="en-NZ"/>
        </w:rPr>
        <w:t>ntervention services</w:t>
      </w:r>
      <w:r w:rsidR="00605F3B" w:rsidRPr="002F108B">
        <w:rPr>
          <w:lang w:val="en-NZ"/>
        </w:rPr>
        <w:t xml:space="preserve"> remains relatively unchanged</w:t>
      </w:r>
      <w:bookmarkEnd w:id="162"/>
      <w:bookmarkEnd w:id="163"/>
    </w:p>
    <w:p w14:paraId="52C7743F" w14:textId="0BE9482C" w:rsidR="00871801" w:rsidRPr="002F108B" w:rsidRDefault="00BA10DA" w:rsidP="00BA10DA">
      <w:pPr>
        <w:rPr>
          <w:lang w:val="en-NZ"/>
        </w:rPr>
      </w:pPr>
      <w:r w:rsidRPr="002F108B">
        <w:rPr>
          <w:lang w:val="en-NZ"/>
        </w:rPr>
        <w:t>The</w:t>
      </w:r>
      <w:r w:rsidR="00980965" w:rsidRPr="002F108B">
        <w:rPr>
          <w:lang w:val="en-NZ"/>
        </w:rPr>
        <w:t xml:space="preserve"> numbers</w:t>
      </w:r>
      <w:r w:rsidRPr="002F108B">
        <w:rPr>
          <w:lang w:val="en-NZ"/>
        </w:rPr>
        <w:t xml:space="preserve"> of clients who have rec</w:t>
      </w:r>
      <w:r w:rsidR="00B439E4" w:rsidRPr="002F108B">
        <w:rPr>
          <w:lang w:val="en-NZ"/>
        </w:rPr>
        <w:t>ei</w:t>
      </w:r>
      <w:r w:rsidRPr="002F108B">
        <w:rPr>
          <w:lang w:val="en-NZ"/>
        </w:rPr>
        <w:t xml:space="preserve">ved </w:t>
      </w:r>
      <w:r w:rsidR="00AF1E50" w:rsidRPr="002F108B">
        <w:rPr>
          <w:lang w:val="en-NZ"/>
        </w:rPr>
        <w:t>treatment services for harmful gambling</w:t>
      </w:r>
      <w:r w:rsidR="00980965" w:rsidRPr="002F108B">
        <w:rPr>
          <w:lang w:val="en-NZ"/>
        </w:rPr>
        <w:t xml:space="preserve"> recorded by the </w:t>
      </w:r>
      <w:r w:rsidRPr="002F108B">
        <w:rPr>
          <w:lang w:val="en-NZ"/>
        </w:rPr>
        <w:t xml:space="preserve">Ministry of </w:t>
      </w:r>
      <w:r w:rsidR="00B439E4" w:rsidRPr="002F108B">
        <w:rPr>
          <w:lang w:val="en-NZ"/>
        </w:rPr>
        <w:t>H</w:t>
      </w:r>
      <w:r w:rsidRPr="002F108B">
        <w:rPr>
          <w:lang w:val="en-NZ"/>
        </w:rPr>
        <w:t>ealth</w:t>
      </w:r>
      <w:r w:rsidR="00443A08" w:rsidRPr="002F108B">
        <w:rPr>
          <w:lang w:val="en-NZ"/>
        </w:rPr>
        <w:t xml:space="preserve"> </w:t>
      </w:r>
      <w:r w:rsidRPr="002F108B">
        <w:rPr>
          <w:lang w:val="en-NZ"/>
        </w:rPr>
        <w:t xml:space="preserve">intervention </w:t>
      </w:r>
      <w:r w:rsidR="006606CF" w:rsidRPr="002F108B">
        <w:rPr>
          <w:lang w:val="en-NZ"/>
        </w:rPr>
        <w:t>data</w:t>
      </w:r>
      <w:r w:rsidRPr="002F108B">
        <w:rPr>
          <w:lang w:val="en-NZ"/>
        </w:rPr>
        <w:t xml:space="preserve"> </w:t>
      </w:r>
      <w:r w:rsidR="00F045F3" w:rsidRPr="002F108B">
        <w:rPr>
          <w:lang w:val="en-NZ"/>
        </w:rPr>
        <w:t>between</w:t>
      </w:r>
      <w:r w:rsidR="007D6BFE" w:rsidRPr="002F108B">
        <w:rPr>
          <w:lang w:val="en-NZ"/>
        </w:rPr>
        <w:t xml:space="preserve"> </w:t>
      </w:r>
      <w:r w:rsidR="00A6340F" w:rsidRPr="002F108B">
        <w:rPr>
          <w:lang w:val="en-NZ"/>
        </w:rPr>
        <w:t>July 2019 and June 2020</w:t>
      </w:r>
      <w:r w:rsidR="00D81536" w:rsidRPr="002F108B">
        <w:rPr>
          <w:lang w:val="en-NZ"/>
        </w:rPr>
        <w:t xml:space="preserve"> (Ministry of Health, 2021)</w:t>
      </w:r>
      <w:r w:rsidR="00F045F3" w:rsidRPr="002F108B">
        <w:rPr>
          <w:lang w:val="en-NZ"/>
        </w:rPr>
        <w:t xml:space="preserve"> included</w:t>
      </w:r>
      <w:r w:rsidR="00871801" w:rsidRPr="002F108B">
        <w:rPr>
          <w:lang w:val="en-NZ"/>
        </w:rPr>
        <w:t>:</w:t>
      </w:r>
    </w:p>
    <w:p w14:paraId="7997A8C9" w14:textId="25F8A652" w:rsidR="007D6BFE" w:rsidRDefault="00871801" w:rsidP="00A6340F">
      <w:pPr>
        <w:pStyle w:val="Bullet"/>
      </w:pPr>
      <w:r>
        <w:t>T</w:t>
      </w:r>
      <w:r w:rsidR="007D6BFE">
        <w:t>he total number of clients</w:t>
      </w:r>
      <w:r w:rsidR="009425E5">
        <w:t xml:space="preserve"> </w:t>
      </w:r>
      <w:r w:rsidR="007C27ED">
        <w:t xml:space="preserve">for all interventions </w:t>
      </w:r>
      <w:r w:rsidR="009425E5">
        <w:t xml:space="preserve">was </w:t>
      </w:r>
      <w:r w:rsidR="00A6340F">
        <w:t>9,502</w:t>
      </w:r>
      <w:r w:rsidR="009425E5">
        <w:t xml:space="preserve"> (including </w:t>
      </w:r>
      <w:r w:rsidR="00A6340F">
        <w:t>2,875</w:t>
      </w:r>
      <w:r w:rsidR="00BD0FFC">
        <w:t xml:space="preserve"> existing clients</w:t>
      </w:r>
      <w:r w:rsidR="00BD0FFC">
        <w:rPr>
          <w:rStyle w:val="FootnoteReference"/>
        </w:rPr>
        <w:footnoteReference w:id="28"/>
      </w:r>
      <w:r w:rsidR="00BD0FFC">
        <w:t xml:space="preserve"> and </w:t>
      </w:r>
      <w:r w:rsidR="00A6340F">
        <w:t>6,627</w:t>
      </w:r>
      <w:r w:rsidR="009425E5">
        <w:t xml:space="preserve"> new clients) </w:t>
      </w:r>
      <w:r>
        <w:t>– a decrease of 1</w:t>
      </w:r>
      <w:r w:rsidR="00A6340F">
        <w:t>0</w:t>
      </w:r>
      <w:r>
        <w:t xml:space="preserve">.4% </w:t>
      </w:r>
      <w:r w:rsidR="000D66AD">
        <w:t>(-</w:t>
      </w:r>
      <w:r w:rsidR="00A6340F">
        <w:t>1,100</w:t>
      </w:r>
      <w:r w:rsidR="000D66AD">
        <w:t xml:space="preserve"> clie</w:t>
      </w:r>
      <w:r w:rsidR="00B439E4">
        <w:t>n</w:t>
      </w:r>
      <w:r w:rsidR="000D66AD">
        <w:t xml:space="preserve">ts) </w:t>
      </w:r>
      <w:r>
        <w:t>compared with the previous year</w:t>
      </w:r>
      <w:r w:rsidR="00443A08">
        <w:t>.</w:t>
      </w:r>
    </w:p>
    <w:p w14:paraId="232E93D8" w14:textId="13BF7550" w:rsidR="00EC73E8" w:rsidRDefault="00EC73E8" w:rsidP="003D7189">
      <w:pPr>
        <w:pStyle w:val="Bullet"/>
        <w:spacing w:before="60" w:after="120" w:line="276" w:lineRule="auto"/>
      </w:pPr>
      <w:r>
        <w:t xml:space="preserve">The total number of clients </w:t>
      </w:r>
      <w:r w:rsidR="002B21F6">
        <w:t xml:space="preserve">excluding brief interventions was </w:t>
      </w:r>
      <w:r w:rsidR="00A6340F">
        <w:t>4,439</w:t>
      </w:r>
      <w:r w:rsidR="002B21F6">
        <w:t xml:space="preserve"> (including </w:t>
      </w:r>
      <w:r w:rsidR="00A6340F">
        <w:t xml:space="preserve">2,487 </w:t>
      </w:r>
      <w:r w:rsidR="00475F67">
        <w:t xml:space="preserve">existing clients and </w:t>
      </w:r>
      <w:r w:rsidR="00A6340F">
        <w:t>1,952</w:t>
      </w:r>
      <w:r w:rsidR="00475F67">
        <w:t xml:space="preserve"> new clients) – a decrease of </w:t>
      </w:r>
      <w:r w:rsidR="00A6340F">
        <w:t>8.6</w:t>
      </w:r>
      <w:r w:rsidR="00475F67">
        <w:t xml:space="preserve">% </w:t>
      </w:r>
      <w:r w:rsidR="00FD2B34">
        <w:t>(-</w:t>
      </w:r>
      <w:r w:rsidR="00A6340F">
        <w:t>417</w:t>
      </w:r>
      <w:r w:rsidR="00FD2B34">
        <w:t xml:space="preserve"> clients) </w:t>
      </w:r>
      <w:r w:rsidR="00475F67">
        <w:t>compared with the previous year</w:t>
      </w:r>
      <w:r w:rsidR="00443A08">
        <w:t>.</w:t>
      </w:r>
    </w:p>
    <w:p w14:paraId="6A81CF23" w14:textId="45712FD6" w:rsidR="004036D4" w:rsidRPr="00443A08" w:rsidRDefault="004036D4" w:rsidP="003D7189">
      <w:pPr>
        <w:pStyle w:val="Bullet"/>
        <w:spacing w:before="60" w:after="120" w:line="276" w:lineRule="auto"/>
      </w:pPr>
      <w:r w:rsidRPr="00443A08">
        <w:t>The proportion of clients receiving support (all interventions) for their gambling behaviour (</w:t>
      </w:r>
      <w:r w:rsidR="00443A08" w:rsidRPr="00443A08">
        <w:t>58.4</w:t>
      </w:r>
      <w:r w:rsidRPr="00443A08">
        <w:t>%) was slightly higher than those identifying as family/affected others (4</w:t>
      </w:r>
      <w:r w:rsidR="00443A08" w:rsidRPr="00443A08">
        <w:t>1</w:t>
      </w:r>
      <w:r w:rsidRPr="00443A08">
        <w:t>.6%).</w:t>
      </w:r>
    </w:p>
    <w:p w14:paraId="0B0FE743" w14:textId="58C8EA38" w:rsidR="007C27ED" w:rsidRPr="00443A08" w:rsidRDefault="00785675" w:rsidP="003D7189">
      <w:pPr>
        <w:pStyle w:val="Bullet"/>
        <w:spacing w:before="60" w:after="120" w:line="276" w:lineRule="auto"/>
      </w:pPr>
      <w:r w:rsidRPr="00443A08">
        <w:t xml:space="preserve">The highest proportion of clients receiving support </w:t>
      </w:r>
      <w:r w:rsidR="00443A08" w:rsidRPr="00443A08">
        <w:t xml:space="preserve">(all interventions) </w:t>
      </w:r>
      <w:r w:rsidR="00AA0B70" w:rsidRPr="00443A08">
        <w:t>identified as</w:t>
      </w:r>
      <w:r w:rsidRPr="00443A08">
        <w:t xml:space="preserve"> </w:t>
      </w:r>
      <w:r w:rsidR="006B5F26" w:rsidRPr="00443A08">
        <w:t>Other</w:t>
      </w:r>
      <w:r w:rsidR="00AA0B70" w:rsidRPr="00443A08">
        <w:rPr>
          <w:rStyle w:val="FootnoteReference"/>
        </w:rPr>
        <w:footnoteReference w:id="29"/>
      </w:r>
      <w:r w:rsidR="006B5F26" w:rsidRPr="00443A08">
        <w:t xml:space="preserve"> (</w:t>
      </w:r>
      <w:r w:rsidR="00443A08" w:rsidRPr="00443A08">
        <w:t>38.2</w:t>
      </w:r>
      <w:r w:rsidR="003F1D9C" w:rsidRPr="00443A08">
        <w:t>% - n=3</w:t>
      </w:r>
      <w:r w:rsidR="00443A08">
        <w:t>,</w:t>
      </w:r>
      <w:r w:rsidR="00443A08" w:rsidRPr="00443A08">
        <w:t>627</w:t>
      </w:r>
      <w:r w:rsidR="003F1D9C" w:rsidRPr="00443A08">
        <w:t xml:space="preserve">) followed by </w:t>
      </w:r>
      <w:r w:rsidRPr="00443A08">
        <w:t>Māori (</w:t>
      </w:r>
      <w:r w:rsidR="00443A08" w:rsidRPr="00443A08">
        <w:t>32.0</w:t>
      </w:r>
      <w:r w:rsidR="00041122" w:rsidRPr="00443A08">
        <w:t>%, n=</w:t>
      </w:r>
      <w:r w:rsidR="00443A08" w:rsidRPr="00443A08">
        <w:t>3</w:t>
      </w:r>
      <w:r w:rsidR="00443A08">
        <w:t>,</w:t>
      </w:r>
      <w:r w:rsidR="00443A08" w:rsidRPr="00443A08">
        <w:t>041</w:t>
      </w:r>
      <w:r w:rsidR="00041122" w:rsidRPr="00443A08">
        <w:t>), Pacific (</w:t>
      </w:r>
      <w:r w:rsidR="00443A08" w:rsidRPr="00443A08">
        <w:t>20.0</w:t>
      </w:r>
      <w:r w:rsidR="00041122" w:rsidRPr="00443A08">
        <w:t>%, n=</w:t>
      </w:r>
      <w:r w:rsidR="00443A08" w:rsidRPr="00443A08">
        <w:t>1</w:t>
      </w:r>
      <w:r w:rsidR="00443A08">
        <w:t>,</w:t>
      </w:r>
      <w:r w:rsidR="00443A08" w:rsidRPr="00443A08">
        <w:t>897</w:t>
      </w:r>
      <w:r w:rsidR="00041122" w:rsidRPr="00443A08">
        <w:t>) and Asian (9.9%, n=</w:t>
      </w:r>
      <w:r w:rsidR="00443A08" w:rsidRPr="00443A08">
        <w:t>937</w:t>
      </w:r>
      <w:r w:rsidR="00041122" w:rsidRPr="00443A08">
        <w:t>)</w:t>
      </w:r>
      <w:r w:rsidR="00443A08">
        <w:t>.</w:t>
      </w:r>
    </w:p>
    <w:p w14:paraId="7D903497" w14:textId="3B619372" w:rsidR="009776C7" w:rsidRPr="00443A08" w:rsidRDefault="009776C7" w:rsidP="003D7189">
      <w:pPr>
        <w:pStyle w:val="Bullet"/>
        <w:spacing w:before="60" w:after="120" w:line="276" w:lineRule="auto"/>
      </w:pPr>
      <w:r w:rsidRPr="00443A08">
        <w:t xml:space="preserve">The </w:t>
      </w:r>
      <w:r w:rsidR="00B15270" w:rsidRPr="00443A08">
        <w:t xml:space="preserve">highest </w:t>
      </w:r>
      <w:r w:rsidRPr="00443A08">
        <w:t xml:space="preserve">proportion of clients recieving support excuding brief interventions </w:t>
      </w:r>
      <w:r w:rsidR="00B15270" w:rsidRPr="00443A08">
        <w:t>identified as Other (</w:t>
      </w:r>
      <w:r w:rsidR="00443A08" w:rsidRPr="00443A08">
        <w:t>45.6</w:t>
      </w:r>
      <w:r w:rsidR="00B15270" w:rsidRPr="00443A08">
        <w:t>%, n=2,</w:t>
      </w:r>
      <w:r w:rsidR="00443A08" w:rsidRPr="00443A08">
        <w:t>023</w:t>
      </w:r>
      <w:r w:rsidR="00B15270" w:rsidRPr="00443A08">
        <w:t xml:space="preserve">), </w:t>
      </w:r>
      <w:r w:rsidR="00A11911" w:rsidRPr="00443A08">
        <w:t>followed by Māori (</w:t>
      </w:r>
      <w:r w:rsidR="00443A08" w:rsidRPr="00443A08">
        <w:t>25.3</w:t>
      </w:r>
      <w:r w:rsidR="00A11911" w:rsidRPr="00443A08">
        <w:t>%, n=</w:t>
      </w:r>
      <w:r w:rsidR="00443A08" w:rsidRPr="00443A08">
        <w:t>1,125</w:t>
      </w:r>
      <w:r w:rsidR="00A11911" w:rsidRPr="00443A08">
        <w:t>), Pacific (</w:t>
      </w:r>
      <w:r w:rsidR="00443A08" w:rsidRPr="00443A08">
        <w:t>19.8</w:t>
      </w:r>
      <w:r w:rsidR="00A11911" w:rsidRPr="00443A08">
        <w:t>%, n=</w:t>
      </w:r>
      <w:r w:rsidR="00443A08" w:rsidRPr="00443A08">
        <w:t>881</w:t>
      </w:r>
      <w:r w:rsidR="00A11911" w:rsidRPr="00443A08">
        <w:t>) and Asian (</w:t>
      </w:r>
      <w:r w:rsidR="00443A08" w:rsidRPr="00443A08">
        <w:t>9.2</w:t>
      </w:r>
      <w:r w:rsidR="00B6181D" w:rsidRPr="00443A08">
        <w:t>% n=4</w:t>
      </w:r>
      <w:r w:rsidR="00443A08" w:rsidRPr="00443A08">
        <w:t>10</w:t>
      </w:r>
      <w:r w:rsidR="00B6181D" w:rsidRPr="00443A08">
        <w:t>).</w:t>
      </w:r>
    </w:p>
    <w:p w14:paraId="76914678" w14:textId="30FD965D" w:rsidR="00405C37" w:rsidRPr="002F108B" w:rsidRDefault="00405C37" w:rsidP="00C015A7">
      <w:pPr>
        <w:pStyle w:val="Heading2"/>
        <w:rPr>
          <w:lang w:val="en-NZ"/>
        </w:rPr>
      </w:pPr>
      <w:bookmarkStart w:id="164" w:name="_Toc65497862"/>
      <w:bookmarkStart w:id="165" w:name="_Toc65497863"/>
      <w:bookmarkStart w:id="166" w:name="_Toc65250325"/>
      <w:bookmarkStart w:id="167" w:name="_Toc76469800"/>
      <w:bookmarkEnd w:id="164"/>
      <w:bookmarkEnd w:id="165"/>
      <w:r w:rsidRPr="002F108B">
        <w:rPr>
          <w:lang w:val="en-NZ"/>
        </w:rPr>
        <w:t>Class 4 EGM</w:t>
      </w:r>
      <w:r w:rsidR="0089123B" w:rsidRPr="002F108B">
        <w:rPr>
          <w:lang w:val="en-NZ"/>
        </w:rPr>
        <w:t>s</w:t>
      </w:r>
      <w:r w:rsidRPr="002F108B">
        <w:rPr>
          <w:lang w:val="en-NZ"/>
        </w:rPr>
        <w:t xml:space="preserve"> remain the most common primary gambling mode for clients </w:t>
      </w:r>
      <w:r w:rsidR="00F95E52" w:rsidRPr="002F108B">
        <w:rPr>
          <w:lang w:val="en-NZ"/>
        </w:rPr>
        <w:t xml:space="preserve">accessing </w:t>
      </w:r>
      <w:r w:rsidRPr="002F108B">
        <w:rPr>
          <w:lang w:val="en-NZ"/>
        </w:rPr>
        <w:t>intervention services</w:t>
      </w:r>
      <w:bookmarkEnd w:id="166"/>
      <w:bookmarkEnd w:id="167"/>
      <w:r w:rsidRPr="002F108B">
        <w:rPr>
          <w:lang w:val="en-NZ"/>
        </w:rPr>
        <w:t xml:space="preserve"> </w:t>
      </w:r>
    </w:p>
    <w:p w14:paraId="76815AD1" w14:textId="65A0B87A" w:rsidR="00B1280B" w:rsidRPr="002F108B" w:rsidRDefault="0002662E" w:rsidP="00BA1401">
      <w:pPr>
        <w:rPr>
          <w:lang w:val="en-NZ"/>
        </w:rPr>
      </w:pPr>
      <w:r>
        <w:rPr>
          <w:lang w:val="en-NZ"/>
        </w:rPr>
        <w:t>In 2019/20, t</w:t>
      </w:r>
      <w:r w:rsidR="00BA1401" w:rsidRPr="002F108B">
        <w:rPr>
          <w:lang w:val="en-NZ"/>
        </w:rPr>
        <w:t>he</w:t>
      </w:r>
      <w:r w:rsidR="00B1280B" w:rsidRPr="002F108B">
        <w:rPr>
          <w:lang w:val="en-NZ"/>
        </w:rPr>
        <w:t xml:space="preserve"> primary gambling mode for more than half of all clients </w:t>
      </w:r>
      <w:r w:rsidR="00BA1401" w:rsidRPr="002F108B">
        <w:rPr>
          <w:lang w:val="en-NZ"/>
        </w:rPr>
        <w:t xml:space="preserve">accessing intervention services </w:t>
      </w:r>
      <w:r w:rsidR="00B1280B" w:rsidRPr="002F108B">
        <w:rPr>
          <w:lang w:val="en-NZ"/>
        </w:rPr>
        <w:t>(</w:t>
      </w:r>
      <w:r w:rsidR="00892522" w:rsidRPr="002F108B">
        <w:rPr>
          <w:lang w:val="en-NZ"/>
        </w:rPr>
        <w:t>52</w:t>
      </w:r>
      <w:r w:rsidR="00B1280B" w:rsidRPr="002F108B">
        <w:rPr>
          <w:lang w:val="en-NZ"/>
        </w:rPr>
        <w:t xml:space="preserve">%) was Class 4 EGMs, followed by </w:t>
      </w:r>
      <w:r w:rsidR="006306BC" w:rsidRPr="002F108B">
        <w:rPr>
          <w:lang w:val="en-NZ"/>
        </w:rPr>
        <w:t>Lotto NZ</w:t>
      </w:r>
      <w:r w:rsidR="001B2F49" w:rsidRPr="002F108B">
        <w:rPr>
          <w:lang w:val="en-NZ"/>
        </w:rPr>
        <w:t xml:space="preserve"> </w:t>
      </w:r>
      <w:r w:rsidR="006306BC" w:rsidRPr="002F108B">
        <w:rPr>
          <w:lang w:val="en-NZ"/>
        </w:rPr>
        <w:t>p</w:t>
      </w:r>
      <w:r w:rsidR="001B2F49" w:rsidRPr="002F108B">
        <w:rPr>
          <w:lang w:val="en-NZ"/>
        </w:rPr>
        <w:t>roducts (</w:t>
      </w:r>
      <w:r w:rsidR="00892522" w:rsidRPr="002F108B">
        <w:rPr>
          <w:lang w:val="en-NZ"/>
        </w:rPr>
        <w:t>10.6</w:t>
      </w:r>
      <w:r w:rsidR="001B2F49" w:rsidRPr="002F108B">
        <w:rPr>
          <w:lang w:val="en-NZ"/>
        </w:rPr>
        <w:t xml:space="preserve">%), Casino EGM </w:t>
      </w:r>
      <w:r w:rsidR="0010190B" w:rsidRPr="002F108B">
        <w:rPr>
          <w:lang w:val="en-NZ"/>
        </w:rPr>
        <w:t xml:space="preserve">and NZ Racing </w:t>
      </w:r>
      <w:r w:rsidR="0010190B" w:rsidRPr="002F108B">
        <w:rPr>
          <w:lang w:val="en-NZ"/>
        </w:rPr>
        <w:lastRenderedPageBreak/>
        <w:t>Board (</w:t>
      </w:r>
      <w:r w:rsidR="00892522" w:rsidRPr="002F108B">
        <w:rPr>
          <w:lang w:val="en-NZ"/>
        </w:rPr>
        <w:t xml:space="preserve">9.6% and </w:t>
      </w:r>
      <w:r w:rsidR="0010190B" w:rsidRPr="002F108B">
        <w:rPr>
          <w:lang w:val="en-NZ"/>
        </w:rPr>
        <w:t>9.5%</w:t>
      </w:r>
      <w:r w:rsidR="000E7924" w:rsidRPr="002F108B">
        <w:rPr>
          <w:lang w:val="en-NZ"/>
        </w:rPr>
        <w:t>,</w:t>
      </w:r>
      <w:r w:rsidR="0010190B" w:rsidRPr="002F108B">
        <w:rPr>
          <w:lang w:val="en-NZ"/>
        </w:rPr>
        <w:t xml:space="preserve"> respectively), </w:t>
      </w:r>
      <w:r w:rsidR="00892522" w:rsidRPr="002F108B">
        <w:rPr>
          <w:lang w:val="en-NZ"/>
        </w:rPr>
        <w:t xml:space="preserve">Casino EGM (7.7%), </w:t>
      </w:r>
      <w:r w:rsidR="00C2419A" w:rsidRPr="002F108B">
        <w:rPr>
          <w:lang w:val="en-NZ"/>
        </w:rPr>
        <w:t>Other (</w:t>
      </w:r>
      <w:r w:rsidR="00892522" w:rsidRPr="002F108B">
        <w:rPr>
          <w:lang w:val="en-NZ"/>
        </w:rPr>
        <w:t>7</w:t>
      </w:r>
      <w:r w:rsidR="00C2419A" w:rsidRPr="002F108B">
        <w:rPr>
          <w:lang w:val="en-NZ"/>
        </w:rPr>
        <w:t>%), Housie (</w:t>
      </w:r>
      <w:r w:rsidR="00892522" w:rsidRPr="002F108B">
        <w:rPr>
          <w:lang w:val="en-NZ"/>
        </w:rPr>
        <w:t>2.3</w:t>
      </w:r>
      <w:r w:rsidR="00C2419A" w:rsidRPr="002F108B">
        <w:rPr>
          <w:lang w:val="en-NZ"/>
        </w:rPr>
        <w:t>%)</w:t>
      </w:r>
      <w:r w:rsidR="00892522" w:rsidRPr="002F108B">
        <w:rPr>
          <w:lang w:val="en-NZ"/>
        </w:rPr>
        <w:t xml:space="preserve"> and Cards (1.4%) (Ministry of health, 2021)</w:t>
      </w:r>
      <w:r w:rsidR="00C2419A" w:rsidRPr="002F108B">
        <w:rPr>
          <w:lang w:val="en-NZ"/>
        </w:rPr>
        <w:t>.</w:t>
      </w:r>
    </w:p>
    <w:p w14:paraId="77129810" w14:textId="77777777" w:rsidR="00045413" w:rsidRDefault="00045413" w:rsidP="002B4028">
      <w:pPr>
        <w:pStyle w:val="Caption"/>
        <w:rPr>
          <w:lang w:val="en-NZ"/>
        </w:rPr>
        <w:sectPr w:rsidR="00045413" w:rsidSect="00430422">
          <w:headerReference w:type="default" r:id="rId25"/>
          <w:footerReference w:type="default" r:id="rId26"/>
          <w:pgSz w:w="11906" w:h="16838" w:code="9"/>
          <w:pgMar w:top="1440" w:right="1440" w:bottom="1440" w:left="1440" w:header="284" w:footer="567" w:gutter="0"/>
          <w:cols w:space="708"/>
          <w:docGrid w:linePitch="360"/>
        </w:sectPr>
      </w:pPr>
      <w:bookmarkStart w:id="168" w:name="_Toc65103654"/>
    </w:p>
    <w:p w14:paraId="6A5AD948" w14:textId="5E1432B4" w:rsidR="00BA1401" w:rsidRPr="002F108B" w:rsidRDefault="00BA1401" w:rsidP="002B4028">
      <w:pPr>
        <w:pStyle w:val="Caption"/>
        <w:rPr>
          <w:lang w:val="en-NZ"/>
        </w:rPr>
      </w:pPr>
      <w:bookmarkStart w:id="169" w:name="_Toc69809945"/>
      <w:r w:rsidRPr="002F108B">
        <w:rPr>
          <w:lang w:val="en-NZ"/>
        </w:rPr>
        <w:lastRenderedPageBreak/>
        <w:t xml:space="preserve">Table </w:t>
      </w:r>
      <w:r w:rsidRPr="002F108B">
        <w:rPr>
          <w:lang w:val="en-NZ"/>
        </w:rPr>
        <w:fldChar w:fldCharType="begin"/>
      </w:r>
      <w:r w:rsidRPr="002F108B">
        <w:rPr>
          <w:lang w:val="en-NZ"/>
        </w:rPr>
        <w:instrText xml:space="preserve"> SEQ Table \* ARABIC </w:instrText>
      </w:r>
      <w:r w:rsidRPr="002F108B">
        <w:rPr>
          <w:lang w:val="en-NZ"/>
        </w:rPr>
        <w:fldChar w:fldCharType="separate"/>
      </w:r>
      <w:r w:rsidR="009B1BDF">
        <w:rPr>
          <w:noProof/>
          <w:lang w:val="en-NZ"/>
        </w:rPr>
        <w:t>4</w:t>
      </w:r>
      <w:r w:rsidRPr="002F108B">
        <w:rPr>
          <w:lang w:val="en-NZ"/>
        </w:rPr>
        <w:fldChar w:fldCharType="end"/>
      </w:r>
      <w:r w:rsidR="00CA745C" w:rsidRPr="002F108B">
        <w:rPr>
          <w:lang w:val="en-NZ"/>
        </w:rPr>
        <w:t>: Intervention clients assisted by primary problem gambling mode</w:t>
      </w:r>
      <w:bookmarkEnd w:id="168"/>
      <w:bookmarkEnd w:id="169"/>
      <w:r w:rsidR="0002662E">
        <w:rPr>
          <w:lang w:val="en-NZ"/>
        </w:rPr>
        <w:t xml:space="preserve"> – 2019/20</w:t>
      </w:r>
    </w:p>
    <w:tbl>
      <w:tblPr>
        <w:tblStyle w:val="MITableClassic"/>
        <w:tblW w:w="5000" w:type="pct"/>
        <w:tblLook w:val="04A0" w:firstRow="1" w:lastRow="0" w:firstColumn="1" w:lastColumn="0" w:noHBand="0" w:noVBand="1"/>
      </w:tblPr>
      <w:tblGrid>
        <w:gridCol w:w="2276"/>
        <w:gridCol w:w="2278"/>
        <w:gridCol w:w="2484"/>
        <w:gridCol w:w="1988"/>
      </w:tblGrid>
      <w:tr w:rsidR="00B054DC" w:rsidRPr="00045413" w14:paraId="223BA7AA" w14:textId="77777777" w:rsidTr="00CA7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3" w:type="pct"/>
            <w:gridSpan w:val="2"/>
          </w:tcPr>
          <w:p w14:paraId="54F59119" w14:textId="546722B3" w:rsidR="00B054DC" w:rsidRPr="00045413" w:rsidRDefault="00B054DC" w:rsidP="00045413">
            <w:pPr>
              <w:spacing w:before="0" w:after="0" w:line="240" w:lineRule="auto"/>
              <w:rPr>
                <w:rFonts w:cs="Calibri"/>
                <w:lang w:val="en-NZ"/>
              </w:rPr>
            </w:pPr>
            <w:r w:rsidRPr="00045413">
              <w:rPr>
                <w:rFonts w:cs="Calibri"/>
                <w:lang w:val="en-NZ"/>
              </w:rPr>
              <w:t>Gambling mode</w:t>
            </w:r>
          </w:p>
        </w:tc>
        <w:tc>
          <w:tcPr>
            <w:tcW w:w="1376" w:type="pct"/>
          </w:tcPr>
          <w:p w14:paraId="6BCC4565" w14:textId="64EDC826" w:rsidR="00B054DC" w:rsidRPr="00045413" w:rsidRDefault="00B054DC" w:rsidP="00045413">
            <w:pPr>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val="en-NZ"/>
              </w:rPr>
            </w:pPr>
            <w:r w:rsidRPr="00045413">
              <w:rPr>
                <w:rFonts w:cs="Calibri"/>
                <w:lang w:val="en-NZ"/>
              </w:rPr>
              <w:t>Client type</w:t>
            </w:r>
          </w:p>
        </w:tc>
        <w:tc>
          <w:tcPr>
            <w:tcW w:w="1101" w:type="pct"/>
          </w:tcPr>
          <w:p w14:paraId="0BFDCA04" w14:textId="4BA91C30" w:rsidR="00B054DC" w:rsidRPr="00045413" w:rsidRDefault="00B054DC" w:rsidP="000454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lang w:val="en-NZ"/>
              </w:rPr>
            </w:pPr>
            <w:r w:rsidRPr="00045413">
              <w:rPr>
                <w:rFonts w:cs="Calibri"/>
                <w:lang w:val="en-NZ"/>
              </w:rPr>
              <w:t>Total</w:t>
            </w:r>
            <w:r w:rsidRPr="00045413">
              <w:rPr>
                <w:rStyle w:val="FootnoteReference"/>
                <w:rFonts w:cs="Calibri"/>
                <w:lang w:val="en-NZ"/>
              </w:rPr>
              <w:footnoteReference w:id="30"/>
            </w:r>
            <w:r w:rsidRPr="00045413">
              <w:rPr>
                <w:rFonts w:cs="Calibri"/>
                <w:lang w:val="en-NZ"/>
              </w:rPr>
              <w:t xml:space="preserve"> </w:t>
            </w:r>
          </w:p>
        </w:tc>
      </w:tr>
      <w:tr w:rsidR="00B054DC" w:rsidRPr="00045413" w14:paraId="4D2EFAC8"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3E2B1637"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Non-Casino EGMs</w:t>
            </w:r>
          </w:p>
        </w:tc>
        <w:tc>
          <w:tcPr>
            <w:tcW w:w="1262" w:type="pct"/>
            <w:vMerge w:val="restart"/>
          </w:tcPr>
          <w:p w14:paraId="2D8A8E63" w14:textId="1BA42C48"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r w:rsidRPr="00045413">
              <w:rPr>
                <w:rStyle w:val="FootnoteReference"/>
                <w:rFonts w:cs="Calibri"/>
                <w:sz w:val="20"/>
                <w:szCs w:val="20"/>
                <w:lang w:val="en-NZ"/>
              </w:rPr>
              <w:footnoteReference w:id="31"/>
            </w:r>
          </w:p>
        </w:tc>
        <w:tc>
          <w:tcPr>
            <w:tcW w:w="1376" w:type="pct"/>
          </w:tcPr>
          <w:p w14:paraId="37852EF4" w14:textId="2E2E919A"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Pr>
          <w:p w14:paraId="0ACF48F8" w14:textId="75AC4BCB"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416</w:t>
            </w:r>
          </w:p>
        </w:tc>
      </w:tr>
      <w:tr w:rsidR="00B054DC" w:rsidRPr="00045413" w14:paraId="7F67A2AB" w14:textId="77777777" w:rsidTr="00CA745C">
        <w:trPr>
          <w:trHeight w:val="171"/>
        </w:trPr>
        <w:tc>
          <w:tcPr>
            <w:cnfStyle w:val="001000000000" w:firstRow="0" w:lastRow="0" w:firstColumn="1" w:lastColumn="0" w:oddVBand="0" w:evenVBand="0" w:oddHBand="0" w:evenHBand="0" w:firstRowFirstColumn="0" w:firstRowLastColumn="0" w:lastRowFirstColumn="0" w:lastRowLastColumn="0"/>
            <w:tcW w:w="1261" w:type="pct"/>
            <w:vMerge/>
            <w:tcBorders>
              <w:bottom w:val="nil"/>
            </w:tcBorders>
          </w:tcPr>
          <w:p w14:paraId="1F3E5170"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7BB1B2A3" w14:textId="7322F5D8"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6B1F1D69" w14:textId="614F6DD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6B60E615" w14:textId="78B6A783"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1682</w:t>
            </w:r>
          </w:p>
        </w:tc>
      </w:tr>
      <w:tr w:rsidR="00B054DC" w:rsidRPr="00045413" w14:paraId="793B4DAE"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45811EAE"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44F1DD2A" w14:textId="0B404534"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r w:rsidR="00A6324E" w:rsidRPr="00045413">
              <w:rPr>
                <w:rStyle w:val="FootnoteReference"/>
                <w:rFonts w:cs="Calibri"/>
                <w:sz w:val="20"/>
                <w:szCs w:val="20"/>
                <w:lang w:val="en-NZ"/>
              </w:rPr>
              <w:footnoteReference w:id="32"/>
            </w:r>
          </w:p>
        </w:tc>
        <w:tc>
          <w:tcPr>
            <w:tcW w:w="1376" w:type="pct"/>
            <w:tcBorders>
              <w:top w:val="single" w:sz="4" w:space="0" w:color="auto"/>
              <w:bottom w:val="single" w:sz="4" w:space="0" w:color="auto"/>
            </w:tcBorders>
          </w:tcPr>
          <w:p w14:paraId="0DBE5DB1"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030BDD74" w14:textId="42DC87D6"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4945</w:t>
            </w:r>
          </w:p>
        </w:tc>
      </w:tr>
      <w:tr w:rsidR="00B054DC" w:rsidRPr="00045413" w14:paraId="33BD9956"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1C61D0E0"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Casino EGMs</w:t>
            </w:r>
          </w:p>
        </w:tc>
        <w:tc>
          <w:tcPr>
            <w:tcW w:w="1262" w:type="pct"/>
            <w:vMerge w:val="restart"/>
            <w:tcBorders>
              <w:top w:val="single" w:sz="4" w:space="0" w:color="auto"/>
            </w:tcBorders>
          </w:tcPr>
          <w:p w14:paraId="0A968A71" w14:textId="531DC359"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4C49C5F4" w14:textId="37572C4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283C7E14" w14:textId="2E38554C"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86</w:t>
            </w:r>
          </w:p>
        </w:tc>
      </w:tr>
      <w:tr w:rsidR="00B054DC" w:rsidRPr="00045413" w14:paraId="0F8C30AE"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067EA689"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6E0037F0" w14:textId="6CB8BEDA"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196EF5C4" w14:textId="726ACC5B"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65E14E78" w14:textId="1BE7CC16"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327</w:t>
            </w:r>
          </w:p>
        </w:tc>
      </w:tr>
      <w:tr w:rsidR="00B054DC" w:rsidRPr="00045413" w14:paraId="6071F3E5"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34B66514"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4D424118" w14:textId="155257D8"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01C80213"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4C93E2D5" w14:textId="268D1E78"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735</w:t>
            </w:r>
          </w:p>
        </w:tc>
      </w:tr>
      <w:tr w:rsidR="00B054DC" w:rsidRPr="00045413" w14:paraId="75785B27"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00638B5E"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Casino Table</w:t>
            </w:r>
          </w:p>
        </w:tc>
        <w:tc>
          <w:tcPr>
            <w:tcW w:w="1262" w:type="pct"/>
            <w:vMerge w:val="restart"/>
            <w:tcBorders>
              <w:top w:val="single" w:sz="4" w:space="0" w:color="auto"/>
            </w:tcBorders>
          </w:tcPr>
          <w:p w14:paraId="326DFA38" w14:textId="37DC10B0"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402500E6" w14:textId="264A67BA"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2DD59315" w14:textId="0ED69719"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80</w:t>
            </w:r>
          </w:p>
        </w:tc>
      </w:tr>
      <w:tr w:rsidR="00B054DC" w:rsidRPr="00045413" w14:paraId="1298184D"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1ADCBFD0"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759DCB6D" w14:textId="4274EE0A"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41920A03" w14:textId="062EAD95"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293C8A73" w14:textId="596F41B8"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405</w:t>
            </w:r>
          </w:p>
        </w:tc>
      </w:tr>
      <w:tr w:rsidR="00B054DC" w:rsidRPr="00045413" w14:paraId="04A2063D"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53EEF11D"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4504DE07" w14:textId="7F3E979A"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66C67F58"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509F26D8" w14:textId="1C390D0F"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909</w:t>
            </w:r>
          </w:p>
        </w:tc>
      </w:tr>
      <w:tr w:rsidR="00B054DC" w:rsidRPr="00045413" w14:paraId="43C0C7C8"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3308EA66"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Lotteries commission products</w:t>
            </w:r>
          </w:p>
        </w:tc>
        <w:tc>
          <w:tcPr>
            <w:tcW w:w="1262" w:type="pct"/>
            <w:vMerge w:val="restart"/>
            <w:tcBorders>
              <w:top w:val="single" w:sz="4" w:space="0" w:color="auto"/>
            </w:tcBorders>
          </w:tcPr>
          <w:p w14:paraId="7FD0A56C" w14:textId="1079043C"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0267260F" w14:textId="0F7A0C70"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0DF67A5C" w14:textId="53B6AA6D"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162</w:t>
            </w:r>
          </w:p>
        </w:tc>
      </w:tr>
      <w:tr w:rsidR="00B054DC" w:rsidRPr="00045413" w14:paraId="1F1AC94B"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643351D3"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359D5189" w14:textId="4D12C599"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6F4DB2CF" w14:textId="47C5DD9B"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0DCD7C00" w14:textId="21B4F75C"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346</w:t>
            </w:r>
          </w:p>
        </w:tc>
      </w:tr>
      <w:tr w:rsidR="00B054DC" w:rsidRPr="00045413" w14:paraId="1C0FD4FB"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523A95A3"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34498D3C" w14:textId="2DC7C882"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04BC15E3"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tcPr>
          <w:p w14:paraId="25A3E834" w14:textId="36823D25"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1003</w:t>
            </w:r>
          </w:p>
        </w:tc>
      </w:tr>
      <w:tr w:rsidR="00B054DC" w:rsidRPr="00045413" w14:paraId="1915E587"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5287DE62" w14:textId="3D707B2D" w:rsidR="00B054DC" w:rsidRPr="00045413" w:rsidRDefault="00892522" w:rsidP="00045413">
            <w:pPr>
              <w:spacing w:before="0" w:after="0" w:line="240" w:lineRule="auto"/>
              <w:rPr>
                <w:rFonts w:cs="Calibri"/>
                <w:sz w:val="20"/>
                <w:szCs w:val="20"/>
                <w:lang w:val="en-NZ"/>
              </w:rPr>
            </w:pPr>
            <w:r w:rsidRPr="00045413">
              <w:rPr>
                <w:rFonts w:cs="Calibri"/>
                <w:sz w:val="20"/>
                <w:szCs w:val="20"/>
                <w:lang w:val="en-NZ"/>
              </w:rPr>
              <w:t>TAB NZ</w:t>
            </w:r>
          </w:p>
        </w:tc>
        <w:tc>
          <w:tcPr>
            <w:tcW w:w="1262" w:type="pct"/>
            <w:vMerge w:val="restart"/>
            <w:tcBorders>
              <w:top w:val="single" w:sz="4" w:space="0" w:color="auto"/>
            </w:tcBorders>
          </w:tcPr>
          <w:p w14:paraId="78FD0DB1" w14:textId="0DA4328A"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1F032F65" w14:textId="583BCB33"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5E5FB7AA" w14:textId="1F3232CF"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81</w:t>
            </w:r>
          </w:p>
        </w:tc>
      </w:tr>
      <w:tr w:rsidR="00B054DC" w:rsidRPr="00045413" w14:paraId="1C913704"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74186609"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57C4F7E9" w14:textId="5E04AAC6"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3A6784A7" w14:textId="0CD37128"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5CB4BBB0" w14:textId="63D3F149"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325</w:t>
            </w:r>
          </w:p>
        </w:tc>
      </w:tr>
      <w:tr w:rsidR="00B054DC" w:rsidRPr="00045413" w14:paraId="4A93A139"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4AC485FA"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456C98C9" w14:textId="46B7D2E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722E258B"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4AC6E031" w14:textId="54DC5F4D"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900</w:t>
            </w:r>
          </w:p>
        </w:tc>
      </w:tr>
      <w:tr w:rsidR="00B054DC" w:rsidRPr="00045413" w14:paraId="13242840"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1EC647C9"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Cards</w:t>
            </w:r>
          </w:p>
        </w:tc>
        <w:tc>
          <w:tcPr>
            <w:tcW w:w="1262" w:type="pct"/>
            <w:vMerge w:val="restart"/>
            <w:tcBorders>
              <w:top w:val="single" w:sz="4" w:space="0" w:color="auto"/>
            </w:tcBorders>
          </w:tcPr>
          <w:p w14:paraId="63D88175" w14:textId="6F338935"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03EB5108" w14:textId="5374B9F1"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3ADEDF2A" w14:textId="2540E863"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8</w:t>
            </w:r>
          </w:p>
        </w:tc>
      </w:tr>
      <w:tr w:rsidR="00B054DC" w:rsidRPr="00045413" w14:paraId="1E3419FE"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03ECA0C4"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3C585FDA" w14:textId="0C2F0C04"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25621333" w14:textId="26A8C9F3"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6A6E22A6" w14:textId="461FE885"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47</w:t>
            </w:r>
          </w:p>
        </w:tc>
      </w:tr>
      <w:tr w:rsidR="00B054DC" w:rsidRPr="00045413" w14:paraId="60E8CC02"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26296DF3"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3B7C9673" w14:textId="1522C222"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35A48143"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2486C2B8" w14:textId="512805E4"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134</w:t>
            </w:r>
          </w:p>
        </w:tc>
      </w:tr>
      <w:tr w:rsidR="00B054DC" w:rsidRPr="00045413" w14:paraId="5E4C0B43"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4BABEF60"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Housie</w:t>
            </w:r>
          </w:p>
        </w:tc>
        <w:tc>
          <w:tcPr>
            <w:tcW w:w="1262" w:type="pct"/>
            <w:vMerge w:val="restart"/>
            <w:tcBorders>
              <w:top w:val="single" w:sz="4" w:space="0" w:color="auto"/>
            </w:tcBorders>
          </w:tcPr>
          <w:p w14:paraId="21FB488D" w14:textId="2723B57C"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401AFBA7" w14:textId="400E244C"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1A70391F" w14:textId="0776D1ED"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48</w:t>
            </w:r>
          </w:p>
        </w:tc>
      </w:tr>
      <w:tr w:rsidR="00B054DC" w:rsidRPr="00045413" w14:paraId="3F655E92"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27060A02"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0222D912" w14:textId="5B21494E"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0DEE2A9C" w14:textId="34582E85"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6D3257F6" w14:textId="74601942"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37</w:t>
            </w:r>
          </w:p>
        </w:tc>
      </w:tr>
      <w:tr w:rsidR="00B054DC" w:rsidRPr="00045413" w14:paraId="06531AD1"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tcPr>
          <w:p w14:paraId="06521262"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1D01449C" w14:textId="717E6080"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54B1C4A0"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699B4FD9" w14:textId="25B5E09B"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218</w:t>
            </w:r>
          </w:p>
        </w:tc>
      </w:tr>
      <w:tr w:rsidR="00B054DC" w:rsidRPr="00045413" w14:paraId="41A86EA6" w14:textId="77777777" w:rsidTr="00CA745C">
        <w:tc>
          <w:tcPr>
            <w:cnfStyle w:val="001000000000" w:firstRow="0" w:lastRow="0" w:firstColumn="1" w:lastColumn="0" w:oddVBand="0" w:evenVBand="0" w:oddHBand="0" w:evenHBand="0" w:firstRowFirstColumn="0" w:firstRowLastColumn="0" w:lastRowFirstColumn="0" w:lastRowLastColumn="0"/>
            <w:tcW w:w="1261" w:type="pct"/>
            <w:vMerge w:val="restart"/>
          </w:tcPr>
          <w:p w14:paraId="2AAB5BBB" w14:textId="77777777" w:rsidR="00B054DC" w:rsidRPr="00045413" w:rsidRDefault="00B054DC" w:rsidP="00045413">
            <w:pPr>
              <w:spacing w:before="0" w:after="0" w:line="240" w:lineRule="auto"/>
              <w:rPr>
                <w:rFonts w:cs="Calibri"/>
                <w:sz w:val="20"/>
                <w:szCs w:val="20"/>
                <w:lang w:val="en-NZ"/>
              </w:rPr>
            </w:pPr>
            <w:r w:rsidRPr="00045413">
              <w:rPr>
                <w:rFonts w:cs="Calibri"/>
                <w:sz w:val="20"/>
                <w:szCs w:val="20"/>
                <w:lang w:val="en-NZ"/>
              </w:rPr>
              <w:t>Other</w:t>
            </w:r>
          </w:p>
        </w:tc>
        <w:tc>
          <w:tcPr>
            <w:tcW w:w="1262" w:type="pct"/>
            <w:vMerge w:val="restart"/>
            <w:tcBorders>
              <w:top w:val="single" w:sz="4" w:space="0" w:color="auto"/>
            </w:tcBorders>
          </w:tcPr>
          <w:p w14:paraId="75771BA1" w14:textId="1FF61A02"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tcBorders>
          </w:tcPr>
          <w:p w14:paraId="756BF8E7" w14:textId="799357F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tcBorders>
          </w:tcPr>
          <w:p w14:paraId="7D730C36" w14:textId="4D7655E0"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88</w:t>
            </w:r>
          </w:p>
        </w:tc>
      </w:tr>
      <w:tr w:rsidR="00B054DC" w:rsidRPr="00045413" w14:paraId="3A74B6D4" w14:textId="77777777" w:rsidTr="00EF3BAA">
        <w:tc>
          <w:tcPr>
            <w:cnfStyle w:val="001000000000" w:firstRow="0" w:lastRow="0" w:firstColumn="1" w:lastColumn="0" w:oddVBand="0" w:evenVBand="0" w:oddHBand="0" w:evenHBand="0" w:firstRowFirstColumn="0" w:firstRowLastColumn="0" w:lastRowFirstColumn="0" w:lastRowLastColumn="0"/>
            <w:tcW w:w="1261" w:type="pct"/>
            <w:vMerge/>
          </w:tcPr>
          <w:p w14:paraId="47DEDC47" w14:textId="77777777" w:rsidR="00B054DC" w:rsidRPr="00045413" w:rsidRDefault="00B054DC" w:rsidP="00045413">
            <w:pPr>
              <w:spacing w:before="0" w:after="0" w:line="240" w:lineRule="auto"/>
              <w:rPr>
                <w:rFonts w:cs="Calibri"/>
                <w:sz w:val="20"/>
                <w:szCs w:val="20"/>
                <w:lang w:val="en-NZ"/>
              </w:rPr>
            </w:pPr>
          </w:p>
        </w:tc>
        <w:tc>
          <w:tcPr>
            <w:tcW w:w="1262" w:type="pct"/>
            <w:vMerge/>
            <w:tcBorders>
              <w:bottom w:val="single" w:sz="4" w:space="0" w:color="auto"/>
            </w:tcBorders>
          </w:tcPr>
          <w:p w14:paraId="4C57E065" w14:textId="6A7FE771"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bottom w:val="single" w:sz="4" w:space="0" w:color="auto"/>
            </w:tcBorders>
          </w:tcPr>
          <w:p w14:paraId="6248612D" w14:textId="35FD637B"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bottom w:val="single" w:sz="4" w:space="0" w:color="auto"/>
            </w:tcBorders>
          </w:tcPr>
          <w:p w14:paraId="537B40E0" w14:textId="4FC95BB9"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302</w:t>
            </w:r>
          </w:p>
        </w:tc>
      </w:tr>
      <w:tr w:rsidR="00B054DC" w:rsidRPr="00045413" w14:paraId="7D4F87A8" w14:textId="77777777" w:rsidTr="00EF3BAA">
        <w:tc>
          <w:tcPr>
            <w:cnfStyle w:val="001000000000" w:firstRow="0" w:lastRow="0" w:firstColumn="1" w:lastColumn="0" w:oddVBand="0" w:evenVBand="0" w:oddHBand="0" w:evenHBand="0" w:firstRowFirstColumn="0" w:firstRowLastColumn="0" w:lastRowFirstColumn="0" w:lastRowLastColumn="0"/>
            <w:tcW w:w="1261" w:type="pct"/>
            <w:vMerge/>
          </w:tcPr>
          <w:p w14:paraId="169A9A1D" w14:textId="77777777" w:rsidR="00B054DC" w:rsidRPr="00045413" w:rsidRDefault="00B054DC" w:rsidP="00045413">
            <w:pPr>
              <w:spacing w:before="0" w:after="0" w:line="240" w:lineRule="auto"/>
              <w:rPr>
                <w:rFonts w:cs="Calibri"/>
                <w:sz w:val="20"/>
                <w:szCs w:val="20"/>
                <w:lang w:val="en-NZ"/>
              </w:rPr>
            </w:pPr>
          </w:p>
        </w:tc>
        <w:tc>
          <w:tcPr>
            <w:tcW w:w="1262" w:type="pct"/>
            <w:tcBorders>
              <w:top w:val="single" w:sz="4" w:space="0" w:color="auto"/>
              <w:bottom w:val="single" w:sz="4" w:space="0" w:color="auto"/>
            </w:tcBorders>
          </w:tcPr>
          <w:p w14:paraId="68E183D3" w14:textId="1848F9A6"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bottom w:val="single" w:sz="4" w:space="0" w:color="auto"/>
            </w:tcBorders>
          </w:tcPr>
          <w:p w14:paraId="2E8B14E3" w14:textId="77777777" w:rsidR="00B054DC" w:rsidRPr="00045413" w:rsidRDefault="00B054DC"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bottom w:val="single" w:sz="4" w:space="0" w:color="auto"/>
            </w:tcBorders>
            <w:vAlign w:val="bottom"/>
          </w:tcPr>
          <w:p w14:paraId="144384EF" w14:textId="7AD0B0E1" w:rsidR="00B054DC"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659</w:t>
            </w:r>
          </w:p>
        </w:tc>
      </w:tr>
      <w:tr w:rsidR="00EF3BAA" w:rsidRPr="00045413" w14:paraId="6B441D48" w14:textId="77777777" w:rsidTr="00045413">
        <w:trPr>
          <w:trHeight w:val="92"/>
        </w:trPr>
        <w:tc>
          <w:tcPr>
            <w:cnfStyle w:val="001000000000" w:firstRow="0" w:lastRow="0" w:firstColumn="1" w:lastColumn="0" w:oddVBand="0" w:evenVBand="0" w:oddHBand="0" w:evenHBand="0" w:firstRowFirstColumn="0" w:firstRowLastColumn="0" w:lastRowFirstColumn="0" w:lastRowLastColumn="0"/>
            <w:tcW w:w="1261" w:type="pct"/>
            <w:vMerge w:val="restart"/>
            <w:tcBorders>
              <w:right w:val="nil"/>
            </w:tcBorders>
          </w:tcPr>
          <w:p w14:paraId="30F3109F" w14:textId="6AB1BEC8" w:rsidR="00EF3BAA" w:rsidRPr="00045413" w:rsidRDefault="00EF3BAA" w:rsidP="00045413">
            <w:pPr>
              <w:spacing w:before="0" w:after="0" w:line="240" w:lineRule="auto"/>
              <w:rPr>
                <w:rFonts w:cs="Calibri"/>
                <w:b/>
                <w:sz w:val="20"/>
                <w:szCs w:val="20"/>
                <w:lang w:val="en-NZ"/>
              </w:rPr>
            </w:pPr>
            <w:r w:rsidRPr="00045413">
              <w:rPr>
                <w:rFonts w:cs="Calibri"/>
                <w:b/>
                <w:sz w:val="20"/>
                <w:szCs w:val="20"/>
                <w:lang w:val="en-NZ"/>
              </w:rPr>
              <w:t>Total</w:t>
            </w:r>
          </w:p>
        </w:tc>
        <w:tc>
          <w:tcPr>
            <w:tcW w:w="1262" w:type="pct"/>
            <w:tcBorders>
              <w:top w:val="single" w:sz="4" w:space="0" w:color="auto"/>
              <w:left w:val="nil"/>
              <w:bottom w:val="nil"/>
              <w:right w:val="nil"/>
            </w:tcBorders>
          </w:tcPr>
          <w:p w14:paraId="77D17102" w14:textId="1E72DD7C" w:rsidR="00EF3BAA" w:rsidRPr="00045413" w:rsidRDefault="00EF3BAA"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Full and F/U</w:t>
            </w:r>
          </w:p>
        </w:tc>
        <w:tc>
          <w:tcPr>
            <w:tcW w:w="1376" w:type="pct"/>
            <w:tcBorders>
              <w:top w:val="single" w:sz="4" w:space="0" w:color="auto"/>
              <w:left w:val="nil"/>
              <w:bottom w:val="nil"/>
              <w:right w:val="nil"/>
            </w:tcBorders>
          </w:tcPr>
          <w:p w14:paraId="38E96458" w14:textId="57F615EF" w:rsidR="00EF3BAA" w:rsidRPr="00045413" w:rsidRDefault="00EF3BAA"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Affected other</w:t>
            </w:r>
          </w:p>
        </w:tc>
        <w:tc>
          <w:tcPr>
            <w:tcW w:w="1101" w:type="pct"/>
            <w:tcBorders>
              <w:top w:val="single" w:sz="4" w:space="0" w:color="auto"/>
              <w:left w:val="nil"/>
              <w:bottom w:val="nil"/>
            </w:tcBorders>
            <w:vAlign w:val="bottom"/>
          </w:tcPr>
          <w:p w14:paraId="6CBB5F4E" w14:textId="5722A5F7" w:rsidR="00EF3BAA"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969</w:t>
            </w:r>
          </w:p>
        </w:tc>
      </w:tr>
      <w:tr w:rsidR="00EF3BAA" w:rsidRPr="00045413" w14:paraId="2164DFCC" w14:textId="77777777" w:rsidTr="00EF3BAA">
        <w:tc>
          <w:tcPr>
            <w:cnfStyle w:val="001000000000" w:firstRow="0" w:lastRow="0" w:firstColumn="1" w:lastColumn="0" w:oddVBand="0" w:evenVBand="0" w:oddHBand="0" w:evenHBand="0" w:firstRowFirstColumn="0" w:firstRowLastColumn="0" w:lastRowFirstColumn="0" w:lastRowLastColumn="0"/>
            <w:tcW w:w="1261" w:type="pct"/>
            <w:vMerge/>
            <w:tcBorders>
              <w:right w:val="nil"/>
            </w:tcBorders>
          </w:tcPr>
          <w:p w14:paraId="3E2C293B" w14:textId="77777777" w:rsidR="00EF3BAA" w:rsidRPr="00045413" w:rsidRDefault="00EF3BAA" w:rsidP="00045413">
            <w:pPr>
              <w:spacing w:before="0" w:after="0" w:line="240" w:lineRule="auto"/>
              <w:rPr>
                <w:rFonts w:cs="Calibri"/>
                <w:sz w:val="20"/>
                <w:szCs w:val="20"/>
                <w:lang w:val="en-NZ"/>
              </w:rPr>
            </w:pPr>
          </w:p>
        </w:tc>
        <w:tc>
          <w:tcPr>
            <w:tcW w:w="1262" w:type="pct"/>
            <w:tcBorders>
              <w:top w:val="nil"/>
              <w:left w:val="nil"/>
              <w:bottom w:val="single" w:sz="4" w:space="0" w:color="auto"/>
              <w:right w:val="nil"/>
            </w:tcBorders>
          </w:tcPr>
          <w:p w14:paraId="3F368C3C" w14:textId="77777777" w:rsidR="00EF3BAA" w:rsidRPr="00045413" w:rsidRDefault="00EF3BAA"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376" w:type="pct"/>
            <w:tcBorders>
              <w:top w:val="nil"/>
              <w:left w:val="nil"/>
              <w:bottom w:val="single" w:sz="4" w:space="0" w:color="auto"/>
              <w:right w:val="nil"/>
            </w:tcBorders>
          </w:tcPr>
          <w:p w14:paraId="2AAE9E6F" w14:textId="452F19E3" w:rsidR="00EF3BAA" w:rsidRPr="00045413" w:rsidRDefault="00EF3BAA"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Gambler</w:t>
            </w:r>
          </w:p>
        </w:tc>
        <w:tc>
          <w:tcPr>
            <w:tcW w:w="1101" w:type="pct"/>
            <w:tcBorders>
              <w:top w:val="nil"/>
              <w:left w:val="nil"/>
              <w:bottom w:val="single" w:sz="4" w:space="0" w:color="auto"/>
            </w:tcBorders>
            <w:vAlign w:val="bottom"/>
          </w:tcPr>
          <w:p w14:paraId="0800CA7D" w14:textId="054FF41B" w:rsidR="00EF3BAA"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3470</w:t>
            </w:r>
          </w:p>
        </w:tc>
      </w:tr>
      <w:tr w:rsidR="00EF3BAA" w:rsidRPr="00045413" w14:paraId="16ECAE8E" w14:textId="77777777" w:rsidTr="00EF3BAA">
        <w:tc>
          <w:tcPr>
            <w:cnfStyle w:val="001000000000" w:firstRow="0" w:lastRow="0" w:firstColumn="1" w:lastColumn="0" w:oddVBand="0" w:evenVBand="0" w:oddHBand="0" w:evenHBand="0" w:firstRowFirstColumn="0" w:firstRowLastColumn="0" w:lastRowFirstColumn="0" w:lastRowLastColumn="0"/>
            <w:tcW w:w="1261" w:type="pct"/>
            <w:vMerge/>
            <w:tcBorders>
              <w:right w:val="nil"/>
            </w:tcBorders>
          </w:tcPr>
          <w:p w14:paraId="76BCC55D" w14:textId="77777777" w:rsidR="00EF3BAA" w:rsidRPr="00045413" w:rsidRDefault="00EF3BAA" w:rsidP="00045413">
            <w:pPr>
              <w:spacing w:before="0" w:after="0" w:line="240" w:lineRule="auto"/>
              <w:rPr>
                <w:rFonts w:cs="Calibri"/>
                <w:sz w:val="20"/>
                <w:szCs w:val="20"/>
                <w:lang w:val="en-NZ"/>
              </w:rPr>
            </w:pPr>
          </w:p>
        </w:tc>
        <w:tc>
          <w:tcPr>
            <w:tcW w:w="1262" w:type="pct"/>
            <w:tcBorders>
              <w:top w:val="single" w:sz="4" w:space="0" w:color="auto"/>
              <w:left w:val="nil"/>
              <w:bottom w:val="single" w:sz="4" w:space="0" w:color="auto"/>
              <w:right w:val="nil"/>
            </w:tcBorders>
          </w:tcPr>
          <w:p w14:paraId="42EC81D0" w14:textId="339FFD6C" w:rsidR="00EF3BAA" w:rsidRPr="00045413" w:rsidRDefault="00EF3BAA"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All clients</w:t>
            </w:r>
          </w:p>
        </w:tc>
        <w:tc>
          <w:tcPr>
            <w:tcW w:w="1376" w:type="pct"/>
            <w:tcBorders>
              <w:top w:val="single" w:sz="4" w:space="0" w:color="auto"/>
              <w:left w:val="nil"/>
              <w:bottom w:val="single" w:sz="4" w:space="0" w:color="auto"/>
              <w:right w:val="nil"/>
            </w:tcBorders>
          </w:tcPr>
          <w:p w14:paraId="063CDA50" w14:textId="77777777" w:rsidR="00EF3BAA" w:rsidRPr="00045413" w:rsidRDefault="00EF3BAA" w:rsidP="0004541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p>
        </w:tc>
        <w:tc>
          <w:tcPr>
            <w:tcW w:w="1101" w:type="pct"/>
            <w:tcBorders>
              <w:top w:val="single" w:sz="4" w:space="0" w:color="auto"/>
              <w:left w:val="nil"/>
              <w:bottom w:val="single" w:sz="4" w:space="0" w:color="auto"/>
            </w:tcBorders>
            <w:vAlign w:val="bottom"/>
          </w:tcPr>
          <w:p w14:paraId="678FE90E" w14:textId="6FCCEA4F" w:rsidR="00EF3BAA" w:rsidRPr="00045413" w:rsidRDefault="00EF3BAA" w:rsidP="000454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n-NZ"/>
              </w:rPr>
            </w:pPr>
            <w:r w:rsidRPr="00045413">
              <w:rPr>
                <w:rFonts w:cs="Calibri"/>
                <w:sz w:val="20"/>
                <w:szCs w:val="20"/>
                <w:lang w:val="en-NZ"/>
              </w:rPr>
              <w:t>9502</w:t>
            </w:r>
          </w:p>
        </w:tc>
      </w:tr>
    </w:tbl>
    <w:p w14:paraId="6E01EBF5" w14:textId="5D0AF066" w:rsidR="00D87883" w:rsidRPr="002F108B" w:rsidRDefault="00383D65" w:rsidP="00C015A7">
      <w:pPr>
        <w:pStyle w:val="Heading2"/>
        <w:rPr>
          <w:lang w:val="en-NZ"/>
        </w:rPr>
      </w:pPr>
      <w:bookmarkStart w:id="170" w:name="_Toc65250326"/>
      <w:bookmarkStart w:id="171" w:name="_Toc76469801"/>
      <w:r w:rsidRPr="002F108B">
        <w:rPr>
          <w:lang w:val="en-NZ"/>
        </w:rPr>
        <w:lastRenderedPageBreak/>
        <w:t xml:space="preserve">Use of the Gambling Helpline </w:t>
      </w:r>
      <w:r w:rsidR="001124DF" w:rsidRPr="002F108B">
        <w:rPr>
          <w:lang w:val="en-NZ"/>
        </w:rPr>
        <w:t>has decreased</w:t>
      </w:r>
      <w:bookmarkEnd w:id="170"/>
      <w:bookmarkEnd w:id="171"/>
    </w:p>
    <w:p w14:paraId="5AC60BF1" w14:textId="3EC57CD7" w:rsidR="003E61FD" w:rsidRPr="002F108B" w:rsidRDefault="003E61FD" w:rsidP="00372510">
      <w:pPr>
        <w:rPr>
          <w:lang w:val="en-NZ"/>
        </w:rPr>
      </w:pPr>
      <w:r w:rsidRPr="002F108B">
        <w:rPr>
          <w:lang w:val="en-NZ"/>
        </w:rPr>
        <w:t>Homecare Medical is</w:t>
      </w:r>
      <w:r w:rsidR="00D95A8C" w:rsidRPr="002F108B">
        <w:rPr>
          <w:lang w:val="en-NZ"/>
        </w:rPr>
        <w:t xml:space="preserve"> </w:t>
      </w:r>
      <w:r w:rsidRPr="002F108B">
        <w:rPr>
          <w:lang w:val="en-NZ"/>
        </w:rPr>
        <w:t xml:space="preserve">a social enterprise organisation with 21 years of experience providing virtual healthcare. </w:t>
      </w:r>
      <w:r w:rsidR="00001FE8" w:rsidRPr="002F108B">
        <w:rPr>
          <w:lang w:val="en-NZ"/>
        </w:rPr>
        <w:t xml:space="preserve">Since </w:t>
      </w:r>
      <w:r w:rsidR="00372510" w:rsidRPr="002F108B">
        <w:rPr>
          <w:lang w:val="en-NZ"/>
        </w:rPr>
        <w:t xml:space="preserve">November </w:t>
      </w:r>
      <w:r w:rsidR="00001FE8" w:rsidRPr="002F108B">
        <w:rPr>
          <w:lang w:val="en-NZ"/>
        </w:rPr>
        <w:t>2015, they have been contracted by the Ministry of Health to provide</w:t>
      </w:r>
      <w:r w:rsidR="00056EBA" w:rsidRPr="002F108B">
        <w:rPr>
          <w:lang w:val="en-NZ"/>
        </w:rPr>
        <w:t xml:space="preserve"> </w:t>
      </w:r>
      <w:r w:rsidR="000B16C4" w:rsidRPr="002F108B">
        <w:rPr>
          <w:lang w:val="en-NZ"/>
        </w:rPr>
        <w:t>the National Telehealth Service (NTS)</w:t>
      </w:r>
      <w:r w:rsidR="004A18D3" w:rsidRPr="002F108B">
        <w:rPr>
          <w:rStyle w:val="FootnoteReference"/>
          <w:lang w:val="en-NZ"/>
        </w:rPr>
        <w:footnoteReference w:id="33"/>
      </w:r>
      <w:r w:rsidR="000B16C4" w:rsidRPr="002F108B">
        <w:rPr>
          <w:lang w:val="en-NZ"/>
        </w:rPr>
        <w:t xml:space="preserve">, </w:t>
      </w:r>
      <w:r w:rsidR="0017305D" w:rsidRPr="002F108B">
        <w:rPr>
          <w:lang w:val="en-NZ"/>
        </w:rPr>
        <w:t xml:space="preserve">which </w:t>
      </w:r>
      <w:r w:rsidR="00CF2F97">
        <w:rPr>
          <w:lang w:val="en-NZ"/>
        </w:rPr>
        <w:t>includes</w:t>
      </w:r>
      <w:r w:rsidR="0017305D" w:rsidRPr="002F108B">
        <w:rPr>
          <w:lang w:val="en-NZ"/>
        </w:rPr>
        <w:t xml:space="preserve"> the </w:t>
      </w:r>
      <w:r w:rsidRPr="002F108B">
        <w:rPr>
          <w:lang w:val="en-NZ"/>
        </w:rPr>
        <w:t>Gambling Helpline</w:t>
      </w:r>
      <w:r w:rsidR="00742C09" w:rsidRPr="002F108B">
        <w:rPr>
          <w:rStyle w:val="FootnoteReference"/>
          <w:lang w:val="en-NZ"/>
        </w:rPr>
        <w:footnoteReference w:id="34"/>
      </w:r>
      <w:r w:rsidR="0002662E">
        <w:rPr>
          <w:lang w:val="en-NZ"/>
        </w:rPr>
        <w:t>. The NTS also includes</w:t>
      </w:r>
      <w:r w:rsidRPr="002F108B">
        <w:rPr>
          <w:color w:val="414142"/>
          <w:lang w:val="en-NZ"/>
        </w:rPr>
        <w:t xml:space="preserve"> </w:t>
      </w:r>
      <w:r w:rsidRPr="002F108B">
        <w:rPr>
          <w:lang w:val="en-NZ"/>
        </w:rPr>
        <w:t>Healthline, the national mental health and addictions helpline 1737 Need to talk?, Quitline and other specialist services, delivered across many different channels – inbound phone calls, t</w:t>
      </w:r>
      <w:r w:rsidR="00EE3198" w:rsidRPr="002F108B">
        <w:rPr>
          <w:lang w:val="en-NZ"/>
        </w:rPr>
        <w:t>e</w:t>
      </w:r>
      <w:r w:rsidRPr="002F108B">
        <w:rPr>
          <w:lang w:val="en-NZ"/>
        </w:rPr>
        <w:t>xt/SMS, apps, website, email, webchat and Facebook.</w:t>
      </w:r>
    </w:p>
    <w:p w14:paraId="7AC4F2CA" w14:textId="0BBC0F0A" w:rsidR="00383D65" w:rsidRPr="002F108B" w:rsidRDefault="00187F82" w:rsidP="006024DD">
      <w:pPr>
        <w:rPr>
          <w:lang w:val="en-NZ"/>
        </w:rPr>
      </w:pPr>
      <w:r w:rsidRPr="002F108B">
        <w:rPr>
          <w:lang w:val="en-NZ"/>
        </w:rPr>
        <w:t xml:space="preserve">Between 2017 and 2019, the Ministry of Health commissioned the </w:t>
      </w:r>
      <w:r w:rsidR="00634A19" w:rsidRPr="002F108B">
        <w:rPr>
          <w:lang w:val="en-NZ"/>
        </w:rPr>
        <w:t xml:space="preserve">Sapere Research Group and Litmus </w:t>
      </w:r>
      <w:r w:rsidR="00634A19" w:rsidRPr="002F108B">
        <w:rPr>
          <w:rFonts w:cs="Calibri"/>
          <w:lang w:val="en-NZ"/>
        </w:rPr>
        <w:t>(2020)</w:t>
      </w:r>
      <w:r w:rsidR="009578D9" w:rsidRPr="002F108B">
        <w:rPr>
          <w:lang w:val="en-NZ"/>
        </w:rPr>
        <w:t xml:space="preserve"> </w:t>
      </w:r>
      <w:r w:rsidRPr="002F108B">
        <w:rPr>
          <w:lang w:val="en-NZ"/>
        </w:rPr>
        <w:t xml:space="preserve">to </w:t>
      </w:r>
      <w:r w:rsidR="00CA7FF1" w:rsidRPr="002F108B">
        <w:rPr>
          <w:lang w:val="en-NZ"/>
        </w:rPr>
        <w:t>evaluate the NTS</w:t>
      </w:r>
      <w:r w:rsidRPr="002F108B">
        <w:rPr>
          <w:lang w:val="en-NZ"/>
        </w:rPr>
        <w:t xml:space="preserve"> using a three-phase approach.</w:t>
      </w:r>
      <w:r w:rsidR="00CA7FF1" w:rsidRPr="002F108B">
        <w:rPr>
          <w:lang w:val="en-NZ"/>
        </w:rPr>
        <w:t xml:space="preserve"> </w:t>
      </w:r>
      <w:r w:rsidR="006E44A5" w:rsidRPr="002F108B">
        <w:rPr>
          <w:lang w:val="en-NZ"/>
        </w:rPr>
        <w:t>P</w:t>
      </w:r>
      <w:r w:rsidRPr="002F108B">
        <w:rPr>
          <w:lang w:val="en-NZ"/>
        </w:rPr>
        <w:t>hase three of the evaluation</w:t>
      </w:r>
      <w:r w:rsidR="006E44A5" w:rsidRPr="002F108B">
        <w:rPr>
          <w:lang w:val="en-NZ"/>
        </w:rPr>
        <w:t xml:space="preserve">, undertaken between June 2018 and October 2019, </w:t>
      </w:r>
      <w:r w:rsidRPr="002F108B">
        <w:rPr>
          <w:lang w:val="en-NZ"/>
        </w:rPr>
        <w:t xml:space="preserve">focused specifically on mental health and addiction services, including the Gambling Helpline. The evaluation showed that in </w:t>
      </w:r>
      <w:r w:rsidR="00E61196">
        <w:rPr>
          <w:lang w:val="en-NZ"/>
        </w:rPr>
        <w:t>2018-</w:t>
      </w:r>
      <w:r w:rsidRPr="002F108B">
        <w:rPr>
          <w:lang w:val="en-NZ"/>
        </w:rPr>
        <w:t xml:space="preserve">19, </w:t>
      </w:r>
      <w:r w:rsidR="00E61196">
        <w:rPr>
          <w:lang w:val="en-NZ"/>
        </w:rPr>
        <w:t xml:space="preserve">although </w:t>
      </w:r>
      <w:r w:rsidRPr="002F108B">
        <w:rPr>
          <w:lang w:val="en-NZ"/>
        </w:rPr>
        <w:t>contact</w:t>
      </w:r>
      <w:r w:rsidR="0002662E">
        <w:rPr>
          <w:lang w:val="en-NZ"/>
        </w:rPr>
        <w:t xml:space="preserve">s to </w:t>
      </w:r>
      <w:r w:rsidR="00E61196">
        <w:rPr>
          <w:lang w:val="en-NZ"/>
        </w:rPr>
        <w:t xml:space="preserve">the NTS </w:t>
      </w:r>
      <w:r w:rsidRPr="002F108B">
        <w:rPr>
          <w:lang w:val="en-NZ"/>
        </w:rPr>
        <w:t xml:space="preserve">mental health and addiction services increased </w:t>
      </w:r>
      <w:r w:rsidR="00E61196">
        <w:rPr>
          <w:lang w:val="en-NZ"/>
        </w:rPr>
        <w:t xml:space="preserve">, the number of contacts to the Gambling Helpline </w:t>
      </w:r>
      <w:r w:rsidR="00E61196" w:rsidRPr="002F108B">
        <w:rPr>
          <w:lang w:val="en-NZ"/>
        </w:rPr>
        <w:t>dropped by around 1800</w:t>
      </w:r>
      <w:r w:rsidR="00E61196">
        <w:rPr>
          <w:lang w:val="en-NZ"/>
        </w:rPr>
        <w:t>.</w:t>
      </w:r>
      <w:r w:rsidR="00E61196" w:rsidRPr="002F108B">
        <w:rPr>
          <w:lang w:val="en-NZ"/>
        </w:rPr>
        <w:t xml:space="preserve"> </w:t>
      </w:r>
      <w:r w:rsidR="00383D65" w:rsidRPr="002F108B">
        <w:rPr>
          <w:lang w:val="en-NZ"/>
        </w:rPr>
        <w:t>Use</w:t>
      </w:r>
      <w:r w:rsidR="00E61196">
        <w:rPr>
          <w:lang w:val="en-NZ"/>
        </w:rPr>
        <w:t>rs</w:t>
      </w:r>
      <w:r w:rsidR="00383D65" w:rsidRPr="002F108B">
        <w:rPr>
          <w:lang w:val="en-NZ"/>
        </w:rPr>
        <w:t xml:space="preserve"> of the Gambling Helpline </w:t>
      </w:r>
      <w:r w:rsidR="00E61196">
        <w:rPr>
          <w:lang w:val="en-NZ"/>
        </w:rPr>
        <w:t xml:space="preserve">also decreased by 30% and </w:t>
      </w:r>
      <w:r w:rsidR="005314D4" w:rsidRPr="002F108B">
        <w:rPr>
          <w:lang w:val="en-NZ"/>
        </w:rPr>
        <w:t>fell</w:t>
      </w:r>
      <w:r w:rsidR="00383D65" w:rsidRPr="002F108B">
        <w:rPr>
          <w:lang w:val="en-NZ"/>
        </w:rPr>
        <w:t xml:space="preserve"> from 4806 users in 2017 to 3328 in 2019..</w:t>
      </w:r>
    </w:p>
    <w:p w14:paraId="70A33234" w14:textId="77777777" w:rsidR="004E3738" w:rsidRPr="002F108B" w:rsidRDefault="00E30874" w:rsidP="006024DD">
      <w:pPr>
        <w:rPr>
          <w:lang w:val="en-NZ"/>
        </w:rPr>
      </w:pPr>
      <w:r w:rsidRPr="002F108B">
        <w:rPr>
          <w:lang w:val="en-NZ"/>
        </w:rPr>
        <w:t xml:space="preserve">The NGS qualitative phase report (Bellringer et al., 2019) offers some insight into why </w:t>
      </w:r>
      <w:r w:rsidR="00D733D2" w:rsidRPr="002F108B">
        <w:rPr>
          <w:lang w:val="en-NZ"/>
        </w:rPr>
        <w:t xml:space="preserve">the </w:t>
      </w:r>
      <w:r w:rsidRPr="002F108B">
        <w:rPr>
          <w:lang w:val="en-NZ"/>
        </w:rPr>
        <w:t>Gambling Helpline users are decreasing. The report</w:t>
      </w:r>
      <w:r w:rsidR="004E3738" w:rsidRPr="002F108B">
        <w:rPr>
          <w:lang w:val="en-NZ"/>
        </w:rPr>
        <w:t xml:space="preserve"> identified mixed reactions </w:t>
      </w:r>
      <w:r w:rsidR="000A2E4A" w:rsidRPr="002F108B">
        <w:rPr>
          <w:lang w:val="en-NZ"/>
        </w:rPr>
        <w:t>among respondents about</w:t>
      </w:r>
      <w:r w:rsidR="004E3738" w:rsidRPr="002F108B">
        <w:rPr>
          <w:lang w:val="en-NZ"/>
        </w:rPr>
        <w:t xml:space="preserve"> </w:t>
      </w:r>
      <w:r w:rsidR="00D733D2" w:rsidRPr="002F108B">
        <w:rPr>
          <w:lang w:val="en-NZ"/>
        </w:rPr>
        <w:t xml:space="preserve">the </w:t>
      </w:r>
      <w:r w:rsidR="005B6639" w:rsidRPr="002F108B">
        <w:rPr>
          <w:lang w:val="en-NZ"/>
        </w:rPr>
        <w:t xml:space="preserve">Gambling </w:t>
      </w:r>
      <w:r w:rsidR="00747B6B" w:rsidRPr="002F108B">
        <w:rPr>
          <w:lang w:val="en-NZ"/>
        </w:rPr>
        <w:t>Helpline's</w:t>
      </w:r>
      <w:r w:rsidR="004E3738" w:rsidRPr="002F108B">
        <w:rPr>
          <w:lang w:val="en-NZ"/>
        </w:rPr>
        <w:t xml:space="preserve"> </w:t>
      </w:r>
      <w:r w:rsidR="000A2E4A" w:rsidRPr="002F108B">
        <w:rPr>
          <w:lang w:val="en-NZ"/>
        </w:rPr>
        <w:t>usefulness</w:t>
      </w:r>
      <w:r w:rsidRPr="002F108B">
        <w:rPr>
          <w:lang w:val="en-NZ"/>
        </w:rPr>
        <w:t>. Some clients felt</w:t>
      </w:r>
      <w:r w:rsidR="00AE18AD" w:rsidRPr="002F108B">
        <w:rPr>
          <w:lang w:val="en-NZ"/>
        </w:rPr>
        <w:t xml:space="preserve"> supported </w:t>
      </w:r>
      <w:r w:rsidRPr="002F108B">
        <w:rPr>
          <w:lang w:val="en-NZ"/>
        </w:rPr>
        <w:t>and noted having someone to talk to (in-person or over the phone) before they embarked on a gambling session would help them stop. Others felt they did not receive the help they needed to control their gambling. For example, repeated calls resulted in the same information being given and on one occasion, a survey respondent was directed to a counsellor who became unavailable.</w:t>
      </w:r>
    </w:p>
    <w:p w14:paraId="37000A83" w14:textId="3DDB198E" w:rsidR="00ED29FC" w:rsidRPr="002F108B" w:rsidRDefault="008F45ED" w:rsidP="00C015A7">
      <w:pPr>
        <w:pStyle w:val="Heading2"/>
        <w:rPr>
          <w:lang w:val="en-NZ"/>
        </w:rPr>
      </w:pPr>
      <w:bookmarkStart w:id="172" w:name="_Toc65250327"/>
      <w:bookmarkStart w:id="173" w:name="_Toc76469802"/>
      <w:r w:rsidRPr="002F108B">
        <w:rPr>
          <w:lang w:val="en-NZ"/>
        </w:rPr>
        <w:t>M</w:t>
      </w:r>
      <w:r w:rsidR="005F7BF4" w:rsidRPr="002F108B">
        <w:rPr>
          <w:lang w:val="en-NZ"/>
        </w:rPr>
        <w:t>ulti-venue exclusion</w:t>
      </w:r>
      <w:r w:rsidR="00DA14DB" w:rsidRPr="002F108B">
        <w:rPr>
          <w:lang w:val="en-NZ"/>
        </w:rPr>
        <w:t xml:space="preserve"> </w:t>
      </w:r>
      <w:r w:rsidRPr="002F108B">
        <w:rPr>
          <w:lang w:val="en-NZ"/>
        </w:rPr>
        <w:t xml:space="preserve">is effective </w:t>
      </w:r>
      <w:r w:rsidR="0076456E">
        <w:rPr>
          <w:lang w:val="en-NZ"/>
        </w:rPr>
        <w:t xml:space="preserve">and the process has been </w:t>
      </w:r>
      <w:r w:rsidRPr="002F108B">
        <w:rPr>
          <w:lang w:val="en-NZ"/>
        </w:rPr>
        <w:t>strengthened</w:t>
      </w:r>
      <w:bookmarkEnd w:id="172"/>
      <w:bookmarkEnd w:id="173"/>
    </w:p>
    <w:p w14:paraId="3FA6650F" w14:textId="499B7AEA" w:rsidR="00F35541" w:rsidRDefault="00F35541" w:rsidP="002B3EFC">
      <w:pPr>
        <w:rPr>
          <w:lang w:val="en-NZ"/>
        </w:rPr>
      </w:pPr>
      <w:r>
        <w:t>Internationally, self-exclusion has been identified as an effective tool in the treatment of harmful gambling (</w:t>
      </w:r>
      <w:r w:rsidR="00A32FE9">
        <w:t xml:space="preserve">Bellringer et al 2010; Gainsbury 2013; </w:t>
      </w:r>
      <w:r>
        <w:t xml:space="preserve">Hing et al 2015). Since </w:t>
      </w:r>
      <w:r w:rsidR="00521D83">
        <w:t>2003</w:t>
      </w:r>
      <w:r w:rsidR="002A51CF">
        <w:t>,</w:t>
      </w:r>
      <w:r w:rsidR="00521D83">
        <w:t xml:space="preserve"> </w:t>
      </w:r>
      <w:r w:rsidR="002A51CF">
        <w:t>t</w:t>
      </w:r>
      <w:r>
        <w:t xml:space="preserve">he Gambling Act has allowed a person </w:t>
      </w:r>
      <w:r w:rsidR="00521D83">
        <w:t xml:space="preserve">in New Zealand </w:t>
      </w:r>
      <w:r>
        <w:t>to self-exclude from a gambling venue. This means that once the exclusion process is initiated, it is an offence for a gambler to enter the gambling area of a venue from where they are excluded, and for a venue operator to allow an excluded gambler to enter their gambling area.</w:t>
      </w:r>
    </w:p>
    <w:p w14:paraId="5BD09B6C" w14:textId="3A8F09AD" w:rsidR="00F35541" w:rsidRDefault="00F35541" w:rsidP="002B3EFC">
      <w:pPr>
        <w:rPr>
          <w:lang w:val="en-NZ"/>
        </w:rPr>
      </w:pPr>
      <w:r>
        <w:rPr>
          <w:lang w:val="en-NZ"/>
        </w:rPr>
        <w:t xml:space="preserve">Multi-venue exclusion (MVE) is an extension to single venue self-exclusion and </w:t>
      </w:r>
      <w:r w:rsidR="00521D83">
        <w:rPr>
          <w:lang w:val="en-NZ"/>
        </w:rPr>
        <w:t xml:space="preserve">was introduced </w:t>
      </w:r>
      <w:r>
        <w:rPr>
          <w:lang w:val="en-NZ"/>
        </w:rPr>
        <w:t xml:space="preserve">as an intervention tool in New Zealand </w:t>
      </w:r>
      <w:r w:rsidR="00521D83">
        <w:rPr>
          <w:lang w:val="en-NZ"/>
        </w:rPr>
        <w:t>in</w:t>
      </w:r>
      <w:r>
        <w:rPr>
          <w:lang w:val="en-NZ"/>
        </w:rPr>
        <w:t xml:space="preserve"> 2011. It enables people experiencing harm from gambling to self-exclude from multiple venues without visitin</w:t>
      </w:r>
      <w:r w:rsidR="00D430AC">
        <w:rPr>
          <w:lang w:val="en-NZ"/>
        </w:rPr>
        <w:t>g</w:t>
      </w:r>
      <w:r>
        <w:rPr>
          <w:lang w:val="en-NZ"/>
        </w:rPr>
        <w:t xml:space="preserve"> each individual site.  </w:t>
      </w:r>
      <w:r w:rsidR="00D430AC">
        <w:rPr>
          <w:lang w:val="en-NZ"/>
        </w:rPr>
        <w:t xml:space="preserve">Over the last 10 years </w:t>
      </w:r>
      <w:r w:rsidR="00292039">
        <w:rPr>
          <w:lang w:val="en-NZ"/>
        </w:rPr>
        <w:t xml:space="preserve">MVE has evolved and </w:t>
      </w:r>
      <w:r w:rsidR="00D430AC">
        <w:rPr>
          <w:lang w:val="en-NZ"/>
        </w:rPr>
        <w:t xml:space="preserve">extended </w:t>
      </w:r>
      <w:r w:rsidR="00E834AA">
        <w:rPr>
          <w:lang w:val="en-NZ"/>
        </w:rPr>
        <w:t xml:space="preserve">to reach </w:t>
      </w:r>
      <w:r w:rsidR="00292039">
        <w:rPr>
          <w:lang w:val="en-NZ"/>
        </w:rPr>
        <w:t xml:space="preserve">every region in New Zealand.  </w:t>
      </w:r>
    </w:p>
    <w:p w14:paraId="04F4A5E0" w14:textId="0CFC5C20" w:rsidR="002757FB" w:rsidRDefault="00D430AC" w:rsidP="001669DE">
      <w:pPr>
        <w:rPr>
          <w:lang w:val="en-NZ"/>
        </w:rPr>
      </w:pPr>
      <w:r>
        <w:rPr>
          <w:lang w:val="en-NZ"/>
        </w:rPr>
        <w:t xml:space="preserve">In </w:t>
      </w:r>
      <w:r w:rsidR="00EF54E2">
        <w:rPr>
          <w:lang w:val="en-NZ"/>
        </w:rPr>
        <w:t xml:space="preserve">2015 a working group, </w:t>
      </w:r>
      <w:r w:rsidR="00521D83">
        <w:rPr>
          <w:lang w:val="en-NZ"/>
        </w:rPr>
        <w:t>including</w:t>
      </w:r>
      <w:r w:rsidR="00EF54E2">
        <w:rPr>
          <w:lang w:val="en-NZ"/>
        </w:rPr>
        <w:t xml:space="preserve"> representatives from the Ministry, DIA,</w:t>
      </w:r>
      <w:r w:rsidR="00521D83">
        <w:rPr>
          <w:lang w:val="en-NZ"/>
        </w:rPr>
        <w:t xml:space="preserve">gambling harm </w:t>
      </w:r>
      <w:r w:rsidR="00EF54E2">
        <w:rPr>
          <w:lang w:val="en-NZ"/>
        </w:rPr>
        <w:t xml:space="preserve">service providers and the gambling industry, was formed to review MVE </w:t>
      </w:r>
      <w:r w:rsidR="00281587">
        <w:rPr>
          <w:lang w:val="en-NZ"/>
        </w:rPr>
        <w:t>practices in New Zealand</w:t>
      </w:r>
      <w:r w:rsidR="00EF54E2">
        <w:rPr>
          <w:lang w:val="en-NZ"/>
        </w:rPr>
        <w:t xml:space="preserve">. The </w:t>
      </w:r>
      <w:r w:rsidR="00EF54E2">
        <w:rPr>
          <w:lang w:val="en-NZ"/>
        </w:rPr>
        <w:lastRenderedPageBreak/>
        <w:t xml:space="preserve">resulting report  </w:t>
      </w:r>
      <w:r w:rsidR="001E536A" w:rsidRPr="002F108B">
        <w:rPr>
          <w:lang w:val="en-NZ"/>
        </w:rPr>
        <w:t>(</w:t>
      </w:r>
      <w:r w:rsidR="002C509F" w:rsidRPr="002F108B">
        <w:rPr>
          <w:lang w:val="en-NZ"/>
        </w:rPr>
        <w:t xml:space="preserve">Department of Internal Affairs, </w:t>
      </w:r>
      <w:r w:rsidR="00575A2C" w:rsidRPr="002F108B">
        <w:rPr>
          <w:lang w:val="en-NZ"/>
        </w:rPr>
        <w:t>2016</w:t>
      </w:r>
      <w:r w:rsidR="002C509F" w:rsidRPr="002F108B">
        <w:rPr>
          <w:lang w:val="en-NZ"/>
        </w:rPr>
        <w:t>b</w:t>
      </w:r>
      <w:r w:rsidR="00575A2C" w:rsidRPr="002F108B">
        <w:rPr>
          <w:lang w:val="en-NZ"/>
        </w:rPr>
        <w:t xml:space="preserve">) identified </w:t>
      </w:r>
      <w:r w:rsidR="00BE4C1E" w:rsidRPr="002F108B">
        <w:rPr>
          <w:lang w:val="en-NZ"/>
        </w:rPr>
        <w:t xml:space="preserve">several potential areas </w:t>
      </w:r>
      <w:r w:rsidR="002757FB">
        <w:rPr>
          <w:lang w:val="en-NZ"/>
        </w:rPr>
        <w:t xml:space="preserve">for improvement and prioritised </w:t>
      </w:r>
      <w:r w:rsidR="00281587">
        <w:rPr>
          <w:lang w:val="en-NZ"/>
        </w:rPr>
        <w:t>the need for national MVE administration, standards and consistency</w:t>
      </w:r>
      <w:r w:rsidR="002757FB">
        <w:rPr>
          <w:lang w:val="en-NZ"/>
        </w:rPr>
        <w:t>,</w:t>
      </w:r>
      <w:r w:rsidR="00281587">
        <w:rPr>
          <w:lang w:val="en-NZ"/>
        </w:rPr>
        <w:t xml:space="preserve"> and the development of a database to capture all MVE data.</w:t>
      </w:r>
    </w:p>
    <w:p w14:paraId="215F7948" w14:textId="1B0406A4" w:rsidR="00281587" w:rsidRDefault="00281587" w:rsidP="00ED29FC">
      <w:pPr>
        <w:rPr>
          <w:lang w:val="en-NZ"/>
        </w:rPr>
      </w:pPr>
      <w:bookmarkStart w:id="174" w:name="_Hlk66191059"/>
      <w:r>
        <w:rPr>
          <w:lang w:val="en-NZ"/>
        </w:rPr>
        <w:t xml:space="preserve">In 2018 the Ministry contracted The Salvation Army (TSA) to establish the National Administration Service to oversee and administer the nationwide operation of the MVE process. The service </w:t>
      </w:r>
      <w:r w:rsidR="00AB47C4">
        <w:rPr>
          <w:lang w:val="en-NZ"/>
        </w:rPr>
        <w:t xml:space="preserve">employs a dedicated National MVE Administrator. </w:t>
      </w:r>
    </w:p>
    <w:p w14:paraId="2010DF52" w14:textId="38EE6F2D" w:rsidR="00AB47C4" w:rsidRPr="00763503" w:rsidRDefault="00AB47C4" w:rsidP="00AB47C4">
      <w:pPr>
        <w:pStyle w:val="Default"/>
        <w:rPr>
          <w:rFonts w:asciiTheme="minorHAnsi" w:hAnsiTheme="minorHAnsi" w:cstheme="minorHAnsi"/>
          <w:sz w:val="22"/>
          <w:szCs w:val="22"/>
        </w:rPr>
      </w:pPr>
      <w:r w:rsidRPr="00763503">
        <w:rPr>
          <w:rFonts w:asciiTheme="minorHAnsi" w:hAnsiTheme="minorHAnsi" w:cstheme="minorHAnsi"/>
          <w:color w:val="000000" w:themeColor="text1"/>
          <w:sz w:val="22"/>
          <w:szCs w:val="22"/>
          <w:lang w:eastAsia="en-GB"/>
        </w:rPr>
        <w:t>An early formative and process evaluation</w:t>
      </w:r>
      <w:r w:rsidRPr="00763503">
        <w:rPr>
          <w:rFonts w:asciiTheme="minorHAnsi" w:hAnsiTheme="minorHAnsi" w:cstheme="minorHAnsi"/>
          <w:sz w:val="22"/>
          <w:szCs w:val="22"/>
        </w:rPr>
        <w:t xml:space="preserve"> led by the Ministry during 2018 and 2019 demonstrated that the service </w:t>
      </w:r>
      <w:r w:rsidR="002757FB">
        <w:rPr>
          <w:rFonts w:asciiTheme="minorHAnsi" w:hAnsiTheme="minorHAnsi" w:cstheme="minorHAnsi"/>
          <w:sz w:val="22"/>
          <w:szCs w:val="22"/>
        </w:rPr>
        <w:t>had successfully:</w:t>
      </w:r>
    </w:p>
    <w:p w14:paraId="425403F0" w14:textId="23929B02" w:rsidR="00AB47C4" w:rsidRPr="00763503" w:rsidRDefault="00A32FE9" w:rsidP="001669DE">
      <w:pPr>
        <w:pStyle w:val="Bulletpointindented"/>
      </w:pPr>
      <w:r>
        <w:t>E</w:t>
      </w:r>
      <w:r w:rsidR="00AB47C4" w:rsidRPr="00763503">
        <w:t xml:space="preserve">stablished effective working relationships and communication channels with </w:t>
      </w:r>
      <w:r w:rsidR="00AB47C4">
        <w:t xml:space="preserve">all </w:t>
      </w:r>
      <w:r w:rsidR="00AB47C4" w:rsidRPr="00763503">
        <w:t xml:space="preserve">MVE stakeholders (including Class 4 gambling societies, venues and Ministry-funded gambling harm </w:t>
      </w:r>
      <w:r w:rsidR="00AD1820">
        <w:t xml:space="preserve">provider </w:t>
      </w:r>
      <w:r w:rsidR="00AB47C4" w:rsidRPr="00763503">
        <w:t xml:space="preserve">services, and the </w:t>
      </w:r>
      <w:r w:rsidR="00AB47C4">
        <w:t>DIA</w:t>
      </w:r>
      <w:r w:rsidR="00AB47C4" w:rsidRPr="00763503">
        <w:t>)</w:t>
      </w:r>
    </w:p>
    <w:p w14:paraId="2C27DC0A" w14:textId="4A5165AE" w:rsidR="00AB47C4" w:rsidRPr="00763503" w:rsidRDefault="00A32FE9" w:rsidP="001669DE">
      <w:pPr>
        <w:pStyle w:val="Bulletpointindented"/>
      </w:pPr>
      <w:r>
        <w:t>D</w:t>
      </w:r>
      <w:r w:rsidR="00AB47C4" w:rsidRPr="00763503">
        <w:t xml:space="preserve">eveloped a national MVE Framework with consistent processes, standards, forms and templates for MVE stakeholders </w:t>
      </w:r>
    </w:p>
    <w:p w14:paraId="10313AE9" w14:textId="2FB6A8C4" w:rsidR="00AB47C4" w:rsidRPr="00763503" w:rsidRDefault="00A32FE9" w:rsidP="001669DE">
      <w:pPr>
        <w:pStyle w:val="Bulletpointindented"/>
      </w:pPr>
      <w:r>
        <w:t>B</w:t>
      </w:r>
      <w:r w:rsidR="00AB47C4" w:rsidRPr="00763503">
        <w:t xml:space="preserve">rought all gambling harm service providers under the new MVE framework </w:t>
      </w:r>
    </w:p>
    <w:p w14:paraId="4BADB6DD" w14:textId="0D7537E8" w:rsidR="00AB47C4" w:rsidRPr="00763503" w:rsidRDefault="00A32FE9" w:rsidP="001669DE">
      <w:pPr>
        <w:pStyle w:val="Bulletpointindented"/>
      </w:pPr>
      <w:r>
        <w:t>I</w:t>
      </w:r>
      <w:r w:rsidR="00AB47C4" w:rsidRPr="00763503">
        <w:t xml:space="preserve">dentified issues and implemented improvements and quality control to MVE processes, efficiencies, data collection and quality  </w:t>
      </w:r>
    </w:p>
    <w:p w14:paraId="624D1B4B" w14:textId="64EE6472" w:rsidR="00AB47C4" w:rsidRPr="00763503" w:rsidRDefault="00A32FE9" w:rsidP="001669DE">
      <w:pPr>
        <w:pStyle w:val="Bulletpointindented"/>
      </w:pPr>
      <w:r>
        <w:t>C</w:t>
      </w:r>
      <w:r w:rsidR="00AB47C4" w:rsidRPr="00763503">
        <w:t>onducted training sessions for services providers and DIA staff</w:t>
      </w:r>
    </w:p>
    <w:p w14:paraId="431CF260" w14:textId="289046DA" w:rsidR="00AB47C4" w:rsidRDefault="00A32FE9" w:rsidP="00A32FE9">
      <w:pPr>
        <w:pStyle w:val="Bulletpointindented"/>
      </w:pPr>
      <w:r>
        <w:t>E</w:t>
      </w:r>
      <w:r w:rsidR="00AB47C4" w:rsidRPr="00763503">
        <w:t>xtended MVE to regions where the MVE process was previously not available.</w:t>
      </w:r>
    </w:p>
    <w:p w14:paraId="4C4C1A66" w14:textId="77777777" w:rsidR="00A32FE9" w:rsidRPr="002F108B" w:rsidRDefault="00A32FE9" w:rsidP="00A32FE9">
      <w:pPr>
        <w:rPr>
          <w:lang w:val="en-NZ"/>
        </w:rPr>
      </w:pPr>
      <w:r w:rsidRPr="002F108B">
        <w:rPr>
          <w:lang w:val="en-NZ"/>
        </w:rPr>
        <w:t xml:space="preserve">A study by Malatest International (2018), which explored the effectiveness of different multi-venue exclusion (MVE) systems for excluded gamblers in the Hawke’s Bay region, also identified that: </w:t>
      </w:r>
    </w:p>
    <w:p w14:paraId="1E9D9D37" w14:textId="77777777" w:rsidR="00A32FE9" w:rsidRDefault="00A32FE9" w:rsidP="00A32FE9">
      <w:pPr>
        <w:pStyle w:val="Bulletpointindented"/>
      </w:pPr>
      <w:r>
        <w:t xml:space="preserve">Gaps in understanding harmful gambling as a complex mental health issue throughout Māori communities inhibits the ability of whaiora/clients to seek help for their gambling. </w:t>
      </w:r>
    </w:p>
    <w:p w14:paraId="1FA4F883" w14:textId="77777777" w:rsidR="00A32FE9" w:rsidRDefault="00A32FE9" w:rsidP="00A32FE9">
      <w:pPr>
        <w:pStyle w:val="Bulletpointindented"/>
      </w:pPr>
      <w:r>
        <w:t xml:space="preserve">There is a need for information about MVE and how to sign up for exclusion from gaming venues to be more widely disseminated. </w:t>
      </w:r>
    </w:p>
    <w:p w14:paraId="16DE6F8B" w14:textId="77777777" w:rsidR="00A32FE9" w:rsidRDefault="00A32FE9" w:rsidP="00A32FE9">
      <w:pPr>
        <w:pStyle w:val="Bulletpointindented"/>
      </w:pPr>
      <w:r w:rsidRPr="00BF11DE">
        <w:t>MVE</w:t>
      </w:r>
      <w:r>
        <w:t xml:space="preserve"> registration and commitment</w:t>
      </w:r>
      <w:r w:rsidRPr="00BF11DE">
        <w:t xml:space="preserve"> </w:t>
      </w:r>
      <w:r>
        <w:t xml:space="preserve">was most effective when </w:t>
      </w:r>
      <w:r w:rsidRPr="00BF11DE">
        <w:t xml:space="preserve">undertaken alongside </w:t>
      </w:r>
      <w:r>
        <w:t xml:space="preserve">culturally appropriate intervention services, and there was ongoing, face-to-face interaction between harmful gambling provider staff and venue staff. </w:t>
      </w:r>
    </w:p>
    <w:p w14:paraId="6B9F87CF" w14:textId="36286A7F" w:rsidR="00281587" w:rsidRPr="00521D83" w:rsidRDefault="00AB47C4" w:rsidP="00521D83">
      <w:pPr>
        <w:autoSpaceDE w:val="0"/>
        <w:autoSpaceDN w:val="0"/>
        <w:adjustRightInd w:val="0"/>
        <w:rPr>
          <w:rFonts w:asciiTheme="minorHAnsi" w:hAnsiTheme="minorHAnsi" w:cstheme="minorHAnsi"/>
        </w:rPr>
      </w:pPr>
      <w:r w:rsidRPr="00AB47C4">
        <w:rPr>
          <w:rFonts w:asciiTheme="minorHAnsi" w:hAnsiTheme="minorHAnsi" w:cstheme="minorHAnsi"/>
        </w:rPr>
        <w:t>In 2019 the Ministry commissioned Torutek Limited to supply and trial CONCERN, a cloud-based database with a web portal</w:t>
      </w:r>
      <w:r w:rsidR="00521D83">
        <w:rPr>
          <w:rFonts w:asciiTheme="minorHAnsi" w:hAnsiTheme="minorHAnsi" w:cstheme="minorHAnsi"/>
        </w:rPr>
        <w:t>,</w:t>
      </w:r>
      <w:r w:rsidRPr="00AB47C4">
        <w:rPr>
          <w:rFonts w:asciiTheme="minorHAnsi" w:hAnsiTheme="minorHAnsi" w:cstheme="minorHAnsi"/>
        </w:rPr>
        <w:t xml:space="preserve"> that electronically manage</w:t>
      </w:r>
      <w:r w:rsidR="00450B15">
        <w:rPr>
          <w:rFonts w:asciiTheme="minorHAnsi" w:hAnsiTheme="minorHAnsi" w:cstheme="minorHAnsi"/>
        </w:rPr>
        <w:t xml:space="preserve">s </w:t>
      </w:r>
      <w:r w:rsidRPr="00AB47C4">
        <w:rPr>
          <w:rFonts w:asciiTheme="minorHAnsi" w:hAnsiTheme="minorHAnsi" w:cstheme="minorHAnsi"/>
        </w:rPr>
        <w:t>the exclusion process and serves as a central repository of all gambling exclusions. The database</w:t>
      </w:r>
      <w:r>
        <w:rPr>
          <w:rFonts w:asciiTheme="minorHAnsi" w:hAnsiTheme="minorHAnsi" w:cstheme="minorHAnsi"/>
        </w:rPr>
        <w:t xml:space="preserve"> </w:t>
      </w:r>
      <w:r w:rsidRPr="00AB47C4">
        <w:rPr>
          <w:rFonts w:asciiTheme="minorHAnsi" w:hAnsiTheme="minorHAnsi" w:cstheme="minorHAnsi"/>
        </w:rPr>
        <w:t>went live in July 2020.</w:t>
      </w:r>
      <w:r w:rsidR="00521D83">
        <w:rPr>
          <w:rFonts w:asciiTheme="minorHAnsi" w:hAnsiTheme="minorHAnsi" w:cstheme="minorHAnsi"/>
        </w:rPr>
        <w:t xml:space="preserve"> </w:t>
      </w:r>
      <w:r>
        <w:rPr>
          <w:lang w:val="en-NZ"/>
        </w:rPr>
        <w:t xml:space="preserve">The </w:t>
      </w:r>
      <w:r w:rsidR="00521D83">
        <w:rPr>
          <w:lang w:val="en-NZ"/>
        </w:rPr>
        <w:t xml:space="preserve">TSA </w:t>
      </w:r>
      <w:r>
        <w:rPr>
          <w:lang w:val="en-NZ"/>
        </w:rPr>
        <w:t xml:space="preserve">National Administration Service </w:t>
      </w:r>
      <w:r w:rsidR="00521D83">
        <w:rPr>
          <w:lang w:val="en-NZ"/>
        </w:rPr>
        <w:t xml:space="preserve">is responsible for processing MVEs, entering data on the database and provides training to Class 4 stakeholders. </w:t>
      </w:r>
    </w:p>
    <w:p w14:paraId="3E9397BC" w14:textId="2F51719D" w:rsidR="00C907B7" w:rsidRPr="002F108B" w:rsidRDefault="00E07D35" w:rsidP="00C015A7">
      <w:pPr>
        <w:pStyle w:val="Heading2"/>
        <w:rPr>
          <w:lang w:val="en-NZ"/>
        </w:rPr>
      </w:pPr>
      <w:bookmarkStart w:id="175" w:name="_Toc65250328"/>
      <w:bookmarkStart w:id="176" w:name="_Toc76469803"/>
      <w:bookmarkEnd w:id="174"/>
      <w:r w:rsidRPr="002F108B">
        <w:rPr>
          <w:lang w:val="en-NZ"/>
        </w:rPr>
        <w:t>Enablers and b</w:t>
      </w:r>
      <w:r w:rsidR="00C907B7" w:rsidRPr="002F108B">
        <w:rPr>
          <w:lang w:val="en-NZ"/>
        </w:rPr>
        <w:t>arriers to seeking help have not changed</w:t>
      </w:r>
      <w:r w:rsidR="008F7DD0" w:rsidRPr="002F108B">
        <w:rPr>
          <w:lang w:val="en-NZ"/>
        </w:rPr>
        <w:t xml:space="preserve"> – understanding barriers is important</w:t>
      </w:r>
      <w:bookmarkEnd w:id="175"/>
      <w:bookmarkEnd w:id="176"/>
    </w:p>
    <w:p w14:paraId="503360C5" w14:textId="77777777" w:rsidR="00E07D35" w:rsidRPr="002F108B" w:rsidRDefault="00E07D35" w:rsidP="00E07D35">
      <w:pPr>
        <w:rPr>
          <w:lang w:val="en-NZ"/>
        </w:rPr>
      </w:pPr>
      <w:r w:rsidRPr="002F108B">
        <w:rPr>
          <w:lang w:val="en-NZ"/>
        </w:rPr>
        <w:t>Effective intervention and counselling services include counsellors who provide helpful gambling management strategies, opportunities to build a trusting relationship and engage in objective and empathetic discussions. A lack of understanding about gambling was considered detrimental to positive progression and gambling harm minimisation (Bellringer et al., 2019).</w:t>
      </w:r>
    </w:p>
    <w:p w14:paraId="7D2A2D25" w14:textId="6897B022" w:rsidR="00D46BEC" w:rsidRPr="002F108B" w:rsidRDefault="00B60340" w:rsidP="008D522F">
      <w:pPr>
        <w:spacing w:before="0" w:line="288" w:lineRule="auto"/>
        <w:rPr>
          <w:lang w:val="en-NZ"/>
        </w:rPr>
      </w:pPr>
      <w:r w:rsidRPr="002F108B">
        <w:rPr>
          <w:lang w:val="en-NZ"/>
        </w:rPr>
        <w:lastRenderedPageBreak/>
        <w:t xml:space="preserve">Understanding the barriers to seeking help is an important step towards facilitating early access to services. </w:t>
      </w:r>
      <w:r w:rsidR="000D2528" w:rsidRPr="002F108B">
        <w:rPr>
          <w:lang w:val="en-NZ"/>
        </w:rPr>
        <w:t>Recent</w:t>
      </w:r>
      <w:r w:rsidRPr="002F108B">
        <w:rPr>
          <w:lang w:val="en-NZ"/>
        </w:rPr>
        <w:t xml:space="preserve"> studies have explored barriers </w:t>
      </w:r>
      <w:r w:rsidR="000D2528" w:rsidRPr="002F108B">
        <w:rPr>
          <w:lang w:val="en-NZ"/>
        </w:rPr>
        <w:t xml:space="preserve">to seeking help from the Gambling Helpline and gambling intervention services more generally </w:t>
      </w:r>
      <w:r w:rsidRPr="002F108B">
        <w:rPr>
          <w:lang w:val="en-NZ"/>
        </w:rPr>
        <w:t xml:space="preserve">and identified a number of systemic and cultural barriers, which </w:t>
      </w:r>
      <w:r w:rsidR="00D64BF2" w:rsidRPr="002F108B">
        <w:rPr>
          <w:lang w:val="en-NZ"/>
        </w:rPr>
        <w:t>remain consi</w:t>
      </w:r>
      <w:r w:rsidR="008A45B9" w:rsidRPr="002F108B">
        <w:rPr>
          <w:lang w:val="en-NZ"/>
        </w:rPr>
        <w:t>s</w:t>
      </w:r>
      <w:r w:rsidR="00D64BF2" w:rsidRPr="002F108B">
        <w:rPr>
          <w:lang w:val="en-NZ"/>
        </w:rPr>
        <w:t xml:space="preserve">tent with </w:t>
      </w:r>
      <w:r w:rsidR="006F5452" w:rsidRPr="002F108B">
        <w:rPr>
          <w:lang w:val="en-NZ"/>
        </w:rPr>
        <w:t>early</w:t>
      </w:r>
      <w:r w:rsidR="00236365" w:rsidRPr="002F108B">
        <w:rPr>
          <w:lang w:val="en-NZ"/>
        </w:rPr>
        <w:t xml:space="preserve"> </w:t>
      </w:r>
      <w:r w:rsidR="00D64BF2" w:rsidRPr="002F108B">
        <w:rPr>
          <w:lang w:val="en-NZ"/>
        </w:rPr>
        <w:t>research</w:t>
      </w:r>
      <w:r w:rsidR="00236365" w:rsidRPr="002F108B">
        <w:rPr>
          <w:lang w:val="en-NZ"/>
        </w:rPr>
        <w:t xml:space="preserve"> and evidence</w:t>
      </w:r>
      <w:r w:rsidR="006F5452" w:rsidRPr="002F108B">
        <w:rPr>
          <w:lang w:val="en-NZ"/>
        </w:rPr>
        <w:t xml:space="preserve"> </w:t>
      </w:r>
      <w:r w:rsidR="00DD4547" w:rsidRPr="002F108B">
        <w:rPr>
          <w:rFonts w:cs="Calibri"/>
          <w:lang w:val="en-NZ"/>
        </w:rPr>
        <w:t>(Bellringer et al., 2008;</w:t>
      </w:r>
      <w:r w:rsidR="00843604" w:rsidRPr="002F108B">
        <w:rPr>
          <w:rFonts w:cs="Calibri"/>
          <w:lang w:val="en-NZ"/>
        </w:rPr>
        <w:t xml:space="preserve"> </w:t>
      </w:r>
      <w:r w:rsidR="00DD4547" w:rsidRPr="002F108B">
        <w:rPr>
          <w:rFonts w:cs="Calibri"/>
          <w:lang w:val="en-NZ"/>
        </w:rPr>
        <w:t>Suurvali et al., 2009; Pulford et al., 2009)</w:t>
      </w:r>
      <w:r w:rsidRPr="002F108B">
        <w:rPr>
          <w:lang w:val="en-NZ"/>
        </w:rPr>
        <w:t>. For example</w:t>
      </w:r>
      <w:r w:rsidR="00D46BEC" w:rsidRPr="002F108B">
        <w:rPr>
          <w:lang w:val="en-NZ"/>
        </w:rPr>
        <w:t>:</w:t>
      </w:r>
    </w:p>
    <w:p w14:paraId="285E1E0E" w14:textId="3AAD3120" w:rsidR="00B60340" w:rsidRPr="00745268" w:rsidRDefault="00D46BEC" w:rsidP="00045413">
      <w:pPr>
        <w:pStyle w:val="Bulletpointindented"/>
      </w:pPr>
      <w:r w:rsidRPr="00911232">
        <w:rPr>
          <w:b/>
        </w:rPr>
        <w:t>S</w:t>
      </w:r>
      <w:r w:rsidR="00B60340" w:rsidRPr="00911232">
        <w:rPr>
          <w:b/>
        </w:rPr>
        <w:t>ystemic</w:t>
      </w:r>
      <w:r w:rsidR="00B60340" w:rsidRPr="00D46BEC">
        <w:rPr>
          <w:b/>
        </w:rPr>
        <w:t xml:space="preserve"> barriers</w:t>
      </w:r>
      <w:r w:rsidR="00B60340">
        <w:t xml:space="preserve"> include a lack of awareness of appropriate services, inability to find a convenient time for an appointment, being sceptical of the number of gamblers who utilise professional services</w:t>
      </w:r>
      <w:r w:rsidR="00B60340" w:rsidRPr="004D3607">
        <w:t xml:space="preserve"> </w:t>
      </w:r>
      <w:r w:rsidR="00B60340">
        <w:t>and repeated calls to the gambling helpline resulting in the provision of the same information</w:t>
      </w:r>
      <w:r w:rsidR="003D73B4">
        <w:t xml:space="preserve"> </w:t>
      </w:r>
      <w:r w:rsidR="00DD4547" w:rsidRPr="002F108B">
        <w:rPr>
          <w:rFonts w:cs="Calibri"/>
        </w:rPr>
        <w:t>(Bellringer et al., 2019; Sapere Research Group &amp; Litmus, 2020)</w:t>
      </w:r>
      <w:r w:rsidR="00B60340">
        <w:t>.</w:t>
      </w:r>
    </w:p>
    <w:p w14:paraId="01B667E5" w14:textId="1CA25322" w:rsidR="00B60340" w:rsidRDefault="00DC30B4" w:rsidP="00CF2F97">
      <w:pPr>
        <w:pStyle w:val="Bulletpointindented"/>
        <w:numPr>
          <w:ilvl w:val="0"/>
          <w:numId w:val="0"/>
        </w:numPr>
        <w:ind w:left="1080"/>
      </w:pPr>
      <w:r>
        <w:t xml:space="preserve">In addition, </w:t>
      </w:r>
      <w:r w:rsidR="003A72A6">
        <w:t>stakeholders</w:t>
      </w:r>
      <w:r w:rsidR="00DE59D6">
        <w:t xml:space="preserve"> of the NTS M</w:t>
      </w:r>
      <w:r w:rsidR="00F21666">
        <w:t>HA services evaluation</w:t>
      </w:r>
      <w:r w:rsidR="003A72A6">
        <w:t xml:space="preserve"> identified several concerns specific to the Gambling Helpline and Quitline.</w:t>
      </w:r>
      <w:r w:rsidR="00055BA4">
        <w:t xml:space="preserve"> </w:t>
      </w:r>
      <w:r w:rsidR="00CF52DE">
        <w:t xml:space="preserve">The concerns centred around </w:t>
      </w:r>
      <w:r w:rsidR="00F7594F">
        <w:t>l</w:t>
      </w:r>
      <w:r w:rsidR="00055BA4">
        <w:t xml:space="preserve">ow referrals </w:t>
      </w:r>
      <w:r w:rsidR="00F7594F">
        <w:t xml:space="preserve">numbers </w:t>
      </w:r>
      <w:r w:rsidR="00055BA4">
        <w:t>to face-to-face providers</w:t>
      </w:r>
      <w:r w:rsidR="00F7594F">
        <w:t xml:space="preserve">, </w:t>
      </w:r>
      <w:r w:rsidR="00055BA4">
        <w:t>the Gambling Helpline</w:t>
      </w:r>
      <w:r w:rsidR="00B42196">
        <w:t xml:space="preserve"> marketing</w:t>
      </w:r>
      <w:r w:rsidR="00AC1512">
        <w:t>, and call-takers' cultural competency</w:t>
      </w:r>
      <w:r w:rsidR="00055BA4">
        <w:t>, particularly for Asian and Pacific callers</w:t>
      </w:r>
      <w:r w:rsidR="00F7594F">
        <w:t xml:space="preserve"> </w:t>
      </w:r>
      <w:r w:rsidR="00DD4547" w:rsidRPr="002F108B">
        <w:rPr>
          <w:rFonts w:cs="Calibri"/>
        </w:rPr>
        <w:t>(Sapere Research Group &amp; Litmus, 2020)</w:t>
      </w:r>
      <w:r w:rsidR="009C0B59">
        <w:t>.</w:t>
      </w:r>
    </w:p>
    <w:p w14:paraId="656683DE" w14:textId="4F66D7FE" w:rsidR="00033D50" w:rsidRPr="00745268" w:rsidRDefault="00033D50" w:rsidP="00045413">
      <w:pPr>
        <w:pStyle w:val="Bulletpointindented"/>
      </w:pPr>
      <w:r w:rsidRPr="006E0AAA">
        <w:rPr>
          <w:b/>
        </w:rPr>
        <w:t>Personal barriers</w:t>
      </w:r>
      <w:r>
        <w:t xml:space="preserve"> </w:t>
      </w:r>
      <w:r w:rsidR="009220E2">
        <w:t>include</w:t>
      </w:r>
      <w:r>
        <w:t xml:space="preserve"> denial of a problem, pride, shyness, and shame </w:t>
      </w:r>
      <w:r w:rsidR="0024729F">
        <w:t xml:space="preserve">about their </w:t>
      </w:r>
      <w:r w:rsidR="00061B30">
        <w:t xml:space="preserve">gambling behaviour </w:t>
      </w:r>
      <w:r w:rsidR="00DD4547" w:rsidRPr="00DD4547">
        <w:rPr>
          <w:rFonts w:cs="Calibri"/>
        </w:rPr>
        <w:t>(Bellringer et al., 2019)</w:t>
      </w:r>
      <w:r>
        <w:t>.</w:t>
      </w:r>
    </w:p>
    <w:p w14:paraId="0A37C8DC" w14:textId="13FAA2CB" w:rsidR="00B02B46" w:rsidRPr="00E13CB5" w:rsidRDefault="006E0AAA" w:rsidP="00045413">
      <w:pPr>
        <w:pStyle w:val="Bulletpointindented"/>
      </w:pPr>
      <w:r>
        <w:rPr>
          <w:b/>
        </w:rPr>
        <w:t>C</w:t>
      </w:r>
      <w:r w:rsidRPr="006E0AAA">
        <w:rPr>
          <w:b/>
        </w:rPr>
        <w:t>ultural barriers</w:t>
      </w:r>
      <w:r w:rsidR="000870CA">
        <w:rPr>
          <w:b/>
        </w:rPr>
        <w:t>,</w:t>
      </w:r>
      <w:r>
        <w:t xml:space="preserve"> </w:t>
      </w:r>
      <w:r w:rsidR="001D2518">
        <w:t>for example</w:t>
      </w:r>
      <w:r w:rsidR="00381773">
        <w:t>,</w:t>
      </w:r>
      <w:r w:rsidR="001D2518">
        <w:t xml:space="preserve"> </w:t>
      </w:r>
      <w:r>
        <w:t>language barriers and</w:t>
      </w:r>
      <w:r w:rsidR="00381773">
        <w:t>,</w:t>
      </w:r>
      <w:r>
        <w:t xml:space="preserve"> </w:t>
      </w:r>
      <w:r w:rsidR="001D2518">
        <w:t>for some cultures</w:t>
      </w:r>
      <w:r w:rsidR="00381773">
        <w:t>,</w:t>
      </w:r>
      <w:r w:rsidR="001D2518">
        <w:t xml:space="preserve"> </w:t>
      </w:r>
      <w:r>
        <w:t xml:space="preserve">the principle of not seeking help from outsiders (e.g. Asian </w:t>
      </w:r>
      <w:r w:rsidR="00A15C85">
        <w:t xml:space="preserve">NGS </w:t>
      </w:r>
      <w:r>
        <w:t>participants noted they were more likely to seek help from family or close friends to save face and avoid stigmatisation)</w:t>
      </w:r>
      <w:r w:rsidR="00B02B46">
        <w:t>. Bellringer et al</w:t>
      </w:r>
      <w:r w:rsidR="00304FDA">
        <w:t>.</w:t>
      </w:r>
      <w:r w:rsidR="00B02B46">
        <w:t xml:space="preserve"> (2019) argued the need for increased awareness</w:t>
      </w:r>
      <w:r w:rsidR="00304FDA">
        <w:t>-</w:t>
      </w:r>
      <w:r w:rsidR="00B02B46">
        <w:t xml:space="preserve">raising about culturally appropriate services and assurance of confidentiality to remove cultural barriers to accessing treatment services. </w:t>
      </w:r>
    </w:p>
    <w:p w14:paraId="4BC4D7E9" w14:textId="5B97AA6D" w:rsidR="00EA493D" w:rsidRPr="00CA3C1F" w:rsidRDefault="00EA493D" w:rsidP="00EA493D">
      <w:pPr>
        <w:pStyle w:val="Heading2"/>
      </w:pPr>
      <w:bookmarkStart w:id="177" w:name="_Toc66468993"/>
      <w:bookmarkStart w:id="178" w:name="_Toc76469804"/>
      <w:r w:rsidRPr="00CA3C1F">
        <w:t xml:space="preserve">Gaps in </w:t>
      </w:r>
      <w:r>
        <w:t xml:space="preserve">gambling harm </w:t>
      </w:r>
      <w:r w:rsidR="00AD1820">
        <w:t xml:space="preserve">provider </w:t>
      </w:r>
      <w:r w:rsidRPr="00CA3C1F">
        <w:t>services remain</w:t>
      </w:r>
      <w:bookmarkStart w:id="179" w:name="_Toc65250329"/>
      <w:bookmarkEnd w:id="177"/>
      <w:bookmarkEnd w:id="178"/>
    </w:p>
    <w:p w14:paraId="599BF5A9" w14:textId="1C98980F" w:rsidR="00EA493D" w:rsidRPr="00C41A11" w:rsidRDefault="00EA493D" w:rsidP="00EA493D">
      <w:pPr>
        <w:rPr>
          <w:lang w:val="en-NZ"/>
        </w:rPr>
      </w:pPr>
      <w:r w:rsidRPr="00C41A11">
        <w:rPr>
          <w:lang w:val="en-NZ"/>
        </w:rPr>
        <w:t xml:space="preserve">Recent evidence has identified gaps that exist within aspects of gambling harm </w:t>
      </w:r>
      <w:r w:rsidR="00A32FE9">
        <w:rPr>
          <w:lang w:val="en-NZ"/>
        </w:rPr>
        <w:t xml:space="preserve">provider </w:t>
      </w:r>
      <w:r w:rsidRPr="00C41A11">
        <w:rPr>
          <w:lang w:val="en-NZ"/>
        </w:rPr>
        <w:t>services</w:t>
      </w:r>
      <w:r w:rsidR="00A32FE9">
        <w:rPr>
          <w:lang w:val="en-NZ"/>
        </w:rPr>
        <w:t xml:space="preserve"> which the Ministry committed funding to addressing under </w:t>
      </w:r>
      <w:r w:rsidR="00A32FE9" w:rsidRPr="008A605E">
        <w:t>the current Strategy 2019/20-2021/22</w:t>
      </w:r>
      <w:r w:rsidRPr="00C41A11">
        <w:rPr>
          <w:lang w:val="en-NZ"/>
        </w:rPr>
        <w:t>:</w:t>
      </w:r>
    </w:p>
    <w:p w14:paraId="4F2C4370" w14:textId="79CF3F04" w:rsidR="00EA493D" w:rsidRDefault="00EA493D" w:rsidP="00EA493D">
      <w:pPr>
        <w:pStyle w:val="Bullet"/>
        <w:spacing w:before="60" w:after="120" w:line="276" w:lineRule="auto"/>
      </w:pPr>
      <w:r w:rsidRPr="00B3130A">
        <w:rPr>
          <w:b/>
          <w:bCs/>
        </w:rPr>
        <w:t>Peer support workers:</w:t>
      </w:r>
      <w:r>
        <w:t xml:space="preserve"> Intervention gambling harm provider services are currently delivered by qualified counsellors and practitioners. Te Pou (2020) conducted a study to explore gambling harm provider services and peer workers’ views on the need and potential for peer worker roles across intervention services. Peers and providers that participated int he study were commonly supportive of establishing peer support worker positions to better meet the </w:t>
      </w:r>
      <w:r w:rsidR="001D6A9F">
        <w:t>Objective</w:t>
      </w:r>
      <w:r>
        <w:t xml:space="preserve">s of the Strategy to Prevent and Minimise gambling harm. New peer support worker roles to support clients, facilitate access and follow-up support were considered necessary and complementary to harmful gambling treatment pathways and outcomes. However, there was disagreement about what responsibilities new peer support workers would hold and how they would carry them out </w:t>
      </w:r>
      <w:r w:rsidRPr="00B3130A">
        <w:rPr>
          <w:rFonts w:cs="Calibri"/>
          <w:bCs/>
          <w:lang w:val="en-US"/>
        </w:rPr>
        <w:t>(Te Pou, 2020)</w:t>
      </w:r>
      <w:r>
        <w:t xml:space="preserve">. The key impediments to developing peer worker roles included a lack of funding, contracting processes and service specifications </w:t>
      </w:r>
      <w:r w:rsidRPr="00B3130A">
        <w:rPr>
          <w:rFonts w:cs="Calibri"/>
          <w:bCs/>
          <w:lang w:val="en-US"/>
        </w:rPr>
        <w:t>(Te Pou, 2020)</w:t>
      </w:r>
      <w:r>
        <w:t>.</w:t>
      </w:r>
    </w:p>
    <w:p w14:paraId="702400DE" w14:textId="77777777" w:rsidR="00EA493D" w:rsidRPr="003332A1" w:rsidRDefault="00EA493D" w:rsidP="004812AC">
      <w:pPr>
        <w:pStyle w:val="Bullet"/>
        <w:spacing w:before="60" w:after="120" w:line="276" w:lineRule="auto"/>
        <w:rPr>
          <w:rFonts w:cs="Calibri"/>
          <w:bCs/>
        </w:rPr>
      </w:pPr>
      <w:r w:rsidRPr="00FF3FA0">
        <w:rPr>
          <w:b/>
          <w:bCs/>
        </w:rPr>
        <w:lastRenderedPageBreak/>
        <w:t xml:space="preserve">Residential treatment: </w:t>
      </w:r>
      <w:r>
        <w:t xml:space="preserve">Previous studies have established that gamblers referred to residential treatment services are more likely to have greater gambling severity, greater mental health and psychosocial needs </w:t>
      </w:r>
      <w:r w:rsidRPr="00DD4547">
        <w:rPr>
          <w:rFonts w:cs="Calibri"/>
          <w:bCs/>
          <w:lang w:val="en-US"/>
        </w:rPr>
        <w:t>(Ledgerwood &amp; Arfken, 2017; Ledgerwood</w:t>
      </w:r>
      <w:r>
        <w:rPr>
          <w:rFonts w:cs="Calibri"/>
          <w:bCs/>
          <w:lang w:val="en-US"/>
        </w:rPr>
        <w:t xml:space="preserve"> </w:t>
      </w:r>
      <w:r w:rsidRPr="00DD4547">
        <w:rPr>
          <w:rFonts w:cs="Calibri"/>
          <w:bCs/>
          <w:lang w:val="en-US"/>
        </w:rPr>
        <w:t>et al., 2020)</w:t>
      </w:r>
      <w:r>
        <w:t>.</w:t>
      </w:r>
      <w:r>
        <w:rPr>
          <w:rFonts w:cs="Calibri"/>
          <w:b/>
          <w:bCs/>
        </w:rPr>
        <w:t xml:space="preserve"> </w:t>
      </w:r>
      <w:r>
        <w:rPr>
          <w:rFonts w:cs="Calibri"/>
        </w:rPr>
        <w:t>However, i</w:t>
      </w:r>
      <w:r>
        <w:rPr>
          <w:rFonts w:cs="Segoe UI"/>
          <w:lang w:eastAsia="en-NZ"/>
        </w:rPr>
        <w:t xml:space="preserve">t is important to recognise that clients in residential services are not homogeneous and may include those with mild to moderate problems and a range of co-existing mental health conditions which require different supports and resources </w:t>
      </w:r>
      <w:r w:rsidRPr="002C4D2B">
        <w:rPr>
          <w:rFonts w:cs="Calibri"/>
          <w:bCs/>
          <w:lang w:val="en-US" w:eastAsia="en-NZ"/>
        </w:rPr>
        <w:t>(Sharman et al., 2019)</w:t>
      </w:r>
      <w:r>
        <w:rPr>
          <w:rFonts w:cs="Segoe UI"/>
          <w:lang w:eastAsia="en-NZ"/>
        </w:rPr>
        <w:t>.</w:t>
      </w:r>
    </w:p>
    <w:p w14:paraId="3042350B" w14:textId="77777777" w:rsidR="00EA493D" w:rsidRDefault="00EA493D" w:rsidP="00EA493D">
      <w:pPr>
        <w:ind w:left="927"/>
      </w:pPr>
      <w:r>
        <w:t xml:space="preserve">Other research has shown that residential treatment is shown to provide promising and complementary treatment for comorbid conditions (such as harmful gambling, sex addiction, compulsive buying and stealing, internet gaming disorder, alcohol and cigarette addiction) </w:t>
      </w:r>
      <w:r w:rsidRPr="00663AD9">
        <w:rPr>
          <w:rFonts w:cs="Calibri"/>
          <w:bCs/>
          <w:lang w:val="en-US"/>
        </w:rPr>
        <w:t>(Chan et al., 2018; Re et al., 2019)</w:t>
      </w:r>
      <w:r>
        <w:t>. However, it is important to note:</w:t>
      </w:r>
    </w:p>
    <w:p w14:paraId="76F9AC27" w14:textId="77777777" w:rsidR="00EA493D" w:rsidRDefault="00EA493D" w:rsidP="00EA493D">
      <w:pPr>
        <w:pStyle w:val="Bulletpointindented"/>
        <w:numPr>
          <w:ilvl w:val="1"/>
          <w:numId w:val="3"/>
        </w:numPr>
      </w:pPr>
      <w:r>
        <w:t>T</w:t>
      </w:r>
      <w:r w:rsidRPr="00FF3FA0">
        <w:t xml:space="preserve">he need for a broad approach (assessment and intervention) is necessary because a focus </w:t>
      </w:r>
      <w:r>
        <w:t>on</w:t>
      </w:r>
      <w:r w:rsidRPr="00FF3FA0">
        <w:t xml:space="preserve"> symptoms results in high relapse. </w:t>
      </w:r>
      <w:r w:rsidRPr="00663AD9">
        <w:rPr>
          <w:rFonts w:cs="Calibri"/>
          <w:bCs/>
          <w:lang w:val="en-US"/>
        </w:rPr>
        <w:t>(Chan et al., 2018; Re et al., 2019)</w:t>
      </w:r>
      <w:r>
        <w:t>.</w:t>
      </w:r>
    </w:p>
    <w:p w14:paraId="634E471B" w14:textId="77777777" w:rsidR="00EA493D" w:rsidRDefault="00EA493D" w:rsidP="00EA493D">
      <w:pPr>
        <w:pStyle w:val="Bulletpointindented"/>
        <w:numPr>
          <w:ilvl w:val="1"/>
          <w:numId w:val="3"/>
        </w:numPr>
      </w:pPr>
      <w:r>
        <w:t xml:space="preserve">One study identified a high proportion of clients did not complete their residential treatment for harmful gambling. Significant predictors of treatment dropout included </w:t>
      </w:r>
      <w:r w:rsidRPr="00A1224D">
        <w:rPr>
          <w:rFonts w:cs="Segoe UI"/>
        </w:rPr>
        <w:t xml:space="preserve">older age of the client, higher levels of education, higher levels of debt, online gambling, gambling on poker, shorter duration of treatment, higher depression, </w:t>
      </w:r>
      <w:r>
        <w:rPr>
          <w:rFonts w:cs="Segoe UI"/>
        </w:rPr>
        <w:t xml:space="preserve">the </w:t>
      </w:r>
      <w:r w:rsidRPr="00A1224D">
        <w:rPr>
          <w:rFonts w:cs="Segoe UI"/>
        </w:rPr>
        <w:t>experience of previous treatment programmes and medication, and adverse childhood experiences.</w:t>
      </w:r>
      <w:r>
        <w:rPr>
          <w:rFonts w:cs="Segoe UI"/>
        </w:rPr>
        <w:t xml:space="preserve"> It is critical that residential clinicians are aware of comorbidities and co-existing conditions and work to retain those at risk of non-completion </w:t>
      </w:r>
      <w:r w:rsidRPr="00F74CE0">
        <w:rPr>
          <w:rFonts w:cs="Calibri"/>
          <w:bCs/>
          <w:lang w:val="en-US"/>
        </w:rPr>
        <w:t>(Roberts et al., 2020)</w:t>
      </w:r>
      <w:r>
        <w:rPr>
          <w:rFonts w:cs="Segoe UI"/>
        </w:rPr>
        <w:t>.</w:t>
      </w:r>
    </w:p>
    <w:p w14:paraId="63560279" w14:textId="3831C13C" w:rsidR="00D705C8" w:rsidRDefault="00D705C8" w:rsidP="00D705C8">
      <w:pPr>
        <w:pStyle w:val="Heading1"/>
      </w:pPr>
      <w:bookmarkStart w:id="180" w:name="_Toc76469805"/>
      <w:bookmarkEnd w:id="179"/>
      <w:r>
        <w:lastRenderedPageBreak/>
        <w:t xml:space="preserve">Progress against </w:t>
      </w:r>
      <w:r w:rsidR="001D6A9F">
        <w:t>Objective</w:t>
      </w:r>
      <w:r>
        <w:t>s in the Strategy</w:t>
      </w:r>
      <w:bookmarkEnd w:id="180"/>
      <w:r>
        <w:t xml:space="preserve"> </w:t>
      </w:r>
    </w:p>
    <w:p w14:paraId="5BF65299" w14:textId="77777777" w:rsidR="00C93C69" w:rsidRDefault="00D705C8" w:rsidP="00D705C8">
      <w:pPr>
        <w:rPr>
          <w:lang w:val="en-NZ"/>
        </w:rPr>
      </w:pPr>
      <w:r>
        <w:rPr>
          <w:lang w:val="en-NZ"/>
        </w:rPr>
        <w:t>P</w:t>
      </w:r>
      <w:r w:rsidRPr="002F108B">
        <w:rPr>
          <w:lang w:val="en-NZ"/>
        </w:rPr>
        <w:t xml:space="preserve">articipants </w:t>
      </w:r>
      <w:r>
        <w:rPr>
          <w:lang w:val="en-NZ"/>
        </w:rPr>
        <w:t>generally considere</w:t>
      </w:r>
      <w:r w:rsidRPr="002F108B">
        <w:rPr>
          <w:lang w:val="en-NZ"/>
        </w:rPr>
        <w:t>d</w:t>
      </w:r>
      <w:r>
        <w:rPr>
          <w:lang w:val="en-NZ"/>
        </w:rPr>
        <w:t xml:space="preserve"> that</w:t>
      </w:r>
      <w:r w:rsidRPr="002F108B">
        <w:rPr>
          <w:lang w:val="en-NZ"/>
        </w:rPr>
        <w:t xml:space="preserve"> </w:t>
      </w:r>
      <w:r w:rsidR="004E53CF">
        <w:rPr>
          <w:lang w:val="en-NZ"/>
        </w:rPr>
        <w:t>limited</w:t>
      </w:r>
      <w:r w:rsidRPr="002F108B">
        <w:rPr>
          <w:lang w:val="en-NZ"/>
        </w:rPr>
        <w:t xml:space="preserve"> progress had been made across most </w:t>
      </w:r>
      <w:r w:rsidR="001D6A9F">
        <w:rPr>
          <w:lang w:val="en-NZ"/>
        </w:rPr>
        <w:t>Objective</w:t>
      </w:r>
      <w:r w:rsidRPr="002F108B">
        <w:rPr>
          <w:lang w:val="en-NZ"/>
        </w:rPr>
        <w:t>s set out in the</w:t>
      </w:r>
      <w:r w:rsidR="004812AC">
        <w:rPr>
          <w:lang w:val="en-NZ"/>
        </w:rPr>
        <w:t xml:space="preserve"> current</w:t>
      </w:r>
      <w:r w:rsidRPr="002F108B">
        <w:rPr>
          <w:lang w:val="en-NZ"/>
        </w:rPr>
        <w:t xml:space="preserve"> Strategy to Prevent and Minimise Gambling Harm 2019/20-2021/22</w:t>
      </w:r>
      <w:r w:rsidRPr="002F108B">
        <w:rPr>
          <w:rStyle w:val="FootnoteReference"/>
          <w:lang w:val="en-NZ"/>
        </w:rPr>
        <w:footnoteReference w:id="35"/>
      </w:r>
      <w:r w:rsidRPr="002F108B">
        <w:rPr>
          <w:lang w:val="en-NZ"/>
        </w:rPr>
        <w:t>.</w:t>
      </w:r>
      <w:r>
        <w:rPr>
          <w:lang w:val="en-NZ"/>
        </w:rPr>
        <w:t xml:space="preserve"> </w:t>
      </w:r>
    </w:p>
    <w:p w14:paraId="75A9B771" w14:textId="26EDBF38" w:rsidR="00D705C8" w:rsidRDefault="00D705C8" w:rsidP="00D705C8">
      <w:pPr>
        <w:rPr>
          <w:lang w:val="en-NZ"/>
        </w:rPr>
      </w:pPr>
      <w:r>
        <w:rPr>
          <w:lang w:val="en-NZ"/>
        </w:rPr>
        <w:t xml:space="preserve">Participants’ views on progress were commonly </w:t>
      </w:r>
      <w:r w:rsidRPr="002F108B">
        <w:rPr>
          <w:lang w:val="en-NZ"/>
        </w:rPr>
        <w:t xml:space="preserve">described </w:t>
      </w:r>
      <w:r>
        <w:rPr>
          <w:lang w:val="en-NZ"/>
        </w:rPr>
        <w:t xml:space="preserve">in relation to perceived service gaps and risks </w:t>
      </w:r>
      <w:r w:rsidR="008228EB">
        <w:rPr>
          <w:lang w:val="en-NZ"/>
        </w:rPr>
        <w:t>specific</w:t>
      </w:r>
      <w:r>
        <w:rPr>
          <w:lang w:val="en-NZ"/>
        </w:rPr>
        <w:t xml:space="preserve"> to </w:t>
      </w:r>
      <w:r w:rsidR="009662D5">
        <w:rPr>
          <w:lang w:val="en-NZ"/>
        </w:rPr>
        <w:t xml:space="preserve">policy, </w:t>
      </w:r>
      <w:r>
        <w:rPr>
          <w:lang w:val="en-NZ"/>
        </w:rPr>
        <w:t xml:space="preserve">outcomes, </w:t>
      </w:r>
      <w:r w:rsidR="00E713C4">
        <w:rPr>
          <w:lang w:val="en-NZ"/>
        </w:rPr>
        <w:t xml:space="preserve">participation, </w:t>
      </w:r>
      <w:r>
        <w:rPr>
          <w:lang w:val="en-NZ"/>
        </w:rPr>
        <w:t xml:space="preserve">practice and research. </w:t>
      </w:r>
    </w:p>
    <w:p w14:paraId="2FE9E28B" w14:textId="77777777" w:rsidR="00CD7ED0" w:rsidRDefault="00CD7ED0" w:rsidP="0020635C">
      <w:r>
        <w:rPr>
          <w:lang w:val="en-NZ"/>
        </w:rPr>
        <w:t>It is important to note at this point that t</w:t>
      </w:r>
      <w:r>
        <w:t>he response to COVID-19 has resulted in a delay to the implementation of the current strategy. This includes commitments that address a number of the themes raised by participants in the Needs Assessment. Notably:</w:t>
      </w:r>
    </w:p>
    <w:p w14:paraId="3AA4AD36" w14:textId="77777777" w:rsidR="00CD7ED0" w:rsidRDefault="00CD7ED0" w:rsidP="0020635C">
      <w:pPr>
        <w:pStyle w:val="Bullet"/>
      </w:pPr>
      <w:r>
        <w:t>New service and innovation pilots, including pilots to address inequities, a peer workforce pilot, residential pilot and Technology Innovation Fund</w:t>
      </w:r>
    </w:p>
    <w:p w14:paraId="3F998804" w14:textId="11262B7A" w:rsidR="00CD7ED0" w:rsidRPr="00CD7ED0" w:rsidRDefault="00CD7ED0" w:rsidP="00CD7ED0">
      <w:pPr>
        <w:pStyle w:val="Bullet"/>
      </w:pPr>
      <w:r>
        <w:t>The cancellation of the bi-annual International Gambling Conference think tank planned for 2020 and reductions in opportunities for face-to-face sector engagement</w:t>
      </w:r>
    </w:p>
    <w:p w14:paraId="5A95CBBB" w14:textId="77777777" w:rsidR="00CD7ED0" w:rsidRPr="00C93C69" w:rsidRDefault="00CD7ED0" w:rsidP="00CD7ED0">
      <w:pPr>
        <w:pStyle w:val="Bullet"/>
      </w:pPr>
      <w:r>
        <w:rPr>
          <w:rFonts w:cs="Calibri"/>
        </w:rPr>
        <w:t xml:space="preserve">Delays to </w:t>
      </w:r>
      <w:r w:rsidRPr="00C93C69">
        <w:rPr>
          <w:rFonts w:cs="Calibri"/>
        </w:rPr>
        <w:t>Te Hiringa Hauora’s delivery of education and awareness campaigns to prevent and minimise gambling harm</w:t>
      </w:r>
    </w:p>
    <w:p w14:paraId="3FB599FA" w14:textId="48877F29" w:rsidR="00CD7ED0" w:rsidRDefault="00CD7ED0" w:rsidP="0020635C">
      <w:pPr>
        <w:pStyle w:val="Bullet"/>
      </w:pPr>
      <w:r>
        <w:t>Delays to the research and evaluation programme for both the delivery of some funded projects and planned procurements.</w:t>
      </w:r>
    </w:p>
    <w:p w14:paraId="248C4805" w14:textId="1A3A13BB" w:rsidR="00B17C59" w:rsidRDefault="00B17C59" w:rsidP="00B17C59">
      <w:pPr>
        <w:rPr>
          <w:lang w:val="en-NZ"/>
        </w:rPr>
      </w:pPr>
      <w:r>
        <w:rPr>
          <w:lang w:val="en-NZ"/>
        </w:rPr>
        <w:t>Two</w:t>
      </w:r>
      <w:r w:rsidR="00E43A11" w:rsidRPr="002F108B">
        <w:rPr>
          <w:lang w:val="en-NZ"/>
        </w:rPr>
        <w:t xml:space="preserve"> overarching </w:t>
      </w:r>
      <w:r w:rsidRPr="002F108B">
        <w:rPr>
          <w:lang w:val="en-NZ"/>
        </w:rPr>
        <w:t>theme</w:t>
      </w:r>
      <w:r>
        <w:rPr>
          <w:lang w:val="en-NZ"/>
        </w:rPr>
        <w:t>s</w:t>
      </w:r>
      <w:r w:rsidR="00E43A11" w:rsidRPr="002F108B">
        <w:rPr>
          <w:lang w:val="en-NZ"/>
        </w:rPr>
        <w:t xml:space="preserve"> noted by all interviewed stakeholders as pertinent to the gambling sector </w:t>
      </w:r>
      <w:r>
        <w:rPr>
          <w:lang w:val="en-NZ"/>
        </w:rPr>
        <w:t>were</w:t>
      </w:r>
      <w:r w:rsidR="009612AF">
        <w:rPr>
          <w:lang w:val="en-NZ"/>
        </w:rPr>
        <w:t xml:space="preserve"> a need to establish</w:t>
      </w:r>
      <w:r w:rsidR="00596815">
        <w:rPr>
          <w:lang w:val="en-NZ"/>
        </w:rPr>
        <w:t xml:space="preserve"> stronger partnerships</w:t>
      </w:r>
      <w:r>
        <w:rPr>
          <w:lang w:val="en-NZ"/>
        </w:rPr>
        <w:t xml:space="preserve"> and leadership</w:t>
      </w:r>
      <w:r w:rsidR="00213E4E">
        <w:rPr>
          <w:lang w:val="en-NZ"/>
        </w:rPr>
        <w:t xml:space="preserve"> through</w:t>
      </w:r>
      <w:r w:rsidR="00E43A11" w:rsidRPr="002F108B">
        <w:rPr>
          <w:lang w:val="en-NZ"/>
        </w:rPr>
        <w:t xml:space="preserve"> improved communication, consultation and engagement between the Ministry, gambling harm service</w:t>
      </w:r>
      <w:r w:rsidR="00AD1820">
        <w:rPr>
          <w:lang w:val="en-NZ"/>
        </w:rPr>
        <w:t xml:space="preserve"> provider</w:t>
      </w:r>
      <w:r w:rsidR="00E43A11" w:rsidRPr="002F108B">
        <w:rPr>
          <w:lang w:val="en-NZ"/>
        </w:rPr>
        <w:t xml:space="preserve">s, industry and researchers. </w:t>
      </w:r>
    </w:p>
    <w:p w14:paraId="0B8D5159" w14:textId="4D6FBB87" w:rsidR="00E43A11" w:rsidRDefault="00C539F5" w:rsidP="00E43A11">
      <w:pPr>
        <w:rPr>
          <w:lang w:val="en-NZ"/>
        </w:rPr>
      </w:pPr>
      <w:r>
        <w:rPr>
          <w:b/>
          <w:bCs/>
          <w:lang w:val="en-NZ"/>
        </w:rPr>
        <w:t>P</w:t>
      </w:r>
      <w:r w:rsidR="00C305A6">
        <w:rPr>
          <w:b/>
          <w:bCs/>
          <w:lang w:val="en-NZ"/>
        </w:rPr>
        <w:t xml:space="preserve">artnership: </w:t>
      </w:r>
    </w:p>
    <w:p w14:paraId="477670F7" w14:textId="2B4CB443" w:rsidR="00E43A11" w:rsidRPr="002F108B" w:rsidRDefault="00E43A11" w:rsidP="00E43A11">
      <w:pPr>
        <w:pStyle w:val="Quotes"/>
        <w:rPr>
          <w:lang w:val="en-NZ"/>
        </w:rPr>
      </w:pPr>
      <w:r w:rsidRPr="002F108B">
        <w:rPr>
          <w:lang w:val="en-NZ"/>
        </w:rPr>
        <w:t>Communication is one of the biggest things that's been missing... (</w:t>
      </w:r>
      <w:r>
        <w:rPr>
          <w:lang w:val="en-NZ"/>
        </w:rPr>
        <w:t>Gambling harm service provider</w:t>
      </w:r>
      <w:r w:rsidR="00FB5092">
        <w:rPr>
          <w:lang w:val="en-NZ"/>
        </w:rPr>
        <w:t xml:space="preserve"> </w:t>
      </w:r>
      <w:r w:rsidR="002A51CF">
        <w:rPr>
          <w:lang w:val="en-NZ"/>
        </w:rPr>
        <w:t>6</w:t>
      </w:r>
      <w:r w:rsidRPr="002F108B">
        <w:rPr>
          <w:lang w:val="en-NZ"/>
        </w:rPr>
        <w:t>)</w:t>
      </w:r>
    </w:p>
    <w:p w14:paraId="25D87EF6" w14:textId="4B57A92B" w:rsidR="00E43A11" w:rsidRPr="002F108B" w:rsidRDefault="00E43A11" w:rsidP="00E43A11">
      <w:pPr>
        <w:rPr>
          <w:lang w:val="en-NZ"/>
        </w:rPr>
      </w:pPr>
      <w:r w:rsidRPr="002F108B">
        <w:rPr>
          <w:lang w:val="en-NZ"/>
        </w:rPr>
        <w:t xml:space="preserve">Developing and maintaining </w:t>
      </w:r>
      <w:r w:rsidR="00373B1A">
        <w:rPr>
          <w:lang w:val="en-NZ"/>
        </w:rPr>
        <w:t>genuine</w:t>
      </w:r>
      <w:r w:rsidRPr="002F108B">
        <w:rPr>
          <w:lang w:val="en-NZ"/>
        </w:rPr>
        <w:t xml:space="preserve"> and mutually respectful </w:t>
      </w:r>
      <w:r w:rsidR="00C732D1">
        <w:rPr>
          <w:lang w:val="en-NZ"/>
        </w:rPr>
        <w:t xml:space="preserve">partnerships and </w:t>
      </w:r>
      <w:r w:rsidRPr="002F108B">
        <w:rPr>
          <w:lang w:val="en-NZ"/>
        </w:rPr>
        <w:t xml:space="preserve">relationships and </w:t>
      </w:r>
      <w:r w:rsidR="00373B1A">
        <w:rPr>
          <w:lang w:val="en-NZ"/>
        </w:rPr>
        <w:t xml:space="preserve">strong </w:t>
      </w:r>
      <w:r w:rsidRPr="002F108B">
        <w:rPr>
          <w:lang w:val="en-NZ"/>
        </w:rPr>
        <w:t>communication between the Ministry and gambling harm service</w:t>
      </w:r>
      <w:r w:rsidR="00AD1820">
        <w:rPr>
          <w:lang w:val="en-NZ"/>
        </w:rPr>
        <w:t xml:space="preserve"> provider</w:t>
      </w:r>
      <w:r w:rsidRPr="002F108B">
        <w:rPr>
          <w:lang w:val="en-NZ"/>
        </w:rPr>
        <w:t xml:space="preserve">s </w:t>
      </w:r>
      <w:r w:rsidR="00C732D1">
        <w:rPr>
          <w:lang w:val="en-NZ"/>
        </w:rPr>
        <w:t>were</w:t>
      </w:r>
      <w:r w:rsidRPr="002F108B">
        <w:rPr>
          <w:lang w:val="en-NZ"/>
        </w:rPr>
        <w:t xml:space="preserve"> noted as critical</w:t>
      </w:r>
      <w:r w:rsidR="003E6333">
        <w:rPr>
          <w:lang w:val="en-NZ"/>
        </w:rPr>
        <w:t xml:space="preserve"> by many interviewed participants.</w:t>
      </w:r>
    </w:p>
    <w:p w14:paraId="7D8B64ED" w14:textId="29D670AB" w:rsidR="00E43A11" w:rsidRPr="002F108B" w:rsidRDefault="00E43A11" w:rsidP="00E43A11">
      <w:pPr>
        <w:pStyle w:val="Quotes"/>
        <w:rPr>
          <w:lang w:val="en-NZ"/>
        </w:rPr>
      </w:pPr>
      <w:r w:rsidRPr="002F108B">
        <w:rPr>
          <w:lang w:val="en-NZ"/>
        </w:rPr>
        <w:t xml:space="preserve">A real lack of consultation with specialist gambling services from the Ministry. I think </w:t>
      </w:r>
      <w:r w:rsidR="003E6333">
        <w:rPr>
          <w:lang w:val="en-NZ"/>
        </w:rPr>
        <w:t>[</w:t>
      </w:r>
      <w:r w:rsidR="000F146F">
        <w:rPr>
          <w:lang w:val="en-NZ"/>
        </w:rPr>
        <w:t xml:space="preserve">the gambling </w:t>
      </w:r>
      <w:r w:rsidR="00224037">
        <w:rPr>
          <w:lang w:val="en-NZ"/>
        </w:rPr>
        <w:t>harm service providers</w:t>
      </w:r>
      <w:r w:rsidR="00AD723C">
        <w:rPr>
          <w:lang w:val="en-NZ"/>
        </w:rPr>
        <w:t xml:space="preserve"> are</w:t>
      </w:r>
      <w:r w:rsidR="000F146F">
        <w:rPr>
          <w:lang w:val="en-NZ"/>
        </w:rPr>
        <w:t>]</w:t>
      </w:r>
      <w:r w:rsidRPr="002F108B">
        <w:rPr>
          <w:lang w:val="en-NZ"/>
        </w:rPr>
        <w:t xml:space="preserve"> very disconnected and fragmented...We're supposed to be the experts or the specialists, yet we're the last ones to be told or notified or discussed [with about] anything. Co-designed? We're not even engaged with. (</w:t>
      </w:r>
      <w:r>
        <w:rPr>
          <w:lang w:val="en-NZ"/>
        </w:rPr>
        <w:t>Gambling harm service provider</w:t>
      </w:r>
      <w:r w:rsidR="00FB5092">
        <w:rPr>
          <w:lang w:val="en-NZ"/>
        </w:rPr>
        <w:t xml:space="preserve"> </w:t>
      </w:r>
      <w:r w:rsidR="007761AC">
        <w:rPr>
          <w:lang w:val="en-NZ"/>
        </w:rPr>
        <w:t>6</w:t>
      </w:r>
      <w:r w:rsidRPr="002F108B">
        <w:rPr>
          <w:lang w:val="en-NZ"/>
        </w:rPr>
        <w:t>)</w:t>
      </w:r>
    </w:p>
    <w:p w14:paraId="05ACF921" w14:textId="58B111BF" w:rsidR="00B91CD3" w:rsidRDefault="0027638E" w:rsidP="00E43A11">
      <w:pPr>
        <w:rPr>
          <w:lang w:val="en-NZ"/>
        </w:rPr>
      </w:pPr>
      <w:r>
        <w:rPr>
          <w:lang w:val="en-NZ"/>
        </w:rPr>
        <w:t xml:space="preserve">One gambling industry group described </w:t>
      </w:r>
      <w:r w:rsidR="00044488">
        <w:rPr>
          <w:lang w:val="en-NZ"/>
        </w:rPr>
        <w:t xml:space="preserve">a commitment and value placed on building </w:t>
      </w:r>
      <w:r>
        <w:rPr>
          <w:lang w:val="en-NZ"/>
        </w:rPr>
        <w:t>good working relationship</w:t>
      </w:r>
      <w:r w:rsidR="00044488">
        <w:rPr>
          <w:lang w:val="en-NZ"/>
        </w:rPr>
        <w:t>s</w:t>
      </w:r>
      <w:r>
        <w:rPr>
          <w:lang w:val="en-NZ"/>
        </w:rPr>
        <w:t xml:space="preserve"> with gambling </w:t>
      </w:r>
      <w:r w:rsidR="00044488">
        <w:rPr>
          <w:lang w:val="en-NZ"/>
        </w:rPr>
        <w:t xml:space="preserve">sector stakeholders – this </w:t>
      </w:r>
      <w:r>
        <w:rPr>
          <w:lang w:val="en-NZ"/>
        </w:rPr>
        <w:t xml:space="preserve">was exemplified in the establishment of an advisory group to inform strategic thinking and planning for minimising gambling harm. </w:t>
      </w:r>
      <w:r w:rsidR="00B91CD3">
        <w:rPr>
          <w:lang w:val="en-NZ"/>
        </w:rPr>
        <w:t xml:space="preserve"> </w:t>
      </w:r>
    </w:p>
    <w:p w14:paraId="191622A9" w14:textId="0C071BF6" w:rsidR="00044488" w:rsidRDefault="00044488" w:rsidP="00044488">
      <w:pPr>
        <w:pStyle w:val="Quotes"/>
        <w:rPr>
          <w:lang w:val="en-NZ"/>
        </w:rPr>
      </w:pPr>
      <w:r>
        <w:rPr>
          <w:lang w:val="en-NZ"/>
        </w:rPr>
        <w:lastRenderedPageBreak/>
        <w:t>Relationships always need wor</w:t>
      </w:r>
      <w:r w:rsidR="002B4028">
        <w:rPr>
          <w:lang w:val="en-NZ"/>
        </w:rPr>
        <w:t>k</w:t>
      </w:r>
      <w:r>
        <w:rPr>
          <w:lang w:val="en-NZ"/>
        </w:rPr>
        <w:t xml:space="preserve"> and can always be better…For us, it’s something that we do put quite a lot of time and energy into…(Gambling industry 5)</w:t>
      </w:r>
    </w:p>
    <w:p w14:paraId="7F62109F" w14:textId="6CB690F1" w:rsidR="00B91CD3" w:rsidRDefault="00B91CD3" w:rsidP="00044488">
      <w:pPr>
        <w:pStyle w:val="Quotes"/>
        <w:rPr>
          <w:lang w:val="en-NZ"/>
        </w:rPr>
      </w:pPr>
      <w:r>
        <w:rPr>
          <w:lang w:val="en-NZ"/>
        </w:rPr>
        <w:t>A year ago, we set up a voluntary stakeholder engagement panel to provide an objective sounding board on responsible gaming…they’re sitting at the frontline, or in research or they’re having to deal with customers on the shop floor…</w:t>
      </w:r>
      <w:r w:rsidR="00044488">
        <w:rPr>
          <w:lang w:val="en-NZ"/>
        </w:rPr>
        <w:t xml:space="preserve">Certainly open to considering lived experience representation, wether it’s on the advisory panel or it’s a separate thing…anthing that can support [gambling harm minimisation] </w:t>
      </w:r>
      <w:r>
        <w:rPr>
          <w:lang w:val="en-NZ"/>
        </w:rPr>
        <w:t>(Gambling industry 5)</w:t>
      </w:r>
    </w:p>
    <w:p w14:paraId="67ABD5D3" w14:textId="099155E5" w:rsidR="00E43A11" w:rsidRPr="002F108B" w:rsidRDefault="0027638E" w:rsidP="00E43A11">
      <w:pPr>
        <w:rPr>
          <w:lang w:val="en-NZ"/>
        </w:rPr>
      </w:pPr>
      <w:r>
        <w:rPr>
          <w:lang w:val="en-NZ"/>
        </w:rPr>
        <w:t xml:space="preserve">However, all others interviewed </w:t>
      </w:r>
      <w:r w:rsidR="00E43A11" w:rsidRPr="002F108B">
        <w:rPr>
          <w:lang w:val="en-NZ"/>
        </w:rPr>
        <w:t xml:space="preserve">noted a need for more communication, closer relationships and identification of shared and common goals across all stakeholders in the gambling sector. Some gambling industry representatives also highlighted a need for gambling harm service </w:t>
      </w:r>
      <w:r w:rsidR="00AD1820">
        <w:rPr>
          <w:lang w:val="en-NZ"/>
        </w:rPr>
        <w:t xml:space="preserve">provider </w:t>
      </w:r>
      <w:r w:rsidR="00E43A11" w:rsidRPr="002F108B">
        <w:rPr>
          <w:lang w:val="en-NZ"/>
        </w:rPr>
        <w:t xml:space="preserve">transparency and communication relating to client follow-up and closing the loop for those referred to intervention services through host responsibilities. </w:t>
      </w:r>
      <w:r w:rsidR="00102B82">
        <w:rPr>
          <w:lang w:val="en-NZ"/>
        </w:rPr>
        <w:t>It is important to that significant privacy implications and breaches would result from such activity.</w:t>
      </w:r>
    </w:p>
    <w:p w14:paraId="70B21A31" w14:textId="15D652BB" w:rsidR="00E43A11" w:rsidRPr="002F108B" w:rsidRDefault="00E43A11" w:rsidP="00E43A11">
      <w:pPr>
        <w:pStyle w:val="Quotes"/>
        <w:rPr>
          <w:lang w:val="en-NZ"/>
        </w:rPr>
      </w:pPr>
      <w:r w:rsidRPr="002F108B">
        <w:rPr>
          <w:lang w:val="en-NZ"/>
        </w:rPr>
        <w:t>There has not been any consultation with the Class 4 sector regarding the nature of the treatment services being provided. By way of example – what, if any, counselling is provided, and for what period. Class 4 venue operators repeatedly report frustrations with relapsing patrons supposedly receiving treatment exclusion orders. (Gambling industry</w:t>
      </w:r>
      <w:r w:rsidR="009537FA">
        <w:rPr>
          <w:lang w:val="en-NZ"/>
        </w:rPr>
        <w:t xml:space="preserve"> 1</w:t>
      </w:r>
      <w:r w:rsidRPr="002F108B">
        <w:rPr>
          <w:lang w:val="en-NZ"/>
        </w:rPr>
        <w:t>)</w:t>
      </w:r>
    </w:p>
    <w:p w14:paraId="7BA3BDC9" w14:textId="02F0446D" w:rsidR="00E43A11" w:rsidRPr="002F108B" w:rsidRDefault="00C539F5" w:rsidP="00E43A11">
      <w:pPr>
        <w:rPr>
          <w:lang w:val="en-NZ"/>
        </w:rPr>
      </w:pPr>
      <w:r>
        <w:rPr>
          <w:b/>
          <w:bCs/>
          <w:lang w:val="en-NZ"/>
        </w:rPr>
        <w:t>L</w:t>
      </w:r>
      <w:r w:rsidR="00C305A6">
        <w:rPr>
          <w:b/>
          <w:bCs/>
          <w:lang w:val="en-NZ"/>
        </w:rPr>
        <w:t xml:space="preserve">eadership: </w:t>
      </w:r>
      <w:r w:rsidR="006E5658" w:rsidRPr="00DF1726">
        <w:rPr>
          <w:lang w:val="en-NZ"/>
        </w:rPr>
        <w:t>Across the sector</w:t>
      </w:r>
      <w:r w:rsidR="00BD3F29">
        <w:rPr>
          <w:lang w:val="en-NZ"/>
        </w:rPr>
        <w:t xml:space="preserve">, </w:t>
      </w:r>
      <w:r w:rsidR="005B6CE1">
        <w:rPr>
          <w:lang w:val="en-NZ"/>
        </w:rPr>
        <w:t>many</w:t>
      </w:r>
      <w:r w:rsidR="00BD3F29">
        <w:rPr>
          <w:lang w:val="en-NZ"/>
        </w:rPr>
        <w:t xml:space="preserve"> interviewed </w:t>
      </w:r>
      <w:r w:rsidR="005B6CE1">
        <w:rPr>
          <w:lang w:val="en-NZ"/>
        </w:rPr>
        <w:t xml:space="preserve">participants </w:t>
      </w:r>
      <w:r w:rsidR="00BD3F29">
        <w:rPr>
          <w:lang w:val="en-NZ"/>
        </w:rPr>
        <w:t xml:space="preserve">highlighted the need for effective leadership to improve </w:t>
      </w:r>
      <w:r w:rsidR="00571256">
        <w:rPr>
          <w:lang w:val="en-NZ"/>
        </w:rPr>
        <w:t xml:space="preserve">the </w:t>
      </w:r>
      <w:r w:rsidR="00BD3F29" w:rsidRPr="002F108B">
        <w:rPr>
          <w:lang w:val="en-NZ"/>
        </w:rPr>
        <w:t>co</w:t>
      </w:r>
      <w:r w:rsidR="00E91CE0">
        <w:rPr>
          <w:lang w:val="en-NZ"/>
        </w:rPr>
        <w:t>-</w:t>
      </w:r>
      <w:r w:rsidR="00BD3F29" w:rsidRPr="002F108B">
        <w:rPr>
          <w:lang w:val="en-NZ"/>
        </w:rPr>
        <w:t>ordination of the gambling sector</w:t>
      </w:r>
      <w:r w:rsidR="00BD3F29" w:rsidDel="00BD3F29">
        <w:rPr>
          <w:lang w:val="en-NZ"/>
        </w:rPr>
        <w:t xml:space="preserve"> </w:t>
      </w:r>
      <w:r w:rsidR="00BD3F29">
        <w:rPr>
          <w:lang w:val="en-NZ"/>
        </w:rPr>
        <w:t xml:space="preserve">and </w:t>
      </w:r>
      <w:r w:rsidR="00E43A11" w:rsidRPr="002F108B">
        <w:rPr>
          <w:lang w:val="en-NZ"/>
        </w:rPr>
        <w:t>strengthen internal communication and collaboration</w:t>
      </w:r>
      <w:r w:rsidR="008B559E">
        <w:rPr>
          <w:lang w:val="en-NZ"/>
        </w:rPr>
        <w:t>.</w:t>
      </w:r>
      <w:r w:rsidR="00D81E6D">
        <w:rPr>
          <w:lang w:val="en-NZ"/>
        </w:rPr>
        <w:t xml:space="preserve"> </w:t>
      </w:r>
    </w:p>
    <w:p w14:paraId="53B4CF1D" w14:textId="5DE019AE" w:rsidR="00E43A11" w:rsidRPr="002F108B" w:rsidRDefault="00E43A11" w:rsidP="00E43A11">
      <w:pPr>
        <w:pStyle w:val="Quotes"/>
        <w:rPr>
          <w:lang w:val="en-NZ"/>
        </w:rPr>
      </w:pPr>
      <w:r w:rsidRPr="002F108B">
        <w:rPr>
          <w:lang w:val="en-NZ"/>
        </w:rPr>
        <w:t>There's been no leadership...There was a time that there was a hell of a lot of leadership within the sector itself. That’s all gone...It's not as powerful as it used to be...(</w:t>
      </w:r>
      <w:r>
        <w:rPr>
          <w:lang w:val="en-NZ"/>
        </w:rPr>
        <w:t>Gambling harm service provider</w:t>
      </w:r>
      <w:r w:rsidR="009537FA">
        <w:rPr>
          <w:lang w:val="en-NZ"/>
        </w:rPr>
        <w:t xml:space="preserve"> </w:t>
      </w:r>
      <w:r w:rsidR="007761AC">
        <w:rPr>
          <w:lang w:val="en-NZ"/>
        </w:rPr>
        <w:t>6</w:t>
      </w:r>
      <w:r w:rsidRPr="002F108B">
        <w:rPr>
          <w:lang w:val="en-NZ"/>
        </w:rPr>
        <w:t>).</w:t>
      </w:r>
    </w:p>
    <w:p w14:paraId="5A7A788E" w14:textId="2146645D" w:rsidR="00E43A11" w:rsidRDefault="00DF1726" w:rsidP="00E43A11">
      <w:pPr>
        <w:rPr>
          <w:lang w:val="en-NZ"/>
        </w:rPr>
      </w:pPr>
      <w:r>
        <w:rPr>
          <w:lang w:val="en-NZ"/>
        </w:rPr>
        <w:t>Some p</w:t>
      </w:r>
      <w:r w:rsidR="00E43A11" w:rsidRPr="002F108B">
        <w:rPr>
          <w:lang w:val="en-NZ"/>
        </w:rPr>
        <w:t xml:space="preserve">articipants </w:t>
      </w:r>
      <w:r w:rsidR="00CD2600">
        <w:rPr>
          <w:lang w:val="en-NZ"/>
        </w:rPr>
        <w:t>suggested</w:t>
      </w:r>
      <w:r w:rsidR="00E43A11" w:rsidRPr="002F108B">
        <w:rPr>
          <w:lang w:val="en-NZ"/>
        </w:rPr>
        <w:t xml:space="preserve"> re-establish</w:t>
      </w:r>
      <w:r w:rsidR="00CD2600">
        <w:rPr>
          <w:lang w:val="en-NZ"/>
        </w:rPr>
        <w:t>ing</w:t>
      </w:r>
      <w:r w:rsidR="00E43A11" w:rsidRPr="002F108B">
        <w:rPr>
          <w:lang w:val="en-NZ"/>
        </w:rPr>
        <w:t xml:space="preserve"> and re-</w:t>
      </w:r>
      <w:r w:rsidR="00CD2600" w:rsidRPr="002F108B">
        <w:rPr>
          <w:lang w:val="en-NZ"/>
        </w:rPr>
        <w:t>ignit</w:t>
      </w:r>
      <w:r w:rsidR="00CD2600">
        <w:rPr>
          <w:lang w:val="en-NZ"/>
        </w:rPr>
        <w:t>ing</w:t>
      </w:r>
      <w:r w:rsidR="00CD2600" w:rsidRPr="002F108B">
        <w:rPr>
          <w:lang w:val="en-NZ"/>
        </w:rPr>
        <w:t xml:space="preserve"> </w:t>
      </w:r>
      <w:r w:rsidR="00E43A11" w:rsidRPr="002F108B">
        <w:rPr>
          <w:lang w:val="en-NZ"/>
        </w:rPr>
        <w:t>the harmful gambling Think Tank and International conference to improve communications, strategic and co</w:t>
      </w:r>
      <w:r w:rsidR="00E91CE0">
        <w:rPr>
          <w:lang w:val="en-NZ"/>
        </w:rPr>
        <w:t>-</w:t>
      </w:r>
      <w:r w:rsidR="00E43A11" w:rsidRPr="002F108B">
        <w:rPr>
          <w:lang w:val="en-NZ"/>
        </w:rPr>
        <w:t xml:space="preserve">ordinated thinking/planning and action. </w:t>
      </w:r>
      <w:r w:rsidR="00E34D9E">
        <w:rPr>
          <w:lang w:val="en-NZ"/>
        </w:rPr>
        <w:t xml:space="preserve">It is important to note that COVID-19 lockdowns led to the postponement of the biennial 2020 International conference until June 2022. </w:t>
      </w:r>
      <w:r w:rsidR="00E43A11" w:rsidRPr="002F108B">
        <w:rPr>
          <w:lang w:val="en-NZ"/>
        </w:rPr>
        <w:t xml:space="preserve">Effective interventions and public health approaches were noted as being informed by all stakeholders and those with lived experience – the Think Tank was </w:t>
      </w:r>
      <w:r w:rsidR="00365AA9">
        <w:rPr>
          <w:lang w:val="en-NZ"/>
        </w:rPr>
        <w:t xml:space="preserve">described </w:t>
      </w:r>
      <w:r w:rsidR="00E43A11" w:rsidRPr="002F108B">
        <w:rPr>
          <w:lang w:val="en-NZ"/>
        </w:rPr>
        <w:t xml:space="preserve">as providing a forum and opportunity for shared and collective collaboration. </w:t>
      </w:r>
      <w:r w:rsidR="00E34D9E">
        <w:rPr>
          <w:lang w:val="en-NZ"/>
        </w:rPr>
        <w:t>It is important the Think Tank provides opportunities for robust discussion, critique, debate and knowledge creation for all participants.</w:t>
      </w:r>
    </w:p>
    <w:p w14:paraId="0E281D51" w14:textId="77777777" w:rsidR="00A64E86" w:rsidRDefault="00A64E86" w:rsidP="009662D5">
      <w:pPr>
        <w:pStyle w:val="Heading2"/>
        <w:sectPr w:rsidR="00A64E86" w:rsidSect="00F45A35">
          <w:pgSz w:w="11906" w:h="16838" w:code="9"/>
          <w:pgMar w:top="1440" w:right="1440" w:bottom="1440" w:left="1440" w:header="284" w:footer="567" w:gutter="0"/>
          <w:cols w:space="708"/>
          <w:docGrid w:linePitch="360"/>
        </w:sectPr>
      </w:pPr>
    </w:p>
    <w:p w14:paraId="6D75E0A1" w14:textId="4698D050" w:rsidR="009662D5" w:rsidRDefault="009662D5" w:rsidP="009662D5">
      <w:pPr>
        <w:pStyle w:val="Heading2"/>
      </w:pPr>
      <w:bookmarkStart w:id="181" w:name="_Toc76469806"/>
      <w:r>
        <w:lastRenderedPageBreak/>
        <w:t>Objective 4 – focus on policy</w:t>
      </w:r>
      <w:bookmarkEnd w:id="181"/>
    </w:p>
    <w:p w14:paraId="5E377215" w14:textId="77777777" w:rsidR="009662D5" w:rsidRPr="003611BC" w:rsidRDefault="009662D5" w:rsidP="009662D5">
      <w:pPr>
        <w:rPr>
          <w:b/>
          <w:lang w:val="en-US"/>
        </w:rPr>
      </w:pPr>
      <w:r w:rsidRPr="002F108B">
        <w:rPr>
          <w:b/>
          <w:lang w:val="en-NZ"/>
        </w:rPr>
        <w:t>Objective 4</w:t>
      </w:r>
      <w:r>
        <w:rPr>
          <w:b/>
          <w:lang w:val="en-NZ"/>
        </w:rPr>
        <w:t xml:space="preserve">: </w:t>
      </w:r>
      <w:r w:rsidRPr="003611BC">
        <w:rPr>
          <w:b/>
          <w:lang w:val="en-NZ"/>
        </w:rPr>
        <w:t>Health policy at the national, regional and local level prevents and minimises gambling harm.</w:t>
      </w:r>
    </w:p>
    <w:p w14:paraId="10206846" w14:textId="0D77B4C1" w:rsidR="009662D5" w:rsidRPr="004E4090" w:rsidRDefault="009662D5" w:rsidP="009662D5">
      <w:pPr>
        <w:pStyle w:val="Heading3"/>
        <w:rPr>
          <w:lang w:val="en-US"/>
        </w:rPr>
      </w:pPr>
      <w:r w:rsidRPr="004E4090">
        <w:rPr>
          <w:lang w:val="en-US"/>
        </w:rPr>
        <w:t>What does the evidence tell us?</w:t>
      </w:r>
    </w:p>
    <w:p w14:paraId="6051113B" w14:textId="17BA6C31" w:rsidR="00CA5D70" w:rsidRDefault="00415C80" w:rsidP="0042744C">
      <w:pPr>
        <w:rPr>
          <w:rFonts w:cs="Garamond"/>
          <w:color w:val="000000"/>
        </w:rPr>
      </w:pPr>
      <w:r>
        <w:rPr>
          <w:rFonts w:asciiTheme="minorHAnsi" w:hAnsiTheme="minorHAnsi" w:cstheme="minorHAnsi"/>
        </w:rPr>
        <w:t xml:space="preserve">Under the Gambling Act, the Ministry is required to undertake a </w:t>
      </w:r>
      <w:r w:rsidR="008D51D3">
        <w:rPr>
          <w:lang w:val="en-NZ"/>
        </w:rPr>
        <w:t>N</w:t>
      </w:r>
      <w:r w:rsidR="008D51D3" w:rsidRPr="00A40A50">
        <w:rPr>
          <w:lang w:val="en-NZ"/>
        </w:rPr>
        <w:t xml:space="preserve">eeds </w:t>
      </w:r>
      <w:r w:rsidR="008D51D3">
        <w:rPr>
          <w:lang w:val="en-NZ"/>
        </w:rPr>
        <w:t>A</w:t>
      </w:r>
      <w:r w:rsidR="008D51D3" w:rsidRPr="00A40A50">
        <w:rPr>
          <w:lang w:val="en-NZ"/>
        </w:rPr>
        <w:t>ssessment</w:t>
      </w:r>
      <w:r w:rsidR="008D51D3">
        <w:rPr>
          <w:rFonts w:asciiTheme="minorHAnsi" w:hAnsiTheme="minorHAnsi" w:cstheme="minorHAnsi"/>
        </w:rPr>
        <w:t xml:space="preserve"> </w:t>
      </w:r>
      <w:r>
        <w:rPr>
          <w:rFonts w:asciiTheme="minorHAnsi" w:hAnsiTheme="minorHAnsi" w:cstheme="minorHAnsi"/>
        </w:rPr>
        <w:t>to inform the development of the three-year Strategy to Prevent and Minimise Gambling Harm.</w:t>
      </w:r>
      <w:r w:rsidR="0042744C">
        <w:rPr>
          <w:rFonts w:asciiTheme="minorHAnsi" w:hAnsiTheme="minorHAnsi" w:cstheme="minorHAnsi"/>
        </w:rPr>
        <w:t xml:space="preserve"> The Strategy </w:t>
      </w:r>
      <w:r w:rsidR="00CA5D70" w:rsidRPr="00E312E8">
        <w:rPr>
          <w:rFonts w:cs="Garamond"/>
          <w:color w:val="000000"/>
        </w:rPr>
        <w:t>set</w:t>
      </w:r>
      <w:r w:rsidR="0042744C">
        <w:rPr>
          <w:rFonts w:cs="Garamond"/>
          <w:color w:val="000000"/>
        </w:rPr>
        <w:t>s</w:t>
      </w:r>
      <w:r w:rsidR="00CA5D70" w:rsidRPr="00E312E8">
        <w:rPr>
          <w:rFonts w:cs="Garamond"/>
          <w:color w:val="000000"/>
        </w:rPr>
        <w:t xml:space="preserve"> out the Ministry</w:t>
      </w:r>
      <w:r w:rsidR="00CA5D70">
        <w:rPr>
          <w:rFonts w:cs="Garamond"/>
          <w:color w:val="000000"/>
        </w:rPr>
        <w:t>’</w:t>
      </w:r>
      <w:r w:rsidR="00CA5D70" w:rsidRPr="00E312E8">
        <w:rPr>
          <w:rFonts w:cs="Garamond"/>
          <w:color w:val="000000"/>
        </w:rPr>
        <w:t xml:space="preserve">s </w:t>
      </w:r>
      <w:r w:rsidR="00CA5D70" w:rsidRPr="00B47FDC">
        <w:rPr>
          <w:rFonts w:cs="Garamond"/>
          <w:color w:val="000000"/>
        </w:rPr>
        <w:t xml:space="preserve">approach </w:t>
      </w:r>
      <w:r w:rsidR="00CA5D70" w:rsidRPr="00E728BA">
        <w:rPr>
          <w:rFonts w:cs="Garamond"/>
          <w:color w:val="000000"/>
        </w:rPr>
        <w:t>and the range of activities it plans to undertake</w:t>
      </w:r>
      <w:r w:rsidR="00CA5D70" w:rsidRPr="00C10A99">
        <w:rPr>
          <w:rFonts w:cs="Garamond"/>
          <w:color w:val="000000"/>
        </w:rPr>
        <w:t xml:space="preserve"> to minimise gambling harm </w:t>
      </w:r>
      <w:r w:rsidR="00594E48">
        <w:rPr>
          <w:rFonts w:cs="Garamond"/>
          <w:color w:val="000000"/>
        </w:rPr>
        <w:t>for a three-year period</w:t>
      </w:r>
      <w:r w:rsidR="00CA5D70" w:rsidRPr="00C10A99">
        <w:rPr>
          <w:rFonts w:cs="Garamond"/>
          <w:color w:val="000000"/>
        </w:rPr>
        <w:t>.</w:t>
      </w:r>
      <w:r w:rsidR="00962CF4">
        <w:rPr>
          <w:rFonts w:cs="Garamond"/>
          <w:color w:val="000000"/>
        </w:rPr>
        <w:t xml:space="preserve"> </w:t>
      </w:r>
    </w:p>
    <w:p w14:paraId="5911202C" w14:textId="054C378C" w:rsidR="00D76219" w:rsidRPr="008D414D" w:rsidRDefault="00D76219" w:rsidP="00D76219">
      <w:pPr>
        <w:rPr>
          <w:spacing w:val="-2"/>
        </w:rPr>
      </w:pPr>
      <w:r w:rsidRPr="008D414D">
        <w:rPr>
          <w:spacing w:val="-2"/>
        </w:rPr>
        <w:t>The Ministry is committed to a long-term approach that has not significantly changed from the approach outlined in its first six-year strategic plan in 2005. The overall goal is:</w:t>
      </w:r>
    </w:p>
    <w:p w14:paraId="010C1161" w14:textId="1B308F2C" w:rsidR="00D76219" w:rsidRDefault="00D76219" w:rsidP="004E4090">
      <w:pPr>
        <w:pStyle w:val="Quotes"/>
      </w:pPr>
      <w:r w:rsidRPr="00785C98">
        <w:t>Government, the gambling sector, communities and families/whānau working together to prevent and minimise gambling harm, and to reduce related health inequities.</w:t>
      </w:r>
      <w:r w:rsidR="002842DD">
        <w:t xml:space="preserve"> (Ministry of Health, 2019)</w:t>
      </w:r>
    </w:p>
    <w:p w14:paraId="7865F453" w14:textId="52AF0FCA" w:rsidR="00964F75" w:rsidRDefault="00964F75" w:rsidP="00964F75">
      <w:r w:rsidRPr="00E312E8">
        <w:t xml:space="preserve">The Ministry receives funding through Vote Health to develop and implement the strategy. The Crown then recovers the cost of this appropriation through a </w:t>
      </w:r>
      <w:r>
        <w:t>‘</w:t>
      </w:r>
      <w:r w:rsidRPr="00E312E8">
        <w:t>problem gambling levy</w:t>
      </w:r>
      <w:r>
        <w:t>’</w:t>
      </w:r>
      <w:r w:rsidRPr="00E312E8">
        <w:t xml:space="preserve"> paid by the main gambling operators.</w:t>
      </w:r>
      <w:r>
        <w:t xml:space="preserve"> </w:t>
      </w:r>
      <w:r w:rsidRPr="00C10A99">
        <w:t>The levy rates are set by regulation at least every three years.</w:t>
      </w:r>
      <w:r>
        <w:t xml:space="preserve"> </w:t>
      </w:r>
      <w:r w:rsidRPr="00E312E8">
        <w:t xml:space="preserve">The </w:t>
      </w:r>
      <w:r w:rsidR="00A27D9F">
        <w:t xml:space="preserve">Gambling </w:t>
      </w:r>
      <w:r w:rsidRPr="00E312E8">
        <w:t xml:space="preserve">Act sets out the process </w:t>
      </w:r>
      <w:r>
        <w:t>for developing</w:t>
      </w:r>
      <w:r w:rsidRPr="00E312E8">
        <w:t xml:space="preserve"> and set</w:t>
      </w:r>
      <w:r>
        <w:t>ting</w:t>
      </w:r>
      <w:r w:rsidRPr="00E312E8">
        <w:t xml:space="preserve"> the levy rates needed to recover the cost of the strategy</w:t>
      </w:r>
      <w:r>
        <w:t xml:space="preserve"> (refer to </w:t>
      </w:r>
      <w:r w:rsidRPr="00E312E8">
        <w:t>sections 318</w:t>
      </w:r>
      <w:r>
        <w:t>–</w:t>
      </w:r>
      <w:r w:rsidRPr="00E312E8">
        <w:t>320</w:t>
      </w:r>
      <w:r>
        <w:t xml:space="preserve"> of the Act)</w:t>
      </w:r>
      <w:r w:rsidRPr="00E312E8">
        <w:t>.</w:t>
      </w:r>
    </w:p>
    <w:p w14:paraId="114655D8" w14:textId="77777777" w:rsidR="009662D5" w:rsidRDefault="009662D5" w:rsidP="009662D5">
      <w:pPr>
        <w:pStyle w:val="Heading3"/>
        <w:rPr>
          <w:lang w:val="en-US"/>
        </w:rPr>
      </w:pPr>
      <w:r>
        <w:rPr>
          <w:lang w:val="en-US"/>
        </w:rPr>
        <w:t>Progress against Objective 4</w:t>
      </w:r>
    </w:p>
    <w:p w14:paraId="525807B3" w14:textId="2C17E386" w:rsidR="009662D5" w:rsidRDefault="00B01434" w:rsidP="009662D5">
      <w:pPr>
        <w:rPr>
          <w:lang w:val="en-NZ"/>
        </w:rPr>
      </w:pPr>
      <w:r>
        <w:rPr>
          <w:lang w:val="en-NZ"/>
        </w:rPr>
        <w:t>Many</w:t>
      </w:r>
      <w:r w:rsidR="009662D5">
        <w:rPr>
          <w:lang w:val="en-NZ"/>
        </w:rPr>
        <w:t xml:space="preserve"> interviewed </w:t>
      </w:r>
      <w:r w:rsidR="009662D5" w:rsidRPr="002F108B">
        <w:rPr>
          <w:lang w:val="en-NZ"/>
        </w:rPr>
        <w:t xml:space="preserve">gambling harm service </w:t>
      </w:r>
      <w:r w:rsidR="00E675E9">
        <w:rPr>
          <w:lang w:val="en-NZ"/>
        </w:rPr>
        <w:t xml:space="preserve">providers </w:t>
      </w:r>
      <w:r w:rsidR="009662D5" w:rsidRPr="002F108B">
        <w:rPr>
          <w:lang w:val="en-NZ"/>
        </w:rPr>
        <w:t>and lived experience representatives perc</w:t>
      </w:r>
      <w:r w:rsidR="009662D5">
        <w:rPr>
          <w:lang w:val="en-NZ"/>
        </w:rPr>
        <w:t>ei</w:t>
      </w:r>
      <w:r w:rsidR="009662D5" w:rsidRPr="002F108B">
        <w:rPr>
          <w:lang w:val="en-NZ"/>
        </w:rPr>
        <w:t xml:space="preserve">ved that </w:t>
      </w:r>
      <w:r w:rsidR="00A95DAF">
        <w:rPr>
          <w:lang w:val="en-NZ"/>
        </w:rPr>
        <w:t>little</w:t>
      </w:r>
      <w:r w:rsidR="009662D5">
        <w:rPr>
          <w:lang w:val="en-NZ"/>
        </w:rPr>
        <w:t xml:space="preserve"> progress had been made</w:t>
      </w:r>
      <w:r w:rsidR="009662D5" w:rsidRPr="002F108B">
        <w:rPr>
          <w:lang w:val="en-NZ"/>
        </w:rPr>
        <w:t xml:space="preserve"> against </w:t>
      </w:r>
      <w:r w:rsidR="009662D5">
        <w:rPr>
          <w:lang w:val="en-NZ"/>
        </w:rPr>
        <w:t>O</w:t>
      </w:r>
      <w:r w:rsidR="009662D5" w:rsidRPr="002F108B">
        <w:rPr>
          <w:lang w:val="en-NZ"/>
        </w:rPr>
        <w:t>bjective</w:t>
      </w:r>
      <w:r w:rsidR="009662D5">
        <w:rPr>
          <w:lang w:val="en-NZ"/>
        </w:rPr>
        <w:t xml:space="preserve"> 4. </w:t>
      </w:r>
      <w:r w:rsidR="006B4D0F">
        <w:t>J</w:t>
      </w:r>
      <w:r w:rsidR="007A692F">
        <w:t>ust under one-half of workforce survey respondents said little to no progress had been</w:t>
      </w:r>
      <w:r w:rsidR="005069D4">
        <w:t xml:space="preserve"> made,</w:t>
      </w:r>
      <w:r w:rsidR="007A692F">
        <w:t xml:space="preserve"> one-third remained neutral in their views</w:t>
      </w:r>
      <w:r w:rsidR="006505BC">
        <w:t>,</w:t>
      </w:r>
      <w:r w:rsidR="007A692F">
        <w:t xml:space="preserve"> and only 17% said progress had been made</w:t>
      </w:r>
      <w:r w:rsidR="00AA59D6">
        <w:rPr>
          <w:rStyle w:val="FootnoteReference"/>
          <w:lang w:val="en-NZ"/>
        </w:rPr>
        <w:footnoteReference w:id="36"/>
      </w:r>
      <w:r w:rsidR="00AA59D6">
        <w:rPr>
          <w:lang w:val="en-NZ"/>
        </w:rPr>
        <w:t>.</w:t>
      </w:r>
    </w:p>
    <w:p w14:paraId="162C3BC4" w14:textId="77777777" w:rsidR="009662D5" w:rsidRDefault="009662D5" w:rsidP="009662D5">
      <w:pPr>
        <w:pStyle w:val="Heading3"/>
      </w:pPr>
      <w:r>
        <w:rPr>
          <w:lang w:val="en-US"/>
        </w:rPr>
        <w:t>Strengthening progress against Objective 4</w:t>
      </w:r>
    </w:p>
    <w:p w14:paraId="39FD8A99" w14:textId="7A82A45B" w:rsidR="009662D5" w:rsidRDefault="009662D5" w:rsidP="009662D5">
      <w:pPr>
        <w:rPr>
          <w:lang w:val="en-NZ"/>
        </w:rPr>
      </w:pPr>
      <w:r>
        <w:rPr>
          <w:b/>
          <w:lang w:val="en-NZ"/>
        </w:rPr>
        <w:t xml:space="preserve">Policies: </w:t>
      </w:r>
      <w:r w:rsidRPr="002F108B">
        <w:rPr>
          <w:lang w:val="en-NZ"/>
        </w:rPr>
        <w:t>Gambling harm service</w:t>
      </w:r>
      <w:r w:rsidR="00AD1820">
        <w:rPr>
          <w:lang w:val="en-NZ"/>
        </w:rPr>
        <w:t xml:space="preserve"> provider</w:t>
      </w:r>
      <w:r>
        <w:rPr>
          <w:lang w:val="en-NZ"/>
        </w:rPr>
        <w:t>, industry</w:t>
      </w:r>
      <w:r w:rsidRPr="002F108B">
        <w:rPr>
          <w:lang w:val="en-NZ"/>
        </w:rPr>
        <w:t xml:space="preserve"> and agency representatives highlighted several gaps and risks relating</w:t>
      </w:r>
      <w:r>
        <w:rPr>
          <w:lang w:val="en-NZ"/>
        </w:rPr>
        <w:t xml:space="preserve"> to:</w:t>
      </w:r>
    </w:p>
    <w:p w14:paraId="4EBAD27E" w14:textId="77777777" w:rsidR="009662D5" w:rsidRDefault="009662D5" w:rsidP="009662D5">
      <w:pPr>
        <w:pStyle w:val="Bulletpointindented"/>
      </w:pPr>
      <w:r>
        <w:rPr>
          <w:b/>
          <w:bCs/>
        </w:rPr>
        <w:t xml:space="preserve">Unclear problem definition: </w:t>
      </w:r>
      <w:r>
        <w:t xml:space="preserve">Participants described reactive rather than proactive policies and strategies. </w:t>
      </w:r>
    </w:p>
    <w:p w14:paraId="702A0D7A" w14:textId="2C4781C6" w:rsidR="009662D5" w:rsidRDefault="009662D5" w:rsidP="009662D5">
      <w:pPr>
        <w:pStyle w:val="Quotes"/>
        <w:ind w:left="1080"/>
        <w:rPr>
          <w:lang w:val="en-NZ"/>
        </w:rPr>
      </w:pPr>
      <w:r w:rsidRPr="002F108B">
        <w:rPr>
          <w:lang w:val="en-NZ"/>
        </w:rPr>
        <w:t>For problem gambling strategies to work, there has to be a better understanding of the problem. MoH asses</w:t>
      </w:r>
      <w:r>
        <w:rPr>
          <w:lang w:val="en-NZ"/>
        </w:rPr>
        <w:t>se</w:t>
      </w:r>
      <w:r w:rsidRPr="002F108B">
        <w:rPr>
          <w:lang w:val="en-NZ"/>
        </w:rPr>
        <w:t>s the success of its strategy every three years and has repeatedly implemented the same strategy and</w:t>
      </w:r>
      <w:r>
        <w:rPr>
          <w:lang w:val="en-NZ"/>
        </w:rPr>
        <w:t>,</w:t>
      </w:r>
      <w:r w:rsidRPr="002F108B">
        <w:rPr>
          <w:lang w:val="en-NZ"/>
        </w:rPr>
        <w:t xml:space="preserve"> in doing so</w:t>
      </w:r>
      <w:r>
        <w:rPr>
          <w:lang w:val="en-NZ"/>
        </w:rPr>
        <w:t>,</w:t>
      </w:r>
      <w:r w:rsidRPr="002F108B">
        <w:rPr>
          <w:lang w:val="en-NZ"/>
        </w:rPr>
        <w:t xml:space="preserve"> achieved the same result. This </w:t>
      </w:r>
      <w:r w:rsidRPr="002F108B">
        <w:rPr>
          <w:lang w:val="en-NZ"/>
        </w:rPr>
        <w:lastRenderedPageBreak/>
        <w:t>approach suggests that there is little or no understanding of the problem and related co-morbidities. (Gambling industry</w:t>
      </w:r>
      <w:r w:rsidR="009537FA">
        <w:rPr>
          <w:lang w:val="en-NZ"/>
        </w:rPr>
        <w:t xml:space="preserve"> 1</w:t>
      </w:r>
      <w:r w:rsidRPr="002F108B">
        <w:rPr>
          <w:lang w:val="en-NZ"/>
        </w:rPr>
        <w:t>)</w:t>
      </w:r>
    </w:p>
    <w:p w14:paraId="1853FC21" w14:textId="3A8261BE" w:rsidR="009662D5" w:rsidRPr="00FA52C8" w:rsidRDefault="009662D5" w:rsidP="009662D5">
      <w:pPr>
        <w:pStyle w:val="Bulletpointindented"/>
        <w:rPr>
          <w:b/>
          <w:lang w:val="en-NZ"/>
        </w:rPr>
      </w:pPr>
      <w:r w:rsidRPr="0007771C">
        <w:rPr>
          <w:b/>
          <w:bCs/>
          <w:lang w:val="en-NZ"/>
        </w:rPr>
        <w:t>Policy gaps:</w:t>
      </w:r>
      <w:r>
        <w:rPr>
          <w:b/>
          <w:bCs/>
          <w:lang w:val="en-NZ"/>
        </w:rPr>
        <w:t xml:space="preserve"> </w:t>
      </w:r>
      <w:r>
        <w:t>Inadequate policies and regulation addressing offshore online gambling</w:t>
      </w:r>
      <w:r w:rsidR="00F965C4">
        <w:t xml:space="preserve"> and gaming</w:t>
      </w:r>
      <w:r>
        <w:t>.</w:t>
      </w:r>
    </w:p>
    <w:p w14:paraId="68FC4CBC" w14:textId="3345331D" w:rsidR="009662D5" w:rsidRPr="002F108B" w:rsidRDefault="009662D5" w:rsidP="009662D5">
      <w:pPr>
        <w:rPr>
          <w:lang w:val="en-NZ"/>
        </w:rPr>
      </w:pPr>
      <w:r>
        <w:rPr>
          <w:lang w:val="en-NZ"/>
        </w:rPr>
        <w:t>G</w:t>
      </w:r>
      <w:r w:rsidRPr="002F108B">
        <w:rPr>
          <w:lang w:val="en-NZ"/>
        </w:rPr>
        <w:t xml:space="preserve">ambling industry representatives considered a </w:t>
      </w:r>
      <w:r w:rsidRPr="00F72488">
        <w:rPr>
          <w:rStyle w:val="QuotesChar"/>
        </w:rPr>
        <w:t>race-based</w:t>
      </w:r>
      <w:r w:rsidRPr="002F108B">
        <w:rPr>
          <w:lang w:val="en-NZ"/>
        </w:rPr>
        <w:t xml:space="preserve"> Strategy to Prevent and Minimise Gambling harm as inequitable for Māori, Pacific and Asian peoples.</w:t>
      </w:r>
      <w:r>
        <w:rPr>
          <w:lang w:val="en-NZ"/>
        </w:rPr>
        <w:t xml:space="preserve"> This view contradict</w:t>
      </w:r>
      <w:r w:rsidR="00654AD8">
        <w:rPr>
          <w:lang w:val="en-NZ"/>
        </w:rPr>
        <w:t>ed</w:t>
      </w:r>
      <w:r>
        <w:rPr>
          <w:lang w:val="en-NZ"/>
        </w:rPr>
        <w:t xml:space="preserve"> gambling service, agency and lived experience representatives </w:t>
      </w:r>
      <w:r w:rsidR="00654AD8">
        <w:rPr>
          <w:lang w:val="en-NZ"/>
        </w:rPr>
        <w:t>perspectives</w:t>
      </w:r>
      <w:r>
        <w:rPr>
          <w:lang w:val="en-NZ"/>
        </w:rPr>
        <w:t xml:space="preserve"> on the need to ensure the Strategy sits under an equity framework (see section 9.</w:t>
      </w:r>
      <w:r w:rsidR="00633921">
        <w:rPr>
          <w:lang w:val="en-NZ"/>
        </w:rPr>
        <w:t>2</w:t>
      </w:r>
      <w:r>
        <w:rPr>
          <w:lang w:val="en-NZ"/>
        </w:rPr>
        <w:t>.3)</w:t>
      </w:r>
    </w:p>
    <w:p w14:paraId="3218C4D4" w14:textId="4C6C75CC" w:rsidR="009662D5" w:rsidRPr="003910CD" w:rsidRDefault="009662D5" w:rsidP="009662D5">
      <w:pPr>
        <w:pStyle w:val="Quotes"/>
      </w:pPr>
      <w:r w:rsidRPr="003910CD">
        <w:t>A race-based harm minimisation strategy is inequitable and is patronising to the very groups that it claims to help. Gambling is a legal activity, and all New Zealanders should be able to enjoy the freedom to choose whether or not to gamble. Trying to restrict a specific population group’s ability to access a legal form of recreation is unacceptable. (Gambling industry</w:t>
      </w:r>
      <w:r w:rsidR="009537FA">
        <w:t xml:space="preserve"> 1</w:t>
      </w:r>
      <w:r w:rsidRPr="003910CD">
        <w:t>)</w:t>
      </w:r>
    </w:p>
    <w:p w14:paraId="7B43CE81" w14:textId="4B19EFAC" w:rsidR="009662D5" w:rsidRPr="003910CD" w:rsidRDefault="009662D5" w:rsidP="009662D5">
      <w:pPr>
        <w:pStyle w:val="Quotes"/>
      </w:pPr>
      <w:r w:rsidRPr="003910CD">
        <w:t>We are going to be asked to all be made accountable for stigmatising a particular group. (Gambling industry</w:t>
      </w:r>
      <w:r w:rsidR="009537FA">
        <w:t xml:space="preserve"> 4</w:t>
      </w:r>
      <w:r w:rsidRPr="003910CD">
        <w:t>)</w:t>
      </w:r>
    </w:p>
    <w:p w14:paraId="735634BB" w14:textId="5477A8BD" w:rsidR="009662D5" w:rsidRPr="002F108B" w:rsidRDefault="009662D5" w:rsidP="009662D5">
      <w:pPr>
        <w:rPr>
          <w:lang w:val="en-NZ"/>
        </w:rPr>
      </w:pPr>
      <w:r w:rsidRPr="002F108B">
        <w:rPr>
          <w:b/>
          <w:lang w:val="en-NZ"/>
        </w:rPr>
        <w:t xml:space="preserve">Mental health and addiction and the gambling levy: </w:t>
      </w:r>
      <w:r w:rsidRPr="002F108B">
        <w:rPr>
          <w:lang w:val="en-NZ"/>
        </w:rPr>
        <w:t>There were mixed views about the funding of gambling harm service</w:t>
      </w:r>
      <w:r w:rsidR="00AD1820">
        <w:rPr>
          <w:lang w:val="en-NZ"/>
        </w:rPr>
        <w:t xml:space="preserve"> provider</w:t>
      </w:r>
      <w:r w:rsidRPr="002F108B">
        <w:rPr>
          <w:lang w:val="en-NZ"/>
        </w:rPr>
        <w:t xml:space="preserve">s and the gambling levy. Gambling industry representatives saw </w:t>
      </w:r>
      <w:r>
        <w:rPr>
          <w:lang w:val="en-NZ"/>
        </w:rPr>
        <w:t>the levy</w:t>
      </w:r>
      <w:r w:rsidRPr="002F108B">
        <w:rPr>
          <w:lang w:val="en-NZ"/>
        </w:rPr>
        <w:t xml:space="preserve"> as beneficial to service providers, researchers and communities – and noted a lack of independent monitoring of gambling harm service</w:t>
      </w:r>
      <w:r w:rsidR="00AD1820">
        <w:rPr>
          <w:lang w:val="en-NZ"/>
        </w:rPr>
        <w:t xml:space="preserve"> provider</w:t>
      </w:r>
      <w:r w:rsidRPr="002F108B">
        <w:rPr>
          <w:lang w:val="en-NZ"/>
        </w:rPr>
        <w:t>s.</w:t>
      </w:r>
    </w:p>
    <w:p w14:paraId="4D31CC2A" w14:textId="225D8111" w:rsidR="009662D5" w:rsidRPr="002F108B" w:rsidRDefault="009662D5" w:rsidP="009662D5">
      <w:pPr>
        <w:pStyle w:val="Quotes"/>
        <w:rPr>
          <w:lang w:val="en-NZ"/>
        </w:rPr>
      </w:pPr>
      <w:r w:rsidRPr="002F108B">
        <w:rPr>
          <w:lang w:val="en-NZ"/>
        </w:rPr>
        <w:t>There is a lack of transparency or independent monitoring of the provision of treatment services. (Gambling industry</w:t>
      </w:r>
      <w:r w:rsidR="009537FA">
        <w:rPr>
          <w:lang w:val="en-NZ"/>
        </w:rPr>
        <w:t xml:space="preserve"> 1</w:t>
      </w:r>
      <w:r w:rsidRPr="002F108B">
        <w:rPr>
          <w:lang w:val="en-NZ"/>
        </w:rPr>
        <w:t>)</w:t>
      </w:r>
    </w:p>
    <w:p w14:paraId="0A724632" w14:textId="519FEF7E" w:rsidR="009662D5" w:rsidRPr="002F108B" w:rsidRDefault="009662D5" w:rsidP="009662D5">
      <w:pPr>
        <w:rPr>
          <w:lang w:val="en-NZ"/>
        </w:rPr>
      </w:pPr>
      <w:r w:rsidRPr="002F108B">
        <w:rPr>
          <w:lang w:val="en-NZ"/>
        </w:rPr>
        <w:t xml:space="preserve">Gambling harm service </w:t>
      </w:r>
      <w:r w:rsidR="00AD1820">
        <w:rPr>
          <w:lang w:val="en-NZ"/>
        </w:rPr>
        <w:t xml:space="preserve">provider </w:t>
      </w:r>
      <w:r w:rsidRPr="002F108B">
        <w:rPr>
          <w:lang w:val="en-NZ"/>
        </w:rPr>
        <w:t xml:space="preserve">and agency representatives noted a strong dependence on the gambling levy within the gambling sector. While the levy was commonly valued, some gambling agency representatives noted a potential conflict of interest </w:t>
      </w:r>
      <w:r w:rsidR="006969EF">
        <w:rPr>
          <w:lang w:val="en-NZ"/>
        </w:rPr>
        <w:t>for the</w:t>
      </w:r>
      <w:r w:rsidR="006969EF" w:rsidRPr="002F108B">
        <w:rPr>
          <w:lang w:val="en-NZ"/>
        </w:rPr>
        <w:t xml:space="preserve"> </w:t>
      </w:r>
      <w:r w:rsidRPr="002F108B">
        <w:rPr>
          <w:lang w:val="en-NZ"/>
        </w:rPr>
        <w:t xml:space="preserve">gambling industry </w:t>
      </w:r>
      <w:r w:rsidR="006969EF">
        <w:rPr>
          <w:lang w:val="en-NZ"/>
        </w:rPr>
        <w:t xml:space="preserve">between </w:t>
      </w:r>
      <w:r w:rsidRPr="002F108B">
        <w:rPr>
          <w:lang w:val="en-NZ"/>
        </w:rPr>
        <w:t>gambling harm minimisation approaches and research</w:t>
      </w:r>
      <w:r w:rsidR="006969EF">
        <w:rPr>
          <w:lang w:val="en-NZ"/>
        </w:rPr>
        <w:t>,</w:t>
      </w:r>
      <w:r w:rsidRPr="002F108B">
        <w:rPr>
          <w:lang w:val="en-NZ"/>
        </w:rPr>
        <w:t xml:space="preserve"> due to their contributions to the primary funding source. Others also noted that gambling harm was siloed and isolated from wider mental health and addictions services, strategies and funding – which in part was considered an impact of rec</w:t>
      </w:r>
      <w:r>
        <w:rPr>
          <w:lang w:val="en-NZ"/>
        </w:rPr>
        <w:t>ei</w:t>
      </w:r>
      <w:r w:rsidRPr="002F108B">
        <w:rPr>
          <w:lang w:val="en-NZ"/>
        </w:rPr>
        <w:t>ving earmarked levy funds.</w:t>
      </w:r>
      <w:r w:rsidR="00D81E6D">
        <w:rPr>
          <w:lang w:val="en-NZ"/>
        </w:rPr>
        <w:t xml:space="preserve"> </w:t>
      </w:r>
    </w:p>
    <w:p w14:paraId="5CFBA4F5" w14:textId="77777777" w:rsidR="009662D5" w:rsidRPr="002F108B" w:rsidRDefault="009662D5" w:rsidP="009662D5">
      <w:pPr>
        <w:pStyle w:val="Quotes"/>
        <w:rPr>
          <w:lang w:val="en-NZ"/>
        </w:rPr>
      </w:pPr>
      <w:r w:rsidRPr="002F108B">
        <w:rPr>
          <w:lang w:val="en-NZ"/>
        </w:rPr>
        <w:t>I think people just have that notion that a gambling harm service is funded by the levy [and] siloed...That can be quite damaging. And usually</w:t>
      </w:r>
      <w:r>
        <w:rPr>
          <w:lang w:val="en-NZ"/>
        </w:rPr>
        <w:t>,</w:t>
      </w:r>
      <w:r w:rsidRPr="002F108B">
        <w:rPr>
          <w:lang w:val="en-NZ"/>
        </w:rPr>
        <w:t xml:space="preserve"> we get pushed aside. (Lived experience representative)</w:t>
      </w:r>
    </w:p>
    <w:p w14:paraId="3CF43F11" w14:textId="64C4C82A" w:rsidR="009662D5" w:rsidRDefault="009662D5" w:rsidP="009662D5">
      <w:pPr>
        <w:rPr>
          <w:lang w:val="en-NZ"/>
        </w:rPr>
      </w:pPr>
      <w:r>
        <w:rPr>
          <w:b/>
          <w:lang w:val="en-NZ"/>
        </w:rPr>
        <w:t xml:space="preserve">Provider contracting: </w:t>
      </w:r>
      <w:r w:rsidRPr="002F108B">
        <w:rPr>
          <w:lang w:val="en-NZ"/>
        </w:rPr>
        <w:t>Gambling harm service</w:t>
      </w:r>
      <w:r w:rsidR="00AD1820">
        <w:rPr>
          <w:lang w:val="en-NZ"/>
        </w:rPr>
        <w:t xml:space="preserve"> provider</w:t>
      </w:r>
      <w:r>
        <w:rPr>
          <w:lang w:val="en-NZ"/>
        </w:rPr>
        <w:t>, industry</w:t>
      </w:r>
      <w:r w:rsidRPr="002F108B">
        <w:rPr>
          <w:lang w:val="en-NZ"/>
        </w:rPr>
        <w:t xml:space="preserve"> and agency representatives highlighted several gaps and risks relating</w:t>
      </w:r>
      <w:r>
        <w:rPr>
          <w:lang w:val="en-NZ"/>
        </w:rPr>
        <w:t xml:space="preserve"> to:</w:t>
      </w:r>
    </w:p>
    <w:p w14:paraId="012456E1" w14:textId="7A8B20A5" w:rsidR="009662D5" w:rsidRPr="002F108B" w:rsidRDefault="009662D5" w:rsidP="009662D5">
      <w:pPr>
        <w:pStyle w:val="Bulletpointindented"/>
        <w:rPr>
          <w:lang w:val="en-NZ"/>
        </w:rPr>
      </w:pPr>
      <w:r w:rsidRPr="002F108B">
        <w:rPr>
          <w:b/>
          <w:lang w:val="en-NZ"/>
        </w:rPr>
        <w:t xml:space="preserve">Short-term gambling harm service provider contracts: </w:t>
      </w:r>
      <w:r w:rsidRPr="002F108B">
        <w:rPr>
          <w:lang w:val="en-NZ"/>
        </w:rPr>
        <w:t xml:space="preserve">Short-term and annual contracts for services were an ongoing challenge </w:t>
      </w:r>
      <w:r>
        <w:rPr>
          <w:lang w:val="en-NZ"/>
        </w:rPr>
        <w:t>that</w:t>
      </w:r>
      <w:r w:rsidRPr="002F108B">
        <w:rPr>
          <w:lang w:val="en-NZ"/>
        </w:rPr>
        <w:t xml:space="preserve"> threatened </w:t>
      </w:r>
      <w:r>
        <w:rPr>
          <w:lang w:val="en-NZ"/>
        </w:rPr>
        <w:t>a specialised workforce's retention, sustainability, and capacity</w:t>
      </w:r>
      <w:r w:rsidRPr="002F108B">
        <w:rPr>
          <w:lang w:val="en-NZ"/>
        </w:rPr>
        <w:t xml:space="preserve"> and set up a competitive funding environment. Some </w:t>
      </w:r>
      <w:r>
        <w:rPr>
          <w:lang w:val="en-NZ"/>
        </w:rPr>
        <w:t>understood</w:t>
      </w:r>
      <w:r w:rsidRPr="002F108B">
        <w:rPr>
          <w:lang w:val="en-NZ"/>
        </w:rPr>
        <w:t xml:space="preserve"> that delays from the Ministry in setting up and confirming longer</w:t>
      </w:r>
      <w:r>
        <w:rPr>
          <w:lang w:val="en-NZ"/>
        </w:rPr>
        <w:t>-</w:t>
      </w:r>
      <w:r w:rsidRPr="002F108B">
        <w:rPr>
          <w:lang w:val="en-NZ"/>
        </w:rPr>
        <w:t>term contracts may have been impacted by legal challenges experienced several years ago</w:t>
      </w:r>
      <w:r>
        <w:rPr>
          <w:lang w:val="en-NZ"/>
        </w:rPr>
        <w:t>,</w:t>
      </w:r>
      <w:r w:rsidRPr="002F108B">
        <w:rPr>
          <w:lang w:val="en-NZ"/>
        </w:rPr>
        <w:t xml:space="preserve"> but </w:t>
      </w:r>
      <w:r w:rsidR="00663359">
        <w:rPr>
          <w:lang w:val="en-NZ"/>
        </w:rPr>
        <w:t xml:space="preserve">considered </w:t>
      </w:r>
      <w:r w:rsidRPr="002F108B">
        <w:rPr>
          <w:lang w:val="en-NZ"/>
        </w:rPr>
        <w:t>it was time this was addressed.</w:t>
      </w:r>
      <w:r w:rsidR="00D81E6D">
        <w:rPr>
          <w:lang w:val="en-NZ"/>
        </w:rPr>
        <w:t xml:space="preserve"> </w:t>
      </w:r>
    </w:p>
    <w:p w14:paraId="6A25B833" w14:textId="07C87115" w:rsidR="009662D5" w:rsidRPr="002F108B" w:rsidRDefault="009662D5" w:rsidP="009662D5">
      <w:pPr>
        <w:pStyle w:val="Quotes"/>
        <w:ind w:left="1080"/>
        <w:rPr>
          <w:lang w:val="en-NZ"/>
        </w:rPr>
      </w:pPr>
      <w:r w:rsidRPr="002F108B">
        <w:rPr>
          <w:lang w:val="en-NZ"/>
        </w:rPr>
        <w:lastRenderedPageBreak/>
        <w:t>Uncertainty around contracts being renewed to continue to be able to provide support to those affected by gambling. (</w:t>
      </w:r>
      <w:r>
        <w:rPr>
          <w:lang w:val="en-NZ"/>
        </w:rPr>
        <w:t>Gambling harm service</w:t>
      </w:r>
      <w:r w:rsidR="002B4028">
        <w:rPr>
          <w:lang w:val="en-NZ"/>
        </w:rPr>
        <w:t xml:space="preserve"> </w:t>
      </w:r>
      <w:r>
        <w:rPr>
          <w:lang w:val="en-NZ"/>
        </w:rPr>
        <w:t>provider</w:t>
      </w:r>
      <w:r w:rsidR="00522365">
        <w:rPr>
          <w:lang w:val="en-NZ"/>
        </w:rPr>
        <w:t xml:space="preserve"> 7</w:t>
      </w:r>
      <w:r w:rsidRPr="002F108B">
        <w:rPr>
          <w:lang w:val="en-NZ"/>
        </w:rPr>
        <w:t>)</w:t>
      </w:r>
    </w:p>
    <w:p w14:paraId="44185ACA" w14:textId="73087295" w:rsidR="009662D5" w:rsidRPr="002F108B" w:rsidRDefault="009662D5" w:rsidP="009662D5">
      <w:pPr>
        <w:pStyle w:val="Bulletpointindented"/>
        <w:rPr>
          <w:lang w:val="en-NZ"/>
        </w:rPr>
      </w:pPr>
      <w:r w:rsidRPr="002F108B">
        <w:rPr>
          <w:b/>
          <w:lang w:val="en-NZ"/>
        </w:rPr>
        <w:t xml:space="preserve">Separate contracts for public health and intervention: </w:t>
      </w:r>
      <w:r w:rsidRPr="002F108B">
        <w:rPr>
          <w:lang w:val="en-NZ"/>
        </w:rPr>
        <w:t xml:space="preserve">Some gambling harm service </w:t>
      </w:r>
      <w:r w:rsidR="00AD1820">
        <w:rPr>
          <w:lang w:val="en-NZ"/>
        </w:rPr>
        <w:t xml:space="preserve">provider </w:t>
      </w:r>
      <w:r w:rsidRPr="002F108B">
        <w:rPr>
          <w:lang w:val="en-NZ"/>
        </w:rPr>
        <w:t>representatives considered the separation of contracting for public health and intervention FTEs inadequate. Clinical and public health outcomes</w:t>
      </w:r>
      <w:r>
        <w:rPr>
          <w:lang w:val="en-NZ"/>
        </w:rPr>
        <w:t xml:space="preserve"> and the skills for those working in the sector were described as being interrelated, complementary,</w:t>
      </w:r>
      <w:r w:rsidRPr="002F108B">
        <w:rPr>
          <w:lang w:val="en-NZ"/>
        </w:rPr>
        <w:t xml:space="preserve"> and necessary to ensure integrated service provision and seamless transitions for clients. </w:t>
      </w:r>
    </w:p>
    <w:p w14:paraId="755FC9A7" w14:textId="6A5F3F57" w:rsidR="009662D5" w:rsidRPr="002F108B" w:rsidRDefault="009662D5" w:rsidP="009662D5">
      <w:pPr>
        <w:pStyle w:val="Quotes"/>
        <w:ind w:left="1080"/>
        <w:rPr>
          <w:lang w:val="en-NZ"/>
        </w:rPr>
      </w:pPr>
      <w:r w:rsidRPr="002F108B">
        <w:rPr>
          <w:lang w:val="en-NZ"/>
        </w:rPr>
        <w:t>Clinical outcomes have to be incorporated in our public health activities...dual roles for all staff... if the Strategy is about prevention and clinical intervention, and making sure [services are] equitable and culturally appropriate... [then] services should have prevention and clinical intervention as a seamless [transition] (</w:t>
      </w:r>
      <w:r>
        <w:rPr>
          <w:lang w:val="en-NZ"/>
        </w:rPr>
        <w:t>Gambling harm service provider</w:t>
      </w:r>
      <w:r w:rsidR="00522365">
        <w:rPr>
          <w:lang w:val="en-NZ"/>
        </w:rPr>
        <w:t xml:space="preserve"> 3</w:t>
      </w:r>
      <w:r w:rsidRPr="002F108B">
        <w:rPr>
          <w:lang w:val="en-NZ"/>
        </w:rPr>
        <w:t>)</w:t>
      </w:r>
    </w:p>
    <w:p w14:paraId="76C7F670" w14:textId="274BC3D5" w:rsidR="009662D5" w:rsidRPr="002F108B" w:rsidRDefault="009662D5" w:rsidP="009662D5">
      <w:pPr>
        <w:pStyle w:val="Bulletpointindented"/>
        <w:rPr>
          <w:lang w:val="en-NZ"/>
        </w:rPr>
      </w:pPr>
      <w:r w:rsidRPr="002F108B">
        <w:rPr>
          <w:b/>
          <w:lang w:val="en-NZ"/>
        </w:rPr>
        <w:t xml:space="preserve">Contract scope: </w:t>
      </w:r>
      <w:r w:rsidRPr="002F108B">
        <w:rPr>
          <w:lang w:val="en-NZ"/>
        </w:rPr>
        <w:t xml:space="preserve">Current contracts were </w:t>
      </w:r>
      <w:r w:rsidR="00451777">
        <w:rPr>
          <w:lang w:val="en-NZ"/>
        </w:rPr>
        <w:t>perceived</w:t>
      </w:r>
      <w:r w:rsidR="00451777" w:rsidRPr="002F108B">
        <w:rPr>
          <w:lang w:val="en-NZ"/>
        </w:rPr>
        <w:t xml:space="preserve"> </w:t>
      </w:r>
      <w:r w:rsidRPr="002F108B">
        <w:rPr>
          <w:lang w:val="en-NZ"/>
        </w:rPr>
        <w:t>as providing limited opportunity and scope for innovation and/or extended service provision based on clients’ needs.</w:t>
      </w:r>
    </w:p>
    <w:p w14:paraId="704620BE" w14:textId="738C4148" w:rsidR="009662D5" w:rsidRPr="002F108B" w:rsidRDefault="009662D5" w:rsidP="009662D5">
      <w:pPr>
        <w:pStyle w:val="Quotes"/>
        <w:ind w:left="1080"/>
        <w:rPr>
          <w:lang w:val="en-NZ"/>
        </w:rPr>
      </w:pPr>
      <w:r>
        <w:rPr>
          <w:lang w:val="en-NZ"/>
        </w:rPr>
        <w:t>A</w:t>
      </w:r>
      <w:r w:rsidRPr="002F108B">
        <w:rPr>
          <w:lang w:val="en-NZ"/>
        </w:rPr>
        <w:t xml:space="preserve"> lot of our services are still very much kind of designed and offered to the person who’s got the gambling problem...Service managers want to develop their practice in this area and expand out to make these services more appropriate and oriented to families, but feel they kind of haven’t had the opportunity to do that, or the funding to do that, or the support to do that...</w:t>
      </w:r>
      <w:r>
        <w:rPr>
          <w:lang w:val="en-NZ"/>
        </w:rPr>
        <w:t>W</w:t>
      </w:r>
      <w:r w:rsidRPr="002F108B">
        <w:rPr>
          <w:lang w:val="en-NZ"/>
        </w:rPr>
        <w:t xml:space="preserve">e know that when services don’t engage appropriately with whānau they are not as successful with Māori populations and with other groups as well. </w:t>
      </w:r>
      <w:r>
        <w:rPr>
          <w:lang w:val="en-NZ"/>
        </w:rPr>
        <w:t>(</w:t>
      </w:r>
      <w:r w:rsidR="00095580">
        <w:rPr>
          <w:lang w:val="en-NZ"/>
        </w:rPr>
        <w:t>Gambling agency 2</w:t>
      </w:r>
      <w:r>
        <w:rPr>
          <w:lang w:val="en-NZ"/>
        </w:rPr>
        <w:t>)</w:t>
      </w:r>
    </w:p>
    <w:p w14:paraId="4D63152E" w14:textId="1996692A" w:rsidR="009662D5" w:rsidRPr="002F108B" w:rsidRDefault="009662D5" w:rsidP="009662D5">
      <w:pPr>
        <w:pStyle w:val="Bulletpointindented"/>
      </w:pPr>
      <w:r>
        <w:rPr>
          <w:b/>
        </w:rPr>
        <w:t>Western contracting models</w:t>
      </w:r>
      <w:r w:rsidRPr="002F108B">
        <w:rPr>
          <w:b/>
        </w:rPr>
        <w:t xml:space="preserve">: </w:t>
      </w:r>
      <w:r w:rsidRPr="002F108B">
        <w:t xml:space="preserve">Gambling harm service and agency representatives noted that Western contracting and service specifications </w:t>
      </w:r>
      <w:r>
        <w:t xml:space="preserve">for </w:t>
      </w:r>
      <w:r w:rsidRPr="002F108B">
        <w:t xml:space="preserve">ethnic-specific provider services were </w:t>
      </w:r>
      <w:r>
        <w:t>a barrier to</w:t>
      </w:r>
      <w:r w:rsidRPr="002F108B">
        <w:t xml:space="preserve"> delivering culturally responsive, significant and meaningful interventions that resonated with their clients’ needs</w:t>
      </w:r>
      <w:r w:rsidR="00885C31">
        <w:t xml:space="preserve"> (e</w:t>
      </w:r>
      <w:r>
        <w:t>.g.</w:t>
      </w:r>
      <w:r w:rsidR="00885C31">
        <w:t>,</w:t>
      </w:r>
      <w:r>
        <w:t xml:space="preserve"> </w:t>
      </w:r>
      <w:r w:rsidR="00663359">
        <w:t xml:space="preserve">contracts with </w:t>
      </w:r>
      <w:r>
        <w:t>a focus on individuals rather than wh</w:t>
      </w:r>
      <w:r>
        <w:rPr>
          <w:rFonts w:cs="Calibri"/>
        </w:rPr>
        <w:t>ā</w:t>
      </w:r>
      <w:r>
        <w:t>nau</w:t>
      </w:r>
      <w:r w:rsidR="00B437DE">
        <w:t xml:space="preserve"> and limited opportunities for culturally significant engagement and practices</w:t>
      </w:r>
      <w:r w:rsidR="00885C31">
        <w:t>)</w:t>
      </w:r>
      <w:r>
        <w:t xml:space="preserve">. </w:t>
      </w:r>
    </w:p>
    <w:p w14:paraId="6D305ECC" w14:textId="44B303C5" w:rsidR="009662D5" w:rsidRDefault="009662D5" w:rsidP="009662D5">
      <w:pPr>
        <w:pStyle w:val="Quotes"/>
        <w:ind w:left="1080"/>
        <w:rPr>
          <w:lang w:val="en-NZ"/>
        </w:rPr>
      </w:pPr>
      <w:r w:rsidRPr="002F108B">
        <w:rPr>
          <w:lang w:val="en-NZ"/>
        </w:rPr>
        <w:t>We’ve got the ethnic</w:t>
      </w:r>
      <w:r>
        <w:rPr>
          <w:lang w:val="en-NZ"/>
        </w:rPr>
        <w:t>-</w:t>
      </w:r>
      <w:r w:rsidRPr="002F108B">
        <w:rPr>
          <w:lang w:val="en-NZ"/>
        </w:rPr>
        <w:t>specific services, but I think they’re constrained in the way they operate and cannot necessarily operate in the culturally appropriate way for whatever ethnicity or population they’re trying to help. Because it’s still a Western model, it’s still that same funding model. They have to report on individual clients, etc</w:t>
      </w:r>
      <w:r>
        <w:rPr>
          <w:lang w:val="en-NZ"/>
        </w:rPr>
        <w:t>.</w:t>
      </w:r>
      <w:r w:rsidRPr="002F108B">
        <w:rPr>
          <w:lang w:val="en-NZ"/>
        </w:rPr>
        <w:t>, etc. So although it might be a Māori service, or a Pacific service or an Asian service that’s trying to operate in a culturally appropriate way for that service and the clients</w:t>
      </w:r>
      <w:r>
        <w:rPr>
          <w:lang w:val="en-NZ"/>
        </w:rPr>
        <w:t>,</w:t>
      </w:r>
      <w:r w:rsidRPr="002F108B">
        <w:rPr>
          <w:lang w:val="en-NZ"/>
        </w:rPr>
        <w:t xml:space="preserve"> they still have to work within a Western model at some level. And I think that’s very constraining. (Gambling agency</w:t>
      </w:r>
      <w:r w:rsidR="00095580">
        <w:rPr>
          <w:lang w:val="en-NZ"/>
        </w:rPr>
        <w:t xml:space="preserve"> 2</w:t>
      </w:r>
      <w:r w:rsidRPr="002F108B">
        <w:rPr>
          <w:lang w:val="en-NZ"/>
        </w:rPr>
        <w:t>)</w:t>
      </w:r>
    </w:p>
    <w:p w14:paraId="7AD2E0BB" w14:textId="19B15D51" w:rsidR="00254CFE" w:rsidRPr="002F108B" w:rsidRDefault="00254CFE" w:rsidP="00254CFE">
      <w:pPr>
        <w:pStyle w:val="Quotes"/>
        <w:ind w:left="1080"/>
        <w:rPr>
          <w:lang w:val="en-NZ"/>
        </w:rPr>
      </w:pPr>
      <w:r w:rsidRPr="002F108B">
        <w:rPr>
          <w:lang w:val="en-NZ"/>
        </w:rPr>
        <w:t>If we were able as Māori to practice as Māori and do those things that we know will benefit...If we were able to do things, like the weaving...That's when the conversations start</w:t>
      </w:r>
      <w:r>
        <w:rPr>
          <w:lang w:val="en-NZ"/>
        </w:rPr>
        <w:t>. T</w:t>
      </w:r>
      <w:r w:rsidRPr="002F108B">
        <w:rPr>
          <w:lang w:val="en-NZ"/>
        </w:rPr>
        <w:t xml:space="preserve">hat's when you start to let some of the stuff go that you're holding on to...It's those sorts of things that I think are the true medicine. It’s making lasting connections...you have to create a support system...they all tautoko </w:t>
      </w:r>
      <w:r>
        <w:rPr>
          <w:lang w:val="en-NZ"/>
        </w:rPr>
        <w:t xml:space="preserve">(support) </w:t>
      </w:r>
      <w:r w:rsidRPr="002F108B">
        <w:rPr>
          <w:lang w:val="en-NZ"/>
        </w:rPr>
        <w:t>each other. (</w:t>
      </w:r>
      <w:r>
        <w:rPr>
          <w:lang w:val="en-NZ"/>
        </w:rPr>
        <w:t>Gambling harm service provider</w:t>
      </w:r>
      <w:r w:rsidR="00095580">
        <w:rPr>
          <w:lang w:val="en-NZ"/>
        </w:rPr>
        <w:t xml:space="preserve"> 8</w:t>
      </w:r>
      <w:r w:rsidRPr="002F108B">
        <w:rPr>
          <w:lang w:val="en-NZ"/>
        </w:rPr>
        <w:t>)</w:t>
      </w:r>
    </w:p>
    <w:p w14:paraId="73B1B72F" w14:textId="77777777" w:rsidR="009662D5" w:rsidRPr="002F108B" w:rsidRDefault="009662D5" w:rsidP="009662D5">
      <w:pPr>
        <w:rPr>
          <w:lang w:val="en-NZ"/>
        </w:rPr>
      </w:pPr>
      <w:r w:rsidRPr="00B30B7C">
        <w:rPr>
          <w:b/>
          <w:lang w:val="en-NZ"/>
        </w:rPr>
        <w:lastRenderedPageBreak/>
        <w:t>Gaming and gambling</w:t>
      </w:r>
      <w:r w:rsidRPr="002F108B">
        <w:rPr>
          <w:b/>
          <w:lang w:val="en-NZ"/>
        </w:rPr>
        <w:t xml:space="preserve">: </w:t>
      </w:r>
      <w:r w:rsidRPr="00B30B7C">
        <w:rPr>
          <w:lang w:val="en-NZ"/>
        </w:rPr>
        <w:t xml:space="preserve">Gambling harm agency, service provider and lived experience participants noted that gaming is not currently recognised as gambling </w:t>
      </w:r>
      <w:r w:rsidRPr="002F108B">
        <w:rPr>
          <w:lang w:val="en-NZ"/>
        </w:rPr>
        <w:t xml:space="preserve">and </w:t>
      </w:r>
      <w:r w:rsidRPr="00B30B7C">
        <w:rPr>
          <w:lang w:val="en-NZ"/>
        </w:rPr>
        <w:t>therefore not funded by the gambling levy</w:t>
      </w:r>
      <w:r w:rsidRPr="002F108B">
        <w:rPr>
          <w:lang w:val="en-NZ"/>
        </w:rPr>
        <w:t>. Participants suggested a need to:</w:t>
      </w:r>
    </w:p>
    <w:p w14:paraId="03CD88AE" w14:textId="77777777" w:rsidR="009662D5" w:rsidRPr="00B30B7C" w:rsidRDefault="009662D5" w:rsidP="009662D5">
      <w:pPr>
        <w:pStyle w:val="Bulletpointindented"/>
        <w:rPr>
          <w:lang w:val="en-NZ"/>
        </w:rPr>
      </w:pPr>
      <w:r w:rsidRPr="002F108B">
        <w:rPr>
          <w:lang w:val="en-NZ"/>
        </w:rPr>
        <w:t>E</w:t>
      </w:r>
      <w:r w:rsidRPr="00B30B7C">
        <w:rPr>
          <w:lang w:val="en-NZ"/>
        </w:rPr>
        <w:t>xten</w:t>
      </w:r>
      <w:r w:rsidRPr="002F108B">
        <w:rPr>
          <w:lang w:val="en-NZ"/>
        </w:rPr>
        <w:t xml:space="preserve">d </w:t>
      </w:r>
      <w:r w:rsidRPr="00B30B7C">
        <w:rPr>
          <w:lang w:val="en-NZ"/>
        </w:rPr>
        <w:t xml:space="preserve">services and funding from the gambling levy </w:t>
      </w:r>
      <w:r w:rsidRPr="002F108B">
        <w:rPr>
          <w:lang w:val="en-NZ"/>
        </w:rPr>
        <w:t>to encompass gaming</w:t>
      </w:r>
    </w:p>
    <w:p w14:paraId="7F011F66" w14:textId="20166CC4" w:rsidR="009662D5" w:rsidRPr="002F108B" w:rsidRDefault="009662D5" w:rsidP="009662D5">
      <w:pPr>
        <w:pStyle w:val="Quotes"/>
        <w:ind w:left="1080"/>
        <w:rPr>
          <w:highlight w:val="yellow"/>
          <w:lang w:val="en-NZ"/>
        </w:rPr>
      </w:pPr>
      <w:r w:rsidRPr="002F108B">
        <w:rPr>
          <w:lang w:val="en-NZ"/>
        </w:rPr>
        <w:t>The gambling industry are not happy for gaming to be seen under what they see as the money that they provide. Hence services, they can't fit into their contract. Services can only fit gaming into their contracts if they can find some evidence of a family/ whānau connection with gambling. (</w:t>
      </w:r>
      <w:r>
        <w:rPr>
          <w:lang w:val="en-NZ"/>
        </w:rPr>
        <w:t>Gambling agency</w:t>
      </w:r>
      <w:r w:rsidR="00095580">
        <w:rPr>
          <w:lang w:val="en-NZ"/>
        </w:rPr>
        <w:t xml:space="preserve"> 1</w:t>
      </w:r>
      <w:r w:rsidRPr="002F108B">
        <w:rPr>
          <w:lang w:val="en-NZ"/>
        </w:rPr>
        <w:t>)</w:t>
      </w:r>
    </w:p>
    <w:p w14:paraId="691E81FD" w14:textId="77777777" w:rsidR="009662D5" w:rsidRPr="002F108B" w:rsidRDefault="009662D5" w:rsidP="009662D5">
      <w:pPr>
        <w:pStyle w:val="Bulletpointindented"/>
        <w:rPr>
          <w:lang w:val="en-NZ"/>
        </w:rPr>
      </w:pPr>
      <w:r w:rsidRPr="002F108B">
        <w:rPr>
          <w:lang w:val="en-NZ"/>
        </w:rPr>
        <w:t>Consider legislative change under the Gambling Act to ensure gaming issues and harm are addressed</w:t>
      </w:r>
    </w:p>
    <w:p w14:paraId="526DC384" w14:textId="683BE1BA" w:rsidR="009662D5" w:rsidRPr="002F108B" w:rsidRDefault="009662D5" w:rsidP="009662D5">
      <w:pPr>
        <w:pStyle w:val="Quotes"/>
        <w:ind w:left="1080"/>
        <w:rPr>
          <w:highlight w:val="yellow"/>
          <w:lang w:val="en-NZ"/>
        </w:rPr>
      </w:pPr>
      <w:r w:rsidRPr="002F108B">
        <w:rPr>
          <w:lang w:val="en-NZ"/>
        </w:rPr>
        <w:t>We need to change the definition under the Act for gambling because it's wagering for money. In many cases in gaming, it's waging to win something with money, which you can immediately sell. (</w:t>
      </w:r>
      <w:r>
        <w:rPr>
          <w:lang w:val="en-NZ"/>
        </w:rPr>
        <w:t>Gambling agency</w:t>
      </w:r>
      <w:r w:rsidR="00421DB3">
        <w:rPr>
          <w:lang w:val="en-NZ"/>
        </w:rPr>
        <w:t xml:space="preserve"> 1</w:t>
      </w:r>
      <w:r w:rsidRPr="002F108B">
        <w:rPr>
          <w:lang w:val="en-NZ"/>
        </w:rPr>
        <w:t>)</w:t>
      </w:r>
    </w:p>
    <w:p w14:paraId="57F27B6A" w14:textId="77777777" w:rsidR="009662D5" w:rsidRPr="002F108B" w:rsidRDefault="009662D5" w:rsidP="009662D5">
      <w:pPr>
        <w:pStyle w:val="Bulletpointindented"/>
        <w:rPr>
          <w:lang w:val="en-NZ"/>
        </w:rPr>
      </w:pPr>
      <w:r w:rsidRPr="002F108B">
        <w:rPr>
          <w:lang w:val="en-NZ"/>
        </w:rPr>
        <w:t>Develop whānau/family</w:t>
      </w:r>
      <w:r>
        <w:rPr>
          <w:lang w:val="en-NZ"/>
        </w:rPr>
        <w:t>-</w:t>
      </w:r>
      <w:r w:rsidRPr="002F108B">
        <w:rPr>
          <w:lang w:val="en-NZ"/>
        </w:rPr>
        <w:t>focused prevention strategies and plans for online gaming.</w:t>
      </w:r>
    </w:p>
    <w:p w14:paraId="0C7570E5" w14:textId="70E2E73E" w:rsidR="009662D5" w:rsidRDefault="009662D5" w:rsidP="009662D5">
      <w:pPr>
        <w:pStyle w:val="Quotes"/>
        <w:ind w:left="1080"/>
        <w:rPr>
          <w:lang w:val="en-NZ"/>
        </w:rPr>
      </w:pPr>
      <w:r w:rsidRPr="002F108B">
        <w:rPr>
          <w:lang w:val="en-NZ"/>
        </w:rPr>
        <w:t>Part of our recommendations is around a prevention strategy for online gamin</w:t>
      </w:r>
      <w:r>
        <w:rPr>
          <w:lang w:val="en-NZ"/>
        </w:rPr>
        <w:t>g t</w:t>
      </w:r>
      <w:r w:rsidRPr="002F108B">
        <w:rPr>
          <w:lang w:val="en-NZ"/>
        </w:rPr>
        <w:t>hat includes parents as well</w:t>
      </w:r>
      <w:r>
        <w:rPr>
          <w:lang w:val="en-NZ"/>
        </w:rPr>
        <w:t>…</w:t>
      </w:r>
      <w:r w:rsidRPr="002F108B">
        <w:rPr>
          <w:lang w:val="en-NZ"/>
        </w:rPr>
        <w:t>and also to recogni</w:t>
      </w:r>
      <w:r>
        <w:rPr>
          <w:lang w:val="en-NZ"/>
        </w:rPr>
        <w:t>s</w:t>
      </w:r>
      <w:r w:rsidRPr="002F108B">
        <w:rPr>
          <w:lang w:val="en-NZ"/>
        </w:rPr>
        <w:t xml:space="preserve">e gaming addiction or gaming harm as </w:t>
      </w:r>
      <w:r>
        <w:rPr>
          <w:lang w:val="en-NZ"/>
        </w:rPr>
        <w:t>[being]</w:t>
      </w:r>
      <w:r w:rsidRPr="002F108B">
        <w:rPr>
          <w:lang w:val="en-NZ"/>
        </w:rPr>
        <w:t xml:space="preserve"> just as powerful as gambling...</w:t>
      </w:r>
      <w:r>
        <w:rPr>
          <w:lang w:val="en-NZ"/>
        </w:rPr>
        <w:t xml:space="preserve">[for chidlren] </w:t>
      </w:r>
      <w:r w:rsidRPr="002F108B">
        <w:rPr>
          <w:lang w:val="en-NZ"/>
        </w:rPr>
        <w:t xml:space="preserve">as young as </w:t>
      </w:r>
      <w:r>
        <w:rPr>
          <w:lang w:val="en-NZ"/>
        </w:rPr>
        <w:t>ten</w:t>
      </w:r>
      <w:r w:rsidRPr="002F108B">
        <w:rPr>
          <w:lang w:val="en-NZ"/>
        </w:rPr>
        <w:t xml:space="preserve"> years old. (</w:t>
      </w:r>
      <w:r>
        <w:rPr>
          <w:lang w:val="en-NZ"/>
        </w:rPr>
        <w:t>Gambling harm service provider</w:t>
      </w:r>
      <w:r w:rsidR="00421DB3">
        <w:rPr>
          <w:lang w:val="en-NZ"/>
        </w:rPr>
        <w:t xml:space="preserve"> 3</w:t>
      </w:r>
      <w:r>
        <w:rPr>
          <w:lang w:val="en-NZ"/>
        </w:rPr>
        <w:t>)</w:t>
      </w:r>
    </w:p>
    <w:p w14:paraId="0AEF61F1" w14:textId="0EB347B1" w:rsidR="005651D5" w:rsidRPr="005651D5" w:rsidRDefault="00D705C8" w:rsidP="005651D5">
      <w:pPr>
        <w:pStyle w:val="Heading2"/>
      </w:pPr>
      <w:bookmarkStart w:id="182" w:name="_Toc76469807"/>
      <w:r>
        <w:t xml:space="preserve">Objectives 1 and 2 </w:t>
      </w:r>
      <w:r w:rsidR="00617F33">
        <w:t>– focus on outcomes</w:t>
      </w:r>
      <w:bookmarkEnd w:id="182"/>
    </w:p>
    <w:p w14:paraId="7CA3B535" w14:textId="41F656AC" w:rsidR="001B4354" w:rsidRPr="004338E9" w:rsidRDefault="001B4354" w:rsidP="002E052B">
      <w:pPr>
        <w:rPr>
          <w:b/>
          <w:lang w:val="en-US"/>
        </w:rPr>
      </w:pPr>
      <w:r w:rsidRPr="00FA52C8">
        <w:rPr>
          <w:b/>
          <w:lang w:val="en-NZ"/>
        </w:rPr>
        <w:t>Objective 1</w:t>
      </w:r>
      <w:r w:rsidRPr="004338E9">
        <w:rPr>
          <w:b/>
          <w:lang w:val="en-NZ"/>
        </w:rPr>
        <w:t>: There is a reduction in gambling-related-harm inequities between population groups (particularly Māori, Pacific and Asian peoples, as the populations that are most vulnerable to gambling harm).</w:t>
      </w:r>
    </w:p>
    <w:p w14:paraId="2F6BA9FE" w14:textId="2267EC1D" w:rsidR="001B4354" w:rsidRPr="004338E9" w:rsidRDefault="001B4354" w:rsidP="002E052B">
      <w:pPr>
        <w:rPr>
          <w:b/>
          <w:lang w:val="en-US"/>
        </w:rPr>
      </w:pPr>
      <w:r w:rsidRPr="00FA52C8">
        <w:rPr>
          <w:b/>
          <w:lang w:val="en-NZ"/>
        </w:rPr>
        <w:t>Objective 2</w:t>
      </w:r>
      <w:r w:rsidRPr="004338E9">
        <w:rPr>
          <w:b/>
          <w:lang w:val="en-NZ"/>
        </w:rPr>
        <w:t>: Māori have healthier futures through the prevention and minimisation of gambling harm.</w:t>
      </w:r>
    </w:p>
    <w:p w14:paraId="1C8CFFA5" w14:textId="77777777" w:rsidR="00D705C8" w:rsidRDefault="00D705C8" w:rsidP="00D705C8">
      <w:pPr>
        <w:pStyle w:val="Heading3"/>
      </w:pPr>
      <w:r>
        <w:t>What does the evidence tell us?</w:t>
      </w:r>
    </w:p>
    <w:tbl>
      <w:tblPr>
        <w:tblStyle w:val="Tabledesign"/>
        <w:tblW w:w="5000" w:type="pct"/>
        <w:tblLook w:val="0480" w:firstRow="0" w:lastRow="0" w:firstColumn="1" w:lastColumn="0" w:noHBand="0" w:noVBand="1"/>
      </w:tblPr>
      <w:tblGrid>
        <w:gridCol w:w="9026"/>
      </w:tblGrid>
      <w:tr w:rsidR="00D705C8" w:rsidRPr="0080147E" w14:paraId="4959505D" w14:textId="77777777" w:rsidTr="00A951FF">
        <w:trPr>
          <w:trHeight w:val="517"/>
        </w:trPr>
        <w:tc>
          <w:tcPr>
            <w:cnfStyle w:val="001000000000" w:firstRow="0" w:lastRow="0" w:firstColumn="1" w:lastColumn="0" w:oddVBand="0" w:evenVBand="0" w:oddHBand="0" w:evenHBand="0" w:firstRowFirstColumn="0" w:firstRowLastColumn="0" w:lastRowFirstColumn="0" w:lastRowLastColumn="0"/>
            <w:tcW w:w="5000" w:type="pct"/>
          </w:tcPr>
          <w:p w14:paraId="68380D0B" w14:textId="2274F89C" w:rsidR="00D705C8" w:rsidRPr="0080147E" w:rsidRDefault="00D705C8" w:rsidP="00A951FF">
            <w:pPr>
              <w:spacing w:before="0" w:after="60"/>
              <w:rPr>
                <w:b/>
                <w:lang w:val="en-NZ"/>
              </w:rPr>
            </w:pPr>
            <w:r w:rsidRPr="0080147E">
              <w:rPr>
                <w:lang w:val="en-NZ"/>
              </w:rPr>
              <w:t>General population gambling participation has decreased, but harmful gambling prevalence remains unchanged.</w:t>
            </w:r>
            <w:r>
              <w:rPr>
                <w:lang w:val="en-NZ"/>
              </w:rPr>
              <w:t xml:space="preserve"> </w:t>
            </w:r>
            <w:r w:rsidRPr="0080147E">
              <w:rPr>
                <w:lang w:val="en-NZ"/>
              </w:rPr>
              <w:t xml:space="preserve">Māori, Pacific and young people continue to have the highest prevalence of harmful gambling </w:t>
            </w:r>
            <w:r>
              <w:rPr>
                <w:lang w:val="en-NZ"/>
              </w:rPr>
              <w:t>and remain the most</w:t>
            </w:r>
            <w:r w:rsidR="00217DDE">
              <w:rPr>
                <w:lang w:val="en-NZ"/>
              </w:rPr>
              <w:t xml:space="preserve"> </w:t>
            </w:r>
            <w:r>
              <w:rPr>
                <w:lang w:val="en-NZ"/>
              </w:rPr>
              <w:t>at</w:t>
            </w:r>
            <w:r w:rsidR="00217DDE">
              <w:rPr>
                <w:lang w:val="en-NZ"/>
              </w:rPr>
              <w:t xml:space="preserve"> </w:t>
            </w:r>
            <w:r>
              <w:rPr>
                <w:lang w:val="en-NZ"/>
              </w:rPr>
              <w:t xml:space="preserve">risk of harmful gambling </w:t>
            </w:r>
            <w:r w:rsidRPr="0080147E">
              <w:rPr>
                <w:lang w:val="en-NZ"/>
              </w:rPr>
              <w:t>compared with other ethnic groups.</w:t>
            </w:r>
            <w:r>
              <w:rPr>
                <w:lang w:val="en-NZ"/>
              </w:rPr>
              <w:t xml:space="preserve"> Harmful gambling continues to impact all aspects of wellbeing for individuals and their whānau.</w:t>
            </w:r>
          </w:p>
        </w:tc>
      </w:tr>
    </w:tbl>
    <w:p w14:paraId="026CD2CF" w14:textId="04ECD4D9" w:rsidR="00D705C8" w:rsidRDefault="002B70A5" w:rsidP="00D705C8">
      <w:pPr>
        <w:pStyle w:val="Heading3"/>
      </w:pPr>
      <w:r>
        <w:lastRenderedPageBreak/>
        <w:t>P</w:t>
      </w:r>
      <w:r w:rsidR="00D705C8">
        <w:t>rogress</w:t>
      </w:r>
      <w:r w:rsidR="00BC48B8">
        <w:t xml:space="preserve"> against Objective</w:t>
      </w:r>
      <w:r w:rsidR="00F6727B">
        <w:t>s 1 and 2</w:t>
      </w:r>
    </w:p>
    <w:p w14:paraId="23E00C91" w14:textId="7CD15936" w:rsidR="00D705C8" w:rsidRDefault="00D705C8" w:rsidP="00D705C8">
      <w:pPr>
        <w:rPr>
          <w:lang w:val="en-NZ"/>
        </w:rPr>
      </w:pPr>
      <w:r>
        <w:rPr>
          <w:lang w:val="en-NZ"/>
        </w:rPr>
        <w:t>Most interviewed participants and around half of the workforce survey respondents</w:t>
      </w:r>
      <w:r>
        <w:rPr>
          <w:rStyle w:val="FootnoteReference"/>
          <w:lang w:val="en-NZ"/>
        </w:rPr>
        <w:footnoteReference w:id="37"/>
      </w:r>
      <w:r>
        <w:rPr>
          <w:lang w:val="en-NZ"/>
        </w:rPr>
        <w:t xml:space="preserve"> considered</w:t>
      </w:r>
      <w:r w:rsidRPr="002F108B">
        <w:rPr>
          <w:lang w:val="en-NZ"/>
        </w:rPr>
        <w:t xml:space="preserve"> that little to no progress had been made against </w:t>
      </w:r>
      <w:r>
        <w:rPr>
          <w:lang w:val="en-NZ"/>
        </w:rPr>
        <w:t xml:space="preserve">both </w:t>
      </w:r>
      <w:r w:rsidR="00977E94">
        <w:rPr>
          <w:lang w:val="en-NZ"/>
        </w:rPr>
        <w:t>O</w:t>
      </w:r>
      <w:r>
        <w:rPr>
          <w:lang w:val="en-NZ"/>
        </w:rPr>
        <w:t>bjectives</w:t>
      </w:r>
      <w:r w:rsidRPr="002F108B">
        <w:rPr>
          <w:lang w:val="en-NZ"/>
        </w:rPr>
        <w:t>.</w:t>
      </w:r>
      <w:r>
        <w:rPr>
          <w:lang w:val="en-NZ"/>
        </w:rPr>
        <w:t xml:space="preserve"> </w:t>
      </w:r>
      <w:r w:rsidR="00977E94">
        <w:rPr>
          <w:lang w:val="en-NZ"/>
        </w:rPr>
        <w:t>One-third of survey respondents</w:t>
      </w:r>
      <w:r w:rsidR="00DB0BB2">
        <w:rPr>
          <w:lang w:val="en-NZ"/>
        </w:rPr>
        <w:t xml:space="preserve"> </w:t>
      </w:r>
      <w:r w:rsidR="00204E05">
        <w:rPr>
          <w:lang w:val="en-NZ"/>
        </w:rPr>
        <w:t>had</w:t>
      </w:r>
      <w:r w:rsidR="00DB0BB2">
        <w:rPr>
          <w:lang w:val="en-NZ"/>
        </w:rPr>
        <w:t xml:space="preserve"> neutral</w:t>
      </w:r>
      <w:r w:rsidR="00204E05">
        <w:rPr>
          <w:lang w:val="en-NZ"/>
        </w:rPr>
        <w:t xml:space="preserve"> views</w:t>
      </w:r>
      <w:r w:rsidR="00C05363">
        <w:rPr>
          <w:lang w:val="en-NZ"/>
        </w:rPr>
        <w:t xml:space="preserve"> </w:t>
      </w:r>
      <w:r w:rsidR="00211EF5">
        <w:rPr>
          <w:lang w:val="en-NZ"/>
        </w:rPr>
        <w:t>and</w:t>
      </w:r>
      <w:r w:rsidR="00CB244F">
        <w:rPr>
          <w:lang w:val="en-NZ"/>
        </w:rPr>
        <w:t xml:space="preserve"> </w:t>
      </w:r>
      <w:r w:rsidR="006B7C58">
        <w:rPr>
          <w:lang w:val="en-NZ"/>
        </w:rPr>
        <w:t xml:space="preserve">some did think progress </w:t>
      </w:r>
      <w:r w:rsidR="00D151AF">
        <w:rPr>
          <w:lang w:val="en-NZ"/>
        </w:rPr>
        <w:t>was made</w:t>
      </w:r>
      <w:r w:rsidR="006B7C58">
        <w:rPr>
          <w:lang w:val="en-NZ"/>
        </w:rPr>
        <w:t xml:space="preserve"> against Objective 1 (13%) and Objective 2 (25%)</w:t>
      </w:r>
      <w:r w:rsidR="00D151AF">
        <w:rPr>
          <w:rStyle w:val="FootnoteReference"/>
          <w:lang w:val="en-NZ"/>
        </w:rPr>
        <w:footnoteReference w:id="38"/>
      </w:r>
      <w:r w:rsidR="006B7C58">
        <w:rPr>
          <w:lang w:val="en-NZ"/>
        </w:rPr>
        <w:t>.</w:t>
      </w:r>
    </w:p>
    <w:p w14:paraId="654EE773" w14:textId="3DD3B637" w:rsidR="007C0F6B" w:rsidRPr="007C0F6B" w:rsidRDefault="00D705C8" w:rsidP="007C0F6B">
      <w:pPr>
        <w:pStyle w:val="Quotes"/>
        <w:rPr>
          <w:lang w:val="en-NZ"/>
        </w:rPr>
      </w:pPr>
      <w:r w:rsidRPr="002F108B">
        <w:rPr>
          <w:lang w:val="en-NZ"/>
        </w:rPr>
        <w:t>I think it's still inequitable. I don't think we've smoothed it out in any sort of way. (</w:t>
      </w:r>
      <w:r>
        <w:rPr>
          <w:lang w:val="en-NZ"/>
        </w:rPr>
        <w:t>Gambling harm agency</w:t>
      </w:r>
      <w:r w:rsidR="00421DB3">
        <w:rPr>
          <w:lang w:val="en-NZ"/>
        </w:rPr>
        <w:t xml:space="preserve"> 1</w:t>
      </w:r>
      <w:r w:rsidRPr="002F108B">
        <w:rPr>
          <w:lang w:val="en-NZ"/>
        </w:rPr>
        <w:t>)</w:t>
      </w:r>
    </w:p>
    <w:p w14:paraId="1702CB0A" w14:textId="3675A3D9" w:rsidR="00922093" w:rsidRPr="002F108B" w:rsidRDefault="00922093" w:rsidP="00D705C8">
      <w:pPr>
        <w:pStyle w:val="Quotes"/>
        <w:rPr>
          <w:lang w:val="en-NZ"/>
        </w:rPr>
      </w:pPr>
      <w:r w:rsidRPr="002F108B">
        <w:rPr>
          <w:lang w:val="en-NZ"/>
        </w:rPr>
        <w:t>Nothing’s changed. The inequities are still there for M</w:t>
      </w:r>
      <w:r>
        <w:rPr>
          <w:lang w:val="en-NZ"/>
        </w:rPr>
        <w:t>ā</w:t>
      </w:r>
      <w:r w:rsidRPr="002F108B">
        <w:rPr>
          <w:lang w:val="en-NZ"/>
        </w:rPr>
        <w:t>ori. (</w:t>
      </w:r>
      <w:r>
        <w:rPr>
          <w:lang w:val="en-NZ"/>
        </w:rPr>
        <w:t>Gambling harm agency</w:t>
      </w:r>
      <w:r w:rsidR="00421DB3">
        <w:rPr>
          <w:lang w:val="en-NZ"/>
        </w:rPr>
        <w:t xml:space="preserve"> 2</w:t>
      </w:r>
      <w:r w:rsidR="00176FF5">
        <w:rPr>
          <w:lang w:val="en-NZ"/>
        </w:rPr>
        <w:t>)</w:t>
      </w:r>
    </w:p>
    <w:p w14:paraId="1F121047" w14:textId="23DDB2EC" w:rsidR="00D705C8" w:rsidRDefault="00D705C8" w:rsidP="00D705C8">
      <w:pPr>
        <w:rPr>
          <w:lang w:val="en-NZ"/>
        </w:rPr>
      </w:pPr>
      <w:r w:rsidRPr="002F108B">
        <w:rPr>
          <w:lang w:val="en-NZ"/>
        </w:rPr>
        <w:t xml:space="preserve">Some </w:t>
      </w:r>
      <w:r>
        <w:rPr>
          <w:lang w:val="en-NZ"/>
        </w:rPr>
        <w:t xml:space="preserve">participants’ views about limited progress were strongly influenced by evidence highlighting continuously high prevalence rates for harmful gambling among Māori and Pacific populations. Others also associated limited progress with high and inequitable relapse rates </w:t>
      </w:r>
      <w:r w:rsidRPr="002F108B">
        <w:rPr>
          <w:lang w:val="en-NZ"/>
        </w:rPr>
        <w:t xml:space="preserve">and </w:t>
      </w:r>
      <w:r>
        <w:rPr>
          <w:lang w:val="en-NZ"/>
        </w:rPr>
        <w:t xml:space="preserve">suggested </w:t>
      </w:r>
      <w:r w:rsidRPr="002F108B">
        <w:rPr>
          <w:lang w:val="en-NZ"/>
        </w:rPr>
        <w:t xml:space="preserve">that more research was needed to understand </w:t>
      </w:r>
      <w:r>
        <w:rPr>
          <w:lang w:val="en-NZ"/>
        </w:rPr>
        <w:t>clients who relapsed</w:t>
      </w:r>
      <w:r w:rsidRPr="002F108B">
        <w:rPr>
          <w:lang w:val="en-NZ"/>
        </w:rPr>
        <w:t>.</w:t>
      </w:r>
      <w:r w:rsidR="0027638E">
        <w:rPr>
          <w:lang w:val="en-NZ"/>
        </w:rPr>
        <w:t xml:space="preserve"> It is important to note that the Ministry have committed research funds to </w:t>
      </w:r>
      <w:r w:rsidR="00B513F5">
        <w:rPr>
          <w:lang w:val="en-NZ"/>
        </w:rPr>
        <w:t>examine this in the Strategy.</w:t>
      </w:r>
      <w:r w:rsidR="0027638E">
        <w:rPr>
          <w:lang w:val="en-NZ"/>
        </w:rPr>
        <w:t xml:space="preserve"> </w:t>
      </w:r>
    </w:p>
    <w:p w14:paraId="1307440B" w14:textId="6FC273B9" w:rsidR="00D705C8" w:rsidRPr="002F108B" w:rsidRDefault="00D705C8" w:rsidP="00D705C8">
      <w:pPr>
        <w:pStyle w:val="Quotes"/>
        <w:rPr>
          <w:lang w:val="en-NZ"/>
        </w:rPr>
      </w:pPr>
      <w:r w:rsidRPr="002F108B">
        <w:rPr>
          <w:lang w:val="en-NZ"/>
        </w:rPr>
        <w:t>Recidivism</w:t>
      </w:r>
      <w:r>
        <w:rPr>
          <w:lang w:val="en-NZ"/>
        </w:rPr>
        <w:t>/</w:t>
      </w:r>
      <w:r w:rsidRPr="002F108B">
        <w:rPr>
          <w:lang w:val="en-NZ"/>
        </w:rPr>
        <w:t>relapse rate amongst problem gamblers –– approximately 66% of problem gamblers relapse and breach exclusion orders. (Gambling industry</w:t>
      </w:r>
      <w:r w:rsidR="00421DB3">
        <w:rPr>
          <w:lang w:val="en-NZ"/>
        </w:rPr>
        <w:t xml:space="preserve"> 1</w:t>
      </w:r>
      <w:r w:rsidRPr="002F108B">
        <w:rPr>
          <w:lang w:val="en-NZ"/>
        </w:rPr>
        <w:t>)</w:t>
      </w:r>
    </w:p>
    <w:p w14:paraId="18CA2214" w14:textId="1CEEB08E" w:rsidR="00D705C8" w:rsidRDefault="00D705C8" w:rsidP="00D705C8">
      <w:pPr>
        <w:pStyle w:val="Quotes"/>
        <w:rPr>
          <w:lang w:val="en-NZ"/>
        </w:rPr>
      </w:pPr>
      <w:r w:rsidRPr="002F108B">
        <w:rPr>
          <w:lang w:val="en-NZ"/>
        </w:rPr>
        <w:t>One of the reasons why the prevalence of harmful gambling behaviours have not changed in the last 15 to 20 years, even though fewer people are gambling, is because you’re getting so many people relapsing. We don’t understand what we can do to reduce it</w:t>
      </w:r>
      <w:r>
        <w:rPr>
          <w:lang w:val="en-NZ"/>
        </w:rPr>
        <w:t>..</w:t>
      </w:r>
      <w:r w:rsidRPr="002F108B">
        <w:rPr>
          <w:lang w:val="en-NZ"/>
        </w:rPr>
        <w:t>. (</w:t>
      </w:r>
      <w:r>
        <w:rPr>
          <w:lang w:val="en-NZ"/>
        </w:rPr>
        <w:t>Gambling harm agency</w:t>
      </w:r>
      <w:r w:rsidR="00421DB3">
        <w:rPr>
          <w:lang w:val="en-NZ"/>
        </w:rPr>
        <w:t xml:space="preserve"> 2</w:t>
      </w:r>
      <w:r w:rsidRPr="002F108B">
        <w:rPr>
          <w:lang w:val="en-NZ"/>
        </w:rPr>
        <w:t>)</w:t>
      </w:r>
    </w:p>
    <w:p w14:paraId="1D8A2911" w14:textId="7AEC8F68" w:rsidR="00D705C8" w:rsidRDefault="00B25818" w:rsidP="00D705C8">
      <w:pPr>
        <w:pStyle w:val="Heading3"/>
      </w:pPr>
      <w:r>
        <w:t>S</w:t>
      </w:r>
      <w:r w:rsidR="00D705C8">
        <w:t>trengthen</w:t>
      </w:r>
      <w:r>
        <w:t>ing</w:t>
      </w:r>
      <w:r w:rsidR="00D705C8">
        <w:t xml:space="preserve"> progress against Objectives 1 and 2</w:t>
      </w:r>
    </w:p>
    <w:p w14:paraId="585635CF" w14:textId="4BFB1603" w:rsidR="00D705C8" w:rsidRDefault="00D705C8" w:rsidP="00D705C8">
      <w:r>
        <w:rPr>
          <w:lang w:val="en-NZ"/>
        </w:rPr>
        <w:t>I</w:t>
      </w:r>
      <w:r w:rsidRPr="002F108B">
        <w:rPr>
          <w:lang w:val="en-NZ"/>
        </w:rPr>
        <w:t xml:space="preserve">nterviewed participants from all gambling stakeholder groups </w:t>
      </w:r>
      <w:r>
        <w:rPr>
          <w:lang w:val="en-NZ"/>
        </w:rPr>
        <w:t>commonly noted that a</w:t>
      </w:r>
      <w:r>
        <w:t>dvancing progress against Objectives 1 and 2 required effective and efficient policy, practice and evidence</w:t>
      </w:r>
      <w:r w:rsidR="001F049F">
        <w:t>,</w:t>
      </w:r>
      <w:r w:rsidR="00176FF5">
        <w:t xml:space="preserve"> a</w:t>
      </w:r>
      <w:r w:rsidR="00040294">
        <w:t xml:space="preserve"> strong equity lens and framework</w:t>
      </w:r>
      <w:r w:rsidR="00176FF5">
        <w:t xml:space="preserve"> and increased participation of M</w:t>
      </w:r>
      <w:r w:rsidR="001B0902">
        <w:rPr>
          <w:rFonts w:cs="Calibri"/>
        </w:rPr>
        <w:t>ā</w:t>
      </w:r>
      <w:r w:rsidR="00176FF5">
        <w:t>ori in leadership</w:t>
      </w:r>
      <w:r>
        <w:t>.</w:t>
      </w:r>
    </w:p>
    <w:p w14:paraId="0B1C57F6" w14:textId="40C53933" w:rsidR="00D705C8" w:rsidRPr="002F108B" w:rsidRDefault="00D705C8" w:rsidP="00D705C8">
      <w:pPr>
        <w:pStyle w:val="Quotes"/>
        <w:rPr>
          <w:lang w:val="en-NZ"/>
        </w:rPr>
      </w:pPr>
      <w:r w:rsidRPr="002F108B">
        <w:rPr>
          <w:lang w:val="en-NZ"/>
        </w:rPr>
        <w:t xml:space="preserve">It's an illusion to think that Māori </w:t>
      </w:r>
      <w:r w:rsidR="00F35614" w:rsidRPr="002F108B">
        <w:rPr>
          <w:lang w:val="en-NZ"/>
        </w:rPr>
        <w:t>ha</w:t>
      </w:r>
      <w:r w:rsidR="00F35614">
        <w:rPr>
          <w:lang w:val="en-NZ"/>
        </w:rPr>
        <w:t>ve</w:t>
      </w:r>
      <w:r w:rsidR="00F35614" w:rsidRPr="002F108B">
        <w:rPr>
          <w:lang w:val="en-NZ"/>
        </w:rPr>
        <w:t xml:space="preserve"> </w:t>
      </w:r>
      <w:r w:rsidRPr="002F108B">
        <w:rPr>
          <w:lang w:val="en-NZ"/>
        </w:rPr>
        <w:t>healthier futures whatsoever, at all. The way things are structured currently within their government and within our own city councils, or their own communities. We don't ever get any ownership of anything...That is an illusion to say that we are going to have healthier futures through the prevention and minimisation of gambling harm. (</w:t>
      </w:r>
      <w:r>
        <w:rPr>
          <w:lang w:val="en-NZ"/>
        </w:rPr>
        <w:t>Gambling harm service provider</w:t>
      </w:r>
      <w:r w:rsidR="00421DB3">
        <w:rPr>
          <w:lang w:val="en-NZ"/>
        </w:rPr>
        <w:t xml:space="preserve"> 8</w:t>
      </w:r>
      <w:r w:rsidRPr="002F108B">
        <w:rPr>
          <w:lang w:val="en-NZ"/>
        </w:rPr>
        <w:t>)</w:t>
      </w:r>
    </w:p>
    <w:p w14:paraId="59672972" w14:textId="1548B87F" w:rsidR="00D705C8" w:rsidRDefault="00D705C8" w:rsidP="00D705C8">
      <w:pPr>
        <w:pStyle w:val="Quotes"/>
        <w:rPr>
          <w:lang w:val="en-NZ"/>
        </w:rPr>
      </w:pPr>
      <w:r w:rsidRPr="002F108B">
        <w:rPr>
          <w:lang w:val="en-NZ"/>
        </w:rPr>
        <w:t xml:space="preserve">I think that there really needs to [be] more Iwi representation into the development of what those expected outcomes are for Māori...Is there anything that industry can do that can help prevent those issues </w:t>
      </w:r>
      <w:r>
        <w:rPr>
          <w:lang w:val="en-NZ"/>
        </w:rPr>
        <w:t xml:space="preserve">from </w:t>
      </w:r>
      <w:r w:rsidRPr="002F108B">
        <w:rPr>
          <w:lang w:val="en-NZ"/>
        </w:rPr>
        <w:t>arising among their communities?</w:t>
      </w:r>
      <w:r w:rsidR="00D81E6D">
        <w:rPr>
          <w:lang w:val="en-NZ"/>
        </w:rPr>
        <w:t xml:space="preserve"> </w:t>
      </w:r>
      <w:r w:rsidRPr="002F108B">
        <w:rPr>
          <w:lang w:val="en-NZ"/>
        </w:rPr>
        <w:t>(Gambling industry</w:t>
      </w:r>
      <w:r w:rsidR="00421DB3">
        <w:rPr>
          <w:lang w:val="en-NZ"/>
        </w:rPr>
        <w:t xml:space="preserve"> 4</w:t>
      </w:r>
      <w:r w:rsidRPr="002F108B">
        <w:rPr>
          <w:lang w:val="en-NZ"/>
        </w:rPr>
        <w:t>)</w:t>
      </w:r>
    </w:p>
    <w:p w14:paraId="1B3B5674" w14:textId="138F6449" w:rsidR="00B5070B" w:rsidRPr="002F108B" w:rsidRDefault="00B5070B" w:rsidP="00B5070B">
      <w:pPr>
        <w:rPr>
          <w:lang w:val="en-NZ"/>
        </w:rPr>
      </w:pPr>
      <w:r w:rsidRPr="002F108B">
        <w:rPr>
          <w:lang w:val="en-NZ"/>
        </w:rPr>
        <w:t>Gambling harm service</w:t>
      </w:r>
      <w:r w:rsidR="00451777">
        <w:rPr>
          <w:lang w:val="en-NZ"/>
        </w:rPr>
        <w:t xml:space="preserve"> provider</w:t>
      </w:r>
      <w:r w:rsidRPr="002F108B">
        <w:rPr>
          <w:lang w:val="en-NZ"/>
        </w:rPr>
        <w:t xml:space="preserve">, agency and lived experience representatives highlighted a critical need to ensure the </w:t>
      </w:r>
      <w:r w:rsidRPr="004E069C">
        <w:rPr>
          <w:lang w:val="en-NZ"/>
        </w:rPr>
        <w:t xml:space="preserve">Strategy 2022/23-2024/25 </w:t>
      </w:r>
      <w:r w:rsidRPr="002F108B">
        <w:rPr>
          <w:lang w:val="en-NZ"/>
        </w:rPr>
        <w:t>sits under an overarching equity framework that prioritises:</w:t>
      </w:r>
    </w:p>
    <w:p w14:paraId="4E706958" w14:textId="77777777" w:rsidR="00B5070B" w:rsidRPr="002F108B" w:rsidRDefault="00B5070B" w:rsidP="00B5070B">
      <w:pPr>
        <w:pStyle w:val="Bulletpointindented"/>
        <w:rPr>
          <w:lang w:val="en-NZ"/>
        </w:rPr>
      </w:pPr>
      <w:r w:rsidRPr="002F108B">
        <w:rPr>
          <w:lang w:val="en-NZ"/>
        </w:rPr>
        <w:lastRenderedPageBreak/>
        <w:t xml:space="preserve">Māori ownership and determination </w:t>
      </w:r>
    </w:p>
    <w:p w14:paraId="49864091" w14:textId="76E6B393" w:rsidR="00B5070B" w:rsidRPr="002F108B" w:rsidRDefault="00B5070B" w:rsidP="00B5070B">
      <w:pPr>
        <w:pStyle w:val="Quotes"/>
        <w:ind w:left="1080"/>
        <w:rPr>
          <w:lang w:val="en-NZ"/>
        </w:rPr>
      </w:pPr>
      <w:r w:rsidRPr="002F108B">
        <w:rPr>
          <w:lang w:val="en-NZ"/>
        </w:rPr>
        <w:t>We still don't have any say or any authority about how we should be able to meet the needs of whānau, hapu and Iwi. I think that's one of our rights as a dedicated Māori service. (</w:t>
      </w:r>
      <w:r>
        <w:rPr>
          <w:lang w:val="en-NZ"/>
        </w:rPr>
        <w:t>Gambling harm service provider</w:t>
      </w:r>
      <w:r w:rsidR="00546397">
        <w:rPr>
          <w:lang w:val="en-NZ"/>
        </w:rPr>
        <w:t xml:space="preserve"> 8</w:t>
      </w:r>
      <w:r w:rsidRPr="002F108B">
        <w:rPr>
          <w:lang w:val="en-NZ"/>
        </w:rPr>
        <w:t>)</w:t>
      </w:r>
    </w:p>
    <w:p w14:paraId="3E67CE39" w14:textId="77777777" w:rsidR="00B5070B" w:rsidRPr="002F108B" w:rsidRDefault="00B5070B" w:rsidP="00B5070B">
      <w:pPr>
        <w:pStyle w:val="Bulletpointindented"/>
        <w:rPr>
          <w:lang w:val="en-NZ"/>
        </w:rPr>
      </w:pPr>
      <w:r w:rsidRPr="002F108B">
        <w:rPr>
          <w:lang w:val="en-NZ"/>
        </w:rPr>
        <w:t>Adher</w:t>
      </w:r>
      <w:r>
        <w:rPr>
          <w:lang w:val="en-NZ"/>
        </w:rPr>
        <w:t>e</w:t>
      </w:r>
      <w:r w:rsidRPr="002F108B">
        <w:rPr>
          <w:lang w:val="en-NZ"/>
        </w:rPr>
        <w:t xml:space="preserve">nce to established equitable systems and process </w:t>
      </w:r>
    </w:p>
    <w:p w14:paraId="2F5F287D" w14:textId="646A9F78" w:rsidR="00B5070B" w:rsidRPr="002F108B" w:rsidRDefault="00B5070B" w:rsidP="00B5070B">
      <w:pPr>
        <w:pStyle w:val="Quotes"/>
        <w:ind w:left="1080"/>
        <w:rPr>
          <w:highlight w:val="yellow"/>
          <w:lang w:val="en-NZ"/>
        </w:rPr>
      </w:pPr>
      <w:r w:rsidRPr="002F108B">
        <w:rPr>
          <w:lang w:val="en-NZ"/>
        </w:rPr>
        <w:t>If you’re looking at addressing equity, you have to be able to sit at the table to address it. We’re not at the table. We are still being told what to do, how to do</w:t>
      </w:r>
      <w:r>
        <w:rPr>
          <w:lang w:val="en-NZ"/>
        </w:rPr>
        <w:t xml:space="preserve"> it</w:t>
      </w:r>
      <w:r w:rsidRPr="002F108B">
        <w:rPr>
          <w:lang w:val="en-NZ"/>
        </w:rPr>
        <w:t>. (</w:t>
      </w:r>
      <w:r>
        <w:rPr>
          <w:lang w:val="en-NZ"/>
        </w:rPr>
        <w:t>Gambling harm service provider</w:t>
      </w:r>
      <w:r w:rsidR="00546397">
        <w:rPr>
          <w:lang w:val="en-NZ"/>
        </w:rPr>
        <w:t xml:space="preserve"> 8</w:t>
      </w:r>
      <w:r w:rsidRPr="002F108B">
        <w:rPr>
          <w:lang w:val="en-NZ"/>
        </w:rPr>
        <w:t>)</w:t>
      </w:r>
    </w:p>
    <w:p w14:paraId="70A11DB2" w14:textId="77777777" w:rsidR="00B5070B" w:rsidRPr="002F108B" w:rsidRDefault="00B5070B" w:rsidP="00B5070B">
      <w:pPr>
        <w:pStyle w:val="Bulletpointindented"/>
        <w:rPr>
          <w:lang w:val="en-NZ"/>
        </w:rPr>
      </w:pPr>
      <w:r w:rsidRPr="002F108B">
        <w:rPr>
          <w:lang w:val="en-NZ"/>
        </w:rPr>
        <w:t xml:space="preserve">Meaningful engagement and relationships between the Crown (i.e. the Ministry), iwi and ethnic-specific services </w:t>
      </w:r>
    </w:p>
    <w:p w14:paraId="6FFD3125" w14:textId="39284A93" w:rsidR="00B5070B" w:rsidRPr="002F108B" w:rsidRDefault="00B5070B" w:rsidP="00B5070B">
      <w:pPr>
        <w:pStyle w:val="Quotes"/>
        <w:ind w:left="1080"/>
        <w:rPr>
          <w:highlight w:val="yellow"/>
          <w:lang w:val="en-NZ"/>
        </w:rPr>
      </w:pPr>
      <w:r w:rsidRPr="002F108B">
        <w:rPr>
          <w:lang w:val="en-NZ"/>
        </w:rPr>
        <w:t>They know who we are, they give us contracts...</w:t>
      </w:r>
      <w:r>
        <w:rPr>
          <w:lang w:val="en-NZ"/>
        </w:rPr>
        <w:t xml:space="preserve">, </w:t>
      </w:r>
      <w:r w:rsidRPr="002F108B">
        <w:rPr>
          <w:lang w:val="en-NZ"/>
        </w:rPr>
        <w:t>and they tell us how to do that contract</w:t>
      </w:r>
      <w:r>
        <w:rPr>
          <w:lang w:val="en-NZ"/>
        </w:rPr>
        <w:t>,</w:t>
      </w:r>
      <w:r w:rsidRPr="002F108B">
        <w:rPr>
          <w:lang w:val="en-NZ"/>
        </w:rPr>
        <w:t xml:space="preserve"> but there is the dedicated Māori, dedicated Pacific, but still it’s left for us to make that relationship. I know they’re busy. (</w:t>
      </w:r>
      <w:r>
        <w:rPr>
          <w:lang w:val="en-NZ"/>
        </w:rPr>
        <w:t>Gambling harm service provider</w:t>
      </w:r>
      <w:r w:rsidR="00546397">
        <w:rPr>
          <w:lang w:val="en-NZ"/>
        </w:rPr>
        <w:t xml:space="preserve"> 8</w:t>
      </w:r>
      <w:r w:rsidRPr="002F108B">
        <w:rPr>
          <w:lang w:val="en-NZ"/>
        </w:rPr>
        <w:t>)</w:t>
      </w:r>
    </w:p>
    <w:p w14:paraId="5F533F77" w14:textId="77777777" w:rsidR="00B5070B" w:rsidRPr="002F108B" w:rsidRDefault="00B5070B" w:rsidP="00B5070B">
      <w:pPr>
        <w:pStyle w:val="Bulletpointindented"/>
        <w:rPr>
          <w:lang w:val="en-NZ"/>
        </w:rPr>
      </w:pPr>
      <w:r w:rsidRPr="002F108B">
        <w:rPr>
          <w:lang w:val="en-NZ"/>
        </w:rPr>
        <w:t xml:space="preserve">Inequities for Māori, Pacific and Asian gambling harm services </w:t>
      </w:r>
      <w:r>
        <w:rPr>
          <w:lang w:val="en-NZ"/>
        </w:rPr>
        <w:t xml:space="preserve">and workforces in mainstream services </w:t>
      </w:r>
      <w:r w:rsidRPr="002F108B">
        <w:rPr>
          <w:lang w:val="en-NZ"/>
        </w:rPr>
        <w:t>are addressed</w:t>
      </w:r>
      <w:r>
        <w:rPr>
          <w:lang w:val="en-NZ"/>
        </w:rPr>
        <w:t>.</w:t>
      </w:r>
    </w:p>
    <w:p w14:paraId="17B6AF25" w14:textId="4073A1F4" w:rsidR="00B5070B" w:rsidRPr="00324F94" w:rsidRDefault="00B5070B" w:rsidP="00B5070B">
      <w:pPr>
        <w:pStyle w:val="Quotes"/>
        <w:ind w:left="1080"/>
        <w:rPr>
          <w:lang w:val="en-NZ"/>
        </w:rPr>
      </w:pPr>
      <w:r w:rsidRPr="00324F94">
        <w:rPr>
          <w:lang w:val="en-NZ"/>
        </w:rPr>
        <w:t>...Our gambling contract has been the same since 20 years ago...Our FTE has remained the same... (</w:t>
      </w:r>
      <w:r w:rsidR="00451777">
        <w:rPr>
          <w:lang w:val="en-NZ"/>
        </w:rPr>
        <w:t>Gambling harm service provider</w:t>
      </w:r>
      <w:r w:rsidR="00546397">
        <w:rPr>
          <w:lang w:val="en-NZ"/>
        </w:rPr>
        <w:t xml:space="preserve"> 1</w:t>
      </w:r>
      <w:r w:rsidRPr="00324F94">
        <w:rPr>
          <w:lang w:val="en-NZ"/>
        </w:rPr>
        <w:t>)</w:t>
      </w:r>
    </w:p>
    <w:p w14:paraId="5669DC08" w14:textId="2F18F4BE" w:rsidR="00B5070B" w:rsidRPr="00324F94" w:rsidRDefault="00B5070B" w:rsidP="00B5070B">
      <w:pPr>
        <w:pStyle w:val="Quotes"/>
        <w:ind w:left="1080"/>
        <w:rPr>
          <w:lang w:val="en-NZ"/>
        </w:rPr>
      </w:pPr>
      <w:r w:rsidRPr="00324F94">
        <w:rPr>
          <w:lang w:val="en-NZ"/>
        </w:rPr>
        <w:t>Christchurch [is not recognised] as a priority area…so they haven't allocated FTE down there for funding... (</w:t>
      </w:r>
      <w:r w:rsidR="00451777">
        <w:rPr>
          <w:lang w:val="en-NZ"/>
        </w:rPr>
        <w:t>Gambling ham service provider</w:t>
      </w:r>
      <w:r w:rsidR="00546397">
        <w:rPr>
          <w:lang w:val="en-NZ"/>
        </w:rPr>
        <w:t xml:space="preserve"> 3</w:t>
      </w:r>
      <w:r w:rsidRPr="00324F94">
        <w:rPr>
          <w:lang w:val="en-NZ"/>
        </w:rPr>
        <w:t>)</w:t>
      </w:r>
    </w:p>
    <w:p w14:paraId="65ADD347" w14:textId="107DE6E1" w:rsidR="00604E8C" w:rsidRPr="00604E8C" w:rsidRDefault="00D705C8" w:rsidP="00604E8C">
      <w:pPr>
        <w:pStyle w:val="Heading2"/>
      </w:pPr>
      <w:bookmarkStart w:id="183" w:name="_Toc76469808"/>
      <w:r>
        <w:t xml:space="preserve">Objective 3 </w:t>
      </w:r>
      <w:r w:rsidR="002B70A5">
        <w:t>-</w:t>
      </w:r>
      <w:r w:rsidR="00D81E6D">
        <w:t xml:space="preserve"> </w:t>
      </w:r>
      <w:r w:rsidR="007653EB">
        <w:t>focus on p</w:t>
      </w:r>
      <w:r w:rsidR="00150F6F">
        <w:t>articipation</w:t>
      </w:r>
      <w:bookmarkEnd w:id="183"/>
    </w:p>
    <w:p w14:paraId="442B658E" w14:textId="29ECCE0B" w:rsidR="00E372C4" w:rsidRPr="008A2E67" w:rsidRDefault="001B0902" w:rsidP="00E372C4">
      <w:pPr>
        <w:rPr>
          <w:b/>
          <w:lang w:val="en-NZ"/>
        </w:rPr>
      </w:pPr>
      <w:r w:rsidRPr="004338E9">
        <w:rPr>
          <w:b/>
          <w:lang w:val="en-NZ"/>
        </w:rPr>
        <w:t>Objective 3:</w:t>
      </w:r>
      <w:r w:rsidRPr="00C71C5B">
        <w:rPr>
          <w:b/>
          <w:lang w:val="en-NZ"/>
        </w:rPr>
        <w:t xml:space="preserve"> People participate in decision-making about activities in their communities that prevent and minimise gambling harm</w:t>
      </w:r>
      <w:r w:rsidR="00E372C4" w:rsidRPr="008A2E67">
        <w:rPr>
          <w:b/>
          <w:lang w:val="en-NZ"/>
        </w:rPr>
        <w:t>.</w:t>
      </w:r>
    </w:p>
    <w:p w14:paraId="784FF25B" w14:textId="1D1D9DA3" w:rsidR="0003078E" w:rsidRDefault="0003078E" w:rsidP="00CE0CF5">
      <w:pPr>
        <w:pStyle w:val="Heading3"/>
        <w:rPr>
          <w:lang w:val="en-NZ"/>
        </w:rPr>
      </w:pPr>
      <w:r>
        <w:rPr>
          <w:lang w:val="en-NZ"/>
        </w:rPr>
        <w:t>What does the evidence tell us</w:t>
      </w:r>
      <w:r w:rsidR="00CE0CF5">
        <w:rPr>
          <w:lang w:val="en-NZ"/>
        </w:rPr>
        <w:t>?</w:t>
      </w:r>
    </w:p>
    <w:tbl>
      <w:tblPr>
        <w:tblStyle w:val="MITableClassic"/>
        <w:tblW w:w="0" w:type="auto"/>
        <w:tblLook w:val="04A0" w:firstRow="1" w:lastRow="0" w:firstColumn="1" w:lastColumn="0" w:noHBand="0" w:noVBand="1"/>
      </w:tblPr>
      <w:tblGrid>
        <w:gridCol w:w="7598"/>
      </w:tblGrid>
      <w:tr w:rsidR="00CE0CF5" w:rsidRPr="0043438C" w14:paraId="13CE7484" w14:textId="77777777" w:rsidTr="009D17B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598" w:type="dxa"/>
          </w:tcPr>
          <w:p w14:paraId="6573038B" w14:textId="233473F4" w:rsidR="009D17B3" w:rsidRPr="0043438C" w:rsidRDefault="009D17B3" w:rsidP="009D17B3">
            <w:pPr>
              <w:rPr>
                <w:b w:val="0"/>
                <w:bCs/>
                <w:lang w:val="en-NZ"/>
              </w:rPr>
            </w:pPr>
            <w:r w:rsidRPr="0043438C">
              <w:rPr>
                <w:b w:val="0"/>
                <w:bCs/>
                <w:lang w:val="en-NZ"/>
              </w:rPr>
              <w:t xml:space="preserve">There is evidence of the effectiveness of community participation at a local level. Participants noted that some communities were involved in influencing positive change relating to </w:t>
            </w:r>
            <w:r w:rsidR="00672A98" w:rsidRPr="0043438C">
              <w:rPr>
                <w:b w:val="0"/>
                <w:bCs/>
                <w:lang w:val="en-NZ"/>
              </w:rPr>
              <w:t>TA policies</w:t>
            </w:r>
            <w:r w:rsidR="00A93113" w:rsidRPr="0043438C">
              <w:rPr>
                <w:b w:val="0"/>
                <w:bCs/>
                <w:lang w:val="en-NZ"/>
              </w:rPr>
              <w:t xml:space="preserve"> restricting access to EGMs</w:t>
            </w:r>
            <w:r w:rsidRPr="0043438C">
              <w:rPr>
                <w:b w:val="0"/>
                <w:bCs/>
                <w:lang w:val="en-NZ"/>
              </w:rPr>
              <w:t xml:space="preserve"> – even though EGMs remained inequitably distributed. </w:t>
            </w:r>
          </w:p>
          <w:p w14:paraId="085BD2D3" w14:textId="2C39BD9E" w:rsidR="009D17B3" w:rsidRPr="0043438C" w:rsidRDefault="009D17B3" w:rsidP="009D17B3">
            <w:pPr>
              <w:pStyle w:val="Quotes"/>
              <w:rPr>
                <w:b w:val="0"/>
                <w:bCs/>
                <w:lang w:val="en-NZ"/>
              </w:rPr>
            </w:pPr>
            <w:r w:rsidRPr="0043438C">
              <w:rPr>
                <w:b w:val="0"/>
                <w:bCs/>
                <w:lang w:val="en-NZ"/>
              </w:rPr>
              <w:t>I know of some people who are making huge movements around getting gambling sites closed down and restricted around where they are putting the pokie machines. (Lived experience representative)</w:t>
            </w:r>
          </w:p>
          <w:p w14:paraId="7870A09C" w14:textId="474BA1BC" w:rsidR="00CE0CF5" w:rsidRPr="0043438C" w:rsidRDefault="004B7465" w:rsidP="003B2A80">
            <w:pPr>
              <w:rPr>
                <w:b w:val="0"/>
                <w:bCs/>
                <w:lang w:val="en-NZ"/>
              </w:rPr>
            </w:pPr>
            <w:r w:rsidRPr="0043438C">
              <w:rPr>
                <w:b w:val="0"/>
                <w:bCs/>
                <w:lang w:val="en-US"/>
              </w:rPr>
              <w:t xml:space="preserve">Up to December 2020, 37% </w:t>
            </w:r>
            <w:r w:rsidR="00B97375" w:rsidRPr="0043438C">
              <w:rPr>
                <w:b w:val="0"/>
                <w:bCs/>
                <w:lang w:val="en-US"/>
              </w:rPr>
              <w:t xml:space="preserve">of TAs </w:t>
            </w:r>
            <w:r w:rsidRPr="0043438C">
              <w:rPr>
                <w:b w:val="0"/>
                <w:bCs/>
                <w:lang w:val="en-US"/>
              </w:rPr>
              <w:t>had no restrictions on the number of venues or machines that could be established within their district</w:t>
            </w:r>
            <w:r w:rsidR="00B97375" w:rsidRPr="0043438C">
              <w:rPr>
                <w:b w:val="0"/>
                <w:bCs/>
                <w:lang w:val="en-US"/>
              </w:rPr>
              <w:t>, while 43% of had adopted a sinking lid policy</w:t>
            </w:r>
            <w:r w:rsidR="00481425" w:rsidRPr="0043438C">
              <w:rPr>
                <w:b w:val="0"/>
                <w:bCs/>
                <w:lang w:val="en-US"/>
              </w:rPr>
              <w:t xml:space="preserve">. </w:t>
            </w:r>
            <w:r w:rsidR="00BD7C52" w:rsidRPr="0043438C">
              <w:rPr>
                <w:b w:val="0"/>
                <w:bCs/>
                <w:lang w:val="en-US"/>
              </w:rPr>
              <w:t>T</w:t>
            </w:r>
            <w:r w:rsidR="0021322D" w:rsidRPr="0043438C">
              <w:rPr>
                <w:b w:val="0"/>
                <w:bCs/>
                <w:lang w:val="en-US"/>
              </w:rPr>
              <w:t xml:space="preserve">he evidence on policy restrictions and sinking lids is limited, </w:t>
            </w:r>
            <w:r w:rsidR="003B2A80" w:rsidRPr="0043438C">
              <w:rPr>
                <w:b w:val="0"/>
                <w:bCs/>
                <w:lang w:val="en-US"/>
              </w:rPr>
              <w:t xml:space="preserve">and provides mixed views about the </w:t>
            </w:r>
            <w:r w:rsidR="0021322D" w:rsidRPr="0043438C">
              <w:rPr>
                <w:b w:val="0"/>
                <w:bCs/>
                <w:lang w:val="en-US"/>
              </w:rPr>
              <w:t xml:space="preserve">correlation between sinking lids and reduced </w:t>
            </w:r>
            <w:r w:rsidR="003B2A80" w:rsidRPr="0043438C">
              <w:rPr>
                <w:b w:val="0"/>
                <w:bCs/>
                <w:lang w:val="en-US"/>
              </w:rPr>
              <w:t xml:space="preserve">or increased </w:t>
            </w:r>
            <w:r w:rsidR="0021322D" w:rsidRPr="0043438C">
              <w:rPr>
                <w:b w:val="0"/>
                <w:bCs/>
                <w:lang w:val="en-US"/>
              </w:rPr>
              <w:t>EGM expenditure</w:t>
            </w:r>
            <w:r w:rsidR="003B2A80" w:rsidRPr="0043438C">
              <w:rPr>
                <w:b w:val="0"/>
                <w:bCs/>
                <w:lang w:val="en-US"/>
              </w:rPr>
              <w:t xml:space="preserve"> </w:t>
            </w:r>
            <w:r w:rsidRPr="0043438C">
              <w:rPr>
                <w:rFonts w:cs="Calibri"/>
                <w:b w:val="0"/>
                <w:bCs/>
                <w:lang w:val="en-US"/>
              </w:rPr>
              <w:t>(see section 3.3)</w:t>
            </w:r>
            <w:r w:rsidR="00481425" w:rsidRPr="0043438C">
              <w:rPr>
                <w:rFonts w:cs="Calibri"/>
                <w:b w:val="0"/>
                <w:bCs/>
                <w:lang w:val="en-US"/>
              </w:rPr>
              <w:t>.</w:t>
            </w:r>
          </w:p>
        </w:tc>
      </w:tr>
    </w:tbl>
    <w:p w14:paraId="588F34F7" w14:textId="3D06D68A" w:rsidR="00D705C8" w:rsidRDefault="002B70A5" w:rsidP="00D705C8">
      <w:pPr>
        <w:pStyle w:val="Heading3"/>
      </w:pPr>
      <w:r>
        <w:lastRenderedPageBreak/>
        <w:t>P</w:t>
      </w:r>
      <w:r w:rsidR="00D705C8">
        <w:t>rogress</w:t>
      </w:r>
      <w:r w:rsidR="00326E83">
        <w:t xml:space="preserve"> against </w:t>
      </w:r>
      <w:r w:rsidR="00F6727B">
        <w:t>O</w:t>
      </w:r>
      <w:r w:rsidR="00326E83">
        <w:t>bjective</w:t>
      </w:r>
      <w:r w:rsidR="00F6727B">
        <w:t xml:space="preserve"> 3</w:t>
      </w:r>
    </w:p>
    <w:p w14:paraId="3F25CB8C" w14:textId="3E01C5FC" w:rsidR="00D705C8" w:rsidRPr="002F108B" w:rsidRDefault="009D17B3" w:rsidP="00D705C8">
      <w:pPr>
        <w:rPr>
          <w:lang w:val="en-NZ"/>
        </w:rPr>
      </w:pPr>
      <w:r>
        <w:rPr>
          <w:lang w:val="en-NZ"/>
        </w:rPr>
        <w:t xml:space="preserve">The Ministry </w:t>
      </w:r>
      <w:r w:rsidR="006F7387">
        <w:rPr>
          <w:lang w:val="en-NZ"/>
        </w:rPr>
        <w:t>recently</w:t>
      </w:r>
      <w:r>
        <w:rPr>
          <w:lang w:val="en-NZ"/>
        </w:rPr>
        <w:t xml:space="preserve"> established a lived experience group. Their </w:t>
      </w:r>
      <w:r w:rsidRPr="006F7387">
        <w:rPr>
          <w:lang w:val="en-NZ"/>
        </w:rPr>
        <w:t xml:space="preserve">role is to </w:t>
      </w:r>
      <w:r w:rsidR="0009586B">
        <w:rPr>
          <w:lang w:val="en-NZ"/>
        </w:rPr>
        <w:t xml:space="preserve">provide consumer perspectives </w:t>
      </w:r>
      <w:r w:rsidR="006F7387">
        <w:rPr>
          <w:lang w:val="en-NZ"/>
        </w:rPr>
        <w:t>in strategic thinking,</w:t>
      </w:r>
      <w:r w:rsidR="0009586B">
        <w:rPr>
          <w:lang w:val="en-NZ"/>
        </w:rPr>
        <w:t xml:space="preserve"> development and </w:t>
      </w:r>
      <w:r w:rsidR="006F7387">
        <w:rPr>
          <w:lang w:val="en-NZ"/>
        </w:rPr>
        <w:t xml:space="preserve">planning. This was considered a positive step toward </w:t>
      </w:r>
      <w:r w:rsidR="00D705C8" w:rsidRPr="002F108B">
        <w:rPr>
          <w:lang w:val="en-NZ"/>
        </w:rPr>
        <w:t xml:space="preserve">making progress against </w:t>
      </w:r>
      <w:r w:rsidR="006F7387">
        <w:rPr>
          <w:lang w:val="en-NZ"/>
        </w:rPr>
        <w:t>O</w:t>
      </w:r>
      <w:r w:rsidR="00D705C8" w:rsidRPr="002F108B">
        <w:rPr>
          <w:lang w:val="en-NZ"/>
        </w:rPr>
        <w:t>bjective</w:t>
      </w:r>
      <w:r w:rsidR="006F7387">
        <w:rPr>
          <w:lang w:val="en-NZ"/>
        </w:rPr>
        <w:t xml:space="preserve"> 3</w:t>
      </w:r>
      <w:r w:rsidR="00D705C8" w:rsidRPr="002F108B">
        <w:rPr>
          <w:lang w:val="en-NZ"/>
        </w:rPr>
        <w:t xml:space="preserve">. </w:t>
      </w:r>
    </w:p>
    <w:p w14:paraId="27FE9067" w14:textId="56692FEC" w:rsidR="00D705C8" w:rsidRPr="00B63AC5" w:rsidRDefault="00D705C8" w:rsidP="00D705C8">
      <w:pPr>
        <w:pStyle w:val="Quotes"/>
        <w:rPr>
          <w:lang w:val="en-NZ"/>
        </w:rPr>
      </w:pPr>
      <w:r w:rsidRPr="002F108B">
        <w:rPr>
          <w:lang w:val="en-NZ"/>
        </w:rPr>
        <w:t>Involvement of the consumer in all areas of decision making [is needed]. I'm feeling really pleased about issues that are already happening</w:t>
      </w:r>
      <w:r>
        <w:rPr>
          <w:lang w:val="en-NZ"/>
        </w:rPr>
        <w:t>. T</w:t>
      </w:r>
      <w:r w:rsidRPr="002F108B">
        <w:rPr>
          <w:lang w:val="en-NZ"/>
        </w:rPr>
        <w:t xml:space="preserve">hings like this group's involvement with the </w:t>
      </w:r>
      <w:r w:rsidR="00755724">
        <w:rPr>
          <w:lang w:val="en-NZ"/>
        </w:rPr>
        <w:t xml:space="preserve">[Te Hiringa Hauora] </w:t>
      </w:r>
      <w:r w:rsidRPr="002F108B">
        <w:rPr>
          <w:lang w:val="en-NZ"/>
        </w:rPr>
        <w:t>with the mental health and well being and with this group here have all been signs of the progress that has been made in the area of the consumers</w:t>
      </w:r>
      <w:r>
        <w:rPr>
          <w:lang w:val="en-NZ"/>
        </w:rPr>
        <w:t>'</w:t>
      </w:r>
      <w:r w:rsidRPr="002F108B">
        <w:rPr>
          <w:lang w:val="en-NZ"/>
        </w:rPr>
        <w:t xml:space="preserve"> involvement in gambling. (Lived experience representative)</w:t>
      </w:r>
    </w:p>
    <w:p w14:paraId="561C09CB" w14:textId="5D5B185A" w:rsidR="00464F2A" w:rsidRDefault="00464F2A" w:rsidP="00D705C8">
      <w:r>
        <w:t xml:space="preserve">However, </w:t>
      </w:r>
      <w:r w:rsidR="000C219B">
        <w:t xml:space="preserve">some participants </w:t>
      </w:r>
      <w:r w:rsidR="00540197">
        <w:t>also highlighted</w:t>
      </w:r>
      <w:r>
        <w:t xml:space="preserve"> that there</w:t>
      </w:r>
      <w:r w:rsidR="009838AE">
        <w:t xml:space="preserve"> was </w:t>
      </w:r>
      <w:r w:rsidR="00540197">
        <w:t xml:space="preserve">still </w:t>
      </w:r>
      <w:r w:rsidR="009838AE">
        <w:t>much to do to include community voices in strategies and actions to reduce gambling harm.</w:t>
      </w:r>
      <w:r w:rsidR="004924A5">
        <w:t xml:space="preserve"> </w:t>
      </w:r>
      <w:r w:rsidR="00841303">
        <w:t>Just un</w:t>
      </w:r>
      <w:r w:rsidR="00A22F83">
        <w:t>de</w:t>
      </w:r>
      <w:r w:rsidR="00841303">
        <w:t>r one-half of workforce survey respondents said little to no progress had been made against Objective 3</w:t>
      </w:r>
      <w:r w:rsidR="00861A4A">
        <w:t xml:space="preserve">, one-third remained neutral in their views and only 17% </w:t>
      </w:r>
      <w:r w:rsidR="00A22F83">
        <w:t>said progress had been made.</w:t>
      </w:r>
    </w:p>
    <w:p w14:paraId="2B469D65" w14:textId="154722D8" w:rsidR="00ED2A79" w:rsidRDefault="00ED2A79" w:rsidP="00ED2A79">
      <w:pPr>
        <w:pStyle w:val="Quotes"/>
      </w:pPr>
      <w:r>
        <w:rPr>
          <w:lang w:val="en-NZ"/>
        </w:rPr>
        <w:t>We</w:t>
      </w:r>
      <w:r w:rsidRPr="002F108B">
        <w:rPr>
          <w:lang w:val="en-NZ"/>
        </w:rPr>
        <w:t xml:space="preserve"> set up these services with our experts and our psychologists and sometimes our policy people. But we’re not engaging communities and service users</w:t>
      </w:r>
      <w:r>
        <w:rPr>
          <w:lang w:val="en-NZ"/>
        </w:rPr>
        <w:t>…Y</w:t>
      </w:r>
      <w:r w:rsidRPr="002F108B">
        <w:rPr>
          <w:lang w:val="en-NZ"/>
        </w:rPr>
        <w:t>ou actually need to take it that step further and work with the people who are involved in the service provision to see if it’s actually going to fly or not. (</w:t>
      </w:r>
      <w:r>
        <w:rPr>
          <w:lang w:val="en-NZ"/>
        </w:rPr>
        <w:t>Gambling harm agency</w:t>
      </w:r>
      <w:r w:rsidR="00546397">
        <w:rPr>
          <w:lang w:val="en-NZ"/>
        </w:rPr>
        <w:t xml:space="preserve"> 2</w:t>
      </w:r>
      <w:r w:rsidRPr="002F108B">
        <w:rPr>
          <w:lang w:val="en-NZ"/>
        </w:rPr>
        <w:t>)</w:t>
      </w:r>
    </w:p>
    <w:p w14:paraId="6BF69163" w14:textId="328D3A53" w:rsidR="00D705C8" w:rsidRPr="002F108B" w:rsidRDefault="00D705C8" w:rsidP="00D705C8">
      <w:pPr>
        <w:rPr>
          <w:b/>
          <w:lang w:val="en-NZ"/>
        </w:rPr>
      </w:pPr>
      <w:r>
        <w:t xml:space="preserve">Most interviewed participants </w:t>
      </w:r>
      <w:r w:rsidRPr="002F108B">
        <w:rPr>
          <w:lang w:val="en-NZ"/>
        </w:rPr>
        <w:t>were appreciative of the opportunity to contribute to the Gambling Harm Needs Assessment 2021</w:t>
      </w:r>
      <w:r w:rsidR="00AD779E">
        <w:rPr>
          <w:lang w:val="en-NZ"/>
        </w:rPr>
        <w:t xml:space="preserve">. </w:t>
      </w:r>
      <w:r w:rsidR="00DB49A9">
        <w:rPr>
          <w:lang w:val="en-NZ"/>
        </w:rPr>
        <w:t xml:space="preserve">Many also </w:t>
      </w:r>
      <w:r w:rsidR="00B1036A">
        <w:rPr>
          <w:lang w:val="en-NZ"/>
        </w:rPr>
        <w:t xml:space="preserve">saw </w:t>
      </w:r>
      <w:r w:rsidR="00DB49A9">
        <w:rPr>
          <w:lang w:val="en-NZ"/>
        </w:rPr>
        <w:t xml:space="preserve">this as a positive shift </w:t>
      </w:r>
      <w:r w:rsidR="00B1036A">
        <w:rPr>
          <w:lang w:val="en-NZ"/>
        </w:rPr>
        <w:t>in the Ministry’s engagement with the sector since</w:t>
      </w:r>
      <w:r>
        <w:rPr>
          <w:lang w:val="en-NZ"/>
        </w:rPr>
        <w:t xml:space="preserve"> this was the first time they had been approached (and not had to request inclusion)</w:t>
      </w:r>
      <w:r w:rsidR="00B513F5">
        <w:rPr>
          <w:lang w:val="en-NZ"/>
        </w:rPr>
        <w:t xml:space="preserve"> to inform the Needs Assessment</w:t>
      </w:r>
      <w:r>
        <w:rPr>
          <w:lang w:val="en-NZ"/>
        </w:rPr>
        <w:t>.</w:t>
      </w:r>
      <w:r w:rsidR="00E33F78">
        <w:rPr>
          <w:lang w:val="en-NZ"/>
        </w:rPr>
        <w:t xml:space="preserve"> </w:t>
      </w:r>
      <w:r w:rsidR="00B94E9F">
        <w:rPr>
          <w:lang w:val="en-NZ"/>
        </w:rPr>
        <w:t xml:space="preserve">It is important to note </w:t>
      </w:r>
      <w:r w:rsidR="00B513F5">
        <w:rPr>
          <w:lang w:val="en-NZ"/>
        </w:rPr>
        <w:t xml:space="preserve">that </w:t>
      </w:r>
      <w:r w:rsidR="00AA3563">
        <w:rPr>
          <w:lang w:val="en-NZ"/>
        </w:rPr>
        <w:t xml:space="preserve">a selection of gambling stakeholder groups participated in </w:t>
      </w:r>
      <w:r w:rsidR="00B513F5">
        <w:rPr>
          <w:lang w:val="en-NZ"/>
        </w:rPr>
        <w:t xml:space="preserve">previous Needs Assessments </w:t>
      </w:r>
      <w:r w:rsidR="00AA3563">
        <w:rPr>
          <w:lang w:val="en-NZ"/>
        </w:rPr>
        <w:t xml:space="preserve">and </w:t>
      </w:r>
      <w:r w:rsidR="00B513F5">
        <w:rPr>
          <w:lang w:val="en-NZ"/>
        </w:rPr>
        <w:t>the Ministry engages in wide public consultation on the draft Strategy (informed by the Needs Assessment) prior to finalising the Strategy.</w:t>
      </w:r>
    </w:p>
    <w:p w14:paraId="10F52D41" w14:textId="79EC5E7F" w:rsidR="00D705C8" w:rsidRPr="002F108B" w:rsidRDefault="00D705C8" w:rsidP="00D705C8">
      <w:pPr>
        <w:pStyle w:val="Quotes"/>
        <w:rPr>
          <w:lang w:val="en-NZ"/>
        </w:rPr>
      </w:pPr>
      <w:r w:rsidRPr="002F108B">
        <w:rPr>
          <w:lang w:val="en-NZ"/>
        </w:rPr>
        <w:t>Last time around...we were going</w:t>
      </w:r>
      <w:r>
        <w:rPr>
          <w:lang w:val="en-NZ"/>
        </w:rPr>
        <w:t>,</w:t>
      </w:r>
      <w:r w:rsidRPr="002F108B">
        <w:rPr>
          <w:lang w:val="en-NZ"/>
        </w:rPr>
        <w:t xml:space="preserve"> “Are they going to actually talk to the service providers because that wasn't going to happen”...So thank you for the opportunity. (</w:t>
      </w:r>
      <w:r>
        <w:rPr>
          <w:lang w:val="en-NZ"/>
        </w:rPr>
        <w:t>Gambling harm service provider</w:t>
      </w:r>
      <w:r w:rsidR="00546397">
        <w:rPr>
          <w:lang w:val="en-NZ"/>
        </w:rPr>
        <w:t xml:space="preserve"> 6</w:t>
      </w:r>
      <w:r w:rsidRPr="002F108B">
        <w:rPr>
          <w:lang w:val="en-NZ"/>
        </w:rPr>
        <w:t>)</w:t>
      </w:r>
    </w:p>
    <w:p w14:paraId="28D5C48C" w14:textId="060F588D" w:rsidR="00D705C8" w:rsidRDefault="00D705C8" w:rsidP="00D705C8">
      <w:pPr>
        <w:pStyle w:val="Quotes"/>
        <w:rPr>
          <w:lang w:val="en-NZ"/>
        </w:rPr>
      </w:pPr>
      <w:r w:rsidRPr="002F108B">
        <w:rPr>
          <w:lang w:val="en-NZ"/>
        </w:rPr>
        <w:t xml:space="preserve">Researchers haven’t been involved in the </w:t>
      </w:r>
      <w:r w:rsidR="00A528FA">
        <w:rPr>
          <w:lang w:val="en-NZ"/>
        </w:rPr>
        <w:t>N</w:t>
      </w:r>
      <w:r w:rsidR="00A528FA" w:rsidRPr="00A40A50">
        <w:rPr>
          <w:lang w:val="en-NZ"/>
        </w:rPr>
        <w:t xml:space="preserve">eeds </w:t>
      </w:r>
      <w:r w:rsidR="00A528FA">
        <w:rPr>
          <w:lang w:val="en-NZ"/>
        </w:rPr>
        <w:t>A</w:t>
      </w:r>
      <w:r w:rsidR="00A528FA" w:rsidRPr="00A40A50">
        <w:rPr>
          <w:lang w:val="en-NZ"/>
        </w:rPr>
        <w:t>ssessment</w:t>
      </w:r>
      <w:r w:rsidR="00A528FA" w:rsidRPr="002F108B">
        <w:rPr>
          <w:lang w:val="en-NZ"/>
        </w:rPr>
        <w:t xml:space="preserve"> </w:t>
      </w:r>
      <w:r w:rsidRPr="002F108B">
        <w:rPr>
          <w:lang w:val="en-NZ"/>
        </w:rPr>
        <w:t>for the last few (years)...</w:t>
      </w:r>
      <w:r w:rsidR="00AA3563">
        <w:rPr>
          <w:lang w:val="en-NZ"/>
        </w:rPr>
        <w:t>R</w:t>
      </w:r>
      <w:r w:rsidRPr="002F108B">
        <w:rPr>
          <w:lang w:val="en-NZ"/>
        </w:rPr>
        <w:t>esearchers use</w:t>
      </w:r>
      <w:r w:rsidR="00AA3563">
        <w:rPr>
          <w:lang w:val="en-NZ"/>
        </w:rPr>
        <w:t>[d]</w:t>
      </w:r>
      <w:r w:rsidRPr="002F108B">
        <w:rPr>
          <w:lang w:val="en-NZ"/>
        </w:rPr>
        <w:t xml:space="preserve"> to be consulted separately. (</w:t>
      </w:r>
      <w:r>
        <w:rPr>
          <w:lang w:val="en-NZ"/>
        </w:rPr>
        <w:t>Gambling harm agency</w:t>
      </w:r>
      <w:r w:rsidR="00546397">
        <w:rPr>
          <w:lang w:val="en-NZ"/>
        </w:rPr>
        <w:t xml:space="preserve"> 2</w:t>
      </w:r>
      <w:r w:rsidRPr="002F108B">
        <w:rPr>
          <w:lang w:val="en-NZ"/>
        </w:rPr>
        <w:t>)</w:t>
      </w:r>
    </w:p>
    <w:p w14:paraId="1FBB4BE3" w14:textId="77777777" w:rsidR="00AA3563" w:rsidRPr="002F108B" w:rsidRDefault="00AA3563" w:rsidP="00AA3563">
      <w:pPr>
        <w:pStyle w:val="Quotes"/>
        <w:rPr>
          <w:lang w:val="en-NZ"/>
        </w:rPr>
      </w:pPr>
      <w:r w:rsidRPr="002F108B">
        <w:rPr>
          <w:lang w:val="en-NZ"/>
        </w:rPr>
        <w:t>The Class 4 gaming societies have not previously been approached to contribute to the MoH strategy for Harm Minimisation. We express our gratitude at being offered an opportunity to do so. (Gambling industry</w:t>
      </w:r>
      <w:r>
        <w:rPr>
          <w:lang w:val="en-NZ"/>
        </w:rPr>
        <w:t xml:space="preserve"> 1</w:t>
      </w:r>
      <w:r w:rsidRPr="002F108B">
        <w:rPr>
          <w:lang w:val="en-NZ"/>
        </w:rPr>
        <w:t>)</w:t>
      </w:r>
    </w:p>
    <w:p w14:paraId="77D77548" w14:textId="4511C4C2" w:rsidR="00AA3563" w:rsidRPr="002F108B" w:rsidRDefault="00AA3563" w:rsidP="001A5DC2">
      <w:pPr>
        <w:rPr>
          <w:lang w:val="en-NZ"/>
        </w:rPr>
      </w:pPr>
      <w:r>
        <w:rPr>
          <w:lang w:val="en-NZ"/>
        </w:rPr>
        <w:t>Although the latter quote from gambling industry representatives refers to a lack of consultation on the Strategy, it is important to note that under the Gambling Act s318(1)(h), Class 4 societies are always notified and approached in the Strategy consultation process. It is therefore assumed that this quote is in reference to the Needs Assessment process.</w:t>
      </w:r>
    </w:p>
    <w:p w14:paraId="2BE1EF99" w14:textId="3619A712" w:rsidR="00D705C8" w:rsidRDefault="00326E83" w:rsidP="00D705C8">
      <w:pPr>
        <w:pStyle w:val="Heading3"/>
      </w:pPr>
      <w:r w:rsidRPr="009B5BBF">
        <w:t>S</w:t>
      </w:r>
      <w:r w:rsidR="0003515A" w:rsidRPr="009B5BBF">
        <w:t>trengthen</w:t>
      </w:r>
      <w:r w:rsidRPr="009B5BBF">
        <w:t xml:space="preserve">ing progress </w:t>
      </w:r>
      <w:r w:rsidR="00F6727B" w:rsidRPr="009B5BBF">
        <w:t>against Objective 3</w:t>
      </w:r>
    </w:p>
    <w:p w14:paraId="4753853F" w14:textId="2B0D7999" w:rsidR="006E5649" w:rsidRDefault="00245F73" w:rsidP="006E5649">
      <w:pPr>
        <w:rPr>
          <w:lang w:val="en-NZ"/>
        </w:rPr>
      </w:pPr>
      <w:r>
        <w:rPr>
          <w:b/>
          <w:bCs/>
          <w:lang w:val="en-NZ"/>
        </w:rPr>
        <w:t>Broadening</w:t>
      </w:r>
      <w:r w:rsidR="002D0D4B">
        <w:rPr>
          <w:b/>
          <w:bCs/>
          <w:lang w:val="en-NZ"/>
        </w:rPr>
        <w:t xml:space="preserve"> l</w:t>
      </w:r>
      <w:r w:rsidR="00641341">
        <w:rPr>
          <w:b/>
          <w:bCs/>
          <w:lang w:val="en-NZ"/>
        </w:rPr>
        <w:t xml:space="preserve">ived experience </w:t>
      </w:r>
      <w:r>
        <w:rPr>
          <w:b/>
          <w:bCs/>
          <w:lang w:val="en-NZ"/>
        </w:rPr>
        <w:t xml:space="preserve">representation </w:t>
      </w:r>
      <w:r w:rsidR="00641341">
        <w:rPr>
          <w:b/>
          <w:bCs/>
          <w:lang w:val="en-NZ"/>
        </w:rPr>
        <w:t xml:space="preserve">and input: </w:t>
      </w:r>
      <w:r w:rsidR="006E5649" w:rsidRPr="002F108B">
        <w:rPr>
          <w:lang w:val="en-NZ"/>
        </w:rPr>
        <w:t xml:space="preserve">Effective interventions and public health approaches were noted as being informed by all stakeholders </w:t>
      </w:r>
      <w:r w:rsidR="000F7B6E">
        <w:rPr>
          <w:lang w:val="en-NZ"/>
        </w:rPr>
        <w:t>including</w:t>
      </w:r>
      <w:r w:rsidR="006E5649" w:rsidRPr="002F108B">
        <w:rPr>
          <w:lang w:val="en-NZ"/>
        </w:rPr>
        <w:t xml:space="preserve"> those with lived experience. </w:t>
      </w:r>
      <w:r w:rsidR="00641341">
        <w:rPr>
          <w:lang w:val="en-NZ"/>
        </w:rPr>
        <w:lastRenderedPageBreak/>
        <w:t xml:space="preserve">Promoting the value of lived experience perspectives </w:t>
      </w:r>
      <w:r w:rsidR="006A5767">
        <w:rPr>
          <w:lang w:val="en-NZ"/>
        </w:rPr>
        <w:t>across governance,</w:t>
      </w:r>
      <w:r w:rsidR="00E67F5C">
        <w:rPr>
          <w:lang w:val="en-NZ"/>
        </w:rPr>
        <w:t xml:space="preserve"> gambling harm service</w:t>
      </w:r>
      <w:r w:rsidR="00451777">
        <w:rPr>
          <w:lang w:val="en-NZ"/>
        </w:rPr>
        <w:t xml:space="preserve"> provider</w:t>
      </w:r>
      <w:r w:rsidR="00E67F5C">
        <w:rPr>
          <w:lang w:val="en-NZ"/>
        </w:rPr>
        <w:t xml:space="preserve">s, practice, research was noted as </w:t>
      </w:r>
      <w:r w:rsidR="002766BB">
        <w:rPr>
          <w:lang w:val="en-NZ"/>
        </w:rPr>
        <w:t>critical to strengthening progress against Objective 3.</w:t>
      </w:r>
    </w:p>
    <w:p w14:paraId="60E2C2B8" w14:textId="2696F431" w:rsidR="006A5767" w:rsidRPr="002D0D4B" w:rsidRDefault="00245F73" w:rsidP="006A5767">
      <w:r>
        <w:rPr>
          <w:b/>
          <w:bCs/>
        </w:rPr>
        <w:t>Developing p</w:t>
      </w:r>
      <w:r w:rsidR="006A5767" w:rsidRPr="002D0D4B">
        <w:rPr>
          <w:b/>
          <w:bCs/>
        </w:rPr>
        <w:t xml:space="preserve">olicies/practices </w:t>
      </w:r>
      <w:r w:rsidR="006A5767" w:rsidRPr="003F4F9C">
        <w:rPr>
          <w:b/>
          <w:bCs/>
        </w:rPr>
        <w:t>that enable and empower local participation</w:t>
      </w:r>
      <w:r w:rsidR="003F4F9C">
        <w:rPr>
          <w:b/>
          <w:bCs/>
        </w:rPr>
        <w:t xml:space="preserve">: </w:t>
      </w:r>
      <w:r w:rsidR="003F4F9C">
        <w:t>Some p</w:t>
      </w:r>
      <w:r w:rsidR="006A5767" w:rsidRPr="002D0D4B">
        <w:t>articipants talked about the</w:t>
      </w:r>
      <w:r w:rsidR="003F4F9C">
        <w:t xml:space="preserve"> effectiveness of </w:t>
      </w:r>
      <w:r w:rsidR="006A5767" w:rsidRPr="002D0D4B">
        <w:t>community action groups</w:t>
      </w:r>
      <w:r w:rsidR="00774011">
        <w:t xml:space="preserve"> (previously established and supported by the Problem Gambling Foundation)</w:t>
      </w:r>
      <w:r w:rsidR="006A5767" w:rsidRPr="002D0D4B">
        <w:t xml:space="preserve"> </w:t>
      </w:r>
      <w:r w:rsidR="00707388">
        <w:t>on sinking lid policies adopted by some T</w:t>
      </w:r>
      <w:r w:rsidR="00774011">
        <w:t xml:space="preserve">As. </w:t>
      </w:r>
    </w:p>
    <w:p w14:paraId="64E65145" w14:textId="3D489621" w:rsidR="00DC2FD5" w:rsidRDefault="00614778" w:rsidP="00D705C8">
      <w:pPr>
        <w:pStyle w:val="Heading2"/>
      </w:pPr>
      <w:bookmarkStart w:id="184" w:name="_Toc76469809"/>
      <w:r>
        <w:t xml:space="preserve">Objective 6 </w:t>
      </w:r>
      <w:r w:rsidR="00DC2FD5">
        <w:t>–</w:t>
      </w:r>
      <w:r>
        <w:t xml:space="preserve"> </w:t>
      </w:r>
      <w:r w:rsidR="003611BC">
        <w:t xml:space="preserve">focus on practice </w:t>
      </w:r>
      <w:r w:rsidR="00DF0D24">
        <w:t>(</w:t>
      </w:r>
      <w:r w:rsidR="00DC2FD5">
        <w:t>workforce</w:t>
      </w:r>
      <w:r w:rsidR="00666BB2">
        <w:t xml:space="preserve"> capacity and capability</w:t>
      </w:r>
      <w:r w:rsidR="00DF0D24">
        <w:t>)</w:t>
      </w:r>
      <w:bookmarkEnd w:id="184"/>
    </w:p>
    <w:p w14:paraId="6A7400D3" w14:textId="77777777" w:rsidR="00DC2FD5" w:rsidRDefault="00DC2FD5" w:rsidP="006A6EF9">
      <w:r w:rsidRPr="002F108B">
        <w:rPr>
          <w:b/>
          <w:lang w:val="en-NZ"/>
        </w:rPr>
        <w:t>Objective 6</w:t>
      </w:r>
      <w:r>
        <w:rPr>
          <w:b/>
          <w:lang w:val="en-NZ"/>
        </w:rPr>
        <w:t>:</w:t>
      </w:r>
      <w:r w:rsidRPr="003611BC">
        <w:rPr>
          <w:b/>
          <w:lang w:val="en-NZ"/>
        </w:rPr>
        <w:t xml:space="preserve"> A skilled workforce is developed to deliver effective services to prevent and minimise gambling harm.</w:t>
      </w:r>
      <w:r w:rsidRPr="003611BC">
        <w:rPr>
          <w:b/>
        </w:rPr>
        <w:t xml:space="preserve"> </w:t>
      </w:r>
    </w:p>
    <w:p w14:paraId="7C82E645" w14:textId="56E37C3A" w:rsidR="00B67E9F" w:rsidRDefault="00B67E9F">
      <w:pPr>
        <w:pStyle w:val="Heading3"/>
      </w:pPr>
      <w:r>
        <w:t>What does the evidence tell us?</w:t>
      </w:r>
    </w:p>
    <w:tbl>
      <w:tblPr>
        <w:tblStyle w:val="MITableClassic"/>
        <w:tblW w:w="0" w:type="auto"/>
        <w:tblLook w:val="04A0" w:firstRow="1" w:lastRow="0" w:firstColumn="1" w:lastColumn="0" w:noHBand="0" w:noVBand="1"/>
      </w:tblPr>
      <w:tblGrid>
        <w:gridCol w:w="7598"/>
      </w:tblGrid>
      <w:tr w:rsidR="0090018E" w:rsidRPr="0043438C" w14:paraId="245219B6" w14:textId="77777777" w:rsidTr="004B71E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598" w:type="dxa"/>
          </w:tcPr>
          <w:p w14:paraId="37C191F7" w14:textId="3DF8CD9B" w:rsidR="0090018E" w:rsidRPr="0043438C" w:rsidRDefault="0090018E" w:rsidP="0090018E">
            <w:pPr>
              <w:rPr>
                <w:b w:val="0"/>
                <w:bCs/>
                <w:lang w:val="en-NZ"/>
              </w:rPr>
            </w:pPr>
            <w:r w:rsidRPr="0043438C">
              <w:rPr>
                <w:b w:val="0"/>
                <w:bCs/>
                <w:lang w:val="en-NZ"/>
              </w:rPr>
              <w:t xml:space="preserve">The Ministry currently funds a total of 22 gambling harm </w:t>
            </w:r>
            <w:r w:rsidR="008724F1" w:rsidRPr="0043438C">
              <w:rPr>
                <w:b w:val="0"/>
                <w:bCs/>
                <w:lang w:val="en-NZ"/>
              </w:rPr>
              <w:t xml:space="preserve">public health and intervention </w:t>
            </w:r>
            <w:r w:rsidRPr="0043438C">
              <w:rPr>
                <w:b w:val="0"/>
                <w:bCs/>
                <w:lang w:val="en-NZ"/>
              </w:rPr>
              <w:t>services across Aotearoa New Zealand. The three largest organisations provide national service coverage</w:t>
            </w:r>
            <w:r w:rsidR="00335EF1" w:rsidRPr="0043438C">
              <w:rPr>
                <w:b w:val="0"/>
                <w:bCs/>
                <w:lang w:val="en-NZ"/>
              </w:rPr>
              <w:t xml:space="preserve"> (one of these providers also houses two ethnic-specific services). Funded services include 11 Māori providers, </w:t>
            </w:r>
            <w:r w:rsidR="002853ED" w:rsidRPr="0043438C">
              <w:rPr>
                <w:b w:val="0"/>
                <w:bCs/>
                <w:lang w:val="en-NZ"/>
              </w:rPr>
              <w:t xml:space="preserve">five </w:t>
            </w:r>
            <w:r w:rsidR="00DE18E6" w:rsidRPr="0043438C">
              <w:rPr>
                <w:b w:val="0"/>
                <w:bCs/>
                <w:lang w:val="en-NZ"/>
              </w:rPr>
              <w:t xml:space="preserve">Pacific providers and </w:t>
            </w:r>
            <w:r w:rsidR="002853ED" w:rsidRPr="0043438C">
              <w:rPr>
                <w:b w:val="0"/>
                <w:bCs/>
                <w:lang w:val="en-NZ"/>
              </w:rPr>
              <w:t xml:space="preserve">one </w:t>
            </w:r>
            <w:r w:rsidR="00DE18E6" w:rsidRPr="0043438C">
              <w:rPr>
                <w:b w:val="0"/>
                <w:bCs/>
                <w:lang w:val="en-NZ"/>
              </w:rPr>
              <w:t>Asian provider.</w:t>
            </w:r>
          </w:p>
          <w:p w14:paraId="180972D2" w14:textId="012F80DE" w:rsidR="0090018E" w:rsidRPr="0043438C" w:rsidRDefault="0090018E" w:rsidP="0090018E">
            <w:pPr>
              <w:rPr>
                <w:b w:val="0"/>
                <w:bCs/>
                <w:lang w:val="en-NZ"/>
              </w:rPr>
            </w:pPr>
            <w:r w:rsidRPr="0043438C">
              <w:rPr>
                <w:b w:val="0"/>
                <w:bCs/>
                <w:lang w:val="en-NZ"/>
              </w:rPr>
              <w:t xml:space="preserve">Gambling harm service </w:t>
            </w:r>
            <w:r w:rsidR="00451777" w:rsidRPr="0043438C">
              <w:rPr>
                <w:b w:val="0"/>
                <w:bCs/>
                <w:lang w:val="en-NZ"/>
              </w:rPr>
              <w:t xml:space="preserve">provider </w:t>
            </w:r>
            <w:r w:rsidRPr="0043438C">
              <w:rPr>
                <w:b w:val="0"/>
                <w:bCs/>
                <w:lang w:val="en-NZ"/>
              </w:rPr>
              <w:t>and lived experience representatives noted limited workforce capacity, particularly for the Asian gambling harm workforce and in remote rural regions. Gambling industry representatives also noted a lack of workforce capacity and access to gambling harm service</w:t>
            </w:r>
            <w:r w:rsidR="00451777" w:rsidRPr="0043438C">
              <w:rPr>
                <w:b w:val="0"/>
                <w:bCs/>
                <w:lang w:val="en-NZ"/>
              </w:rPr>
              <w:t xml:space="preserve"> provider</w:t>
            </w:r>
            <w:r w:rsidRPr="0043438C">
              <w:rPr>
                <w:b w:val="0"/>
                <w:bCs/>
                <w:lang w:val="en-NZ"/>
              </w:rPr>
              <w:t xml:space="preserve">s in remote areas. </w:t>
            </w:r>
          </w:p>
          <w:p w14:paraId="4A651E8E" w14:textId="37A681EB" w:rsidR="0090018E" w:rsidRPr="0043438C" w:rsidRDefault="0090018E" w:rsidP="0090018E">
            <w:pPr>
              <w:pStyle w:val="Quotes"/>
              <w:rPr>
                <w:b w:val="0"/>
                <w:bCs/>
                <w:highlight w:val="yellow"/>
                <w:lang w:val="en-NZ"/>
              </w:rPr>
            </w:pPr>
            <w:r w:rsidRPr="0043438C">
              <w:rPr>
                <w:b w:val="0"/>
                <w:bCs/>
                <w:lang w:val="en-NZ"/>
              </w:rPr>
              <w:t>The lack of transparency, accountability, and missing treatment centres in areas of high deprivation are recurring themes. (Gambling industry</w:t>
            </w:r>
            <w:r w:rsidR="00546397" w:rsidRPr="0043438C">
              <w:rPr>
                <w:b w:val="0"/>
                <w:bCs/>
                <w:lang w:val="en-NZ"/>
              </w:rPr>
              <w:t xml:space="preserve"> 1</w:t>
            </w:r>
            <w:r w:rsidRPr="0043438C">
              <w:rPr>
                <w:b w:val="0"/>
                <w:bCs/>
                <w:lang w:val="en-NZ"/>
              </w:rPr>
              <w:t>)</w:t>
            </w:r>
          </w:p>
        </w:tc>
      </w:tr>
    </w:tbl>
    <w:p w14:paraId="1A038CB4" w14:textId="551C070B" w:rsidR="00DC2FD5" w:rsidRDefault="002B70A5" w:rsidP="00DC2FD5">
      <w:pPr>
        <w:pStyle w:val="Heading3"/>
      </w:pPr>
      <w:r>
        <w:t>P</w:t>
      </w:r>
      <w:r w:rsidR="00DC2FD5">
        <w:t>rogress</w:t>
      </w:r>
      <w:r w:rsidR="000D02CC">
        <w:t xml:space="preserve"> against Objective 6</w:t>
      </w:r>
    </w:p>
    <w:p w14:paraId="6A3F9063" w14:textId="24A3DD20" w:rsidR="001A774A" w:rsidRDefault="00040F10" w:rsidP="00DC2FD5">
      <w:pPr>
        <w:rPr>
          <w:lang w:val="en-NZ"/>
        </w:rPr>
      </w:pPr>
      <w:r>
        <w:rPr>
          <w:lang w:val="en-NZ"/>
        </w:rPr>
        <w:t>Interviewed g</w:t>
      </w:r>
      <w:r w:rsidR="00DC2FD5" w:rsidRPr="002F108B">
        <w:rPr>
          <w:lang w:val="en-NZ"/>
        </w:rPr>
        <w:t>ambling harm service</w:t>
      </w:r>
      <w:r w:rsidR="00451777">
        <w:rPr>
          <w:lang w:val="en-NZ"/>
        </w:rPr>
        <w:t xml:space="preserve"> provider</w:t>
      </w:r>
      <w:r w:rsidR="00DC2FD5" w:rsidRPr="002F108B">
        <w:rPr>
          <w:lang w:val="en-NZ"/>
        </w:rPr>
        <w:t xml:space="preserve"> and agency representatives perc</w:t>
      </w:r>
      <w:r w:rsidR="00DC2FD5">
        <w:rPr>
          <w:lang w:val="en-NZ"/>
        </w:rPr>
        <w:t>ei</w:t>
      </w:r>
      <w:r w:rsidR="00DC2FD5" w:rsidRPr="002F108B">
        <w:rPr>
          <w:lang w:val="en-NZ"/>
        </w:rPr>
        <w:t xml:space="preserve">ved that </w:t>
      </w:r>
      <w:r w:rsidR="00DC2FD5">
        <w:rPr>
          <w:lang w:val="en-NZ"/>
        </w:rPr>
        <w:t>little progress had been made</w:t>
      </w:r>
      <w:r w:rsidR="00DC2FD5" w:rsidRPr="002F108B">
        <w:rPr>
          <w:lang w:val="en-NZ"/>
        </w:rPr>
        <w:t xml:space="preserve"> against</w:t>
      </w:r>
      <w:r w:rsidR="00DC2FD5">
        <w:rPr>
          <w:lang w:val="en-NZ"/>
        </w:rPr>
        <w:t xml:space="preserve"> </w:t>
      </w:r>
      <w:r w:rsidR="00473C3A">
        <w:rPr>
          <w:lang w:val="en-NZ"/>
        </w:rPr>
        <w:t>O</w:t>
      </w:r>
      <w:r w:rsidR="00DC2FD5">
        <w:rPr>
          <w:lang w:val="en-NZ"/>
        </w:rPr>
        <w:t>bjective</w:t>
      </w:r>
      <w:r w:rsidR="00473C3A">
        <w:rPr>
          <w:lang w:val="en-NZ"/>
        </w:rPr>
        <w:t xml:space="preserve"> 6</w:t>
      </w:r>
      <w:r w:rsidR="00DC2FD5">
        <w:rPr>
          <w:lang w:val="en-NZ"/>
        </w:rPr>
        <w:t xml:space="preserve">. </w:t>
      </w:r>
      <w:r w:rsidR="003841AE">
        <w:rPr>
          <w:lang w:val="en-NZ"/>
        </w:rPr>
        <w:t>However, j</w:t>
      </w:r>
      <w:r w:rsidR="008A5608">
        <w:rPr>
          <w:lang w:val="en-NZ"/>
        </w:rPr>
        <w:t>ust over one-half of w</w:t>
      </w:r>
      <w:r w:rsidR="001A774A">
        <w:rPr>
          <w:lang w:val="en-NZ"/>
        </w:rPr>
        <w:t>orkforce survey respondents</w:t>
      </w:r>
      <w:r w:rsidR="008A5608">
        <w:rPr>
          <w:lang w:val="en-NZ"/>
        </w:rPr>
        <w:t xml:space="preserve"> said </w:t>
      </w:r>
      <w:r w:rsidR="003841AE">
        <w:rPr>
          <w:lang w:val="en-NZ"/>
        </w:rPr>
        <w:t>progress had been made</w:t>
      </w:r>
      <w:r w:rsidR="00067A51">
        <w:rPr>
          <w:rStyle w:val="FootnoteReference"/>
          <w:lang w:val="en-NZ"/>
        </w:rPr>
        <w:footnoteReference w:id="39"/>
      </w:r>
      <w:r w:rsidR="00067A51">
        <w:rPr>
          <w:lang w:val="en-NZ"/>
        </w:rPr>
        <w:t>. O</w:t>
      </w:r>
      <w:r w:rsidR="00A81F4B">
        <w:rPr>
          <w:lang w:val="en-NZ"/>
        </w:rPr>
        <w:t>ne-third</w:t>
      </w:r>
      <w:r w:rsidR="00067A51">
        <w:rPr>
          <w:lang w:val="en-NZ"/>
        </w:rPr>
        <w:t xml:space="preserve"> of respondents</w:t>
      </w:r>
      <w:r w:rsidR="00A81F4B">
        <w:rPr>
          <w:lang w:val="en-NZ"/>
        </w:rPr>
        <w:t xml:space="preserve"> remained neutral in their views</w:t>
      </w:r>
      <w:r w:rsidR="0052208A">
        <w:rPr>
          <w:lang w:val="en-NZ"/>
        </w:rPr>
        <w:t xml:space="preserve"> and only 17% said little to no progress </w:t>
      </w:r>
      <w:r w:rsidR="00521383">
        <w:rPr>
          <w:lang w:val="en-NZ"/>
        </w:rPr>
        <w:t xml:space="preserve">was </w:t>
      </w:r>
      <w:r w:rsidR="0052208A">
        <w:rPr>
          <w:lang w:val="en-NZ"/>
        </w:rPr>
        <w:t>made</w:t>
      </w:r>
      <w:r w:rsidR="001A774A">
        <w:rPr>
          <w:rStyle w:val="FootnoteReference"/>
          <w:lang w:val="en-NZ"/>
        </w:rPr>
        <w:footnoteReference w:id="40"/>
      </w:r>
      <w:r w:rsidR="003841AE">
        <w:rPr>
          <w:lang w:val="en-NZ"/>
        </w:rPr>
        <w:t>.</w:t>
      </w:r>
    </w:p>
    <w:p w14:paraId="15399442" w14:textId="6EA94E51" w:rsidR="00DC2FD5" w:rsidRPr="002F108B" w:rsidRDefault="00DC2FD5" w:rsidP="00DC2FD5">
      <w:pPr>
        <w:rPr>
          <w:lang w:val="en-NZ"/>
        </w:rPr>
      </w:pPr>
      <w:r>
        <w:rPr>
          <w:lang w:val="en-NZ"/>
        </w:rPr>
        <w:t>T</w:t>
      </w:r>
      <w:r w:rsidRPr="002F108B">
        <w:rPr>
          <w:lang w:val="en-NZ"/>
        </w:rPr>
        <w:t xml:space="preserve">he ongoing provision of clinical training was </w:t>
      </w:r>
      <w:r>
        <w:rPr>
          <w:lang w:val="en-NZ"/>
        </w:rPr>
        <w:t xml:space="preserve">described </w:t>
      </w:r>
      <w:r w:rsidR="001A774A">
        <w:rPr>
          <w:lang w:val="en-NZ"/>
        </w:rPr>
        <w:t xml:space="preserve">by interviewed participants </w:t>
      </w:r>
      <w:r>
        <w:rPr>
          <w:lang w:val="en-NZ"/>
        </w:rPr>
        <w:t xml:space="preserve">as </w:t>
      </w:r>
      <w:r w:rsidRPr="002F108B">
        <w:rPr>
          <w:lang w:val="en-NZ"/>
        </w:rPr>
        <w:t xml:space="preserve">an example of progress made against this </w:t>
      </w:r>
      <w:r w:rsidR="00473C3A">
        <w:rPr>
          <w:lang w:val="en-NZ"/>
        </w:rPr>
        <w:t>O</w:t>
      </w:r>
      <w:r>
        <w:rPr>
          <w:lang w:val="en-NZ"/>
        </w:rPr>
        <w:t>bjective.</w:t>
      </w:r>
      <w:r w:rsidRPr="002F108B">
        <w:rPr>
          <w:lang w:val="en-NZ"/>
        </w:rPr>
        <w:t xml:space="preserve"> </w:t>
      </w:r>
    </w:p>
    <w:p w14:paraId="5CF96AA9" w14:textId="77777777" w:rsidR="00DC2FD5" w:rsidRPr="002F108B" w:rsidRDefault="00DC2FD5" w:rsidP="00DC2FD5">
      <w:pPr>
        <w:pStyle w:val="Quotes"/>
        <w:rPr>
          <w:lang w:val="en-NZ"/>
        </w:rPr>
      </w:pPr>
      <w:r w:rsidRPr="002F108B">
        <w:rPr>
          <w:lang w:val="en-NZ"/>
        </w:rPr>
        <w:t xml:space="preserve">I think there's almost a continual effort training counsellors and caseworkers </w:t>
      </w:r>
      <w:r>
        <w:rPr>
          <w:lang w:val="en-NZ"/>
        </w:rPr>
        <w:t>are</w:t>
      </w:r>
      <w:r w:rsidRPr="002F108B">
        <w:rPr>
          <w:lang w:val="en-NZ"/>
        </w:rPr>
        <w:t xml:space="preserve"> going on almost continually. This upskilling is something that's going on all the time. So if that's what you mean, then I think it's certainly happening. (Lived experience representative)</w:t>
      </w:r>
    </w:p>
    <w:p w14:paraId="677DC88F" w14:textId="77777777" w:rsidR="00DC2FD5" w:rsidRPr="002F108B" w:rsidRDefault="00DC2FD5" w:rsidP="00DC2FD5">
      <w:pPr>
        <w:rPr>
          <w:lang w:val="en-NZ"/>
        </w:rPr>
      </w:pPr>
      <w:r>
        <w:rPr>
          <w:lang w:val="en-NZ"/>
        </w:rPr>
        <w:lastRenderedPageBreak/>
        <w:t xml:space="preserve">Participants </w:t>
      </w:r>
      <w:r w:rsidRPr="002F108B">
        <w:rPr>
          <w:lang w:val="en-NZ"/>
        </w:rPr>
        <w:t>also highlighted that there was a long way to go in light of limited opportunities for cultural safety training and workforce career pipelines.</w:t>
      </w:r>
    </w:p>
    <w:p w14:paraId="5F83F6C1" w14:textId="6E413D7B" w:rsidR="00DC2FD5" w:rsidRPr="002F108B" w:rsidRDefault="00DC2FD5" w:rsidP="00DC2FD5">
      <w:pPr>
        <w:pStyle w:val="Quotes"/>
        <w:rPr>
          <w:lang w:val="en-NZ"/>
        </w:rPr>
      </w:pPr>
      <w:r w:rsidRPr="002F108B">
        <w:rPr>
          <w:lang w:val="en-NZ"/>
        </w:rPr>
        <w:t>It is a challenge that we have recruiting gambling specialists. It is a challenge. Certainly</w:t>
      </w:r>
      <w:r>
        <w:rPr>
          <w:lang w:val="en-NZ"/>
        </w:rPr>
        <w:t>,</w:t>
      </w:r>
      <w:r w:rsidRPr="002F108B">
        <w:rPr>
          <w:lang w:val="en-NZ"/>
        </w:rPr>
        <w:t xml:space="preserve"> in the work we do</w:t>
      </w:r>
      <w:r>
        <w:rPr>
          <w:lang w:val="en-NZ"/>
        </w:rPr>
        <w:t>,</w:t>
      </w:r>
      <w:r w:rsidRPr="002F108B">
        <w:rPr>
          <w:lang w:val="en-NZ"/>
        </w:rPr>
        <w:t xml:space="preserve"> we are lucky that we have got some of our team that ha</w:t>
      </w:r>
      <w:r>
        <w:rPr>
          <w:lang w:val="en-NZ"/>
        </w:rPr>
        <w:t>s</w:t>
      </w:r>
      <w:r w:rsidRPr="002F108B">
        <w:rPr>
          <w:lang w:val="en-NZ"/>
        </w:rPr>
        <w:t xml:space="preserve"> been in the gambling space for a long time, which is really good</w:t>
      </w:r>
      <w:r>
        <w:rPr>
          <w:lang w:val="en-NZ"/>
        </w:rPr>
        <w:t>,</w:t>
      </w:r>
      <w:r w:rsidRPr="002F108B">
        <w:rPr>
          <w:lang w:val="en-NZ"/>
        </w:rPr>
        <w:t xml:space="preserve"> but it can be really difficult to attract specialists in the gambling space. (</w:t>
      </w:r>
      <w:r w:rsidR="00546397">
        <w:rPr>
          <w:lang w:val="en-NZ"/>
        </w:rPr>
        <w:t>Gambling harm service provider 2</w:t>
      </w:r>
      <w:r w:rsidRPr="002F108B">
        <w:rPr>
          <w:lang w:val="en-NZ"/>
        </w:rPr>
        <w:t>)</w:t>
      </w:r>
    </w:p>
    <w:p w14:paraId="649E3E07" w14:textId="1328EF2F" w:rsidR="00DC2FD5" w:rsidRDefault="00DC2FD5" w:rsidP="00DC2FD5">
      <w:pPr>
        <w:rPr>
          <w:lang w:val="en-NZ"/>
        </w:rPr>
      </w:pPr>
      <w:r w:rsidRPr="002F108B">
        <w:rPr>
          <w:lang w:val="en-NZ"/>
        </w:rPr>
        <w:t>Gambling industry representatives noted the hospitality sector ha</w:t>
      </w:r>
      <w:r>
        <w:rPr>
          <w:lang w:val="en-NZ"/>
        </w:rPr>
        <w:t>s</w:t>
      </w:r>
      <w:r w:rsidRPr="002F108B">
        <w:rPr>
          <w:lang w:val="en-NZ"/>
        </w:rPr>
        <w:t xml:space="preserve"> made progress against this </w:t>
      </w:r>
      <w:r w:rsidR="001D6A9F">
        <w:rPr>
          <w:lang w:val="en-NZ"/>
        </w:rPr>
        <w:t>Objective</w:t>
      </w:r>
      <w:r w:rsidRPr="002F108B">
        <w:rPr>
          <w:lang w:val="en-NZ"/>
        </w:rPr>
        <w:t xml:space="preserve"> and developed a national leadership training programme to complement current training provided by the Trusts and Societies.</w:t>
      </w:r>
      <w:r w:rsidR="00483177">
        <w:rPr>
          <w:lang w:val="en-NZ"/>
        </w:rPr>
        <w:t xml:space="preserve"> Some gambling industry representatives employed teams of people committed </w:t>
      </w:r>
      <w:r w:rsidR="00907530">
        <w:rPr>
          <w:lang w:val="en-NZ"/>
        </w:rPr>
        <w:t xml:space="preserve">to </w:t>
      </w:r>
      <w:r w:rsidR="00483177">
        <w:rPr>
          <w:lang w:val="en-NZ"/>
        </w:rPr>
        <w:t>gambling harm minimisation, strategy and operations.</w:t>
      </w:r>
    </w:p>
    <w:p w14:paraId="74603EE8" w14:textId="65F3F7C7" w:rsidR="00572791" w:rsidRPr="002F108B" w:rsidRDefault="00572791" w:rsidP="00572791">
      <w:pPr>
        <w:pStyle w:val="Quotes"/>
        <w:rPr>
          <w:lang w:val="en-NZ"/>
        </w:rPr>
      </w:pPr>
      <w:r>
        <w:rPr>
          <w:lang w:val="en-NZ"/>
        </w:rPr>
        <w:t>We’re here to generate funding for New Zealand communities but we can’t do that if we’re causing undue harm…[Harm minimisation] is absolutely critical in everything we do…Having that dedicated FTE is really important for us. (Gambling industry 5)</w:t>
      </w:r>
    </w:p>
    <w:p w14:paraId="0E59CFD1" w14:textId="761806AA" w:rsidR="00B67E9F" w:rsidRPr="002F108B" w:rsidRDefault="000D02CC" w:rsidP="0055143A">
      <w:pPr>
        <w:pStyle w:val="Heading3"/>
        <w:rPr>
          <w:lang w:val="en-NZ"/>
        </w:rPr>
      </w:pPr>
      <w:r>
        <w:rPr>
          <w:lang w:val="en-NZ"/>
        </w:rPr>
        <w:t>Strengthing progress against Objective 6</w:t>
      </w:r>
    </w:p>
    <w:p w14:paraId="31059947" w14:textId="06E3B4A5" w:rsidR="002A7462" w:rsidRPr="002F108B" w:rsidRDefault="002A7462" w:rsidP="002A7462">
      <w:pPr>
        <w:rPr>
          <w:lang w:val="en-NZ"/>
        </w:rPr>
      </w:pPr>
      <w:r>
        <w:rPr>
          <w:b/>
          <w:lang w:val="en-NZ"/>
        </w:rPr>
        <w:t xml:space="preserve">Gambling harm workforce capacity and reach: </w:t>
      </w:r>
      <w:r w:rsidRPr="002F108B">
        <w:rPr>
          <w:lang w:val="en-NZ"/>
        </w:rPr>
        <w:t>Gambling industry representatives highlighted the potential to improve access to services in remote areas and limited ethnic-specific workforce capacity by improving efficienc</w:t>
      </w:r>
      <w:r>
        <w:rPr>
          <w:lang w:val="en-NZ"/>
        </w:rPr>
        <w:t>i</w:t>
      </w:r>
      <w:r w:rsidRPr="002F108B">
        <w:rPr>
          <w:lang w:val="en-NZ"/>
        </w:rPr>
        <w:t>es and back-office functions across gambling harm service providers.</w:t>
      </w:r>
    </w:p>
    <w:p w14:paraId="3ED606F2" w14:textId="105006C9" w:rsidR="002A7462" w:rsidRDefault="002A7462" w:rsidP="002A7462">
      <w:pPr>
        <w:pStyle w:val="Quotes"/>
        <w:rPr>
          <w:lang w:val="en-NZ"/>
        </w:rPr>
      </w:pPr>
      <w:r w:rsidRPr="002F108B">
        <w:rPr>
          <w:lang w:val="en-NZ"/>
        </w:rPr>
        <w:t>Service provider wise, there seems to be a lot</w:t>
      </w:r>
      <w:r w:rsidR="000A1CBE">
        <w:rPr>
          <w:lang w:val="en-NZ"/>
        </w:rPr>
        <w:t>…</w:t>
      </w:r>
      <w:r w:rsidRPr="002F108B">
        <w:rPr>
          <w:lang w:val="en-NZ"/>
        </w:rPr>
        <w:t>who are quite specific to Pacific or Māori or Asian family services? And I do sometimes question...Is that a lot of duplication of back</w:t>
      </w:r>
      <w:r>
        <w:rPr>
          <w:lang w:val="en-NZ"/>
        </w:rPr>
        <w:t>-</w:t>
      </w:r>
      <w:r w:rsidRPr="002F108B">
        <w:rPr>
          <w:lang w:val="en-NZ"/>
        </w:rPr>
        <w:t>office services? Is that a lot of office managers? A lot of finance managers? I don't think you'll ever have enough people on the ground, actually delivering counselling or doing something to improve society....I just feel like there's an opportunity there to save some cost and put those savings back into frontline staff. (Gambling industry</w:t>
      </w:r>
      <w:r w:rsidR="00546397">
        <w:rPr>
          <w:lang w:val="en-NZ"/>
        </w:rPr>
        <w:t xml:space="preserve"> 3</w:t>
      </w:r>
      <w:r w:rsidRPr="002F108B">
        <w:rPr>
          <w:lang w:val="en-NZ"/>
        </w:rPr>
        <w:t>)</w:t>
      </w:r>
    </w:p>
    <w:p w14:paraId="0697E8A0" w14:textId="37C28FC6" w:rsidR="0072675E" w:rsidRPr="002F108B" w:rsidRDefault="0072675E" w:rsidP="0072675E">
      <w:pPr>
        <w:rPr>
          <w:lang w:val="en-NZ"/>
        </w:rPr>
      </w:pPr>
      <w:r>
        <w:rPr>
          <w:lang w:val="en-NZ"/>
        </w:rPr>
        <w:t>I</w:t>
      </w:r>
      <w:r w:rsidRPr="002F108B">
        <w:rPr>
          <w:lang w:val="en-NZ"/>
        </w:rPr>
        <w:t xml:space="preserve">nterviewed gambling harm service </w:t>
      </w:r>
      <w:r w:rsidR="00451777">
        <w:rPr>
          <w:lang w:val="en-NZ"/>
        </w:rPr>
        <w:t xml:space="preserve">provider </w:t>
      </w:r>
      <w:r w:rsidRPr="002F108B">
        <w:rPr>
          <w:lang w:val="en-NZ"/>
        </w:rPr>
        <w:t>and lived experience representatives noted a need for paid peer support workers</w:t>
      </w:r>
      <w:r w:rsidR="003237A6">
        <w:rPr>
          <w:lang w:val="en-NZ"/>
        </w:rPr>
        <w:t>, including those from different ethnic groups,</w:t>
      </w:r>
      <w:r w:rsidR="00D81E6D">
        <w:rPr>
          <w:lang w:val="en-NZ"/>
        </w:rPr>
        <w:t xml:space="preserve"> </w:t>
      </w:r>
      <w:r w:rsidR="00AC502D">
        <w:rPr>
          <w:lang w:val="en-NZ"/>
        </w:rPr>
        <w:t xml:space="preserve">who contribute to ensuring </w:t>
      </w:r>
      <w:r w:rsidRPr="002F108B">
        <w:rPr>
          <w:lang w:val="en-NZ"/>
        </w:rPr>
        <w:t>services are culturally safe.</w:t>
      </w:r>
      <w:r w:rsidR="00AA3563">
        <w:rPr>
          <w:lang w:val="en-NZ"/>
        </w:rPr>
        <w:t xml:space="preserve"> It is important to note that the Ministry have funded this in the current Strategy 2019/20 to 2021/22.</w:t>
      </w:r>
    </w:p>
    <w:p w14:paraId="0CC3F468" w14:textId="57E08A66" w:rsidR="0072675E" w:rsidRPr="00F43D82" w:rsidRDefault="0072675E" w:rsidP="0072675E">
      <w:pPr>
        <w:pStyle w:val="Quotes"/>
      </w:pPr>
      <w:r w:rsidRPr="00F43D82">
        <w:t>We haven't really done a lot to support the peer workforce in gambling, and I think that would be a good area to address…That is a really good process for having long term support out in the community to help people with gambling problems. (</w:t>
      </w:r>
      <w:r w:rsidR="00546397">
        <w:t>Gambling agency 1</w:t>
      </w:r>
      <w:r w:rsidRPr="00F43D82">
        <w:t>)</w:t>
      </w:r>
    </w:p>
    <w:p w14:paraId="5483E8AF" w14:textId="6808FF4E" w:rsidR="0072675E" w:rsidRPr="00F43D82" w:rsidRDefault="0072675E" w:rsidP="0072675E">
      <w:pPr>
        <w:pStyle w:val="Quotes"/>
      </w:pPr>
      <w:r w:rsidRPr="00F43D82">
        <w:t xml:space="preserve">Also linked to what we discussed earlier about stigma and also about </w:t>
      </w:r>
      <w:r w:rsidR="00B44299">
        <w:t>[ethnic-specific]</w:t>
      </w:r>
      <w:r w:rsidRPr="00F43D82">
        <w:t xml:space="preserve"> society and the uniqueness of </w:t>
      </w:r>
      <w:r w:rsidR="00B44299">
        <w:t xml:space="preserve">[ethnic-specific] </w:t>
      </w:r>
      <w:r w:rsidRPr="00F43D82">
        <w:t>society, because we are more of a relationship-based society, people judge each other and value each other, and also people take seriously what others see of us, as a society. That's why peer support</w:t>
      </w:r>
      <w:r>
        <w:t>,</w:t>
      </w:r>
      <w:r w:rsidRPr="00F43D82">
        <w:t xml:space="preserve"> if you just do it in a mainstream way, it becomes a gossip source, people spread rumours, and there's no healing effect. (</w:t>
      </w:r>
      <w:r>
        <w:t>Gambling harm service provider</w:t>
      </w:r>
      <w:r w:rsidR="00546397">
        <w:t xml:space="preserve"> 1</w:t>
      </w:r>
      <w:r w:rsidRPr="00F43D82">
        <w:t>)</w:t>
      </w:r>
    </w:p>
    <w:p w14:paraId="504153E5" w14:textId="7635375D" w:rsidR="00143D5E" w:rsidRPr="002F108B" w:rsidRDefault="00143D5E" w:rsidP="00143D5E">
      <w:pPr>
        <w:rPr>
          <w:lang w:val="en-NZ"/>
        </w:rPr>
      </w:pPr>
      <w:r w:rsidRPr="002F108B">
        <w:rPr>
          <w:b/>
          <w:lang w:val="en-NZ"/>
        </w:rPr>
        <w:t xml:space="preserve">Gambling harm workforce development: </w:t>
      </w:r>
      <w:r w:rsidRPr="002F108B">
        <w:rPr>
          <w:lang w:val="en-NZ"/>
        </w:rPr>
        <w:t xml:space="preserve">Gambling agency representatives highlighted the importance of ongoing training and upskilling for the gambling harm workforce. </w:t>
      </w:r>
      <w:r>
        <w:rPr>
          <w:lang w:val="en-NZ"/>
        </w:rPr>
        <w:t>A</w:t>
      </w:r>
      <w:r w:rsidRPr="002F108B">
        <w:rPr>
          <w:lang w:val="en-NZ"/>
        </w:rPr>
        <w:t xml:space="preserve"> small number of participants highlighted that there were few gambling practitioners engaging in workforce </w:t>
      </w:r>
      <w:r w:rsidRPr="002F108B">
        <w:rPr>
          <w:lang w:val="en-NZ"/>
        </w:rPr>
        <w:lastRenderedPageBreak/>
        <w:t>development and upskilling opportunities through post-graduate addictions programmes offered in tertiary institutions. Others acknowledged numerous barriers to accessing training such as high workload demands and organisational outputs</w:t>
      </w:r>
      <w:r w:rsidR="00361A25">
        <w:rPr>
          <w:lang w:val="en-NZ"/>
        </w:rPr>
        <w:t>.</w:t>
      </w:r>
    </w:p>
    <w:p w14:paraId="753C51A7" w14:textId="22F90938" w:rsidR="00143D5E" w:rsidRPr="002F108B" w:rsidRDefault="00143D5E" w:rsidP="00143D5E">
      <w:pPr>
        <w:pStyle w:val="Quotes"/>
        <w:rPr>
          <w:lang w:val="en-NZ"/>
        </w:rPr>
      </w:pPr>
      <w:r w:rsidRPr="002F108B">
        <w:rPr>
          <w:lang w:val="en-NZ"/>
        </w:rPr>
        <w:t>Things that they want to learn more about, like family</w:t>
      </w:r>
      <w:r>
        <w:rPr>
          <w:lang w:val="en-NZ"/>
        </w:rPr>
        <w:t>-</w:t>
      </w:r>
      <w:r w:rsidRPr="002F108B">
        <w:rPr>
          <w:lang w:val="en-NZ"/>
        </w:rPr>
        <w:t>focused practice, they want to understand what that means and what that could be in their service and for their clients. But they feel unable to take on study...they don’t have the time to fit that into their days. It’s not a priority when you’re fighting for contracts... (</w:t>
      </w:r>
      <w:r w:rsidR="00361A25">
        <w:rPr>
          <w:lang w:val="en-NZ"/>
        </w:rPr>
        <w:t>Gambling agency</w:t>
      </w:r>
      <w:r w:rsidR="00546397">
        <w:rPr>
          <w:lang w:val="en-NZ"/>
        </w:rPr>
        <w:t xml:space="preserve"> 2</w:t>
      </w:r>
      <w:r w:rsidRPr="002F108B">
        <w:rPr>
          <w:lang w:val="en-NZ"/>
        </w:rPr>
        <w:t>)</w:t>
      </w:r>
    </w:p>
    <w:p w14:paraId="26156F3A" w14:textId="12D63A6E" w:rsidR="00143D5E" w:rsidRPr="002F108B" w:rsidRDefault="00143D5E" w:rsidP="00143D5E">
      <w:pPr>
        <w:rPr>
          <w:lang w:val="en-NZ"/>
        </w:rPr>
      </w:pPr>
      <w:r w:rsidRPr="002F108B">
        <w:rPr>
          <w:lang w:val="en-NZ"/>
        </w:rPr>
        <w:t>Alongside the need for workforce development, gambling harm service</w:t>
      </w:r>
      <w:r w:rsidR="00451777">
        <w:rPr>
          <w:lang w:val="en-NZ"/>
        </w:rPr>
        <w:t xml:space="preserve"> provider</w:t>
      </w:r>
      <w:r w:rsidRPr="002F108B">
        <w:rPr>
          <w:lang w:val="en-NZ"/>
        </w:rPr>
        <w:t>s and agency representatives also noted the importance of recognising that specialist skills were required within the gambling harm sector</w:t>
      </w:r>
      <w:r>
        <w:rPr>
          <w:lang w:val="en-NZ"/>
        </w:rPr>
        <w:t>,</w:t>
      </w:r>
      <w:r w:rsidRPr="002F108B">
        <w:rPr>
          <w:lang w:val="en-NZ"/>
        </w:rPr>
        <w:t xml:space="preserve"> which generic addictions intervention and therapeutic approaches cannot adequately address. </w:t>
      </w:r>
    </w:p>
    <w:p w14:paraId="1F58CBC7" w14:textId="625A689A" w:rsidR="00143D5E" w:rsidRDefault="00143D5E" w:rsidP="00143D5E">
      <w:pPr>
        <w:rPr>
          <w:lang w:val="en-NZ"/>
        </w:rPr>
      </w:pPr>
      <w:r w:rsidRPr="002F108B">
        <w:rPr>
          <w:lang w:val="en-NZ"/>
        </w:rPr>
        <w:t>Some gambling harm service</w:t>
      </w:r>
      <w:r w:rsidR="00451777">
        <w:rPr>
          <w:lang w:val="en-NZ"/>
        </w:rPr>
        <w:t xml:space="preserve"> provider</w:t>
      </w:r>
      <w:r w:rsidRPr="002F108B">
        <w:rPr>
          <w:lang w:val="en-NZ"/>
        </w:rPr>
        <w:t>, industry</w:t>
      </w:r>
      <w:r>
        <w:rPr>
          <w:lang w:val="en-NZ"/>
        </w:rPr>
        <w:t>,</w:t>
      </w:r>
      <w:r w:rsidRPr="002F108B">
        <w:rPr>
          <w:lang w:val="en-NZ"/>
        </w:rPr>
        <w:t xml:space="preserve"> and agency representatives noted that the inclusion of non-gambling trained counsellors in the Gambling Helpline services was likely to have contributed to decreases in utilisation (</w:t>
      </w:r>
      <w:r w:rsidRPr="0093636C">
        <w:rPr>
          <w:lang w:val="en-NZ"/>
        </w:rPr>
        <w:t xml:space="preserve">see section </w:t>
      </w:r>
      <w:r w:rsidR="0093636C" w:rsidRPr="0093636C">
        <w:rPr>
          <w:lang w:val="en-NZ"/>
        </w:rPr>
        <w:t>8</w:t>
      </w:r>
      <w:r w:rsidRPr="0093636C">
        <w:rPr>
          <w:lang w:val="en-NZ"/>
        </w:rPr>
        <w:t>.3</w:t>
      </w:r>
      <w:r w:rsidRPr="002F108B">
        <w:rPr>
          <w:lang w:val="en-NZ"/>
        </w:rPr>
        <w:t xml:space="preserve">) and influenced a reluctance among the gambling industry to refer potential clients to the Helpline. </w:t>
      </w:r>
      <w:r>
        <w:rPr>
          <w:lang w:val="en-NZ"/>
        </w:rPr>
        <w:t>Helpline acknowledges that more harmful gambling counsellors are needed:</w:t>
      </w:r>
    </w:p>
    <w:p w14:paraId="2C8E649D" w14:textId="1ECB0F2A" w:rsidR="00143D5E" w:rsidRPr="00EB68F7" w:rsidRDefault="00143D5E" w:rsidP="00143D5E">
      <w:pPr>
        <w:pStyle w:val="Quotes"/>
      </w:pPr>
      <w:r w:rsidRPr="00EB68F7">
        <w:t>We have addiction specialists, we have gambling specialists, but it's an area we need to increase in our service…It is a challenge that we have recruiting gambling specialists… (Gambling harm service provider</w:t>
      </w:r>
      <w:r w:rsidR="00546397">
        <w:t xml:space="preserve"> 2</w:t>
      </w:r>
      <w:r w:rsidRPr="00EB68F7">
        <w:t>)</w:t>
      </w:r>
    </w:p>
    <w:p w14:paraId="6DB6B446" w14:textId="3BA1C6C7" w:rsidR="00143D5E" w:rsidRPr="002F108B" w:rsidRDefault="00143D5E" w:rsidP="00143D5E">
      <w:pPr>
        <w:rPr>
          <w:lang w:val="en-NZ"/>
        </w:rPr>
      </w:pPr>
      <w:r w:rsidRPr="002F108B">
        <w:rPr>
          <w:b/>
          <w:lang w:val="en-NZ"/>
        </w:rPr>
        <w:t xml:space="preserve">Gambling harm workforce cultural safety: </w:t>
      </w:r>
      <w:r w:rsidRPr="002F108B">
        <w:rPr>
          <w:lang w:val="en-NZ"/>
        </w:rPr>
        <w:t xml:space="preserve">Some gambling harm service </w:t>
      </w:r>
      <w:r w:rsidR="00451777">
        <w:rPr>
          <w:lang w:val="en-NZ"/>
        </w:rPr>
        <w:t xml:space="preserve">provider </w:t>
      </w:r>
      <w:r w:rsidRPr="002F108B">
        <w:rPr>
          <w:lang w:val="en-NZ"/>
        </w:rPr>
        <w:t>representatives noted limited cultural training and opportunities, alongside inad</w:t>
      </w:r>
      <w:r>
        <w:rPr>
          <w:lang w:val="en-NZ"/>
        </w:rPr>
        <w:t>e</w:t>
      </w:r>
      <w:r w:rsidRPr="002F108B">
        <w:rPr>
          <w:lang w:val="en-NZ"/>
        </w:rPr>
        <w:t>quate cultural assessment tools, frameworks and strategies.</w:t>
      </w:r>
    </w:p>
    <w:p w14:paraId="152EC816" w14:textId="6E9DDDC0" w:rsidR="00143D5E" w:rsidRPr="002F108B" w:rsidRDefault="00143D5E" w:rsidP="00143D5E">
      <w:pPr>
        <w:pStyle w:val="Quotes"/>
        <w:rPr>
          <w:lang w:val="en-NZ"/>
        </w:rPr>
      </w:pPr>
      <w:r w:rsidRPr="002F108B">
        <w:rPr>
          <w:lang w:val="en-NZ"/>
        </w:rPr>
        <w:t>A big gap that's missing in the gambling sector...clinical cultural competency</w:t>
      </w:r>
      <w:r w:rsidR="004E6F11">
        <w:rPr>
          <w:lang w:val="en-NZ"/>
        </w:rPr>
        <w:t>…</w:t>
      </w:r>
      <w:r w:rsidRPr="002F108B">
        <w:rPr>
          <w:lang w:val="en-NZ"/>
        </w:rPr>
        <w:t>and training is a big gap. (</w:t>
      </w:r>
      <w:r>
        <w:rPr>
          <w:lang w:val="en-NZ"/>
        </w:rPr>
        <w:t>Gambling harm service provider</w:t>
      </w:r>
      <w:r w:rsidR="00EA2210">
        <w:rPr>
          <w:lang w:val="en-NZ"/>
        </w:rPr>
        <w:t xml:space="preserve"> 3</w:t>
      </w:r>
      <w:r w:rsidRPr="002F108B">
        <w:rPr>
          <w:lang w:val="en-NZ"/>
        </w:rPr>
        <w:t>)</w:t>
      </w:r>
    </w:p>
    <w:p w14:paraId="3EBEA1C6" w14:textId="73789240" w:rsidR="00143D5E" w:rsidRPr="005E31E9" w:rsidRDefault="00143D5E" w:rsidP="00143D5E">
      <w:pPr>
        <w:pStyle w:val="Quotes"/>
        <w:rPr>
          <w:lang w:val="en-NZ"/>
        </w:rPr>
      </w:pPr>
      <w:r w:rsidRPr="005E31E9">
        <w:rPr>
          <w:lang w:val="en-NZ"/>
        </w:rPr>
        <w:t xml:space="preserve">What is our </w:t>
      </w:r>
      <w:r w:rsidR="004E6F11" w:rsidRPr="005E31E9">
        <w:rPr>
          <w:lang w:val="en-NZ"/>
        </w:rPr>
        <w:t>[ethnic-specific]</w:t>
      </w:r>
      <w:r w:rsidRPr="005E31E9">
        <w:rPr>
          <w:lang w:val="en-NZ"/>
        </w:rPr>
        <w:t xml:space="preserve"> clinical cultural assessment...[and] framework...for problem gambling and for all the co</w:t>
      </w:r>
      <w:r w:rsidR="00DB0AD0">
        <w:rPr>
          <w:lang w:val="en-NZ"/>
        </w:rPr>
        <w:t>-</w:t>
      </w:r>
      <w:r w:rsidRPr="005E31E9">
        <w:rPr>
          <w:lang w:val="en-NZ"/>
        </w:rPr>
        <w:t>existing issues that families present [to] a service with...There's a gap that's missing at the moment in terms of delivery. (Gambling harm service provider</w:t>
      </w:r>
      <w:r w:rsidR="00EA2210">
        <w:rPr>
          <w:lang w:val="en-NZ"/>
        </w:rPr>
        <w:t xml:space="preserve"> 3</w:t>
      </w:r>
      <w:r w:rsidRPr="005E31E9">
        <w:rPr>
          <w:lang w:val="en-NZ"/>
        </w:rPr>
        <w:t>)</w:t>
      </w:r>
    </w:p>
    <w:p w14:paraId="32510218" w14:textId="6634E7DA" w:rsidR="00143D5E" w:rsidRPr="002F108B" w:rsidRDefault="00143D5E" w:rsidP="00143D5E">
      <w:pPr>
        <w:pStyle w:val="Quotes"/>
        <w:rPr>
          <w:lang w:val="en-NZ"/>
        </w:rPr>
      </w:pPr>
      <w:r w:rsidRPr="005E31E9">
        <w:rPr>
          <w:lang w:val="en-NZ"/>
        </w:rPr>
        <w:t xml:space="preserve">I think the overarching </w:t>
      </w:r>
      <w:r w:rsidR="005E31E9" w:rsidRPr="005E31E9">
        <w:rPr>
          <w:lang w:val="en-NZ"/>
        </w:rPr>
        <w:t>S</w:t>
      </w:r>
      <w:r w:rsidRPr="005E31E9">
        <w:rPr>
          <w:lang w:val="en-NZ"/>
        </w:rPr>
        <w:t>trategy for public health work isn’t suited for every population</w:t>
      </w:r>
      <w:r w:rsidR="005E31E9" w:rsidRPr="005E31E9">
        <w:rPr>
          <w:lang w:val="en-NZ"/>
        </w:rPr>
        <w:t>…[The Strategy]</w:t>
      </w:r>
      <w:r w:rsidRPr="005E31E9">
        <w:rPr>
          <w:lang w:val="en-NZ"/>
        </w:rPr>
        <w:t xml:space="preserve"> has to be really reflecting on what a framework and model looks like within the </w:t>
      </w:r>
      <w:r w:rsidR="005E31E9" w:rsidRPr="005E31E9">
        <w:rPr>
          <w:lang w:val="en-NZ"/>
        </w:rPr>
        <w:t>[ethnic-specific]</w:t>
      </w:r>
      <w:r w:rsidRPr="005E31E9">
        <w:rPr>
          <w:lang w:val="en-NZ"/>
        </w:rPr>
        <w:t xml:space="preserve"> population context. It’s not one thing fits all. (Gambling harm service provider</w:t>
      </w:r>
      <w:r w:rsidR="00EA2210">
        <w:rPr>
          <w:lang w:val="en-NZ"/>
        </w:rPr>
        <w:t xml:space="preserve"> 1</w:t>
      </w:r>
      <w:r w:rsidRPr="005E31E9">
        <w:rPr>
          <w:lang w:val="en-NZ"/>
        </w:rPr>
        <w:t>)</w:t>
      </w:r>
    </w:p>
    <w:p w14:paraId="22DF395D" w14:textId="4C4F2E1A" w:rsidR="008B0A57" w:rsidRPr="002F108B" w:rsidRDefault="008B0A57" w:rsidP="008B0A57">
      <w:pPr>
        <w:rPr>
          <w:lang w:val="en-NZ"/>
        </w:rPr>
      </w:pPr>
      <w:r>
        <w:rPr>
          <w:bCs/>
          <w:lang w:val="en-NZ"/>
        </w:rPr>
        <w:t xml:space="preserve">Participants </w:t>
      </w:r>
      <w:r w:rsidRPr="002F108B">
        <w:rPr>
          <w:lang w:val="en-NZ"/>
        </w:rPr>
        <w:t>suggested a need for collaboration between training providers and ethnic-specific gambling services to ensure adequate cultural safety training for all gambling harm service</w:t>
      </w:r>
      <w:r w:rsidR="00451777">
        <w:rPr>
          <w:lang w:val="en-NZ"/>
        </w:rPr>
        <w:t xml:space="preserve"> provider</w:t>
      </w:r>
      <w:r w:rsidRPr="002F108B">
        <w:rPr>
          <w:lang w:val="en-NZ"/>
        </w:rPr>
        <w:t>s.</w:t>
      </w:r>
    </w:p>
    <w:p w14:paraId="68A87A6D" w14:textId="658642A0" w:rsidR="008B0A57" w:rsidRPr="002F108B" w:rsidRDefault="008B0A57" w:rsidP="008B0A57">
      <w:pPr>
        <w:pStyle w:val="Quotes"/>
        <w:rPr>
          <w:lang w:val="en-NZ"/>
        </w:rPr>
      </w:pPr>
      <w:r w:rsidRPr="002F108B">
        <w:rPr>
          <w:lang w:val="en-NZ"/>
        </w:rPr>
        <w:t xml:space="preserve">[Clinical training provider] could just ask [ethnic-specific gambling harm providers] to do the </w:t>
      </w:r>
      <w:r w:rsidRPr="00C723E2">
        <w:rPr>
          <w:lang w:val="en-NZ"/>
        </w:rPr>
        <w:t>training...They're not culturally competent to develop it [or] deliver it. (</w:t>
      </w:r>
      <w:r>
        <w:rPr>
          <w:lang w:val="en-NZ"/>
        </w:rPr>
        <w:t>Gambling harm service provider</w:t>
      </w:r>
      <w:r w:rsidR="00EA2210">
        <w:rPr>
          <w:lang w:val="en-NZ"/>
        </w:rPr>
        <w:t xml:space="preserve"> 3</w:t>
      </w:r>
      <w:r w:rsidRPr="00C723E2">
        <w:rPr>
          <w:lang w:val="en-NZ"/>
        </w:rPr>
        <w:t>)</w:t>
      </w:r>
    </w:p>
    <w:p w14:paraId="226D990B" w14:textId="77777777" w:rsidR="008B0A57" w:rsidRPr="002F108B" w:rsidRDefault="008B0A57" w:rsidP="008B0A57">
      <w:pPr>
        <w:rPr>
          <w:lang w:val="en-NZ"/>
        </w:rPr>
      </w:pPr>
      <w:r w:rsidRPr="002F108B">
        <w:rPr>
          <w:lang w:val="en-NZ"/>
        </w:rPr>
        <w:t>A small number of representatives noted a need to review and condense training materials for brief assessments.</w:t>
      </w:r>
    </w:p>
    <w:p w14:paraId="4740FAB8" w14:textId="5C2A487D" w:rsidR="008B0A57" w:rsidRPr="002F108B" w:rsidRDefault="008B0A57" w:rsidP="00143D5E">
      <w:pPr>
        <w:pStyle w:val="Quotes"/>
        <w:rPr>
          <w:lang w:val="en-NZ"/>
        </w:rPr>
      </w:pPr>
      <w:r w:rsidRPr="002F108B">
        <w:rPr>
          <w:lang w:val="en-NZ"/>
        </w:rPr>
        <w:lastRenderedPageBreak/>
        <w:t>The tool was really long...I condensed it down. [Participants] don't want to sit there for 90 minutes while I [deliver training]</w:t>
      </w:r>
      <w:r>
        <w:rPr>
          <w:lang w:val="en-NZ"/>
        </w:rPr>
        <w:t>.</w:t>
      </w:r>
      <w:r w:rsidRPr="002F108B">
        <w:rPr>
          <w:lang w:val="en-NZ"/>
        </w:rPr>
        <w:t xml:space="preserve"> I might get their attention for 45 minutes. (</w:t>
      </w:r>
      <w:r w:rsidR="00EA2210">
        <w:rPr>
          <w:lang w:val="en-NZ"/>
        </w:rPr>
        <w:t>Lived experience representative</w:t>
      </w:r>
      <w:r w:rsidRPr="002F108B">
        <w:rPr>
          <w:lang w:val="en-NZ"/>
        </w:rPr>
        <w:t>)</w:t>
      </w:r>
    </w:p>
    <w:p w14:paraId="02C8C497" w14:textId="77777777" w:rsidR="00725CED" w:rsidRDefault="00725CED" w:rsidP="00D705C8">
      <w:pPr>
        <w:pStyle w:val="Heading2"/>
      </w:pPr>
      <w:r>
        <w:br w:type="page"/>
      </w:r>
    </w:p>
    <w:p w14:paraId="311B7467" w14:textId="7B6AD53B" w:rsidR="00D705C8" w:rsidRDefault="00D705C8" w:rsidP="00D705C8">
      <w:pPr>
        <w:pStyle w:val="Heading2"/>
      </w:pPr>
      <w:bookmarkStart w:id="185" w:name="_Toc76469810"/>
      <w:r>
        <w:lastRenderedPageBreak/>
        <w:t>Objective 7</w:t>
      </w:r>
      <w:r w:rsidR="00D81E6D">
        <w:t xml:space="preserve"> </w:t>
      </w:r>
      <w:r w:rsidR="00704B53">
        <w:t xml:space="preserve">- </w:t>
      </w:r>
      <w:r w:rsidR="00B9422A">
        <w:t xml:space="preserve">focus on </w:t>
      </w:r>
      <w:r w:rsidR="009978F4">
        <w:t>practice (</w:t>
      </w:r>
      <w:r w:rsidR="00155D49">
        <w:t xml:space="preserve">enhancing </w:t>
      </w:r>
      <w:r w:rsidR="00B9422A">
        <w:t>wellb</w:t>
      </w:r>
      <w:r w:rsidR="00155D49">
        <w:t>e</w:t>
      </w:r>
      <w:r w:rsidR="00B9422A">
        <w:t xml:space="preserve">ing, </w:t>
      </w:r>
      <w:r w:rsidR="00704B53">
        <w:t>life skills and resilience</w:t>
      </w:r>
      <w:r w:rsidR="00155D49">
        <w:t>)</w:t>
      </w:r>
      <w:bookmarkEnd w:id="185"/>
    </w:p>
    <w:p w14:paraId="3F2F5120" w14:textId="4EA88C6C" w:rsidR="002B70A5" w:rsidRDefault="002B70A5" w:rsidP="002B70A5">
      <w:pPr>
        <w:rPr>
          <w:b/>
          <w:lang w:val="en-NZ"/>
        </w:rPr>
      </w:pPr>
      <w:r w:rsidRPr="002C132D">
        <w:rPr>
          <w:b/>
          <w:lang w:val="en-NZ"/>
        </w:rPr>
        <w:t>Objective 7:</w:t>
      </w:r>
      <w:r w:rsidRPr="003611BC">
        <w:rPr>
          <w:b/>
          <w:lang w:val="en-NZ"/>
        </w:rPr>
        <w:t xml:space="preserve"> Services enhance people’s mana and build life skills and resiliency to improve healthy choices that prevent and minimise gambling harm.</w:t>
      </w:r>
    </w:p>
    <w:p w14:paraId="67BB318F" w14:textId="77777777" w:rsidR="005C2D8E" w:rsidRDefault="005C2D8E" w:rsidP="005C2D8E">
      <w:pPr>
        <w:pStyle w:val="Heading3"/>
      </w:pPr>
      <w:r>
        <w:t xml:space="preserve">What does </w:t>
      </w:r>
      <w:r w:rsidRPr="009B0FB1">
        <w:t>the</w:t>
      </w:r>
      <w:r>
        <w:t xml:space="preserve"> evidence tell us?</w:t>
      </w:r>
    </w:p>
    <w:tbl>
      <w:tblPr>
        <w:tblStyle w:val="Tabledesign"/>
        <w:tblW w:w="5000" w:type="pct"/>
        <w:tblLook w:val="0480" w:firstRow="0" w:lastRow="0" w:firstColumn="1" w:lastColumn="0" w:noHBand="0" w:noVBand="1"/>
      </w:tblPr>
      <w:tblGrid>
        <w:gridCol w:w="9026"/>
      </w:tblGrid>
      <w:tr w:rsidR="005C2D8E" w:rsidRPr="0080147E" w14:paraId="42BF4A80" w14:textId="77777777" w:rsidTr="00040AF3">
        <w:tc>
          <w:tcPr>
            <w:cnfStyle w:val="001000000000" w:firstRow="0" w:lastRow="0" w:firstColumn="1" w:lastColumn="0" w:oddVBand="0" w:evenVBand="0" w:oddHBand="0" w:evenHBand="0" w:firstRowFirstColumn="0" w:firstRowLastColumn="0" w:lastRowFirstColumn="0" w:lastRowLastColumn="0"/>
            <w:tcW w:w="5000" w:type="pct"/>
          </w:tcPr>
          <w:p w14:paraId="13691E62" w14:textId="593018B5" w:rsidR="005C2D8E" w:rsidRPr="0080147E" w:rsidRDefault="005B1DFA" w:rsidP="0068121D">
            <w:pPr>
              <w:rPr>
                <w:lang w:val="en-NZ"/>
              </w:rPr>
            </w:pPr>
            <w:r w:rsidRPr="001B144E">
              <w:rPr>
                <w:lang w:val="en-NZ"/>
              </w:rPr>
              <w:t>The costs (individual, family and community harms) associated with gambling outweigh the benefits (e.g.</w:t>
            </w:r>
            <w:r>
              <w:rPr>
                <w:lang w:val="en-NZ"/>
              </w:rPr>
              <w:t>,</w:t>
            </w:r>
            <w:r w:rsidRPr="001B144E">
              <w:rPr>
                <w:lang w:val="en-NZ"/>
              </w:rPr>
              <w:t xml:space="preserve"> employment, community funding)</w:t>
            </w:r>
            <w:r>
              <w:rPr>
                <w:lang w:val="en-NZ"/>
              </w:rPr>
              <w:t xml:space="preserve">. </w:t>
            </w:r>
            <w:r w:rsidRPr="001B144E">
              <w:rPr>
                <w:lang w:val="en-NZ"/>
              </w:rPr>
              <w:t>Harmful gambling continues to impact all aspects of wellbeing for individuals and their whānau.</w:t>
            </w:r>
            <w:r w:rsidR="0068121D">
              <w:rPr>
                <w:lang w:val="en-NZ"/>
              </w:rPr>
              <w:t xml:space="preserve"> </w:t>
            </w:r>
            <w:r w:rsidR="00506350">
              <w:rPr>
                <w:lang w:val="en-NZ"/>
              </w:rPr>
              <w:t>Limited</w:t>
            </w:r>
            <w:r w:rsidR="0068121D">
              <w:rPr>
                <w:lang w:val="en-NZ"/>
              </w:rPr>
              <w:t xml:space="preserve"> evidence</w:t>
            </w:r>
            <w:r w:rsidR="0023119C">
              <w:rPr>
                <w:rStyle w:val="FootnoteReference"/>
                <w:lang w:val="en-NZ"/>
              </w:rPr>
              <w:footnoteReference w:id="41"/>
            </w:r>
            <w:r w:rsidR="0068121D">
              <w:rPr>
                <w:lang w:val="en-NZ"/>
              </w:rPr>
              <w:t xml:space="preserve"> exists about the effectiveness of h</w:t>
            </w:r>
            <w:r w:rsidR="009C6C4D">
              <w:rPr>
                <w:bCs/>
                <w:lang w:val="en-NZ"/>
              </w:rPr>
              <w:t xml:space="preserve">olistic </w:t>
            </w:r>
            <w:r w:rsidR="001E4222">
              <w:rPr>
                <w:bCs/>
                <w:lang w:val="en-NZ"/>
              </w:rPr>
              <w:t xml:space="preserve">and wellbeing focused </w:t>
            </w:r>
            <w:r w:rsidR="006916A9">
              <w:rPr>
                <w:bCs/>
                <w:lang w:val="en-NZ"/>
              </w:rPr>
              <w:t xml:space="preserve">approaches to </w:t>
            </w:r>
            <w:r w:rsidR="001E4222">
              <w:rPr>
                <w:bCs/>
                <w:lang w:val="en-NZ"/>
              </w:rPr>
              <w:t xml:space="preserve">address </w:t>
            </w:r>
            <w:r w:rsidR="00A201E4">
              <w:rPr>
                <w:bCs/>
                <w:lang w:val="en-NZ"/>
              </w:rPr>
              <w:t xml:space="preserve">the social determinants and </w:t>
            </w:r>
            <w:r w:rsidR="006916A9">
              <w:rPr>
                <w:bCs/>
                <w:lang w:val="en-NZ"/>
              </w:rPr>
              <w:t>risk</w:t>
            </w:r>
            <w:r w:rsidR="00A201E4">
              <w:rPr>
                <w:bCs/>
                <w:lang w:val="en-NZ"/>
              </w:rPr>
              <w:t xml:space="preserve">s </w:t>
            </w:r>
            <w:r w:rsidR="006916A9">
              <w:rPr>
                <w:bCs/>
                <w:lang w:val="en-NZ"/>
              </w:rPr>
              <w:t>for harmful gambling</w:t>
            </w:r>
            <w:r w:rsidR="00A201E4">
              <w:rPr>
                <w:bCs/>
                <w:lang w:val="en-NZ"/>
              </w:rPr>
              <w:t xml:space="preserve">. </w:t>
            </w:r>
          </w:p>
        </w:tc>
      </w:tr>
    </w:tbl>
    <w:p w14:paraId="0D8E30B9" w14:textId="7A36A4DD" w:rsidR="00D54E1D" w:rsidRDefault="00D54E1D" w:rsidP="00D54E1D">
      <w:pPr>
        <w:pStyle w:val="Heading3"/>
      </w:pPr>
      <w:r>
        <w:t>Progress against Objective 7</w:t>
      </w:r>
    </w:p>
    <w:p w14:paraId="7FDDFFDA" w14:textId="2E38DE90" w:rsidR="00592A1E" w:rsidRPr="00407077" w:rsidRDefault="00401121" w:rsidP="00592A1E">
      <w:pPr>
        <w:rPr>
          <w:b/>
        </w:rPr>
      </w:pPr>
      <w:r>
        <w:rPr>
          <w:lang w:val="en-NZ"/>
        </w:rPr>
        <w:t>Almost three-quarters of the workforce survey respondents</w:t>
      </w:r>
      <w:r>
        <w:rPr>
          <w:rStyle w:val="FootnoteReference"/>
          <w:lang w:val="en-NZ"/>
        </w:rPr>
        <w:footnoteReference w:id="42"/>
      </w:r>
      <w:r w:rsidR="00676BFB">
        <w:rPr>
          <w:lang w:val="en-NZ"/>
        </w:rPr>
        <w:t xml:space="preserve"> said progress had been made against Objective 7. </w:t>
      </w:r>
      <w:r w:rsidR="00743C90">
        <w:rPr>
          <w:lang w:val="en-NZ"/>
        </w:rPr>
        <w:t>Gambing</w:t>
      </w:r>
      <w:r w:rsidR="00743C90" w:rsidRPr="002F108B">
        <w:rPr>
          <w:lang w:val="en-NZ"/>
        </w:rPr>
        <w:t xml:space="preserve"> industry </w:t>
      </w:r>
      <w:r w:rsidR="00743C90">
        <w:rPr>
          <w:lang w:val="en-NZ"/>
        </w:rPr>
        <w:t>and s</w:t>
      </w:r>
      <w:r w:rsidR="00743C90" w:rsidRPr="002F108B">
        <w:rPr>
          <w:lang w:val="en-NZ"/>
        </w:rPr>
        <w:t>ome gambling harm service</w:t>
      </w:r>
      <w:r w:rsidR="00451777">
        <w:rPr>
          <w:lang w:val="en-NZ"/>
        </w:rPr>
        <w:t xml:space="preserve"> provider</w:t>
      </w:r>
      <w:r w:rsidR="00743C90" w:rsidRPr="002F108B">
        <w:rPr>
          <w:lang w:val="en-NZ"/>
        </w:rPr>
        <w:t>, agency and lived experience representatives</w:t>
      </w:r>
      <w:r w:rsidR="00407C7D">
        <w:rPr>
          <w:lang w:val="en-NZ"/>
        </w:rPr>
        <w:t xml:space="preserve"> </w:t>
      </w:r>
      <w:r w:rsidR="00743C90">
        <w:rPr>
          <w:lang w:val="en-NZ"/>
        </w:rPr>
        <w:t>describe</w:t>
      </w:r>
      <w:r w:rsidR="00743C90" w:rsidRPr="002F108B">
        <w:rPr>
          <w:lang w:val="en-NZ"/>
        </w:rPr>
        <w:t xml:space="preserve">d ethnic-specific service providers and ethnic-specific teams within mainstream providers as examples of progress . </w:t>
      </w:r>
      <w:r w:rsidR="00592A1E" w:rsidRPr="002F108B">
        <w:rPr>
          <w:lang w:val="en-NZ"/>
        </w:rPr>
        <w:t>Gambling industry representatives highlighted the importance of mana-enhancing practices integrated into host respons</w:t>
      </w:r>
      <w:r w:rsidR="00592A1E">
        <w:rPr>
          <w:lang w:val="en-NZ"/>
        </w:rPr>
        <w:t>i</w:t>
      </w:r>
      <w:r w:rsidR="00592A1E" w:rsidRPr="002F108B">
        <w:rPr>
          <w:lang w:val="en-NZ"/>
        </w:rPr>
        <w:t>bilities training.</w:t>
      </w:r>
    </w:p>
    <w:p w14:paraId="4EE76251" w14:textId="5D2BD0A7" w:rsidR="00592A1E" w:rsidRPr="002F108B" w:rsidRDefault="00592A1E" w:rsidP="00592A1E">
      <w:pPr>
        <w:pStyle w:val="Quotes"/>
        <w:rPr>
          <w:lang w:val="en-NZ"/>
        </w:rPr>
      </w:pPr>
      <w:r w:rsidRPr="002F108B">
        <w:rPr>
          <w:lang w:val="en-NZ"/>
        </w:rPr>
        <w:t>Yeah, they do. I think they do for the people who attend. (</w:t>
      </w:r>
      <w:r>
        <w:rPr>
          <w:lang w:val="en-NZ"/>
        </w:rPr>
        <w:t>Gambling agency</w:t>
      </w:r>
      <w:r w:rsidR="00EA2210">
        <w:rPr>
          <w:lang w:val="en-NZ"/>
        </w:rPr>
        <w:t xml:space="preserve"> 2</w:t>
      </w:r>
      <w:r w:rsidRPr="002F108B">
        <w:rPr>
          <w:lang w:val="en-NZ"/>
        </w:rPr>
        <w:t>)</w:t>
      </w:r>
    </w:p>
    <w:p w14:paraId="1DB39C97" w14:textId="36CBD62A" w:rsidR="00592A1E" w:rsidRDefault="00592A1E" w:rsidP="00592A1E">
      <w:pPr>
        <w:pStyle w:val="Quotes"/>
        <w:rPr>
          <w:lang w:val="en-NZ"/>
        </w:rPr>
      </w:pPr>
      <w:r w:rsidRPr="002F108B">
        <w:rPr>
          <w:lang w:val="en-NZ"/>
        </w:rPr>
        <w:t>Yeah</w:t>
      </w:r>
      <w:r>
        <w:rPr>
          <w:lang w:val="en-NZ"/>
        </w:rPr>
        <w:t>,</w:t>
      </w:r>
      <w:r w:rsidRPr="002F108B">
        <w:rPr>
          <w:lang w:val="en-NZ"/>
        </w:rPr>
        <w:t xml:space="preserve"> manaakitanga is all about the mana of other people...It's not a gaming customer. It's not an alcohol customer</w:t>
      </w:r>
      <w:r>
        <w:rPr>
          <w:lang w:val="en-NZ"/>
        </w:rPr>
        <w:t>. T</w:t>
      </w:r>
      <w:r w:rsidRPr="002F108B">
        <w:rPr>
          <w:lang w:val="en-NZ"/>
        </w:rPr>
        <w:t>hey are your customer. (Gambling industry</w:t>
      </w:r>
      <w:r w:rsidR="00EA2210">
        <w:rPr>
          <w:lang w:val="en-NZ"/>
        </w:rPr>
        <w:t xml:space="preserve"> 2</w:t>
      </w:r>
      <w:r w:rsidRPr="002F108B">
        <w:rPr>
          <w:lang w:val="en-NZ"/>
        </w:rPr>
        <w:t>)</w:t>
      </w:r>
    </w:p>
    <w:p w14:paraId="0EDBF749" w14:textId="50289100" w:rsidR="00D54E1D" w:rsidRDefault="00D54E1D" w:rsidP="00D54E1D">
      <w:pPr>
        <w:pStyle w:val="Heading3"/>
      </w:pPr>
      <w:r>
        <w:t>Strengthening progress against Objective 7</w:t>
      </w:r>
    </w:p>
    <w:p w14:paraId="4510FA83" w14:textId="77777777" w:rsidR="00D54E1D" w:rsidRPr="00ED0ADF" w:rsidRDefault="00D54E1D" w:rsidP="00D54E1D">
      <w:pPr>
        <w:rPr>
          <w:lang w:val="en-NZ"/>
        </w:rPr>
      </w:pPr>
      <w:r>
        <w:rPr>
          <w:b/>
          <w:lang w:val="en-NZ"/>
        </w:rPr>
        <w:t>Develop m</w:t>
      </w:r>
      <w:r w:rsidRPr="002F108B">
        <w:rPr>
          <w:b/>
          <w:lang w:val="en-NZ"/>
        </w:rPr>
        <w:t>ulti-sectoral approach</w:t>
      </w:r>
      <w:r>
        <w:rPr>
          <w:b/>
          <w:lang w:val="en-NZ"/>
        </w:rPr>
        <w:t>es</w:t>
      </w:r>
      <w:r w:rsidRPr="002F108B">
        <w:rPr>
          <w:b/>
          <w:lang w:val="en-NZ"/>
        </w:rPr>
        <w:t xml:space="preserve"> and responses: </w:t>
      </w:r>
      <w:r w:rsidRPr="00ED0ADF">
        <w:rPr>
          <w:lang w:val="en-NZ"/>
        </w:rPr>
        <w:t xml:space="preserve">Harmful gambling was </w:t>
      </w:r>
      <w:r w:rsidRPr="002F108B">
        <w:rPr>
          <w:lang w:val="en-NZ"/>
        </w:rPr>
        <w:t xml:space="preserve">commonly </w:t>
      </w:r>
      <w:r w:rsidRPr="00ED0ADF">
        <w:rPr>
          <w:lang w:val="en-NZ"/>
        </w:rPr>
        <w:t>noted a</w:t>
      </w:r>
      <w:r w:rsidRPr="002F108B">
        <w:rPr>
          <w:lang w:val="en-NZ"/>
        </w:rPr>
        <w:t>s</w:t>
      </w:r>
      <w:r w:rsidRPr="00ED0ADF">
        <w:rPr>
          <w:lang w:val="en-NZ"/>
        </w:rPr>
        <w:t xml:space="preserve"> being virtually non-existent in mental health and wellbeing responses, approaches and funding </w:t>
      </w:r>
      <w:r w:rsidRPr="002F108B">
        <w:rPr>
          <w:lang w:val="en-NZ"/>
        </w:rPr>
        <w:t xml:space="preserve">and </w:t>
      </w:r>
      <w:r w:rsidRPr="00ED0ADF">
        <w:rPr>
          <w:lang w:val="en-NZ"/>
        </w:rPr>
        <w:t xml:space="preserve">considered the </w:t>
      </w:r>
      <w:r w:rsidRPr="00ED0ADF">
        <w:rPr>
          <w:rStyle w:val="QuotesChar"/>
          <w:lang w:val="en-NZ"/>
        </w:rPr>
        <w:t>‘poorer cousin’</w:t>
      </w:r>
      <w:r w:rsidRPr="00ED0ADF">
        <w:rPr>
          <w:lang w:val="en-NZ"/>
        </w:rPr>
        <w:t xml:space="preserve"> to alc</w:t>
      </w:r>
      <w:r>
        <w:rPr>
          <w:lang w:val="en-NZ"/>
        </w:rPr>
        <w:t>o</w:t>
      </w:r>
      <w:r w:rsidRPr="00ED0ADF">
        <w:rPr>
          <w:lang w:val="en-NZ"/>
        </w:rPr>
        <w:t xml:space="preserve">hol and smoking interventions and acknowledgement. </w:t>
      </w:r>
    </w:p>
    <w:p w14:paraId="37674364" w14:textId="74F3AE9B" w:rsidR="00D54E1D" w:rsidRPr="00E87616" w:rsidRDefault="00D54E1D" w:rsidP="00D54E1D">
      <w:pPr>
        <w:pStyle w:val="Quotes"/>
        <w:rPr>
          <w:lang w:val="en-NZ"/>
        </w:rPr>
      </w:pPr>
      <w:r w:rsidRPr="00E87616">
        <w:rPr>
          <w:lang w:val="en-NZ"/>
        </w:rPr>
        <w:t>...like creating a service where people can access support for a lot of range of different issues that might be going on in their lives. And that seems to me, I mean, it seems to me the essence of the Whānau Ora approach, and yet we’re not seeing that kind of translated across a lot of our gambling services or a lot of our national gaming services. (Gambling agency</w:t>
      </w:r>
      <w:r w:rsidR="00EA2210">
        <w:rPr>
          <w:lang w:val="en-NZ"/>
        </w:rPr>
        <w:t xml:space="preserve"> 2</w:t>
      </w:r>
      <w:r w:rsidRPr="00E87616">
        <w:rPr>
          <w:lang w:val="en-NZ"/>
        </w:rPr>
        <w:t>)</w:t>
      </w:r>
    </w:p>
    <w:p w14:paraId="0F9117F7" w14:textId="431CDFF3" w:rsidR="00D54E1D" w:rsidRPr="002F108B" w:rsidRDefault="00D54E1D" w:rsidP="00D54E1D">
      <w:pPr>
        <w:rPr>
          <w:lang w:val="en-NZ"/>
        </w:rPr>
      </w:pPr>
      <w:r w:rsidRPr="002F108B">
        <w:rPr>
          <w:lang w:val="en-NZ"/>
        </w:rPr>
        <w:t xml:space="preserve">All interviewed gambling stakeholder groups highlighted a need to acknowledge harmful gambling as a complex issue in need of systems change and multi-sectoral responses, commitment, action and potentially funding. </w:t>
      </w:r>
      <w:r w:rsidR="00877656">
        <w:rPr>
          <w:lang w:val="en-NZ"/>
        </w:rPr>
        <w:t xml:space="preserve">In line with this view, </w:t>
      </w:r>
      <w:r w:rsidR="00E968D8">
        <w:rPr>
          <w:lang w:val="en-NZ"/>
        </w:rPr>
        <w:t>all</w:t>
      </w:r>
      <w:r w:rsidR="008B74CA">
        <w:rPr>
          <w:lang w:val="en-NZ"/>
        </w:rPr>
        <w:t xml:space="preserve"> workforce survey respondents said one of the </w:t>
      </w:r>
      <w:r w:rsidR="008B74CA">
        <w:rPr>
          <w:lang w:val="en-NZ"/>
        </w:rPr>
        <w:lastRenderedPageBreak/>
        <w:t>challenges they face in delivering services i</w:t>
      </w:r>
      <w:r w:rsidR="00BD7C3A">
        <w:rPr>
          <w:lang w:val="en-NZ"/>
        </w:rPr>
        <w:t>s ‘gambling not being as important as other issues the client and their whānau may have</w:t>
      </w:r>
      <w:r w:rsidR="00CC4985">
        <w:rPr>
          <w:lang w:val="en-NZ"/>
        </w:rPr>
        <w:t>’</w:t>
      </w:r>
      <w:r w:rsidR="00CC4985">
        <w:rPr>
          <w:rStyle w:val="FootnoteReference"/>
          <w:lang w:val="en-NZ"/>
        </w:rPr>
        <w:footnoteReference w:id="43"/>
      </w:r>
      <w:r w:rsidR="00CC4985">
        <w:rPr>
          <w:lang w:val="en-NZ"/>
        </w:rPr>
        <w:t>.</w:t>
      </w:r>
    </w:p>
    <w:p w14:paraId="4C5120E4" w14:textId="62DA9857" w:rsidR="00D54E1D" w:rsidRPr="002F108B" w:rsidRDefault="00D54E1D" w:rsidP="00D54E1D">
      <w:pPr>
        <w:pStyle w:val="Quotes"/>
        <w:rPr>
          <w:lang w:val="en-NZ"/>
        </w:rPr>
      </w:pPr>
      <w:r w:rsidRPr="00E87616">
        <w:rPr>
          <w:lang w:val="en-NZ"/>
        </w:rPr>
        <w:t>Policymaking and process by state and local and individual level development...primary health, mental health, other spaces. If they wanted to make real progress...they would need to be able to work collectively, and that's not there, and I think it's not there for a reason. It makes sure that is really pretty tokenistic. (Gambling agency</w:t>
      </w:r>
      <w:r w:rsidR="00EA2210">
        <w:rPr>
          <w:lang w:val="en-NZ"/>
        </w:rPr>
        <w:t xml:space="preserve"> 4</w:t>
      </w:r>
      <w:r w:rsidRPr="00E87616">
        <w:rPr>
          <w:lang w:val="en-NZ"/>
        </w:rPr>
        <w:t>)</w:t>
      </w:r>
    </w:p>
    <w:p w14:paraId="5F67B394" w14:textId="3E2C29A5" w:rsidR="00D54E1D" w:rsidRPr="002F108B" w:rsidRDefault="00D54E1D" w:rsidP="00D54E1D">
      <w:pPr>
        <w:rPr>
          <w:lang w:val="en-NZ"/>
        </w:rPr>
      </w:pPr>
      <w:r w:rsidRPr="002F108B">
        <w:rPr>
          <w:lang w:val="en-NZ"/>
        </w:rPr>
        <w:t xml:space="preserve">Addressing the social determinants of health and wellbeing were considered critical to minimising gambling harm. This included a need to: </w:t>
      </w:r>
    </w:p>
    <w:p w14:paraId="28610C0F" w14:textId="77777777" w:rsidR="00D54E1D" w:rsidRPr="009B1D00" w:rsidRDefault="00D54E1D" w:rsidP="00D54E1D">
      <w:pPr>
        <w:pStyle w:val="Bulletpointindented"/>
        <w:rPr>
          <w:lang w:val="en-NZ"/>
        </w:rPr>
      </w:pPr>
      <w:r w:rsidRPr="009B1D00">
        <w:rPr>
          <w:b/>
          <w:lang w:val="en-NZ"/>
        </w:rPr>
        <w:t>Focus on client</w:t>
      </w:r>
      <w:r w:rsidRPr="002F108B">
        <w:rPr>
          <w:b/>
          <w:lang w:val="en-NZ"/>
        </w:rPr>
        <w:t>’</w:t>
      </w:r>
      <w:r w:rsidRPr="009B1D00">
        <w:rPr>
          <w:b/>
          <w:lang w:val="en-NZ"/>
        </w:rPr>
        <w:t>s holistic and cultural needs:</w:t>
      </w:r>
      <w:r w:rsidRPr="009B1D00">
        <w:rPr>
          <w:lang w:val="en-NZ"/>
        </w:rPr>
        <w:t xml:space="preserve"> </w:t>
      </w:r>
      <w:r w:rsidRPr="002F108B">
        <w:rPr>
          <w:lang w:val="en-NZ"/>
        </w:rPr>
        <w:t>Participants described current harmful gambling services as focusing on the gambling behaviour rather than wider social supports and clients</w:t>
      </w:r>
      <w:r>
        <w:rPr>
          <w:lang w:val="en-NZ"/>
        </w:rPr>
        <w:t>’</w:t>
      </w:r>
      <w:r w:rsidRPr="002F108B">
        <w:rPr>
          <w:lang w:val="en-NZ"/>
        </w:rPr>
        <w:t xml:space="preserve"> needs. Many noted a need for gambling services to provide access to a hub of services and whānau ora support.</w:t>
      </w:r>
    </w:p>
    <w:p w14:paraId="2E186661" w14:textId="35EDB51C" w:rsidR="00D54E1D" w:rsidRPr="002F108B" w:rsidRDefault="00D54E1D" w:rsidP="00D54E1D">
      <w:pPr>
        <w:pStyle w:val="Quotes"/>
        <w:ind w:left="1080"/>
        <w:rPr>
          <w:lang w:val="en-NZ"/>
        </w:rPr>
      </w:pPr>
      <w:r w:rsidRPr="002F108B">
        <w:rPr>
          <w:lang w:val="en-NZ"/>
        </w:rPr>
        <w:t>You have to have that awareness in the first place that I need to get some help for my gambling. That can be a little bit difficult when there's a lot of other issues happening at the same time. (</w:t>
      </w:r>
      <w:r>
        <w:rPr>
          <w:lang w:val="en-NZ"/>
        </w:rPr>
        <w:t>Gambling agency</w:t>
      </w:r>
      <w:r w:rsidR="00EA2210">
        <w:rPr>
          <w:lang w:val="en-NZ"/>
        </w:rPr>
        <w:t xml:space="preserve"> 1</w:t>
      </w:r>
      <w:r w:rsidRPr="002F108B">
        <w:rPr>
          <w:lang w:val="en-NZ"/>
        </w:rPr>
        <w:t>)</w:t>
      </w:r>
    </w:p>
    <w:p w14:paraId="791C634A" w14:textId="0C39E909" w:rsidR="00D54E1D" w:rsidRDefault="00D54E1D" w:rsidP="00D54E1D">
      <w:pPr>
        <w:pStyle w:val="Quotes"/>
        <w:ind w:left="1080"/>
        <w:rPr>
          <w:lang w:val="en-NZ"/>
        </w:rPr>
      </w:pPr>
      <w:r w:rsidRPr="002A64AF">
        <w:rPr>
          <w:lang w:val="en-NZ"/>
        </w:rPr>
        <w:t>Need to be mandated better to work holistically with clients as co-existing problems need to be supported without having to "pass" clients off to another service.</w:t>
      </w:r>
      <w:r>
        <w:rPr>
          <w:lang w:val="en-NZ"/>
        </w:rPr>
        <w:t xml:space="preserve"> (Gambling harm service provider</w:t>
      </w:r>
      <w:r w:rsidR="00EA2210">
        <w:rPr>
          <w:lang w:val="en-NZ"/>
        </w:rPr>
        <w:t xml:space="preserve"> – workforce survey</w:t>
      </w:r>
      <w:r>
        <w:rPr>
          <w:lang w:val="en-NZ"/>
        </w:rPr>
        <w:t>)</w:t>
      </w:r>
    </w:p>
    <w:p w14:paraId="24ADAA2E" w14:textId="45C85713" w:rsidR="00AA3563" w:rsidRPr="002F108B" w:rsidRDefault="00C4115D" w:rsidP="001A5DC2">
      <w:pPr>
        <w:ind w:left="1080"/>
        <w:rPr>
          <w:lang w:val="en-NZ"/>
        </w:rPr>
      </w:pPr>
      <w:r>
        <w:rPr>
          <w:lang w:val="en-NZ"/>
        </w:rPr>
        <w:t>In relation to the latter quote, it is important to note the provision of holistic services would require legislative change due to the ringfenced nature of  Strategy funding.</w:t>
      </w:r>
    </w:p>
    <w:p w14:paraId="5119F5BC" w14:textId="77777777" w:rsidR="00D54E1D" w:rsidRPr="0097676E" w:rsidRDefault="00D54E1D" w:rsidP="00D54E1D">
      <w:pPr>
        <w:pStyle w:val="Bulletpointindented"/>
        <w:rPr>
          <w:b/>
          <w:lang w:val="en-NZ"/>
        </w:rPr>
      </w:pPr>
      <w:r w:rsidRPr="0097676E">
        <w:rPr>
          <w:b/>
          <w:lang w:val="en-NZ"/>
        </w:rPr>
        <w:t>Mandate the need for all sectors to screen for harmful gambling</w:t>
      </w:r>
    </w:p>
    <w:p w14:paraId="6BF4FDD8" w14:textId="2528649E" w:rsidR="00D54E1D" w:rsidRDefault="00D54E1D" w:rsidP="00D54E1D">
      <w:pPr>
        <w:pStyle w:val="Quotes"/>
        <w:ind w:left="1080"/>
        <w:rPr>
          <w:lang w:val="en-NZ"/>
        </w:rPr>
      </w:pPr>
      <w:r w:rsidRPr="002F108B">
        <w:rPr>
          <w:lang w:val="en-NZ"/>
        </w:rPr>
        <w:t>I would like to see the Ministry of Health bringing pressure to bear on other Ministries, to screen. If they were screening prisoners, if GPs had a very simple screen to screen, not just alcohol and drugs and mental health and what have you, like the chat screen, was talking about gambling as well, I think the numbers being referred from a recognised</w:t>
      </w:r>
      <w:r>
        <w:rPr>
          <w:lang w:val="en-NZ"/>
        </w:rPr>
        <w:t>,</w:t>
      </w:r>
      <w:r w:rsidRPr="002F108B">
        <w:rPr>
          <w:lang w:val="en-NZ"/>
        </w:rPr>
        <w:t xml:space="preserve"> credible source such as a GP, would be huge. (</w:t>
      </w:r>
      <w:r>
        <w:rPr>
          <w:lang w:val="en-NZ"/>
        </w:rPr>
        <w:t>Gambling agency</w:t>
      </w:r>
      <w:r w:rsidR="00EA2210">
        <w:rPr>
          <w:lang w:val="en-NZ"/>
        </w:rPr>
        <w:t xml:space="preserve"> 1</w:t>
      </w:r>
      <w:r w:rsidRPr="002F108B">
        <w:rPr>
          <w:lang w:val="en-NZ"/>
        </w:rPr>
        <w:t>)</w:t>
      </w:r>
    </w:p>
    <w:p w14:paraId="30BB2B6D" w14:textId="35F0EDF3" w:rsidR="00D54E1D" w:rsidRPr="008B0A57" w:rsidRDefault="00D54E1D" w:rsidP="00D54E1D">
      <w:pPr>
        <w:pStyle w:val="Bulletpointindented"/>
        <w:rPr>
          <w:b/>
          <w:bCs/>
          <w:lang w:val="en-NZ"/>
        </w:rPr>
      </w:pPr>
      <w:r w:rsidRPr="008B0A57">
        <w:rPr>
          <w:b/>
          <w:bCs/>
          <w:lang w:val="en-NZ"/>
        </w:rPr>
        <w:t xml:space="preserve">Integrate gambling harm </w:t>
      </w:r>
      <w:r w:rsidR="00451777">
        <w:rPr>
          <w:b/>
          <w:bCs/>
          <w:lang w:val="en-NZ"/>
        </w:rPr>
        <w:t xml:space="preserve">provider </w:t>
      </w:r>
      <w:r w:rsidRPr="008B0A57">
        <w:rPr>
          <w:b/>
          <w:bCs/>
          <w:lang w:val="en-NZ"/>
        </w:rPr>
        <w:t xml:space="preserve">services into primary care and social service settings. </w:t>
      </w:r>
    </w:p>
    <w:p w14:paraId="177DB411" w14:textId="7AD63406" w:rsidR="00D54E1D" w:rsidRPr="002F108B" w:rsidRDefault="00D54E1D" w:rsidP="00D54E1D">
      <w:pPr>
        <w:pStyle w:val="Quotes"/>
        <w:ind w:left="1080"/>
        <w:rPr>
          <w:lang w:val="en-NZ"/>
        </w:rPr>
      </w:pPr>
      <w:r w:rsidRPr="002F108B">
        <w:rPr>
          <w:lang w:val="en-NZ"/>
        </w:rPr>
        <w:t>The GP can refer someone to us</w:t>
      </w:r>
      <w:r>
        <w:rPr>
          <w:lang w:val="en-NZ"/>
        </w:rPr>
        <w:t>,</w:t>
      </w:r>
      <w:r w:rsidRPr="002F108B">
        <w:rPr>
          <w:lang w:val="en-NZ"/>
        </w:rPr>
        <w:t xml:space="preserve"> and then we can do </w:t>
      </w:r>
      <w:r>
        <w:rPr>
          <w:lang w:val="en-NZ"/>
        </w:rPr>
        <w:t xml:space="preserve">a </w:t>
      </w:r>
      <w:r w:rsidRPr="002F108B">
        <w:rPr>
          <w:lang w:val="en-NZ"/>
        </w:rPr>
        <w:t xml:space="preserve">brief intervention...It's not necessarily picking up from the person who had gambling issue, but also family members, who </w:t>
      </w:r>
      <w:r>
        <w:rPr>
          <w:lang w:val="en-NZ"/>
        </w:rPr>
        <w:t>are</w:t>
      </w:r>
      <w:r w:rsidRPr="002F108B">
        <w:rPr>
          <w:lang w:val="en-NZ"/>
        </w:rPr>
        <w:t xml:space="preserve"> feeling anxious and knowledge and the GP don't have time to really talk about those issues...Even people in food banks, budgeting services where counsellors can go to...(</w:t>
      </w:r>
      <w:r>
        <w:rPr>
          <w:lang w:val="en-NZ"/>
        </w:rPr>
        <w:t>Gambling harm service provider</w:t>
      </w:r>
      <w:r w:rsidR="00EA2210">
        <w:rPr>
          <w:lang w:val="en-NZ"/>
        </w:rPr>
        <w:t xml:space="preserve"> 1</w:t>
      </w:r>
      <w:r w:rsidRPr="002F108B">
        <w:rPr>
          <w:lang w:val="en-NZ"/>
        </w:rPr>
        <w:t>)</w:t>
      </w:r>
    </w:p>
    <w:p w14:paraId="4C719DE2" w14:textId="77777777" w:rsidR="00D54E1D" w:rsidRPr="002F108B" w:rsidRDefault="00D54E1D" w:rsidP="00D54E1D">
      <w:pPr>
        <w:rPr>
          <w:highlight w:val="yellow"/>
          <w:lang w:val="en-NZ"/>
        </w:rPr>
      </w:pPr>
      <w:r w:rsidRPr="002F108B">
        <w:rPr>
          <w:lang w:val="en-NZ"/>
        </w:rPr>
        <w:t>It is important to note that participants also highlighted the risk of gambling harm being minimised within a multi-sectoral response and a need to ensure that it remains the focus and priority area.</w:t>
      </w:r>
    </w:p>
    <w:p w14:paraId="3DC2B94C" w14:textId="61FA3228" w:rsidR="00D54E1D" w:rsidRPr="002F108B" w:rsidRDefault="00D54E1D" w:rsidP="00D54E1D">
      <w:pPr>
        <w:pStyle w:val="Quotes"/>
        <w:rPr>
          <w:lang w:val="en-NZ"/>
        </w:rPr>
      </w:pPr>
      <w:r w:rsidRPr="002F108B">
        <w:rPr>
          <w:lang w:val="en-NZ"/>
        </w:rPr>
        <w:lastRenderedPageBreak/>
        <w:t xml:space="preserve">There is real danger of it getting lost in the unknown and in amongst the whole alcohol and drug in </w:t>
      </w:r>
      <w:r>
        <w:rPr>
          <w:lang w:val="en-NZ"/>
        </w:rPr>
        <w:t xml:space="preserve">the </w:t>
      </w:r>
      <w:r w:rsidRPr="002F108B">
        <w:rPr>
          <w:lang w:val="en-NZ"/>
        </w:rPr>
        <w:t>mental health sector. (</w:t>
      </w:r>
      <w:r>
        <w:rPr>
          <w:lang w:val="en-NZ"/>
        </w:rPr>
        <w:t>Gambling harm service provider</w:t>
      </w:r>
      <w:r w:rsidR="00EA2210">
        <w:rPr>
          <w:lang w:val="en-NZ"/>
        </w:rPr>
        <w:t xml:space="preserve"> 3</w:t>
      </w:r>
      <w:r w:rsidRPr="002F108B">
        <w:rPr>
          <w:lang w:val="en-NZ"/>
        </w:rPr>
        <w:t>)</w:t>
      </w:r>
    </w:p>
    <w:p w14:paraId="61A5C1D9" w14:textId="2C99222F" w:rsidR="0052708A" w:rsidRDefault="0052708A" w:rsidP="0052708A">
      <w:pPr>
        <w:pStyle w:val="Heading2"/>
      </w:pPr>
      <w:bookmarkStart w:id="186" w:name="_Toc76469811"/>
      <w:r>
        <w:t>Objective 10 - focus on practice (intervention services)</w:t>
      </w:r>
      <w:bookmarkEnd w:id="186"/>
      <w:r w:rsidR="00D81E6D">
        <w:t xml:space="preserve"> </w:t>
      </w:r>
    </w:p>
    <w:p w14:paraId="236D43D9" w14:textId="77777777" w:rsidR="00ED6798" w:rsidRPr="00C732D1" w:rsidRDefault="00ED6798" w:rsidP="00ED6798">
      <w:r w:rsidRPr="002F108B">
        <w:rPr>
          <w:b/>
          <w:lang w:val="en-NZ"/>
        </w:rPr>
        <w:t>Objective 10</w:t>
      </w:r>
      <w:r>
        <w:rPr>
          <w:b/>
          <w:lang w:val="en-NZ"/>
        </w:rPr>
        <w:t xml:space="preserve">: </w:t>
      </w:r>
      <w:r w:rsidRPr="003611BC">
        <w:rPr>
          <w:b/>
          <w:lang w:val="en-NZ"/>
        </w:rPr>
        <w:t>People access effective treatment and support services at the right time and place.</w:t>
      </w:r>
    </w:p>
    <w:p w14:paraId="054D65D8" w14:textId="77777777" w:rsidR="00D705C8" w:rsidRDefault="00D705C8" w:rsidP="00D705C8">
      <w:pPr>
        <w:pStyle w:val="Heading3"/>
      </w:pPr>
      <w:r>
        <w:t xml:space="preserve">What does </w:t>
      </w:r>
      <w:r w:rsidRPr="009B0FB1">
        <w:t>the</w:t>
      </w:r>
      <w:r>
        <w:t xml:space="preserve"> evidence tell us?</w:t>
      </w:r>
    </w:p>
    <w:tbl>
      <w:tblPr>
        <w:tblStyle w:val="Tabledesign"/>
        <w:tblW w:w="5000" w:type="pct"/>
        <w:tblLook w:val="0480" w:firstRow="0" w:lastRow="0" w:firstColumn="1" w:lastColumn="0" w:noHBand="0" w:noVBand="1"/>
      </w:tblPr>
      <w:tblGrid>
        <w:gridCol w:w="9026"/>
      </w:tblGrid>
      <w:tr w:rsidR="00D705C8" w:rsidRPr="0080147E" w14:paraId="524C1C85" w14:textId="77777777" w:rsidTr="00A951FF">
        <w:tc>
          <w:tcPr>
            <w:cnfStyle w:val="001000000000" w:firstRow="0" w:lastRow="0" w:firstColumn="1" w:lastColumn="0" w:oddVBand="0" w:evenVBand="0" w:oddHBand="0" w:evenHBand="0" w:firstRowFirstColumn="0" w:firstRowLastColumn="0" w:lastRowFirstColumn="0" w:lastRowLastColumn="0"/>
            <w:tcW w:w="5000" w:type="pct"/>
          </w:tcPr>
          <w:p w14:paraId="0548BB75" w14:textId="0FE01640" w:rsidR="00D705C8" w:rsidRPr="0080147E" w:rsidRDefault="00D705C8" w:rsidP="00A951FF">
            <w:pPr>
              <w:rPr>
                <w:lang w:val="en-NZ"/>
              </w:rPr>
            </w:pPr>
            <w:r>
              <w:rPr>
                <w:bCs/>
                <w:lang w:val="en-NZ"/>
              </w:rPr>
              <w:t>There</w:t>
            </w:r>
            <w:r w:rsidRPr="0080147E">
              <w:rPr>
                <w:lang w:val="en-NZ"/>
              </w:rPr>
              <w:t xml:space="preserve"> </w:t>
            </w:r>
            <w:r>
              <w:rPr>
                <w:lang w:val="en-NZ"/>
              </w:rPr>
              <w:t>have been</w:t>
            </w:r>
            <w:r w:rsidRPr="0080147E">
              <w:rPr>
                <w:lang w:val="en-NZ"/>
              </w:rPr>
              <w:t xml:space="preserve"> slight decreases</w:t>
            </w:r>
            <w:r>
              <w:rPr>
                <w:lang w:val="en-NZ"/>
              </w:rPr>
              <w:t xml:space="preserve"> since 2018</w:t>
            </w:r>
            <w:r w:rsidRPr="0080147E">
              <w:rPr>
                <w:lang w:val="en-NZ"/>
              </w:rPr>
              <w:t xml:space="preserve"> in the number of clients accessing intervention services</w:t>
            </w:r>
            <w:r>
              <w:rPr>
                <w:lang w:val="en-NZ"/>
              </w:rPr>
              <w:t xml:space="preserve"> and significant decreases in those </w:t>
            </w:r>
            <w:r w:rsidRPr="0080147E">
              <w:rPr>
                <w:lang w:val="en-NZ"/>
              </w:rPr>
              <w:t xml:space="preserve">accessing the Gambling Helpline. </w:t>
            </w:r>
            <w:r w:rsidRPr="005C5506">
              <w:rPr>
                <w:lang w:val="en-NZ"/>
              </w:rPr>
              <w:t>The enablers and barriers to help-seeking remain the same – understanding the barriers within cultural contexts remains critical</w:t>
            </w:r>
            <w:r>
              <w:rPr>
                <w:lang w:val="en-NZ"/>
              </w:rPr>
              <w:t xml:space="preserve">. </w:t>
            </w:r>
            <w:r w:rsidRPr="005C5506">
              <w:rPr>
                <w:lang w:val="en-NZ"/>
              </w:rPr>
              <w:t xml:space="preserve">Gaps in gambling harm </w:t>
            </w:r>
            <w:r w:rsidR="00451777">
              <w:rPr>
                <w:lang w:val="en-NZ"/>
              </w:rPr>
              <w:t xml:space="preserve">provider </w:t>
            </w:r>
            <w:r w:rsidRPr="005C5506">
              <w:rPr>
                <w:lang w:val="en-NZ"/>
              </w:rPr>
              <w:t>services exist in relation to residential treatment services and the peer support workforce.</w:t>
            </w:r>
          </w:p>
        </w:tc>
      </w:tr>
    </w:tbl>
    <w:p w14:paraId="318632C5" w14:textId="310D0E5A" w:rsidR="00280B03" w:rsidRDefault="00852239" w:rsidP="00852239">
      <w:pPr>
        <w:pStyle w:val="Heading3"/>
      </w:pPr>
      <w:r>
        <w:t>Progress against Objective 10</w:t>
      </w:r>
    </w:p>
    <w:p w14:paraId="2A7C4C44" w14:textId="622F34DC" w:rsidR="00D705C8" w:rsidRPr="002F108B" w:rsidRDefault="00D705C8" w:rsidP="00D705C8">
      <w:pPr>
        <w:rPr>
          <w:b/>
          <w:lang w:val="en-NZ"/>
        </w:rPr>
      </w:pPr>
      <w:r w:rsidRPr="002F108B">
        <w:rPr>
          <w:lang w:val="en-NZ"/>
        </w:rPr>
        <w:t xml:space="preserve">Most gambling harm service </w:t>
      </w:r>
      <w:r w:rsidR="00451777">
        <w:rPr>
          <w:lang w:val="en-NZ"/>
        </w:rPr>
        <w:t xml:space="preserve">provider </w:t>
      </w:r>
      <w:r w:rsidRPr="002F108B">
        <w:rPr>
          <w:lang w:val="en-NZ"/>
        </w:rPr>
        <w:t xml:space="preserve">and lived experience representatives </w:t>
      </w:r>
      <w:r>
        <w:rPr>
          <w:lang w:val="en-NZ"/>
        </w:rPr>
        <w:t xml:space="preserve">and </w:t>
      </w:r>
      <w:r w:rsidR="009C0110">
        <w:rPr>
          <w:lang w:val="en-NZ"/>
        </w:rPr>
        <w:t>44% of</w:t>
      </w:r>
      <w:r>
        <w:rPr>
          <w:lang w:val="en-NZ"/>
        </w:rPr>
        <w:t xml:space="preserve"> workforce survey respondents</w:t>
      </w:r>
      <w:r>
        <w:rPr>
          <w:rStyle w:val="FootnoteReference"/>
          <w:lang w:val="en-NZ"/>
        </w:rPr>
        <w:footnoteReference w:id="44"/>
      </w:r>
      <w:r>
        <w:rPr>
          <w:lang w:val="en-NZ"/>
        </w:rPr>
        <w:t xml:space="preserve"> </w:t>
      </w:r>
      <w:r w:rsidRPr="002F108B">
        <w:rPr>
          <w:lang w:val="en-NZ"/>
        </w:rPr>
        <w:t>noted a wide range of opportunities to access services</w:t>
      </w:r>
      <w:r w:rsidR="00407077">
        <w:rPr>
          <w:lang w:val="en-NZ"/>
        </w:rPr>
        <w:t xml:space="preserve"> as progress against Objective 10</w:t>
      </w:r>
      <w:r w:rsidRPr="002F108B">
        <w:rPr>
          <w:lang w:val="en-NZ"/>
        </w:rPr>
        <w:t xml:space="preserve">. However, </w:t>
      </w:r>
      <w:r w:rsidR="00E5598B">
        <w:rPr>
          <w:lang w:val="en-NZ"/>
        </w:rPr>
        <w:t>most</w:t>
      </w:r>
      <w:r w:rsidRPr="002F108B">
        <w:rPr>
          <w:lang w:val="en-NZ"/>
        </w:rPr>
        <w:t xml:space="preserve"> gambling industry and some service and lived experience representatives </w:t>
      </w:r>
      <w:r w:rsidR="00BE198B">
        <w:rPr>
          <w:lang w:val="en-NZ"/>
        </w:rPr>
        <w:t xml:space="preserve">also </w:t>
      </w:r>
      <w:r w:rsidRPr="002F108B">
        <w:rPr>
          <w:lang w:val="en-NZ"/>
        </w:rPr>
        <w:t>emphasised limited access in rural locations and/or limited ethnic-specific service provision.</w:t>
      </w:r>
    </w:p>
    <w:p w14:paraId="7D86A93C" w14:textId="31C16006" w:rsidR="00D705C8" w:rsidRDefault="00D705C8" w:rsidP="00D705C8">
      <w:pPr>
        <w:pStyle w:val="Quotes"/>
        <w:rPr>
          <w:lang w:val="en-NZ"/>
        </w:rPr>
      </w:pPr>
      <w:r w:rsidRPr="002F108B">
        <w:rPr>
          <w:lang w:val="en-NZ"/>
        </w:rPr>
        <w:t>Yes, they do if they know about them...I think we’ve got reasonably good coverage. I know there are some areas of the community that don’t have the coverage, but there is always the Gambling Helpline. (</w:t>
      </w:r>
      <w:r w:rsidR="00EA2210">
        <w:rPr>
          <w:lang w:val="en-NZ"/>
        </w:rPr>
        <w:t>Gambling agency 2</w:t>
      </w:r>
      <w:r w:rsidRPr="002F108B">
        <w:rPr>
          <w:lang w:val="en-NZ"/>
        </w:rPr>
        <w:t>)</w:t>
      </w:r>
    </w:p>
    <w:p w14:paraId="0A5412B4" w14:textId="6652EB11" w:rsidR="00483177" w:rsidRPr="002F108B" w:rsidRDefault="00483177" w:rsidP="00D705C8">
      <w:pPr>
        <w:pStyle w:val="Quotes"/>
        <w:rPr>
          <w:lang w:val="en-NZ"/>
        </w:rPr>
      </w:pPr>
      <w:r w:rsidRPr="00483177">
        <w:rPr>
          <w:lang w:val="en-NZ"/>
        </w:rPr>
        <w:t>There isn't enough help providers in more suburbs, gambling also is big with elderly see them mostly in gambling venues they need help because they're lonely</w:t>
      </w:r>
      <w:r>
        <w:rPr>
          <w:lang w:val="en-NZ"/>
        </w:rPr>
        <w:t>. (Client survey respondent)</w:t>
      </w:r>
    </w:p>
    <w:p w14:paraId="32176F83" w14:textId="51151703" w:rsidR="00D705C8" w:rsidRDefault="00280B03" w:rsidP="00D705C8">
      <w:pPr>
        <w:pStyle w:val="Heading3"/>
      </w:pPr>
      <w:r>
        <w:t>Strengthening progress against Objective 10</w:t>
      </w:r>
    </w:p>
    <w:p w14:paraId="69E1CD5D" w14:textId="484990B7" w:rsidR="00D705C8" w:rsidRPr="002F108B" w:rsidRDefault="00603758" w:rsidP="00D705C8">
      <w:pPr>
        <w:rPr>
          <w:b/>
          <w:lang w:val="en-NZ"/>
        </w:rPr>
      </w:pPr>
      <w:r>
        <w:rPr>
          <w:b/>
          <w:lang w:val="en-NZ"/>
        </w:rPr>
        <w:t>Strengthen</w:t>
      </w:r>
      <w:r w:rsidR="00D705C8" w:rsidRPr="002F108B">
        <w:rPr>
          <w:b/>
          <w:lang w:val="en-NZ"/>
        </w:rPr>
        <w:t xml:space="preserve"> service provision for: </w:t>
      </w:r>
    </w:p>
    <w:p w14:paraId="169068D7" w14:textId="43F1E74A" w:rsidR="00D705C8" w:rsidRPr="002F108B" w:rsidRDefault="00D705C8" w:rsidP="00D705C8">
      <w:pPr>
        <w:pStyle w:val="Bulletpointindented"/>
        <w:rPr>
          <w:lang w:val="en-NZ"/>
        </w:rPr>
      </w:pPr>
      <w:r w:rsidRPr="002F108B">
        <w:rPr>
          <w:b/>
          <w:lang w:val="en-NZ"/>
        </w:rPr>
        <w:t xml:space="preserve">Relapse and drop-out clients: </w:t>
      </w:r>
      <w:r w:rsidRPr="002F108B">
        <w:rPr>
          <w:lang w:val="en-NZ"/>
        </w:rPr>
        <w:t xml:space="preserve">Gambling harm service </w:t>
      </w:r>
      <w:r w:rsidR="00451777">
        <w:rPr>
          <w:lang w:val="en-NZ"/>
        </w:rPr>
        <w:t>provider</w:t>
      </w:r>
      <w:r w:rsidR="00451777" w:rsidRPr="002F108B">
        <w:rPr>
          <w:lang w:val="en-NZ"/>
        </w:rPr>
        <w:t xml:space="preserve"> </w:t>
      </w:r>
      <w:r w:rsidRPr="002F108B">
        <w:rPr>
          <w:lang w:val="en-NZ"/>
        </w:rPr>
        <w:t>and agency representatives noted a lack of emphasis and understanding within services to address gambling harm and related issues for clients who relapse and/or drop-out out of service interventions early.</w:t>
      </w:r>
      <w:r w:rsidR="00D81E6D">
        <w:rPr>
          <w:lang w:val="en-NZ"/>
        </w:rPr>
        <w:t xml:space="preserve"> </w:t>
      </w:r>
    </w:p>
    <w:p w14:paraId="3D12C3D7" w14:textId="1DB495B8" w:rsidR="00D705C8" w:rsidRPr="002F108B" w:rsidRDefault="00D705C8" w:rsidP="00D705C8">
      <w:pPr>
        <w:pStyle w:val="Quotes"/>
        <w:ind w:left="1080"/>
        <w:rPr>
          <w:lang w:val="en-NZ"/>
        </w:rPr>
      </w:pPr>
      <w:r w:rsidRPr="002F108B">
        <w:rPr>
          <w:lang w:val="en-NZ"/>
        </w:rPr>
        <w:t>We have these people who are having problems and cycling in and out of them. And we still don’t have a really good handle on it and the experience of relapse. (Gambling agency</w:t>
      </w:r>
      <w:r w:rsidR="00EA2210">
        <w:rPr>
          <w:lang w:val="en-NZ"/>
        </w:rPr>
        <w:t xml:space="preserve"> 2</w:t>
      </w:r>
      <w:r w:rsidRPr="002F108B">
        <w:rPr>
          <w:lang w:val="en-NZ"/>
        </w:rPr>
        <w:t xml:space="preserve">) </w:t>
      </w:r>
    </w:p>
    <w:p w14:paraId="76F35022" w14:textId="47C0B33A" w:rsidR="00D705C8" w:rsidRPr="002F108B" w:rsidRDefault="00D705C8" w:rsidP="00D705C8">
      <w:pPr>
        <w:pStyle w:val="Bulletpointindented"/>
        <w:rPr>
          <w:lang w:val="en-NZ"/>
        </w:rPr>
      </w:pPr>
      <w:r w:rsidRPr="002F108B">
        <w:rPr>
          <w:b/>
          <w:lang w:val="en-NZ"/>
        </w:rPr>
        <w:lastRenderedPageBreak/>
        <w:t xml:space="preserve">Whānau /families: </w:t>
      </w:r>
      <w:r w:rsidRPr="002F108B">
        <w:rPr>
          <w:lang w:val="en-NZ"/>
        </w:rPr>
        <w:t xml:space="preserve">Gambling harm service </w:t>
      </w:r>
      <w:r w:rsidR="00451777">
        <w:rPr>
          <w:lang w:val="en-NZ"/>
        </w:rPr>
        <w:t>provider</w:t>
      </w:r>
      <w:r w:rsidR="00451777" w:rsidRPr="002F108B">
        <w:rPr>
          <w:lang w:val="en-NZ"/>
        </w:rPr>
        <w:t xml:space="preserve"> </w:t>
      </w:r>
      <w:r w:rsidRPr="002F108B">
        <w:rPr>
          <w:lang w:val="en-NZ"/>
        </w:rPr>
        <w:t>and agency representatives noted that interventions mostly focused on adult harmful gamblers and affected others. A lack of services and adequate whānau/family group interventions</w:t>
      </w:r>
      <w:r>
        <w:rPr>
          <w:lang w:val="en-NZ"/>
        </w:rPr>
        <w:t>,</w:t>
      </w:r>
      <w:r w:rsidRPr="002F108B">
        <w:rPr>
          <w:lang w:val="en-NZ"/>
        </w:rPr>
        <w:t xml:space="preserve"> particularly for children affected by gambling harm</w:t>
      </w:r>
      <w:r>
        <w:rPr>
          <w:lang w:val="en-NZ"/>
        </w:rPr>
        <w:t>,</w:t>
      </w:r>
      <w:r w:rsidRPr="002F108B">
        <w:rPr>
          <w:lang w:val="en-NZ"/>
        </w:rPr>
        <w:t xml:space="preserve"> were identified as critical risks to preventing and minimising gambling harm.</w:t>
      </w:r>
    </w:p>
    <w:p w14:paraId="6F562182" w14:textId="77777777" w:rsidR="00D705C8" w:rsidRPr="002F108B" w:rsidRDefault="00D705C8" w:rsidP="00D705C8">
      <w:pPr>
        <w:pStyle w:val="Quotes"/>
        <w:ind w:left="1080"/>
        <w:rPr>
          <w:lang w:val="en-NZ"/>
        </w:rPr>
      </w:pPr>
      <w:r w:rsidRPr="002F108B">
        <w:rPr>
          <w:lang w:val="en-NZ"/>
        </w:rPr>
        <w:t xml:space="preserve">I haven't seen anything about addressing the well being </w:t>
      </w:r>
      <w:r>
        <w:rPr>
          <w:lang w:val="en-NZ"/>
        </w:rPr>
        <w:t>of</w:t>
      </w:r>
      <w:r w:rsidRPr="002F108B">
        <w:rPr>
          <w:lang w:val="en-NZ"/>
        </w:rPr>
        <w:t xml:space="preserve"> children and young people. When there is gambling harm, there's family harm. (Lived experience representative)</w:t>
      </w:r>
    </w:p>
    <w:p w14:paraId="56506D7D" w14:textId="474F53C4" w:rsidR="00D705C8" w:rsidRPr="002F108B" w:rsidRDefault="00D705C8" w:rsidP="00D705C8">
      <w:pPr>
        <w:pStyle w:val="Quotes"/>
        <w:ind w:left="1080"/>
        <w:rPr>
          <w:lang w:val="en-NZ"/>
        </w:rPr>
      </w:pPr>
      <w:r w:rsidRPr="002F108B">
        <w:rPr>
          <w:lang w:val="en-NZ"/>
        </w:rPr>
        <w:t>Research showed that even though we theoretically offer these services to families actually the uptake is pretty low. And when families do contact us</w:t>
      </w:r>
      <w:r>
        <w:rPr>
          <w:lang w:val="en-NZ"/>
        </w:rPr>
        <w:t>,</w:t>
      </w:r>
      <w:r w:rsidRPr="002F108B">
        <w:rPr>
          <w:lang w:val="en-NZ"/>
        </w:rPr>
        <w:t xml:space="preserve"> it seems to be that brief one-off intervention or conversation in a community setting, and they’re not really getting that kind of in-depth engagement. (Gambling agency</w:t>
      </w:r>
      <w:r w:rsidR="00EA2210">
        <w:rPr>
          <w:lang w:val="en-NZ"/>
        </w:rPr>
        <w:t xml:space="preserve"> 2</w:t>
      </w:r>
      <w:r w:rsidRPr="002F108B">
        <w:rPr>
          <w:lang w:val="en-NZ"/>
        </w:rPr>
        <w:t>)</w:t>
      </w:r>
    </w:p>
    <w:p w14:paraId="66853896" w14:textId="06587969" w:rsidR="00D705C8" w:rsidRPr="002F108B" w:rsidRDefault="00D705C8" w:rsidP="00D705C8">
      <w:pPr>
        <w:pStyle w:val="Bulletpointindented"/>
        <w:rPr>
          <w:lang w:val="en-NZ"/>
        </w:rPr>
      </w:pPr>
      <w:r w:rsidRPr="002F108B">
        <w:rPr>
          <w:b/>
          <w:lang w:val="en-NZ"/>
        </w:rPr>
        <w:t xml:space="preserve">Gaming and gambling: </w:t>
      </w:r>
      <w:r>
        <w:rPr>
          <w:lang w:val="en-NZ"/>
        </w:rPr>
        <w:t>Gambling agency</w:t>
      </w:r>
      <w:r w:rsidRPr="002F108B">
        <w:rPr>
          <w:lang w:val="en-NZ"/>
        </w:rPr>
        <w:t xml:space="preserve">, service provider and lived experience participants highlighted </w:t>
      </w:r>
      <w:r>
        <w:rPr>
          <w:lang w:val="en-NZ"/>
        </w:rPr>
        <w:t xml:space="preserve">an </w:t>
      </w:r>
      <w:r w:rsidRPr="002F108B">
        <w:rPr>
          <w:lang w:val="en-NZ"/>
        </w:rPr>
        <w:t xml:space="preserve">increasing number of parents asking for support for young people </w:t>
      </w:r>
      <w:r w:rsidRPr="008C0501">
        <w:rPr>
          <w:rStyle w:val="QuotesChar"/>
        </w:rPr>
        <w:t>‘addicted’</w:t>
      </w:r>
      <w:r w:rsidRPr="002F108B">
        <w:rPr>
          <w:lang w:val="en-NZ"/>
        </w:rPr>
        <w:t xml:space="preserve"> to gaming. The response to this within Aotearoa New Zealand</w:t>
      </w:r>
      <w:r>
        <w:rPr>
          <w:lang w:val="en-NZ"/>
        </w:rPr>
        <w:t>,</w:t>
      </w:r>
      <w:r w:rsidRPr="002F108B">
        <w:rPr>
          <w:lang w:val="en-NZ"/>
        </w:rPr>
        <w:t xml:space="preserve"> was considered slow.</w:t>
      </w:r>
      <w:r w:rsidR="00D81E6D">
        <w:rPr>
          <w:lang w:val="en-NZ"/>
        </w:rPr>
        <w:t xml:space="preserve"> </w:t>
      </w:r>
    </w:p>
    <w:p w14:paraId="1FD8CD14" w14:textId="5DD5B267" w:rsidR="00D705C8" w:rsidRPr="002F108B" w:rsidRDefault="00D705C8" w:rsidP="00D705C8">
      <w:pPr>
        <w:pStyle w:val="Quotes"/>
        <w:ind w:left="1080"/>
        <w:rPr>
          <w:lang w:val="en-NZ"/>
        </w:rPr>
      </w:pPr>
      <w:r w:rsidRPr="002F108B">
        <w:rPr>
          <w:lang w:val="en-NZ"/>
        </w:rPr>
        <w:t xml:space="preserve">I get contacted all the time, </w:t>
      </w:r>
      <w:r w:rsidR="00AA527B">
        <w:rPr>
          <w:lang w:val="en-NZ"/>
        </w:rPr>
        <w:t>‘I</w:t>
      </w:r>
      <w:r w:rsidRPr="002F108B">
        <w:rPr>
          <w:lang w:val="en-NZ"/>
        </w:rPr>
        <w:t>s there someone that I can get to see my children who are having real problems [with gaming]</w:t>
      </w:r>
      <w:r w:rsidR="00AA527B">
        <w:rPr>
          <w:lang w:val="en-NZ"/>
        </w:rPr>
        <w:t>’</w:t>
      </w:r>
      <w:r w:rsidRPr="002F108B">
        <w:rPr>
          <w:lang w:val="en-NZ"/>
        </w:rPr>
        <w:t>...It's a behavio</w:t>
      </w:r>
      <w:r>
        <w:rPr>
          <w:lang w:val="en-NZ"/>
        </w:rPr>
        <w:t>u</w:t>
      </w:r>
      <w:r w:rsidRPr="002F108B">
        <w:rPr>
          <w:lang w:val="en-NZ"/>
        </w:rPr>
        <w:t>ral addiction</w:t>
      </w:r>
      <w:r>
        <w:rPr>
          <w:lang w:val="en-NZ"/>
        </w:rPr>
        <w:t>. I</w:t>
      </w:r>
      <w:r w:rsidRPr="002F108B">
        <w:rPr>
          <w:lang w:val="en-NZ"/>
        </w:rPr>
        <w:t>t has all the same things as gambling</w:t>
      </w:r>
      <w:r>
        <w:rPr>
          <w:lang w:val="en-NZ"/>
        </w:rPr>
        <w:t>. W</w:t>
      </w:r>
      <w:r w:rsidRPr="002F108B">
        <w:rPr>
          <w:lang w:val="en-NZ"/>
        </w:rPr>
        <w:t xml:space="preserve">hy can't our services be seeing them and providing free service for them as well? Preventing a future </w:t>
      </w:r>
      <w:r w:rsidR="00AA527B">
        <w:rPr>
          <w:lang w:val="en-NZ"/>
        </w:rPr>
        <w:t xml:space="preserve">[harmful] </w:t>
      </w:r>
      <w:r w:rsidRPr="002F108B">
        <w:rPr>
          <w:lang w:val="en-NZ"/>
        </w:rPr>
        <w:t>gambling cohort. (</w:t>
      </w:r>
      <w:r>
        <w:rPr>
          <w:lang w:val="en-NZ"/>
        </w:rPr>
        <w:t>Gambling harm service provider</w:t>
      </w:r>
      <w:r w:rsidR="0090399E">
        <w:rPr>
          <w:lang w:val="en-NZ"/>
        </w:rPr>
        <w:t xml:space="preserve"> 6</w:t>
      </w:r>
      <w:r w:rsidRPr="002F108B">
        <w:rPr>
          <w:lang w:val="en-NZ"/>
        </w:rPr>
        <w:t>)</w:t>
      </w:r>
    </w:p>
    <w:p w14:paraId="5B403209" w14:textId="69543AE4" w:rsidR="00D705C8" w:rsidRPr="002F108B" w:rsidRDefault="00D705C8" w:rsidP="00D705C8">
      <w:pPr>
        <w:pStyle w:val="Quotes"/>
        <w:ind w:left="1080"/>
        <w:rPr>
          <w:lang w:val="en-NZ"/>
        </w:rPr>
      </w:pPr>
      <w:r w:rsidRPr="002F108B">
        <w:rPr>
          <w:lang w:val="en-NZ"/>
        </w:rPr>
        <w:t>We have a lot of family calling our service complaining about their children gaming...They have no place to go because there's no service currently addressing gaming problems, especially with young people...They became aggressive if the family turn off Wi</w:t>
      </w:r>
      <w:r>
        <w:rPr>
          <w:lang w:val="en-NZ"/>
        </w:rPr>
        <w:t>-</w:t>
      </w:r>
      <w:r w:rsidRPr="002F108B">
        <w:rPr>
          <w:lang w:val="en-NZ"/>
        </w:rPr>
        <w:t>Fi...They</w:t>
      </w:r>
      <w:r w:rsidR="00114096">
        <w:rPr>
          <w:lang w:val="en-NZ"/>
        </w:rPr>
        <w:t xml:space="preserve"> </w:t>
      </w:r>
      <w:r w:rsidRPr="002F108B">
        <w:rPr>
          <w:lang w:val="en-NZ"/>
        </w:rPr>
        <w:t>became someone else</w:t>
      </w:r>
      <w:r w:rsidR="00114096">
        <w:rPr>
          <w:lang w:val="en-NZ"/>
        </w:rPr>
        <w:t>…</w:t>
      </w:r>
      <w:r w:rsidRPr="002F108B">
        <w:rPr>
          <w:lang w:val="en-NZ"/>
        </w:rPr>
        <w:t>violence as well. That's not understood by a lot of people. (</w:t>
      </w:r>
      <w:r>
        <w:rPr>
          <w:lang w:val="en-NZ"/>
        </w:rPr>
        <w:t>Gambling harm service provider</w:t>
      </w:r>
      <w:r w:rsidR="0090399E">
        <w:rPr>
          <w:lang w:val="en-NZ"/>
        </w:rPr>
        <w:t xml:space="preserve"> 1</w:t>
      </w:r>
      <w:r w:rsidRPr="002F108B">
        <w:rPr>
          <w:lang w:val="en-NZ"/>
        </w:rPr>
        <w:t>)</w:t>
      </w:r>
    </w:p>
    <w:p w14:paraId="48CC5ED5" w14:textId="137DE133" w:rsidR="00D705C8" w:rsidRPr="002F108B" w:rsidRDefault="00D705C8" w:rsidP="00D705C8">
      <w:pPr>
        <w:pStyle w:val="Bulletpointindented"/>
        <w:rPr>
          <w:lang w:val="en-NZ"/>
        </w:rPr>
      </w:pPr>
      <w:r w:rsidRPr="002F108B">
        <w:rPr>
          <w:b/>
          <w:lang w:val="en-NZ"/>
        </w:rPr>
        <w:t xml:space="preserve">Online self-help and intervention services: </w:t>
      </w:r>
      <w:r w:rsidRPr="002F108B">
        <w:rPr>
          <w:lang w:val="en-NZ"/>
        </w:rPr>
        <w:t xml:space="preserve">Participants across </w:t>
      </w:r>
      <w:r>
        <w:rPr>
          <w:bCs/>
          <w:lang w:val="en-NZ"/>
        </w:rPr>
        <w:t xml:space="preserve">the </w:t>
      </w:r>
      <w:r w:rsidRPr="002F108B">
        <w:rPr>
          <w:lang w:val="en-NZ"/>
        </w:rPr>
        <w:t>gambling harm stakeholder group indicated that Aote</w:t>
      </w:r>
      <w:r>
        <w:rPr>
          <w:lang w:val="en-NZ"/>
        </w:rPr>
        <w:t>ar</w:t>
      </w:r>
      <w:r w:rsidRPr="002F108B">
        <w:rPr>
          <w:lang w:val="en-NZ"/>
        </w:rPr>
        <w:t>oa New Zealand’s gambling sector is not well prepared to respond to the growing prevalence of online gambling.</w:t>
      </w:r>
    </w:p>
    <w:p w14:paraId="635EE9DE" w14:textId="233E50D0" w:rsidR="00D705C8" w:rsidRDefault="00D705C8" w:rsidP="00D705C8">
      <w:pPr>
        <w:pStyle w:val="Quotes"/>
        <w:ind w:left="1080"/>
        <w:rPr>
          <w:lang w:val="en-NZ"/>
        </w:rPr>
      </w:pPr>
      <w:r w:rsidRPr="002F108B">
        <w:rPr>
          <w:lang w:val="en-NZ"/>
        </w:rPr>
        <w:t>We're not really prepared...Trying to get information from all the research done. What's going to happen? How's it going to be rolled out? All the contracts are going to be needed to be changed around because we also have to engage in an online way and develop online digital platforms. (</w:t>
      </w:r>
      <w:r>
        <w:rPr>
          <w:lang w:val="en-NZ"/>
        </w:rPr>
        <w:t>Gambling harm service provider</w:t>
      </w:r>
      <w:r w:rsidR="0090399E">
        <w:rPr>
          <w:lang w:val="en-NZ"/>
        </w:rPr>
        <w:t xml:space="preserve"> 6</w:t>
      </w:r>
      <w:r w:rsidRPr="002F108B">
        <w:rPr>
          <w:lang w:val="en-NZ"/>
        </w:rPr>
        <w:t>)</w:t>
      </w:r>
    </w:p>
    <w:p w14:paraId="41997A2A" w14:textId="4C31A679" w:rsidR="00AC1755" w:rsidRPr="002F108B" w:rsidRDefault="009C0874" w:rsidP="00AC1755">
      <w:pPr>
        <w:rPr>
          <w:lang w:val="en-NZ"/>
        </w:rPr>
      </w:pPr>
      <w:r>
        <w:rPr>
          <w:b/>
          <w:lang w:val="en-NZ"/>
        </w:rPr>
        <w:t>Integrate responses for c</w:t>
      </w:r>
      <w:r w:rsidR="00AC1755" w:rsidRPr="002F108B">
        <w:rPr>
          <w:b/>
          <w:lang w:val="en-NZ"/>
        </w:rPr>
        <w:t>omorbidities and co</w:t>
      </w:r>
      <w:r w:rsidR="00DB0AD0">
        <w:rPr>
          <w:b/>
          <w:lang w:val="en-NZ"/>
        </w:rPr>
        <w:t>-</w:t>
      </w:r>
      <w:r w:rsidR="00AC1755" w:rsidRPr="002F108B">
        <w:rPr>
          <w:b/>
          <w:lang w:val="en-NZ"/>
        </w:rPr>
        <w:t xml:space="preserve">existing issues: </w:t>
      </w:r>
      <w:r w:rsidR="00AC1755" w:rsidRPr="002F108B">
        <w:rPr>
          <w:lang w:val="en-NZ"/>
        </w:rPr>
        <w:t xml:space="preserve">Gambling harm service </w:t>
      </w:r>
      <w:r w:rsidR="00451777">
        <w:rPr>
          <w:lang w:val="en-NZ"/>
        </w:rPr>
        <w:t>provider</w:t>
      </w:r>
      <w:r w:rsidR="00451777" w:rsidRPr="002F108B">
        <w:rPr>
          <w:lang w:val="en-NZ"/>
        </w:rPr>
        <w:t xml:space="preserve"> </w:t>
      </w:r>
      <w:r w:rsidR="00AC1755" w:rsidRPr="002F108B">
        <w:rPr>
          <w:lang w:val="en-NZ"/>
        </w:rPr>
        <w:t xml:space="preserve">and agency representatives noted that siloed responses for clients with complex, comorbid and co-existing issues were not efficient and described the need for clients to re-share their stories with multiple providers as re-traumatising. </w:t>
      </w:r>
    </w:p>
    <w:p w14:paraId="37F06D48" w14:textId="5DF4D7B0" w:rsidR="00AC1755" w:rsidRPr="002F108B" w:rsidRDefault="00AC1755" w:rsidP="00AC1755">
      <w:pPr>
        <w:pStyle w:val="Quotes"/>
        <w:rPr>
          <w:lang w:val="en-NZ"/>
        </w:rPr>
      </w:pPr>
      <w:r w:rsidRPr="002F108B">
        <w:rPr>
          <w:lang w:val="en-NZ"/>
        </w:rPr>
        <w:t xml:space="preserve">I </w:t>
      </w:r>
      <w:r w:rsidRPr="002F108B">
        <w:rPr>
          <w:rStyle w:val="QuotesChar"/>
          <w:i/>
          <w:lang w:val="en-NZ"/>
        </w:rPr>
        <w:t xml:space="preserve">think they need to stop working in silos...so [clients] can go between the two [e.g. gambling and alcohol services], [agencies/teams] can work with each other. </w:t>
      </w:r>
      <w:r w:rsidRPr="002F108B">
        <w:rPr>
          <w:lang w:val="en-NZ"/>
        </w:rPr>
        <w:t>If it wasn't so rigid, you could potentially bring in other people who have the potential or are in the [gambling] space. (</w:t>
      </w:r>
      <w:r>
        <w:rPr>
          <w:lang w:val="en-NZ"/>
        </w:rPr>
        <w:t>Gambling harm service provider</w:t>
      </w:r>
      <w:r w:rsidR="0090399E">
        <w:rPr>
          <w:lang w:val="en-NZ"/>
        </w:rPr>
        <w:t xml:space="preserve"> 8</w:t>
      </w:r>
      <w:r w:rsidRPr="002F108B">
        <w:rPr>
          <w:lang w:val="en-NZ"/>
        </w:rPr>
        <w:t>)</w:t>
      </w:r>
    </w:p>
    <w:p w14:paraId="1D9D3CB3" w14:textId="3B6DCCC0" w:rsidR="00AC1755" w:rsidRDefault="00AC1755" w:rsidP="00AC1755">
      <w:pPr>
        <w:pStyle w:val="Quotes"/>
      </w:pPr>
      <w:r w:rsidRPr="002F108B">
        <w:rPr>
          <w:lang w:val="en-NZ"/>
        </w:rPr>
        <w:lastRenderedPageBreak/>
        <w:t>...Our gambling treatment services are funded only to treat gambling problems, gambling harms, people with gambling problems, and yet gambling problems don’t exist on their own. They co</w:t>
      </w:r>
      <w:r w:rsidR="00DB0AD0">
        <w:rPr>
          <w:lang w:val="en-NZ"/>
        </w:rPr>
        <w:t>-</w:t>
      </w:r>
      <w:r w:rsidRPr="002F108B">
        <w:rPr>
          <w:lang w:val="en-NZ"/>
        </w:rPr>
        <w:t>exist with mental health problems</w:t>
      </w:r>
      <w:r>
        <w:rPr>
          <w:lang w:val="en-NZ"/>
        </w:rPr>
        <w:t>. T</w:t>
      </w:r>
      <w:r w:rsidRPr="002F108B">
        <w:rPr>
          <w:lang w:val="en-NZ"/>
        </w:rPr>
        <w:t>hey co</w:t>
      </w:r>
      <w:r w:rsidR="00DB0AD0">
        <w:rPr>
          <w:lang w:val="en-NZ"/>
        </w:rPr>
        <w:t>-</w:t>
      </w:r>
      <w:r w:rsidRPr="002F108B">
        <w:rPr>
          <w:lang w:val="en-NZ"/>
        </w:rPr>
        <w:t>exist with substance abuse</w:t>
      </w:r>
      <w:r>
        <w:rPr>
          <w:lang w:val="en-NZ"/>
        </w:rPr>
        <w:t>. T</w:t>
      </w:r>
      <w:r w:rsidRPr="002F108B">
        <w:rPr>
          <w:lang w:val="en-NZ"/>
        </w:rPr>
        <w:t>hey co</w:t>
      </w:r>
      <w:r w:rsidR="00DB0AD0">
        <w:rPr>
          <w:lang w:val="en-NZ"/>
        </w:rPr>
        <w:t>-</w:t>
      </w:r>
      <w:r w:rsidRPr="002F108B">
        <w:rPr>
          <w:lang w:val="en-NZ"/>
        </w:rPr>
        <w:t>exist with all sorts of things, family violence...That person goes to see the alcohol counsellor, and they have to repeat their story all over again...You’ve got to go through that whole traumatic story all over again...There needs to be some way that the services work together. I understand the funding model and gambling funding [are] separate because of the levy. But there must still be a way where you can have gambling treatment services, where information is shared. (Gambling agency</w:t>
      </w:r>
      <w:r w:rsidR="0090399E">
        <w:rPr>
          <w:lang w:val="en-NZ"/>
        </w:rPr>
        <w:t xml:space="preserve"> 2</w:t>
      </w:r>
      <w:r w:rsidRPr="002F108B">
        <w:rPr>
          <w:lang w:val="en-NZ"/>
        </w:rPr>
        <w:t>)</w:t>
      </w:r>
    </w:p>
    <w:p w14:paraId="62AEEBE8" w14:textId="39F73103" w:rsidR="00D705C8" w:rsidRDefault="00D705C8" w:rsidP="00D705C8">
      <w:pPr>
        <w:pStyle w:val="Heading2"/>
      </w:pPr>
      <w:bookmarkStart w:id="187" w:name="_Toc76469812"/>
      <w:r>
        <w:t>Objectives 5, 8 and 9</w:t>
      </w:r>
      <w:r w:rsidR="00617F33">
        <w:t xml:space="preserve"> - focus on practice (public health)</w:t>
      </w:r>
      <w:bookmarkEnd w:id="187"/>
      <w:r w:rsidR="00617F33">
        <w:t xml:space="preserve"> </w:t>
      </w:r>
    </w:p>
    <w:p w14:paraId="556AEA57" w14:textId="77777777" w:rsidR="006B3797" w:rsidRPr="006B3797" w:rsidRDefault="006B3797" w:rsidP="006B3797">
      <w:pPr>
        <w:rPr>
          <w:b/>
          <w:bCs/>
          <w:lang w:val="en-US"/>
        </w:rPr>
      </w:pPr>
      <w:r w:rsidRPr="006B3797">
        <w:rPr>
          <w:b/>
          <w:bCs/>
          <w:lang w:val="en-NZ"/>
        </w:rPr>
        <w:t>Objective 5: People understand and acknowledge the range of gambling harms that affect individuals, families, whānau and communities.</w:t>
      </w:r>
    </w:p>
    <w:p w14:paraId="4E6A0C69" w14:textId="23F9E20A" w:rsidR="006B3797" w:rsidRPr="006B3797" w:rsidRDefault="006B3797" w:rsidP="006B3797">
      <w:pPr>
        <w:rPr>
          <w:b/>
          <w:bCs/>
          <w:lang w:val="en-NZ"/>
        </w:rPr>
      </w:pPr>
      <w:r w:rsidRPr="006B3797">
        <w:rPr>
          <w:b/>
          <w:bCs/>
          <w:lang w:val="en-NZ"/>
        </w:rPr>
        <w:t>Objective 8: Gambling environments are designed to prevent and minimise gambling harm.</w:t>
      </w:r>
    </w:p>
    <w:p w14:paraId="77B022FF" w14:textId="77777777" w:rsidR="006B3797" w:rsidRPr="006B3797" w:rsidRDefault="006B3797" w:rsidP="006B3797">
      <w:pPr>
        <w:rPr>
          <w:b/>
          <w:bCs/>
          <w:lang w:val="en-US"/>
        </w:rPr>
      </w:pPr>
      <w:r w:rsidRPr="006B3797">
        <w:rPr>
          <w:b/>
          <w:bCs/>
          <w:lang w:val="en-NZ"/>
        </w:rPr>
        <w:t>Objective 9: Services raise awareness about the signs and range of gambling harms that affect individuals, families, whānau and communities, and how to respond.</w:t>
      </w:r>
    </w:p>
    <w:p w14:paraId="6B9D1731" w14:textId="77777777" w:rsidR="00D705C8" w:rsidRDefault="00D705C8" w:rsidP="00D705C8">
      <w:pPr>
        <w:pStyle w:val="Heading3"/>
      </w:pPr>
      <w:r>
        <w:t>What does the evidence tell us?</w:t>
      </w:r>
    </w:p>
    <w:tbl>
      <w:tblPr>
        <w:tblStyle w:val="MITableClassic"/>
        <w:tblW w:w="5000" w:type="pct"/>
        <w:tblLook w:val="0480" w:firstRow="0" w:lastRow="0" w:firstColumn="1" w:lastColumn="0" w:noHBand="0" w:noVBand="1"/>
      </w:tblPr>
      <w:tblGrid>
        <w:gridCol w:w="9026"/>
      </w:tblGrid>
      <w:tr w:rsidR="00D705C8" w:rsidRPr="0080147E" w14:paraId="17D01F51" w14:textId="77777777" w:rsidTr="00F90329">
        <w:tc>
          <w:tcPr>
            <w:cnfStyle w:val="001000000000" w:firstRow="0" w:lastRow="0" w:firstColumn="1" w:lastColumn="0" w:oddVBand="0" w:evenVBand="0" w:oddHBand="0" w:evenHBand="0" w:firstRowFirstColumn="0" w:firstRowLastColumn="0" w:lastRowFirstColumn="0" w:lastRowLastColumn="0"/>
            <w:tcW w:w="5000" w:type="pct"/>
          </w:tcPr>
          <w:p w14:paraId="048FB2EF" w14:textId="628DA423" w:rsidR="00D705C8" w:rsidRPr="0080147E" w:rsidRDefault="00C4115D" w:rsidP="00A951FF">
            <w:pPr>
              <w:rPr>
                <w:lang w:val="en-NZ"/>
              </w:rPr>
            </w:pPr>
            <w:r>
              <w:rPr>
                <w:lang w:val="en-NZ"/>
              </w:rPr>
              <w:t>Much evidence infers that supporting</w:t>
            </w:r>
            <w:r w:rsidRPr="00315B28">
              <w:rPr>
                <w:lang w:val="en-NZ"/>
              </w:rPr>
              <w:t xml:space="preserve"> </w:t>
            </w:r>
            <w:r w:rsidR="00D705C8" w:rsidRPr="00315B28">
              <w:rPr>
                <w:lang w:val="en-NZ"/>
              </w:rPr>
              <w:t>one social problem (i.e.</w:t>
            </w:r>
            <w:r w:rsidR="00D705C8">
              <w:rPr>
                <w:lang w:val="en-NZ"/>
              </w:rPr>
              <w:t>,</w:t>
            </w:r>
            <w:r w:rsidR="00D705C8" w:rsidRPr="00315B28">
              <w:rPr>
                <w:lang w:val="en-NZ"/>
              </w:rPr>
              <w:t xml:space="preserve"> distributing gambling funds to community and sports groups) through the support/creation of another (harmful gambling and expenditure) is not real progress for our society.</w:t>
            </w:r>
            <w:r w:rsidR="00D705C8">
              <w:rPr>
                <w:lang w:val="en-NZ"/>
              </w:rPr>
              <w:t xml:space="preserve"> </w:t>
            </w:r>
            <w:r w:rsidR="00D705C8" w:rsidRPr="0080147E">
              <w:rPr>
                <w:lang w:val="en-NZ"/>
              </w:rPr>
              <w:t>Class 4 EGMs remain the most commonly cited mode of gambling, causing harm for those seeking support (for gamblers and affected others). The enablers and barriers to help-seeking remain the same – understanding the barriers within cultural contexts remains critical.</w:t>
            </w:r>
          </w:p>
        </w:tc>
      </w:tr>
    </w:tbl>
    <w:p w14:paraId="1FE80633" w14:textId="131FC5C7" w:rsidR="00D705C8" w:rsidRDefault="00F447D4" w:rsidP="00D705C8">
      <w:pPr>
        <w:pStyle w:val="Heading3"/>
      </w:pPr>
      <w:r>
        <w:t>Progress against Objectives 5, 8 and 9</w:t>
      </w:r>
    </w:p>
    <w:p w14:paraId="2342A28E" w14:textId="0FDF0FA9" w:rsidR="00D705C8" w:rsidRPr="002F108B" w:rsidRDefault="00D705C8" w:rsidP="00D705C8">
      <w:pPr>
        <w:rPr>
          <w:lang w:val="en-NZ"/>
        </w:rPr>
      </w:pPr>
      <w:r w:rsidRPr="002F108B">
        <w:rPr>
          <w:lang w:val="en-NZ"/>
        </w:rPr>
        <w:t xml:space="preserve">Interviewed participants from all gambling stakeholder groups </w:t>
      </w:r>
      <w:r>
        <w:rPr>
          <w:lang w:val="en-NZ"/>
        </w:rPr>
        <w:t xml:space="preserve">and </w:t>
      </w:r>
      <w:r w:rsidR="0070549A">
        <w:rPr>
          <w:lang w:val="en-NZ"/>
        </w:rPr>
        <w:t>43%</w:t>
      </w:r>
      <w:r>
        <w:rPr>
          <w:lang w:val="en-NZ"/>
        </w:rPr>
        <w:t xml:space="preserve"> of the workforce survey respondents</w:t>
      </w:r>
      <w:r>
        <w:rPr>
          <w:rStyle w:val="FootnoteReference"/>
          <w:lang w:val="en-NZ"/>
        </w:rPr>
        <w:footnoteReference w:id="45"/>
      </w:r>
      <w:r>
        <w:rPr>
          <w:lang w:val="en-NZ"/>
        </w:rPr>
        <w:t xml:space="preserve"> </w:t>
      </w:r>
      <w:r w:rsidRPr="002F108B">
        <w:rPr>
          <w:lang w:val="en-NZ"/>
        </w:rPr>
        <w:t xml:space="preserve">commonly noted little to no progress against this </w:t>
      </w:r>
      <w:r w:rsidR="00F447D4">
        <w:rPr>
          <w:lang w:val="en-NZ"/>
        </w:rPr>
        <w:t>Objective 5</w:t>
      </w:r>
      <w:r w:rsidRPr="002F108B">
        <w:rPr>
          <w:lang w:val="en-NZ"/>
        </w:rPr>
        <w:t>.</w:t>
      </w:r>
      <w:r w:rsidR="00D56653">
        <w:rPr>
          <w:lang w:val="en-NZ"/>
        </w:rPr>
        <w:t xml:space="preserve"> </w:t>
      </w:r>
      <w:r w:rsidR="005E2161">
        <w:rPr>
          <w:lang w:val="en-NZ"/>
        </w:rPr>
        <w:t>One-quarter</w:t>
      </w:r>
      <w:r w:rsidR="00D56653">
        <w:rPr>
          <w:lang w:val="en-NZ"/>
        </w:rPr>
        <w:t xml:space="preserve"> of survey respondents </w:t>
      </w:r>
      <w:r w:rsidR="005E2161">
        <w:rPr>
          <w:lang w:val="en-NZ"/>
        </w:rPr>
        <w:t xml:space="preserve">(26%) </w:t>
      </w:r>
      <w:r w:rsidR="00D56653">
        <w:rPr>
          <w:lang w:val="en-NZ"/>
        </w:rPr>
        <w:t xml:space="preserve">remained neutral in their views and </w:t>
      </w:r>
      <w:r w:rsidR="005E2161">
        <w:rPr>
          <w:lang w:val="en-NZ"/>
        </w:rPr>
        <w:t>27% said progress had been made.</w:t>
      </w:r>
    </w:p>
    <w:p w14:paraId="4E62D4C3" w14:textId="77777777" w:rsidR="00D705C8" w:rsidRPr="002F108B" w:rsidRDefault="00D705C8" w:rsidP="00D705C8">
      <w:pPr>
        <w:pStyle w:val="Quotes"/>
        <w:rPr>
          <w:lang w:val="en-NZ"/>
        </w:rPr>
      </w:pPr>
      <w:r w:rsidRPr="002F108B">
        <w:rPr>
          <w:lang w:val="en-NZ"/>
        </w:rPr>
        <w:t>It’s still seen as an individual problem. It's not seen as a community problem. People think they can just stop. So I think I don't think that's changed in the 20 odd years I've been involved. (Lived experience group)</w:t>
      </w:r>
    </w:p>
    <w:p w14:paraId="40891900" w14:textId="6EDECA5F" w:rsidR="00D705C8" w:rsidRPr="002F108B" w:rsidRDefault="00D705C8" w:rsidP="00D705C8">
      <w:pPr>
        <w:pStyle w:val="Quotes"/>
        <w:rPr>
          <w:lang w:val="en-NZ"/>
        </w:rPr>
      </w:pPr>
      <w:r w:rsidRPr="002F108B">
        <w:rPr>
          <w:lang w:val="en-NZ"/>
        </w:rPr>
        <w:t>I don’t think the general public do</w:t>
      </w:r>
      <w:r>
        <w:rPr>
          <w:lang w:val="en-NZ"/>
        </w:rPr>
        <w:t>es</w:t>
      </w:r>
      <w:r w:rsidRPr="002F108B">
        <w:rPr>
          <w:lang w:val="en-NZ"/>
        </w:rPr>
        <w:t xml:space="preserve">. Awareness is raised when we have those “choice, not chance” campaigns. But how long has it been since the last one? They’re so infrequent, people don’t take notice and how many people sit there and watch television and watch all </w:t>
      </w:r>
      <w:r w:rsidRPr="002F108B">
        <w:rPr>
          <w:lang w:val="en-NZ"/>
        </w:rPr>
        <w:lastRenderedPageBreak/>
        <w:t>the ads when they come on? I think we need to think of better ways of getting the information out there and consistently. (</w:t>
      </w:r>
      <w:r w:rsidR="0090399E">
        <w:rPr>
          <w:lang w:val="en-NZ"/>
        </w:rPr>
        <w:t>Gambling agency 2</w:t>
      </w:r>
      <w:r w:rsidRPr="002F108B">
        <w:rPr>
          <w:lang w:val="en-NZ"/>
        </w:rPr>
        <w:t>)</w:t>
      </w:r>
    </w:p>
    <w:p w14:paraId="6690FEDF" w14:textId="1402D535" w:rsidR="00D705C8" w:rsidRPr="002F108B" w:rsidRDefault="00D705C8" w:rsidP="00D705C8">
      <w:pPr>
        <w:rPr>
          <w:lang w:val="en-NZ"/>
        </w:rPr>
      </w:pPr>
      <w:r w:rsidRPr="002F108B">
        <w:rPr>
          <w:lang w:val="en-NZ"/>
        </w:rPr>
        <w:t xml:space="preserve">Gambling industry representatives noted some industry operators </w:t>
      </w:r>
      <w:r w:rsidR="008D4BB9">
        <w:rPr>
          <w:lang w:val="en-NZ"/>
        </w:rPr>
        <w:t xml:space="preserve">had made progress </w:t>
      </w:r>
      <w:r w:rsidR="00AA2F19">
        <w:rPr>
          <w:lang w:val="en-NZ"/>
        </w:rPr>
        <w:t xml:space="preserve">against Objective 8 and </w:t>
      </w:r>
      <w:r w:rsidRPr="002F108B">
        <w:rPr>
          <w:lang w:val="en-NZ"/>
        </w:rPr>
        <w:t xml:space="preserve">were </w:t>
      </w:r>
      <w:r w:rsidRPr="002F108B">
        <w:rPr>
          <w:rStyle w:val="QuotesChar"/>
          <w:lang w:val="en-NZ"/>
        </w:rPr>
        <w:t>‘moving in the right direction’</w:t>
      </w:r>
      <w:r w:rsidR="00AA2F19">
        <w:rPr>
          <w:lang w:val="en-NZ"/>
        </w:rPr>
        <w:t>. D</w:t>
      </w:r>
      <w:r w:rsidRPr="002F108B">
        <w:rPr>
          <w:lang w:val="en-NZ"/>
        </w:rPr>
        <w:t xml:space="preserve">ifferent sectors/venues </w:t>
      </w:r>
      <w:r w:rsidR="00AA2F19">
        <w:rPr>
          <w:lang w:val="en-NZ"/>
        </w:rPr>
        <w:t>were noted as being</w:t>
      </w:r>
      <w:r w:rsidRPr="002F108B">
        <w:rPr>
          <w:lang w:val="en-NZ"/>
        </w:rPr>
        <w:t xml:space="preserve"> at different levels of progress. </w:t>
      </w:r>
    </w:p>
    <w:p w14:paraId="638EA41A" w14:textId="705884C9" w:rsidR="00D705C8" w:rsidRPr="002F108B" w:rsidRDefault="00D705C8" w:rsidP="00D705C8">
      <w:pPr>
        <w:pStyle w:val="Quotes"/>
        <w:rPr>
          <w:lang w:val="en-NZ"/>
        </w:rPr>
      </w:pPr>
      <w:r w:rsidRPr="002F108B">
        <w:rPr>
          <w:lang w:val="en-NZ"/>
        </w:rPr>
        <w:t>There are some people that are leading this and being at the summit, at the bottom, but in the middle, there's definitely been a move to get that a better environment. And definitely, the room is not the dungeon anymore. (Gambling industry</w:t>
      </w:r>
      <w:r w:rsidR="0090399E">
        <w:rPr>
          <w:lang w:val="en-NZ"/>
        </w:rPr>
        <w:t xml:space="preserve"> 2</w:t>
      </w:r>
      <w:r w:rsidRPr="002F108B">
        <w:rPr>
          <w:lang w:val="en-NZ"/>
        </w:rPr>
        <w:t>)</w:t>
      </w:r>
    </w:p>
    <w:p w14:paraId="67E00774" w14:textId="53BADC6D" w:rsidR="00044488" w:rsidRDefault="00044488" w:rsidP="00044488">
      <w:r>
        <w:rPr>
          <w:lang w:val="en-NZ"/>
        </w:rPr>
        <w:t>One gambling industry representative described a strong commitment to building g</w:t>
      </w:r>
      <w:r>
        <w:t>ambling literacy and the importance for individuals to make informed and responsible choices.</w:t>
      </w:r>
    </w:p>
    <w:p w14:paraId="2EC21D05" w14:textId="679C32A1" w:rsidR="00044488" w:rsidRDefault="00044488" w:rsidP="00044488">
      <w:pPr>
        <w:pStyle w:val="Quotes"/>
        <w:rPr>
          <w:lang w:val="en-NZ"/>
        </w:rPr>
      </w:pPr>
      <w:r w:rsidRPr="00044488">
        <w:t>Gambling literacy in New Zealand is relatively low...what we talk about in the business is informed players make informed choices, and that we really want to make sure that everybody playing our games is informed...</w:t>
      </w:r>
      <w:r>
        <w:t>We’re very committed to making sure that people are aware that our products are gambling and they do have the potential to cause harm...</w:t>
      </w:r>
      <w:r w:rsidRPr="00044488">
        <w:t>that they actually understand the odds of winning, that they know $10 or $50 actually their odds of winning are pretty much the same... (Gambling industry 5)</w:t>
      </w:r>
    </w:p>
    <w:p w14:paraId="723A5348" w14:textId="66FDC4A3" w:rsidR="00D705C8" w:rsidRPr="002F108B" w:rsidRDefault="00D705C8" w:rsidP="00D705C8">
      <w:pPr>
        <w:rPr>
          <w:lang w:val="en-NZ"/>
        </w:rPr>
      </w:pPr>
      <w:r w:rsidRPr="002F108B">
        <w:rPr>
          <w:lang w:val="en-NZ"/>
        </w:rPr>
        <w:t xml:space="preserve">In contrast, </w:t>
      </w:r>
      <w:r w:rsidR="00A24713">
        <w:rPr>
          <w:lang w:val="en-NZ"/>
        </w:rPr>
        <w:t xml:space="preserve">only 12% of workforce survey respondents </w:t>
      </w:r>
      <w:r w:rsidR="00D5042F">
        <w:rPr>
          <w:lang w:val="en-NZ"/>
        </w:rPr>
        <w:t xml:space="preserve">said progress had been made against </w:t>
      </w:r>
      <w:r w:rsidR="00252830">
        <w:rPr>
          <w:lang w:val="en-NZ"/>
        </w:rPr>
        <w:t>O</w:t>
      </w:r>
      <w:r w:rsidR="00D5042F">
        <w:rPr>
          <w:lang w:val="en-NZ"/>
        </w:rPr>
        <w:t>bjective 8</w:t>
      </w:r>
      <w:r w:rsidR="00252830">
        <w:rPr>
          <w:lang w:val="en-NZ"/>
        </w:rPr>
        <w:t>,</w:t>
      </w:r>
      <w:r w:rsidR="00D5042F">
        <w:rPr>
          <w:lang w:val="en-NZ"/>
        </w:rPr>
        <w:t xml:space="preserve"> </w:t>
      </w:r>
      <w:r>
        <w:rPr>
          <w:lang w:val="en-NZ"/>
        </w:rPr>
        <w:t xml:space="preserve">and </w:t>
      </w:r>
      <w:r w:rsidRPr="002F108B">
        <w:rPr>
          <w:lang w:val="en-NZ"/>
        </w:rPr>
        <w:t xml:space="preserve">most </w:t>
      </w:r>
      <w:r w:rsidR="008C2A29">
        <w:rPr>
          <w:lang w:val="en-NZ"/>
        </w:rPr>
        <w:t xml:space="preserve">interviewed </w:t>
      </w:r>
      <w:r w:rsidRPr="002F108B">
        <w:rPr>
          <w:lang w:val="en-NZ"/>
        </w:rPr>
        <w:t xml:space="preserve">gambling harm service </w:t>
      </w:r>
      <w:r w:rsidR="00451777">
        <w:rPr>
          <w:lang w:val="en-NZ"/>
        </w:rPr>
        <w:t>provider</w:t>
      </w:r>
      <w:r w:rsidR="00451777" w:rsidRPr="002F108B">
        <w:rPr>
          <w:lang w:val="en-NZ"/>
        </w:rPr>
        <w:t xml:space="preserve"> </w:t>
      </w:r>
      <w:r w:rsidRPr="002F108B">
        <w:rPr>
          <w:lang w:val="en-NZ"/>
        </w:rPr>
        <w:t xml:space="preserve">and lived experience representatives thought little progress had been made – although a small number of services had observed small changes in some Class 4 venues. </w:t>
      </w:r>
    </w:p>
    <w:p w14:paraId="4299E931" w14:textId="77777777" w:rsidR="00D705C8" w:rsidRPr="002F108B" w:rsidRDefault="00D705C8" w:rsidP="00D705C8">
      <w:pPr>
        <w:pStyle w:val="Quotes"/>
        <w:rPr>
          <w:lang w:val="en-NZ"/>
        </w:rPr>
      </w:pPr>
      <w:r w:rsidRPr="002F108B">
        <w:rPr>
          <w:lang w:val="en-NZ"/>
        </w:rPr>
        <w:t>They’re definitely lighter</w:t>
      </w:r>
      <w:r>
        <w:rPr>
          <w:lang w:val="en-NZ"/>
        </w:rPr>
        <w:t>. T</w:t>
      </w:r>
      <w:r w:rsidRPr="002F108B">
        <w:rPr>
          <w:lang w:val="en-NZ"/>
        </w:rPr>
        <w:t>here</w:t>
      </w:r>
      <w:r>
        <w:rPr>
          <w:lang w:val="en-NZ"/>
        </w:rPr>
        <w:t xml:space="preserve"> are</w:t>
      </w:r>
      <w:r w:rsidRPr="002F108B">
        <w:rPr>
          <w:lang w:val="en-NZ"/>
        </w:rPr>
        <w:t xml:space="preserve"> more lights. But there's still no clocks</w:t>
      </w:r>
      <w:r>
        <w:rPr>
          <w:lang w:val="en-NZ"/>
        </w:rPr>
        <w:t>,</w:t>
      </w:r>
      <w:r w:rsidRPr="002F108B">
        <w:rPr>
          <w:lang w:val="en-NZ"/>
        </w:rPr>
        <w:t xml:space="preserve"> and the advertising of the different jackpots is still also out in the main bar [which] can be triggering for recovering gamblers. (Lived experience representative)</w:t>
      </w:r>
    </w:p>
    <w:p w14:paraId="5961C20B" w14:textId="325E055C" w:rsidR="00755724" w:rsidRPr="002F108B" w:rsidRDefault="00483177" w:rsidP="00755724">
      <w:pPr>
        <w:rPr>
          <w:lang w:val="en-NZ"/>
        </w:rPr>
      </w:pPr>
      <w:r>
        <w:rPr>
          <w:lang w:val="en-NZ"/>
        </w:rPr>
        <w:t>Most g</w:t>
      </w:r>
      <w:r w:rsidR="00755724" w:rsidRPr="002F108B">
        <w:rPr>
          <w:lang w:val="en-NZ"/>
        </w:rPr>
        <w:t xml:space="preserve">ambling industry representatives </w:t>
      </w:r>
      <w:r>
        <w:rPr>
          <w:lang w:val="en-NZ"/>
        </w:rPr>
        <w:t xml:space="preserve">also </w:t>
      </w:r>
      <w:r w:rsidR="00755724" w:rsidRPr="002F108B">
        <w:rPr>
          <w:lang w:val="en-NZ"/>
        </w:rPr>
        <w:t>noted exclusion as an effective form of preventing and minimising harm. It was also noted that this approach was limited in effectiveness prior to the introduction of facial recognition – a tool developed by the gambling industry.</w:t>
      </w:r>
      <w:r w:rsidR="00BD2EF5">
        <w:rPr>
          <w:lang w:val="en-NZ"/>
        </w:rPr>
        <w:t xml:space="preserve"> </w:t>
      </w:r>
      <w:r w:rsidR="00BD2EF5" w:rsidRPr="001A5DC2">
        <w:rPr>
          <w:lang w:val="en-NZ"/>
        </w:rPr>
        <w:t>It is important to note that it is not within the Ministry’s mandate to fund hardware in gambling venues</w:t>
      </w:r>
      <w:r w:rsidR="00755724" w:rsidRPr="001A5DC2">
        <w:rPr>
          <w:lang w:val="en-NZ"/>
        </w:rPr>
        <w:t xml:space="preserve"> </w:t>
      </w:r>
      <w:r w:rsidR="00BD2EF5" w:rsidRPr="001A5DC2">
        <w:rPr>
          <w:lang w:val="en-NZ"/>
        </w:rPr>
        <w:t>but they did support this progress through funding the Multi-Venue Exclusion database that enables facial recognition to be used more widely.</w:t>
      </w:r>
      <w:r w:rsidR="00BD2EF5">
        <w:rPr>
          <w:lang w:val="en-NZ"/>
        </w:rPr>
        <w:t xml:space="preserve"> </w:t>
      </w:r>
      <w:r w:rsidR="00755724" w:rsidRPr="002F108B">
        <w:rPr>
          <w:lang w:val="en-NZ"/>
        </w:rPr>
        <w:t>Wider utilisation of facial recognition was noted as nec</w:t>
      </w:r>
      <w:r w:rsidR="00755724">
        <w:rPr>
          <w:lang w:val="en-NZ"/>
        </w:rPr>
        <w:t>es</w:t>
      </w:r>
      <w:r w:rsidR="00755724" w:rsidRPr="002F108B">
        <w:rPr>
          <w:lang w:val="en-NZ"/>
        </w:rPr>
        <w:t>sary within C</w:t>
      </w:r>
      <w:r w:rsidR="00755724">
        <w:rPr>
          <w:lang w:val="en-NZ"/>
        </w:rPr>
        <w:t xml:space="preserve">lass </w:t>
      </w:r>
      <w:r w:rsidR="00755724" w:rsidRPr="002F108B">
        <w:rPr>
          <w:lang w:val="en-NZ"/>
        </w:rPr>
        <w:t>4 gambling venues to strengthen Multi-</w:t>
      </w:r>
      <w:r w:rsidR="00755724">
        <w:rPr>
          <w:lang w:val="en-NZ"/>
        </w:rPr>
        <w:t>V</w:t>
      </w:r>
      <w:r w:rsidR="00755724" w:rsidRPr="002F108B">
        <w:rPr>
          <w:lang w:val="en-NZ"/>
        </w:rPr>
        <w:t xml:space="preserve">enue </w:t>
      </w:r>
      <w:r w:rsidR="00755724">
        <w:rPr>
          <w:lang w:val="en-NZ"/>
        </w:rPr>
        <w:t>E</w:t>
      </w:r>
      <w:r w:rsidR="00755724" w:rsidRPr="002F108B">
        <w:rPr>
          <w:lang w:val="en-NZ"/>
        </w:rPr>
        <w:t xml:space="preserve">xclusion practices. </w:t>
      </w:r>
    </w:p>
    <w:p w14:paraId="165E1377" w14:textId="77777777" w:rsidR="00755724" w:rsidRPr="00447864" w:rsidRDefault="00755724" w:rsidP="00447864">
      <w:pPr>
        <w:pStyle w:val="Quotes"/>
      </w:pPr>
      <w:r w:rsidRPr="00447864">
        <w:t>There is currently no interaction post initial uploading of the MVE request by the administrator of the CONCERN Database - with the Venue Operators. By way of example - this means that the Venue Operator is not given updates on the physical appearance of the excluded person for a period of 23 months, which makes identification difficult without the benefit of facial recognition equipment. Facial recognition equipment has been developed by the Class 4 Sector and is funded by societies without financial contribution for MoH. (Gambling industry 1)</w:t>
      </w:r>
    </w:p>
    <w:p w14:paraId="6CD41617" w14:textId="77777777" w:rsidR="00B44299" w:rsidRDefault="00755724" w:rsidP="00B44299">
      <w:pPr>
        <w:pStyle w:val="Quotes"/>
        <w:rPr>
          <w:lang w:val="en-NZ"/>
        </w:rPr>
      </w:pPr>
      <w:r w:rsidRPr="002F108B">
        <w:rPr>
          <w:lang w:val="en-NZ"/>
        </w:rPr>
        <w:t>Facial recognition has been a huge help for us as in our toolkit...It will pick out some people's faces change so often</w:t>
      </w:r>
      <w:r>
        <w:rPr>
          <w:lang w:val="en-NZ"/>
        </w:rPr>
        <w:t>,</w:t>
      </w:r>
      <w:r w:rsidRPr="002F108B">
        <w:rPr>
          <w:lang w:val="en-NZ"/>
        </w:rPr>
        <w:t xml:space="preserve"> or they might change their hair</w:t>
      </w:r>
      <w:r>
        <w:rPr>
          <w:lang w:val="en-NZ"/>
        </w:rPr>
        <w:t>. T</w:t>
      </w:r>
      <w:r w:rsidRPr="002F108B">
        <w:rPr>
          <w:lang w:val="en-NZ"/>
        </w:rPr>
        <w:t xml:space="preserve">his has got an up to 90% strike right </w:t>
      </w:r>
      <w:r w:rsidRPr="002F108B">
        <w:rPr>
          <w:lang w:val="en-NZ"/>
        </w:rPr>
        <w:lastRenderedPageBreak/>
        <w:t>that comes through your eyes, so we’ve had a lot of hits on that that wouldn't have probably picked up manually. (Gambling industry</w:t>
      </w:r>
      <w:r>
        <w:rPr>
          <w:lang w:val="en-NZ"/>
        </w:rPr>
        <w:t xml:space="preserve"> 2</w:t>
      </w:r>
      <w:r w:rsidRPr="002F108B">
        <w:rPr>
          <w:lang w:val="en-NZ"/>
        </w:rPr>
        <w:t>)</w:t>
      </w:r>
    </w:p>
    <w:p w14:paraId="2593D658" w14:textId="2EE39B93" w:rsidR="00D705C8" w:rsidRPr="002F108B" w:rsidRDefault="00D705C8" w:rsidP="00D705C8">
      <w:pPr>
        <w:rPr>
          <w:lang w:val="en-NZ"/>
        </w:rPr>
      </w:pPr>
      <w:r>
        <w:rPr>
          <w:lang w:val="en-NZ"/>
        </w:rPr>
        <w:t xml:space="preserve">Some interviewed </w:t>
      </w:r>
      <w:r w:rsidRPr="002F108B">
        <w:rPr>
          <w:lang w:val="en-NZ"/>
        </w:rPr>
        <w:t xml:space="preserve">gambling harm service </w:t>
      </w:r>
      <w:r w:rsidR="00451777">
        <w:rPr>
          <w:lang w:val="en-NZ"/>
        </w:rPr>
        <w:t>provider</w:t>
      </w:r>
      <w:r w:rsidR="00451777" w:rsidRPr="002F108B">
        <w:rPr>
          <w:lang w:val="en-NZ"/>
        </w:rPr>
        <w:t xml:space="preserve"> </w:t>
      </w:r>
      <w:r w:rsidRPr="002F108B">
        <w:rPr>
          <w:lang w:val="en-NZ"/>
        </w:rPr>
        <w:t xml:space="preserve">and lived experience representatives </w:t>
      </w:r>
      <w:r>
        <w:rPr>
          <w:lang w:val="en-NZ"/>
        </w:rPr>
        <w:t>and one-third of workforce survey respondents</w:t>
      </w:r>
      <w:r>
        <w:rPr>
          <w:rStyle w:val="FootnoteReference"/>
          <w:lang w:val="en-NZ"/>
        </w:rPr>
        <w:footnoteReference w:id="46"/>
      </w:r>
      <w:r>
        <w:rPr>
          <w:lang w:val="en-NZ"/>
        </w:rPr>
        <w:t xml:space="preserve"> noted a little progress had been made against </w:t>
      </w:r>
      <w:r w:rsidR="00AA2F19">
        <w:rPr>
          <w:lang w:val="en-NZ"/>
        </w:rPr>
        <w:t>O</w:t>
      </w:r>
      <w:r>
        <w:rPr>
          <w:lang w:val="en-NZ"/>
        </w:rPr>
        <w:t>bjective</w:t>
      </w:r>
      <w:r w:rsidR="00AA2F19">
        <w:rPr>
          <w:lang w:val="en-NZ"/>
        </w:rPr>
        <w:t xml:space="preserve"> 9</w:t>
      </w:r>
      <w:r>
        <w:rPr>
          <w:lang w:val="en-NZ"/>
        </w:rPr>
        <w:t>. One example included p</w:t>
      </w:r>
      <w:r w:rsidRPr="002F108B">
        <w:rPr>
          <w:lang w:val="en-NZ"/>
        </w:rPr>
        <w:t>ublic health services and promotion undertaken by gambling harm service providers at large community events. Some gambling industry representatives considered this the responsib</w:t>
      </w:r>
      <w:r>
        <w:rPr>
          <w:lang w:val="en-NZ"/>
        </w:rPr>
        <w:t>i</w:t>
      </w:r>
      <w:r w:rsidRPr="002F108B">
        <w:rPr>
          <w:lang w:val="en-NZ"/>
        </w:rPr>
        <w:t>lity of gambling harm service</w:t>
      </w:r>
      <w:r w:rsidR="00451777">
        <w:rPr>
          <w:lang w:val="en-NZ"/>
        </w:rPr>
        <w:t xml:space="preserve"> provider</w:t>
      </w:r>
      <w:r w:rsidRPr="002F108B">
        <w:rPr>
          <w:lang w:val="en-NZ"/>
        </w:rPr>
        <w:t>s and did not consider much progress had been made.</w:t>
      </w:r>
    </w:p>
    <w:p w14:paraId="3392A3C5" w14:textId="17200F89" w:rsidR="00D705C8" w:rsidRPr="002F108B" w:rsidRDefault="00D705C8" w:rsidP="00D705C8">
      <w:pPr>
        <w:pStyle w:val="Quotes"/>
        <w:rPr>
          <w:lang w:val="en-NZ"/>
        </w:rPr>
      </w:pPr>
      <w:r w:rsidRPr="002F108B">
        <w:rPr>
          <w:lang w:val="en-NZ"/>
        </w:rPr>
        <w:t>The services do a good job</w:t>
      </w:r>
      <w:r>
        <w:rPr>
          <w:lang w:val="en-NZ"/>
        </w:rPr>
        <w:t>,</w:t>
      </w:r>
      <w:r w:rsidRPr="002F108B">
        <w:rPr>
          <w:lang w:val="en-NZ"/>
        </w:rPr>
        <w:t xml:space="preserve"> and the gambling harm Awareness Week also helps. And that’s the services really putting an effort into that. So I think the services, yes, from what I can see, do a good job about it...It shouldn’t be up to treatment services to do all the awareness</w:t>
      </w:r>
      <w:r>
        <w:rPr>
          <w:lang w:val="en-NZ"/>
        </w:rPr>
        <w:t>-</w:t>
      </w:r>
      <w:r w:rsidRPr="002F108B">
        <w:rPr>
          <w:lang w:val="en-NZ"/>
        </w:rPr>
        <w:t>raising around it. We’ve got choice, not chance, but that’s fragmented</w:t>
      </w:r>
      <w:r>
        <w:rPr>
          <w:lang w:val="en-NZ"/>
        </w:rPr>
        <w:t>,</w:t>
      </w:r>
      <w:r w:rsidRPr="002F108B">
        <w:rPr>
          <w:lang w:val="en-NZ"/>
        </w:rPr>
        <w:t xml:space="preserve"> and it’s hardly anything. (</w:t>
      </w:r>
      <w:r w:rsidR="0090399E">
        <w:rPr>
          <w:lang w:val="en-NZ"/>
        </w:rPr>
        <w:t>Gambling agency 2</w:t>
      </w:r>
      <w:r w:rsidRPr="002F108B">
        <w:rPr>
          <w:lang w:val="en-NZ"/>
        </w:rPr>
        <w:t>)</w:t>
      </w:r>
    </w:p>
    <w:p w14:paraId="103DDEA0" w14:textId="296920F4" w:rsidR="00D705C8" w:rsidRDefault="00861DA0" w:rsidP="00D705C8">
      <w:pPr>
        <w:pStyle w:val="Heading3"/>
        <w:rPr>
          <w:lang w:val="en-NZ"/>
        </w:rPr>
      </w:pPr>
      <w:r>
        <w:rPr>
          <w:lang w:val="en-NZ"/>
        </w:rPr>
        <w:t>Strengt</w:t>
      </w:r>
      <w:r w:rsidR="00A60B0E">
        <w:rPr>
          <w:lang w:val="en-NZ"/>
        </w:rPr>
        <w:t>h</w:t>
      </w:r>
      <w:r>
        <w:rPr>
          <w:lang w:val="en-NZ"/>
        </w:rPr>
        <w:t>ening progress against Objectives 5, 8 and 9</w:t>
      </w:r>
    </w:p>
    <w:p w14:paraId="30924BCF" w14:textId="4B32741E" w:rsidR="00D705C8" w:rsidRPr="002F108B" w:rsidRDefault="00D705C8" w:rsidP="00D705C8">
      <w:pPr>
        <w:rPr>
          <w:lang w:val="en-NZ"/>
        </w:rPr>
      </w:pPr>
      <w:r w:rsidRPr="002F108B">
        <w:rPr>
          <w:b/>
          <w:lang w:val="en-NZ"/>
        </w:rPr>
        <w:t>Promotion and public health messaging:</w:t>
      </w:r>
      <w:r w:rsidRPr="002F108B">
        <w:rPr>
          <w:lang w:val="en-NZ"/>
        </w:rPr>
        <w:t xml:space="preserve"> Participants noted a need to review public health activities, resources and messaging to assess reach and impact on target communities (Māori, Pacific and Asian) and opportunities for advancing technologies.</w:t>
      </w:r>
      <w:r w:rsidR="00D81E6D">
        <w:rPr>
          <w:lang w:val="en-NZ"/>
        </w:rPr>
        <w:t xml:space="preserve"> </w:t>
      </w:r>
    </w:p>
    <w:p w14:paraId="77731A10" w14:textId="252129FC" w:rsidR="00D705C8" w:rsidRPr="002F108B" w:rsidRDefault="00D705C8" w:rsidP="00D705C8">
      <w:pPr>
        <w:pStyle w:val="Quotes"/>
        <w:rPr>
          <w:highlight w:val="yellow"/>
          <w:lang w:val="en-NZ"/>
        </w:rPr>
      </w:pPr>
      <w:r w:rsidRPr="002F108B">
        <w:rPr>
          <w:lang w:val="en-NZ"/>
        </w:rPr>
        <w:t>I don't think we're offering online options widely...We know that people like to do things on their own</w:t>
      </w:r>
      <w:r>
        <w:rPr>
          <w:lang w:val="en-NZ"/>
        </w:rPr>
        <w:t>,</w:t>
      </w:r>
      <w:r w:rsidRPr="002F108B">
        <w:rPr>
          <w:lang w:val="en-NZ"/>
        </w:rPr>
        <w:t xml:space="preserve"> and we know in this technological world where and especially with COVID, where people are using technology</w:t>
      </w:r>
      <w:r>
        <w:rPr>
          <w:lang w:val="en-NZ"/>
        </w:rPr>
        <w:t>,</w:t>
      </w:r>
      <w:r w:rsidRPr="002F108B">
        <w:rPr>
          <w:lang w:val="en-NZ"/>
        </w:rPr>
        <w:t xml:space="preserve"> even more, I don't believe that we have the technological options available to people other than the face-to-face and the phone. (Gambling agency</w:t>
      </w:r>
      <w:r w:rsidR="0090399E">
        <w:rPr>
          <w:lang w:val="en-NZ"/>
        </w:rPr>
        <w:t xml:space="preserve"> 2</w:t>
      </w:r>
      <w:r w:rsidRPr="002F108B">
        <w:rPr>
          <w:lang w:val="en-NZ"/>
        </w:rPr>
        <w:t>)</w:t>
      </w:r>
    </w:p>
    <w:p w14:paraId="15BBDE29" w14:textId="77777777" w:rsidR="00D705C8" w:rsidRPr="002F108B" w:rsidRDefault="00D705C8" w:rsidP="00D705C8">
      <w:pPr>
        <w:rPr>
          <w:lang w:val="en-NZ"/>
        </w:rPr>
      </w:pPr>
      <w:r w:rsidRPr="002F108B">
        <w:rPr>
          <w:lang w:val="en-NZ"/>
        </w:rPr>
        <w:t>Effective public health and health promotion were noted as needing consistent</w:t>
      </w:r>
      <w:r>
        <w:rPr>
          <w:lang w:val="en-NZ"/>
        </w:rPr>
        <w:t>,</w:t>
      </w:r>
      <w:r w:rsidRPr="002F108B">
        <w:rPr>
          <w:lang w:val="en-NZ"/>
        </w:rPr>
        <w:t xml:space="preserve"> and informative messaging that aligns with different cultural worldviews and resonates/engages with individuals, affected others and wider whānau. Participants also highlighted a need for messaging to promote:</w:t>
      </w:r>
    </w:p>
    <w:p w14:paraId="294CFB36" w14:textId="749A2214" w:rsidR="0089382D" w:rsidRPr="002F108B" w:rsidRDefault="00D705C8" w:rsidP="0089382D">
      <w:pPr>
        <w:pStyle w:val="Bulletpointindented"/>
        <w:rPr>
          <w:lang w:val="en-NZ"/>
        </w:rPr>
      </w:pPr>
      <w:r w:rsidRPr="002F108B">
        <w:rPr>
          <w:lang w:val="en-NZ"/>
        </w:rPr>
        <w:t xml:space="preserve">Understandings among the general public about harmful gambling </w:t>
      </w:r>
      <w:r w:rsidR="0089382D">
        <w:rPr>
          <w:lang w:val="en-NZ"/>
        </w:rPr>
        <w:t xml:space="preserve">definitions, understandings and </w:t>
      </w:r>
      <w:r w:rsidRPr="002F108B">
        <w:rPr>
          <w:lang w:val="en-NZ"/>
        </w:rPr>
        <w:t>behaviours</w:t>
      </w:r>
      <w:r w:rsidR="0089382D">
        <w:rPr>
          <w:lang w:val="en-NZ"/>
        </w:rPr>
        <w:t xml:space="preserve">: </w:t>
      </w:r>
      <w:r w:rsidR="0089382D" w:rsidRPr="002F108B">
        <w:rPr>
          <w:lang w:val="en-NZ"/>
        </w:rPr>
        <w:t xml:space="preserve">Gambling harm service </w:t>
      </w:r>
      <w:r w:rsidR="00451777">
        <w:rPr>
          <w:lang w:val="en-NZ"/>
        </w:rPr>
        <w:t>provider</w:t>
      </w:r>
      <w:r w:rsidR="00451777" w:rsidRPr="002F108B">
        <w:rPr>
          <w:lang w:val="en-NZ"/>
        </w:rPr>
        <w:t xml:space="preserve"> </w:t>
      </w:r>
      <w:r w:rsidR="0089382D" w:rsidRPr="002F108B">
        <w:rPr>
          <w:lang w:val="en-NZ"/>
        </w:rPr>
        <w:t>and agency representatives highlighted a general lack of understanding amon</w:t>
      </w:r>
      <w:r w:rsidR="0089382D">
        <w:rPr>
          <w:lang w:val="en-NZ"/>
        </w:rPr>
        <w:t>g</w:t>
      </w:r>
      <w:r w:rsidR="0089382D" w:rsidRPr="002F108B">
        <w:rPr>
          <w:lang w:val="en-NZ"/>
        </w:rPr>
        <w:t xml:space="preserve"> the general public about behaviours that constitute harmful gambling and when additional support may be required.</w:t>
      </w:r>
      <w:r w:rsidR="00F5793F">
        <w:rPr>
          <w:lang w:val="en-NZ"/>
        </w:rPr>
        <w:t xml:space="preserve"> </w:t>
      </w:r>
      <w:r w:rsidR="00F5793F">
        <w:t>One-third of the workforce survey respondents said that one challenge they face in delivering services and support to clients is ‘educating clients about gambling harm’</w:t>
      </w:r>
      <w:r w:rsidR="00F5793F">
        <w:rPr>
          <w:rStyle w:val="FootnoteReference"/>
        </w:rPr>
        <w:footnoteReference w:id="47"/>
      </w:r>
      <w:r w:rsidR="00F5793F">
        <w:t>.</w:t>
      </w:r>
    </w:p>
    <w:p w14:paraId="7347E4DD" w14:textId="3380822C" w:rsidR="0089382D" w:rsidRPr="002F108B" w:rsidRDefault="0089382D" w:rsidP="0089382D">
      <w:pPr>
        <w:pStyle w:val="Quotes"/>
        <w:ind w:left="1080"/>
        <w:rPr>
          <w:lang w:val="en-NZ"/>
        </w:rPr>
      </w:pPr>
      <w:r w:rsidRPr="002F108B">
        <w:rPr>
          <w:lang w:val="en-NZ"/>
        </w:rPr>
        <w:t>I wonder sometimes whether people out there in the community really recognise what a gambling problem is. At what point is this a serious problem that needs dealing with professionally? (</w:t>
      </w:r>
      <w:r>
        <w:rPr>
          <w:lang w:val="en-NZ"/>
        </w:rPr>
        <w:t>Gambling agency</w:t>
      </w:r>
      <w:r w:rsidR="0090399E">
        <w:rPr>
          <w:lang w:val="en-NZ"/>
        </w:rPr>
        <w:t xml:space="preserve"> 1</w:t>
      </w:r>
      <w:r w:rsidRPr="002F108B">
        <w:rPr>
          <w:lang w:val="en-NZ"/>
        </w:rPr>
        <w:t>)</w:t>
      </w:r>
    </w:p>
    <w:p w14:paraId="2823F509" w14:textId="1F89CA5B" w:rsidR="0089382D" w:rsidRPr="002F108B" w:rsidRDefault="0089382D" w:rsidP="0089382D">
      <w:pPr>
        <w:pStyle w:val="Quotes"/>
        <w:ind w:left="1080"/>
        <w:rPr>
          <w:lang w:val="en-NZ"/>
        </w:rPr>
      </w:pPr>
      <w:r w:rsidRPr="002F108B">
        <w:rPr>
          <w:lang w:val="en-NZ"/>
        </w:rPr>
        <w:lastRenderedPageBreak/>
        <w:t>[Clients said] when they were at their worst, it would never have crossed their mind that they had a gambling problem and that they would never have thought to come to a counse</w:t>
      </w:r>
      <w:r>
        <w:rPr>
          <w:lang w:val="en-NZ"/>
        </w:rPr>
        <w:t>l</w:t>
      </w:r>
      <w:r w:rsidRPr="002F108B">
        <w:rPr>
          <w:lang w:val="en-NZ"/>
        </w:rPr>
        <w:t>ling service...They can see it in others, they couldn't see it in themselves. So therein lies our predicament. It's not that people are not there. They are there. They don't know. (</w:t>
      </w:r>
      <w:r>
        <w:rPr>
          <w:lang w:val="en-NZ"/>
        </w:rPr>
        <w:t>Gambling harm service provider</w:t>
      </w:r>
      <w:r w:rsidR="0090399E">
        <w:rPr>
          <w:lang w:val="en-NZ"/>
        </w:rPr>
        <w:t xml:space="preserve"> 6</w:t>
      </w:r>
      <w:r w:rsidRPr="002F108B">
        <w:rPr>
          <w:lang w:val="en-NZ"/>
        </w:rPr>
        <w:t>)</w:t>
      </w:r>
    </w:p>
    <w:p w14:paraId="2658E6EC" w14:textId="5C7BE197" w:rsidR="00D705C8" w:rsidRPr="002F108B" w:rsidRDefault="00D705C8" w:rsidP="00D705C8">
      <w:pPr>
        <w:pStyle w:val="Quotes"/>
        <w:ind w:left="1080"/>
        <w:rPr>
          <w:lang w:val="en-NZ"/>
        </w:rPr>
      </w:pPr>
      <w:r w:rsidRPr="007D6264">
        <w:rPr>
          <w:lang w:val="en-NZ"/>
        </w:rPr>
        <w:t xml:space="preserve">We need to raise baseline community awareness of gambling as an issue and how it impacts all of society, not just the "very small percentage" of problem gamblers. </w:t>
      </w:r>
      <w:r>
        <w:rPr>
          <w:lang w:val="en-NZ"/>
        </w:rPr>
        <w:t>(Gambling harm service provider</w:t>
      </w:r>
      <w:r w:rsidR="0090399E">
        <w:rPr>
          <w:lang w:val="en-NZ"/>
        </w:rPr>
        <w:t xml:space="preserve"> – workforce survey</w:t>
      </w:r>
      <w:r>
        <w:rPr>
          <w:lang w:val="en-NZ"/>
        </w:rPr>
        <w:t>)</w:t>
      </w:r>
    </w:p>
    <w:p w14:paraId="3B9FAE32" w14:textId="77777777" w:rsidR="00D705C8" w:rsidRPr="002F108B" w:rsidRDefault="00D705C8" w:rsidP="00D705C8">
      <w:pPr>
        <w:pStyle w:val="Bulletpointindented"/>
        <w:rPr>
          <w:lang w:val="en-NZ"/>
        </w:rPr>
      </w:pPr>
      <w:r w:rsidRPr="002F108B">
        <w:rPr>
          <w:lang w:val="en-NZ"/>
        </w:rPr>
        <w:t>Collective community connections and responsibility</w:t>
      </w:r>
    </w:p>
    <w:p w14:paraId="77EA926C" w14:textId="77777777" w:rsidR="00D705C8" w:rsidRPr="002F108B" w:rsidRDefault="00D705C8" w:rsidP="00D705C8">
      <w:pPr>
        <w:pStyle w:val="Quotes"/>
        <w:ind w:left="1080"/>
        <w:rPr>
          <w:lang w:val="en-NZ"/>
        </w:rPr>
      </w:pPr>
      <w:r w:rsidRPr="002F108B">
        <w:rPr>
          <w:lang w:val="en-NZ"/>
        </w:rPr>
        <w:t>It's about raising that community understanding of what problem gambling is and joining people together...Create societal impact for people to have those conversations</w:t>
      </w:r>
      <w:r>
        <w:rPr>
          <w:lang w:val="en-NZ"/>
        </w:rPr>
        <w:t>,</w:t>
      </w:r>
      <w:r w:rsidRPr="002F108B">
        <w:rPr>
          <w:lang w:val="en-NZ"/>
        </w:rPr>
        <w:t xml:space="preserve"> and we</w:t>
      </w:r>
      <w:r>
        <w:rPr>
          <w:lang w:val="en-NZ"/>
        </w:rPr>
        <w:t xml:space="preserve"> [are]</w:t>
      </w:r>
      <w:r w:rsidRPr="002F108B">
        <w:rPr>
          <w:lang w:val="en-NZ"/>
        </w:rPr>
        <w:t xml:space="preserve"> still unable to have those conversations talking about gambling harm as a society. (Lived experience representative)</w:t>
      </w:r>
    </w:p>
    <w:p w14:paraId="7D002667" w14:textId="4CB71EA0" w:rsidR="00D705C8" w:rsidRPr="002F108B" w:rsidRDefault="00A60B0E" w:rsidP="00D705C8">
      <w:pPr>
        <w:pStyle w:val="Bulletpointindented"/>
        <w:rPr>
          <w:lang w:val="en-NZ"/>
        </w:rPr>
      </w:pPr>
      <w:r>
        <w:rPr>
          <w:lang w:val="en-NZ"/>
        </w:rPr>
        <w:t>Engaging in</w:t>
      </w:r>
      <w:r w:rsidR="00D705C8" w:rsidRPr="002F108B">
        <w:rPr>
          <w:lang w:val="en-NZ"/>
        </w:rPr>
        <w:t xml:space="preserve"> safe conversations about wellbeing (and harmful gambling) </w:t>
      </w:r>
    </w:p>
    <w:p w14:paraId="09CE3049" w14:textId="3DE6584A" w:rsidR="00D705C8" w:rsidRPr="002F108B" w:rsidRDefault="00D705C8" w:rsidP="00D705C8">
      <w:pPr>
        <w:pStyle w:val="Quotes"/>
        <w:ind w:left="1080"/>
        <w:rPr>
          <w:lang w:val="en-NZ"/>
        </w:rPr>
      </w:pPr>
      <w:r w:rsidRPr="002F108B">
        <w:rPr>
          <w:lang w:val="en-NZ"/>
        </w:rPr>
        <w:t>People need a drop</w:t>
      </w:r>
      <w:r>
        <w:rPr>
          <w:lang w:val="en-NZ"/>
        </w:rPr>
        <w:t>-</w:t>
      </w:r>
      <w:r w:rsidRPr="002F108B">
        <w:rPr>
          <w:lang w:val="en-NZ"/>
        </w:rPr>
        <w:t>in space. They might not have an issue right then and there</w:t>
      </w:r>
      <w:r>
        <w:rPr>
          <w:lang w:val="en-NZ"/>
        </w:rPr>
        <w:t>,</w:t>
      </w:r>
      <w:r w:rsidRPr="002F108B">
        <w:rPr>
          <w:lang w:val="en-NZ"/>
        </w:rPr>
        <w:t xml:space="preserve"> but it needs to be able to be a space where you can come in and feel safe and have </w:t>
      </w:r>
      <w:r>
        <w:rPr>
          <w:lang w:val="en-NZ"/>
        </w:rPr>
        <w:t xml:space="preserve">a </w:t>
      </w:r>
      <w:r w:rsidRPr="002F108B">
        <w:rPr>
          <w:lang w:val="en-NZ"/>
        </w:rPr>
        <w:t>conversation. You don’t necessarily need to be counselled, some people just want to have a conversation</w:t>
      </w:r>
      <w:r>
        <w:rPr>
          <w:lang w:val="en-NZ"/>
        </w:rPr>
        <w:t>,</w:t>
      </w:r>
      <w:r w:rsidRPr="002F108B">
        <w:rPr>
          <w:lang w:val="en-NZ"/>
        </w:rPr>
        <w:t xml:space="preserve"> and that conversation can lead to other spaces...It's the connections you get….That’s when you unravel the mamae </w:t>
      </w:r>
      <w:r>
        <w:rPr>
          <w:lang w:val="en-NZ"/>
        </w:rPr>
        <w:t xml:space="preserve">(hurt) </w:t>
      </w:r>
      <w:r w:rsidRPr="002F108B">
        <w:rPr>
          <w:lang w:val="en-NZ"/>
        </w:rPr>
        <w:t>that's going on (</w:t>
      </w:r>
      <w:r>
        <w:rPr>
          <w:lang w:val="en-NZ"/>
        </w:rPr>
        <w:t>Gambling harm service provider</w:t>
      </w:r>
      <w:r w:rsidR="0090399E">
        <w:rPr>
          <w:lang w:val="en-NZ"/>
        </w:rPr>
        <w:t xml:space="preserve"> </w:t>
      </w:r>
      <w:r w:rsidR="007761AC">
        <w:rPr>
          <w:lang w:val="en-NZ"/>
        </w:rPr>
        <w:t>8</w:t>
      </w:r>
      <w:r w:rsidRPr="002F108B">
        <w:rPr>
          <w:lang w:val="en-NZ"/>
        </w:rPr>
        <w:t>)</w:t>
      </w:r>
      <w:r w:rsidR="00D81E6D">
        <w:rPr>
          <w:lang w:val="en-NZ"/>
        </w:rPr>
        <w:t xml:space="preserve"> </w:t>
      </w:r>
    </w:p>
    <w:p w14:paraId="6B9E8295" w14:textId="77777777" w:rsidR="00506027" w:rsidRDefault="00506027" w:rsidP="00506027">
      <w:pPr>
        <w:pStyle w:val="Quotes"/>
        <w:ind w:left="1080"/>
        <w:rPr>
          <w:lang w:val="en-NZ"/>
        </w:rPr>
      </w:pPr>
      <w:r>
        <w:rPr>
          <w:lang w:val="en-NZ"/>
        </w:rPr>
        <w:t>T</w:t>
      </w:r>
      <w:r w:rsidRPr="000020DC">
        <w:rPr>
          <w:lang w:val="en-NZ"/>
        </w:rPr>
        <w:t>here's still a lot</w:t>
      </w:r>
      <w:r>
        <w:rPr>
          <w:lang w:val="en-NZ"/>
        </w:rPr>
        <w:t xml:space="preserve"> of</w:t>
      </w:r>
      <w:r w:rsidRPr="000020DC">
        <w:rPr>
          <w:lang w:val="en-NZ"/>
        </w:rPr>
        <w:t xml:space="preserve"> work to be done so that people feel that they can openly talk about it, you know</w:t>
      </w:r>
      <w:r>
        <w:rPr>
          <w:lang w:val="en-NZ"/>
        </w:rPr>
        <w:t>,</w:t>
      </w:r>
      <w:r w:rsidRPr="000020DC">
        <w:rPr>
          <w:lang w:val="en-NZ"/>
        </w:rPr>
        <w:t xml:space="preserve"> because the stigma isolat</w:t>
      </w:r>
      <w:r>
        <w:rPr>
          <w:lang w:val="en-NZ"/>
        </w:rPr>
        <w:t>e</w:t>
      </w:r>
      <w:r w:rsidRPr="000020DC">
        <w:rPr>
          <w:lang w:val="en-NZ"/>
        </w:rPr>
        <w:t>s</w:t>
      </w:r>
      <w:r>
        <w:rPr>
          <w:lang w:val="en-NZ"/>
        </w:rPr>
        <w:t>.</w:t>
      </w:r>
      <w:r w:rsidRPr="000020DC">
        <w:rPr>
          <w:lang w:val="en-NZ"/>
        </w:rPr>
        <w:t xml:space="preserve"> A lot of people will rather hide it.</w:t>
      </w:r>
      <w:r>
        <w:rPr>
          <w:lang w:val="en-NZ"/>
        </w:rPr>
        <w:t xml:space="preserve"> </w:t>
      </w:r>
      <w:r w:rsidRPr="002F108B">
        <w:rPr>
          <w:lang w:val="en-NZ"/>
        </w:rPr>
        <w:t>(Lived experience representative)</w:t>
      </w:r>
    </w:p>
    <w:p w14:paraId="33EF910C" w14:textId="77777777" w:rsidR="00D705C8" w:rsidRPr="002F108B" w:rsidRDefault="00D705C8" w:rsidP="00D705C8">
      <w:pPr>
        <w:pStyle w:val="Bulletpointindented"/>
        <w:rPr>
          <w:lang w:val="en-NZ"/>
        </w:rPr>
      </w:pPr>
      <w:r w:rsidRPr="002F108B">
        <w:rPr>
          <w:lang w:val="en-NZ"/>
        </w:rPr>
        <w:t>Mana-enhancing and destigmatising themes</w:t>
      </w:r>
    </w:p>
    <w:p w14:paraId="089C4D82" w14:textId="10AC7D4C" w:rsidR="00D705C8" w:rsidRPr="002F108B" w:rsidRDefault="00D705C8" w:rsidP="00D705C8">
      <w:pPr>
        <w:pStyle w:val="Quotes"/>
        <w:ind w:left="1080"/>
        <w:rPr>
          <w:highlight w:val="yellow"/>
          <w:lang w:val="en-NZ"/>
        </w:rPr>
      </w:pPr>
      <w:r w:rsidRPr="002F108B">
        <w:rPr>
          <w:lang w:val="en-NZ"/>
        </w:rPr>
        <w:t>If you look at the prevalence estimates, they change rapidly…. In DSM 4, it was 2-3%. In DSM 5, it was 0.2-0.3%...it's harder to survey and find out</w:t>
      </w:r>
      <w:r>
        <w:rPr>
          <w:lang w:val="en-NZ"/>
        </w:rPr>
        <w:t xml:space="preserve"> [the]</w:t>
      </w:r>
      <w:r w:rsidRPr="002F108B">
        <w:rPr>
          <w:lang w:val="en-NZ"/>
        </w:rPr>
        <w:t xml:space="preserve"> truth from people because there's so much stigma attached to it… </w:t>
      </w:r>
      <w:r w:rsidR="00BD2EF5">
        <w:rPr>
          <w:lang w:val="en-NZ"/>
        </w:rPr>
        <w:t>[Gambling sector representatives are]</w:t>
      </w:r>
      <w:r w:rsidR="00BD2EF5" w:rsidRPr="002F108B">
        <w:rPr>
          <w:lang w:val="en-NZ"/>
        </w:rPr>
        <w:t xml:space="preserve"> </w:t>
      </w:r>
      <w:r w:rsidRPr="002F108B">
        <w:rPr>
          <w:lang w:val="en-NZ"/>
        </w:rPr>
        <w:t xml:space="preserve">not certain how well </w:t>
      </w:r>
      <w:r w:rsidR="00BD2EF5">
        <w:rPr>
          <w:lang w:val="en-NZ"/>
        </w:rPr>
        <w:t>[they’re]</w:t>
      </w:r>
      <w:r w:rsidR="00BD2EF5" w:rsidRPr="002F108B">
        <w:rPr>
          <w:lang w:val="en-NZ"/>
        </w:rPr>
        <w:t xml:space="preserve"> </w:t>
      </w:r>
      <w:r w:rsidRPr="002F108B">
        <w:rPr>
          <w:lang w:val="en-NZ"/>
        </w:rPr>
        <w:t xml:space="preserve">doing because </w:t>
      </w:r>
      <w:r w:rsidR="00BD2EF5">
        <w:rPr>
          <w:lang w:val="en-NZ"/>
        </w:rPr>
        <w:t>[they]</w:t>
      </w:r>
      <w:r w:rsidR="00BD2EF5" w:rsidRPr="002F108B">
        <w:rPr>
          <w:lang w:val="en-NZ"/>
        </w:rPr>
        <w:t xml:space="preserve"> </w:t>
      </w:r>
      <w:r w:rsidRPr="002F108B">
        <w:rPr>
          <w:lang w:val="en-NZ"/>
        </w:rPr>
        <w:t>don't know what the size of the baseline is…[There is a need to] reduce the stigma in help-seeking and in disclosing what sort of problems that people have around their gambling... (</w:t>
      </w:r>
      <w:r w:rsidR="0090399E">
        <w:rPr>
          <w:lang w:val="en-NZ"/>
        </w:rPr>
        <w:t>Gambling agency 1</w:t>
      </w:r>
      <w:r w:rsidRPr="002F108B">
        <w:rPr>
          <w:lang w:val="en-NZ"/>
        </w:rPr>
        <w:t>)</w:t>
      </w:r>
    </w:p>
    <w:p w14:paraId="6F562706" w14:textId="0C5ADA5E" w:rsidR="00D705C8" w:rsidRPr="002F108B" w:rsidRDefault="00D705C8" w:rsidP="00D705C8">
      <w:pPr>
        <w:pStyle w:val="Quotes"/>
        <w:ind w:left="1080"/>
        <w:rPr>
          <w:lang w:val="en-NZ"/>
        </w:rPr>
      </w:pPr>
      <w:r w:rsidRPr="002F108B">
        <w:rPr>
          <w:lang w:val="en-NZ"/>
        </w:rPr>
        <w:t>It's the whole cultur</w:t>
      </w:r>
      <w:r>
        <w:rPr>
          <w:lang w:val="en-NZ"/>
        </w:rPr>
        <w:t>e,</w:t>
      </w:r>
      <w:r w:rsidRPr="002F108B">
        <w:rPr>
          <w:lang w:val="en-NZ"/>
        </w:rPr>
        <w:t xml:space="preserve"> you know, that shame. You know, we have our services available</w:t>
      </w:r>
      <w:r>
        <w:rPr>
          <w:lang w:val="en-NZ"/>
        </w:rPr>
        <w:t>,</w:t>
      </w:r>
      <w:r w:rsidRPr="002F108B">
        <w:rPr>
          <w:lang w:val="en-NZ"/>
        </w:rPr>
        <w:t xml:space="preserve"> yet our people</w:t>
      </w:r>
      <w:r>
        <w:rPr>
          <w:lang w:val="en-NZ"/>
        </w:rPr>
        <w:t xml:space="preserve"> [are]</w:t>
      </w:r>
      <w:r w:rsidRPr="002F108B">
        <w:rPr>
          <w:lang w:val="en-NZ"/>
        </w:rPr>
        <w:t xml:space="preserve"> not coming forward. (</w:t>
      </w:r>
      <w:r>
        <w:rPr>
          <w:lang w:val="en-NZ"/>
        </w:rPr>
        <w:t>Gambling harm service provider</w:t>
      </w:r>
      <w:r w:rsidR="0090399E">
        <w:rPr>
          <w:lang w:val="en-NZ"/>
        </w:rPr>
        <w:t xml:space="preserve"> 7</w:t>
      </w:r>
      <w:r w:rsidRPr="002F108B">
        <w:rPr>
          <w:lang w:val="en-NZ"/>
        </w:rPr>
        <w:t>)</w:t>
      </w:r>
    </w:p>
    <w:p w14:paraId="5724173A" w14:textId="444F96F0" w:rsidR="00D705C8" w:rsidRDefault="00D705C8" w:rsidP="00D705C8">
      <w:pPr>
        <w:pStyle w:val="Quotes"/>
        <w:ind w:left="1080"/>
        <w:rPr>
          <w:lang w:val="en-NZ"/>
        </w:rPr>
      </w:pPr>
      <w:r w:rsidRPr="002F108B">
        <w:rPr>
          <w:lang w:val="en-NZ"/>
        </w:rPr>
        <w:t xml:space="preserve">...because we don't use the word gambling, because if you translate the word ‘Gambling’ from English into </w:t>
      </w:r>
      <w:r w:rsidR="0090399E">
        <w:rPr>
          <w:lang w:val="en-NZ"/>
        </w:rPr>
        <w:t>ethnic-specific</w:t>
      </w:r>
      <w:r w:rsidR="0090399E" w:rsidRPr="002F108B">
        <w:rPr>
          <w:lang w:val="en-NZ"/>
        </w:rPr>
        <w:t xml:space="preserve"> </w:t>
      </w:r>
      <w:r w:rsidRPr="002F108B">
        <w:rPr>
          <w:lang w:val="en-NZ"/>
        </w:rPr>
        <w:t>languages, it naturally becomes stigmatising. (</w:t>
      </w:r>
      <w:r>
        <w:rPr>
          <w:lang w:val="en-NZ"/>
        </w:rPr>
        <w:t>Gambling harm service provider</w:t>
      </w:r>
      <w:r w:rsidR="0090399E">
        <w:rPr>
          <w:lang w:val="en-NZ"/>
        </w:rPr>
        <w:t xml:space="preserve"> 1</w:t>
      </w:r>
      <w:r w:rsidRPr="002F108B">
        <w:rPr>
          <w:lang w:val="en-NZ"/>
        </w:rPr>
        <w:t>)</w:t>
      </w:r>
    </w:p>
    <w:p w14:paraId="1106045F" w14:textId="5DC383CF" w:rsidR="00B37293" w:rsidRPr="002F108B" w:rsidRDefault="00B37293" w:rsidP="00B37293">
      <w:pPr>
        <w:pStyle w:val="Bulletpointindented"/>
        <w:rPr>
          <w:lang w:val="en-NZ"/>
        </w:rPr>
      </w:pPr>
      <w:r w:rsidRPr="002F108B">
        <w:rPr>
          <w:lang w:val="en-NZ"/>
        </w:rPr>
        <w:t>Whānau/family intervention services</w:t>
      </w:r>
    </w:p>
    <w:p w14:paraId="2EE26051" w14:textId="33D92B0A" w:rsidR="00B37293" w:rsidRPr="002F108B" w:rsidRDefault="00B37293" w:rsidP="00B37293">
      <w:pPr>
        <w:pStyle w:val="Quotes"/>
        <w:ind w:left="1080"/>
        <w:rPr>
          <w:lang w:val="en-NZ"/>
        </w:rPr>
      </w:pPr>
      <w:r w:rsidRPr="002F108B">
        <w:rPr>
          <w:lang w:val="en-NZ"/>
        </w:rPr>
        <w:t xml:space="preserve">I think we should also change awareness-raising around services because our services also are there for family and affected members. But the general population don't know that...We offer the services, but we don't make them widely available. Yes, in the sector, </w:t>
      </w:r>
      <w:r w:rsidRPr="002F108B">
        <w:rPr>
          <w:lang w:val="en-NZ"/>
        </w:rPr>
        <w:lastRenderedPageBreak/>
        <w:t xml:space="preserve">we all know about it, but the general public, I don't think </w:t>
      </w:r>
      <w:r>
        <w:rPr>
          <w:lang w:val="en-NZ"/>
        </w:rPr>
        <w:t>[they]</w:t>
      </w:r>
      <w:r w:rsidRPr="002F108B">
        <w:rPr>
          <w:lang w:val="en-NZ"/>
        </w:rPr>
        <w:t xml:space="preserve"> really know about it. (Gambling agency</w:t>
      </w:r>
      <w:r w:rsidR="00BA32EB">
        <w:rPr>
          <w:lang w:val="en-NZ"/>
        </w:rPr>
        <w:t xml:space="preserve"> 2</w:t>
      </w:r>
      <w:r w:rsidRPr="002F108B">
        <w:rPr>
          <w:lang w:val="en-NZ"/>
        </w:rPr>
        <w:t>)</w:t>
      </w:r>
    </w:p>
    <w:p w14:paraId="3D95D8EB" w14:textId="2E0E9C31" w:rsidR="00B37293" w:rsidRPr="002F108B" w:rsidRDefault="00B37293" w:rsidP="00B37293">
      <w:pPr>
        <w:pStyle w:val="Bulletpointindented"/>
        <w:rPr>
          <w:lang w:val="en-NZ"/>
        </w:rPr>
      </w:pPr>
      <w:r w:rsidRPr="002F108B">
        <w:rPr>
          <w:lang w:val="en-NZ"/>
        </w:rPr>
        <w:t>Community funds and gambling industry marketing</w:t>
      </w:r>
      <w:r w:rsidR="00A60B0E">
        <w:rPr>
          <w:lang w:val="en-NZ"/>
        </w:rPr>
        <w:t>.</w:t>
      </w:r>
      <w:r w:rsidR="00841B7B">
        <w:rPr>
          <w:lang w:val="en-NZ"/>
        </w:rPr>
        <w:t xml:space="preserve"> </w:t>
      </w:r>
    </w:p>
    <w:p w14:paraId="5DD5268E" w14:textId="77777777" w:rsidR="00B44299" w:rsidRDefault="00B37293" w:rsidP="00B44299">
      <w:pPr>
        <w:pStyle w:val="Quotes"/>
        <w:ind w:left="1080"/>
        <w:rPr>
          <w:lang w:val="en-NZ"/>
        </w:rPr>
      </w:pPr>
      <w:r w:rsidRPr="002F108B">
        <w:rPr>
          <w:lang w:val="en-NZ"/>
        </w:rPr>
        <w:t>If people know only 23 cents or 23% of [every dollar], less than a quarter of their money actually goes to community causes</w:t>
      </w:r>
      <w:r>
        <w:rPr>
          <w:lang w:val="en-NZ"/>
        </w:rPr>
        <w:t>,</w:t>
      </w:r>
      <w:r w:rsidRPr="002F108B">
        <w:rPr>
          <w:lang w:val="en-NZ"/>
        </w:rPr>
        <w:t xml:space="preserve"> maybe they wouldn’t buy a </w:t>
      </w:r>
      <w:r>
        <w:rPr>
          <w:lang w:val="en-NZ"/>
        </w:rPr>
        <w:t>L</w:t>
      </w:r>
      <w:r w:rsidRPr="002F108B">
        <w:rPr>
          <w:lang w:val="en-NZ"/>
        </w:rPr>
        <w:t>otto ticket. Maybe they’d actually just donate money to those causes or to other fundraising. I think we’ve become too reliant on fundraising, gambling fundraising</w:t>
      </w:r>
      <w:r>
        <w:rPr>
          <w:lang w:val="en-NZ"/>
        </w:rPr>
        <w:t>.</w:t>
      </w:r>
      <w:r w:rsidRPr="002F108B">
        <w:rPr>
          <w:lang w:val="en-NZ"/>
        </w:rPr>
        <w:t xml:space="preserve"> I mean, the gambling environments perpetuate that because of this charitable model. (Gambling Agency</w:t>
      </w:r>
      <w:r w:rsidR="00BA32EB">
        <w:rPr>
          <w:lang w:val="en-NZ"/>
        </w:rPr>
        <w:t xml:space="preserve"> 2</w:t>
      </w:r>
      <w:r w:rsidRPr="002F108B">
        <w:rPr>
          <w:lang w:val="en-NZ"/>
        </w:rPr>
        <w:t>)</w:t>
      </w:r>
      <w:bookmarkStart w:id="188" w:name="_Hlk70929672"/>
    </w:p>
    <w:p w14:paraId="417E8A82" w14:textId="1DFBBED8" w:rsidR="00167862" w:rsidRPr="002F108B" w:rsidRDefault="00167862" w:rsidP="00167862">
      <w:pPr>
        <w:rPr>
          <w:lang w:val="en-NZ"/>
        </w:rPr>
      </w:pPr>
      <w:r w:rsidRPr="002F108B">
        <w:rPr>
          <w:b/>
          <w:lang w:val="en-NZ"/>
        </w:rPr>
        <w:t xml:space="preserve">Public health and health promotion capacity and capability: </w:t>
      </w:r>
      <w:r w:rsidRPr="002F108B">
        <w:rPr>
          <w:lang w:val="en-NZ"/>
        </w:rPr>
        <w:t xml:space="preserve">Interviewed participants across gambling stakeholder groups noted that the public health and health promotion outputs, resources and activities led by </w:t>
      </w:r>
      <w:r w:rsidR="00755724">
        <w:rPr>
          <w:lang w:val="en-NZ"/>
        </w:rPr>
        <w:t>Te Hiringa Hauora</w:t>
      </w:r>
      <w:r w:rsidR="00755724" w:rsidRPr="002F108B">
        <w:rPr>
          <w:lang w:val="en-NZ"/>
        </w:rPr>
        <w:t xml:space="preserve"> </w:t>
      </w:r>
      <w:r w:rsidRPr="002F108B">
        <w:rPr>
          <w:lang w:val="en-NZ"/>
        </w:rPr>
        <w:t xml:space="preserve">were variable and had fluctuated over the years. </w:t>
      </w:r>
    </w:p>
    <w:p w14:paraId="2E9484B4" w14:textId="77777777" w:rsidR="00167862" w:rsidRPr="002F108B" w:rsidRDefault="00167862" w:rsidP="00167862">
      <w:pPr>
        <w:pStyle w:val="Quotes"/>
        <w:ind w:left="927"/>
        <w:rPr>
          <w:lang w:val="en-NZ"/>
        </w:rPr>
      </w:pPr>
      <w:r w:rsidRPr="002F108B">
        <w:rPr>
          <w:lang w:val="en-NZ"/>
        </w:rPr>
        <w:t>I used to see them like two years ago</w:t>
      </w:r>
      <w:r>
        <w:rPr>
          <w:lang w:val="en-NZ"/>
        </w:rPr>
        <w:t>.</w:t>
      </w:r>
      <w:r w:rsidRPr="002F108B">
        <w:rPr>
          <w:lang w:val="en-NZ"/>
        </w:rPr>
        <w:t xml:space="preserve"> I used to see them at every different community event...promoting, talking about gambling. And they will definitely follow up if you filled in the form...two years ago, and I haven't seen them out in the community anymore</w:t>
      </w:r>
      <w:r>
        <w:rPr>
          <w:lang w:val="en-NZ"/>
        </w:rPr>
        <w:t>. B</w:t>
      </w:r>
      <w:r w:rsidRPr="002F108B">
        <w:rPr>
          <w:lang w:val="en-NZ"/>
        </w:rPr>
        <w:t>ut I thought that was a great way of reaching out to people and making it just that a normal conversation that they could have at these community events. (Lived experience representative)</w:t>
      </w:r>
    </w:p>
    <w:p w14:paraId="12B3C150" w14:textId="3070AA99" w:rsidR="00167862" w:rsidRPr="002F108B" w:rsidRDefault="00755724" w:rsidP="00167862">
      <w:pPr>
        <w:pStyle w:val="Quotes"/>
        <w:ind w:left="927"/>
        <w:rPr>
          <w:lang w:val="en-NZ"/>
        </w:rPr>
      </w:pPr>
      <w:r>
        <w:rPr>
          <w:lang w:val="en-NZ"/>
        </w:rPr>
        <w:t>[</w:t>
      </w:r>
      <w:r w:rsidR="00BA32EB" w:rsidRPr="002F108B">
        <w:rPr>
          <w:lang w:val="en-NZ"/>
        </w:rPr>
        <w:t>Te Hiringa Hauora</w:t>
      </w:r>
      <w:r>
        <w:rPr>
          <w:lang w:val="en-NZ"/>
        </w:rPr>
        <w:t>]</w:t>
      </w:r>
      <w:r w:rsidR="00BA32EB" w:rsidRPr="002F108B" w:rsidDel="00BA32EB">
        <w:rPr>
          <w:lang w:val="en-NZ"/>
        </w:rPr>
        <w:t xml:space="preserve"> </w:t>
      </w:r>
      <w:r w:rsidR="00167862" w:rsidRPr="002F108B">
        <w:rPr>
          <w:lang w:val="en-NZ"/>
        </w:rPr>
        <w:t>actually stopped on the resources to the gambling providers...It's really hard when we’ve not got resource</w:t>
      </w:r>
      <w:r w:rsidR="00167862">
        <w:rPr>
          <w:lang w:val="en-NZ"/>
        </w:rPr>
        <w:t>s</w:t>
      </w:r>
      <w:r w:rsidR="00167862" w:rsidRPr="002F108B">
        <w:rPr>
          <w:lang w:val="en-NZ"/>
        </w:rPr>
        <w:t xml:space="preserve"> from </w:t>
      </w:r>
      <w:r>
        <w:rPr>
          <w:lang w:val="en-NZ"/>
        </w:rPr>
        <w:t xml:space="preserve">[Te Hiringa Hauora] </w:t>
      </w:r>
      <w:r w:rsidR="00167862" w:rsidRPr="002F108B">
        <w:rPr>
          <w:lang w:val="en-NZ"/>
        </w:rPr>
        <w:t>. Not enough</w:t>
      </w:r>
      <w:r w:rsidR="00167862">
        <w:rPr>
          <w:lang w:val="en-NZ"/>
        </w:rPr>
        <w:t>,</w:t>
      </w:r>
      <w:r w:rsidR="00167862" w:rsidRPr="002F108B">
        <w:rPr>
          <w:lang w:val="en-NZ"/>
        </w:rPr>
        <w:t xml:space="preserve"> actually. And you know </w:t>
      </w:r>
      <w:r w:rsidR="00BA32EB">
        <w:rPr>
          <w:lang w:val="en-NZ"/>
        </w:rPr>
        <w:t>[ethnic-specific group]</w:t>
      </w:r>
      <w:r w:rsidR="00167862" w:rsidRPr="002F108B">
        <w:rPr>
          <w:lang w:val="en-NZ"/>
        </w:rPr>
        <w:t>, they need it, they need tangible things and take</w:t>
      </w:r>
      <w:r w:rsidR="00167862">
        <w:rPr>
          <w:lang w:val="en-NZ"/>
        </w:rPr>
        <w:t>-</w:t>
      </w:r>
      <w:r w:rsidR="00167862" w:rsidRPr="002F108B">
        <w:rPr>
          <w:lang w:val="en-NZ"/>
        </w:rPr>
        <w:t>home messages or things that they can take with them. (</w:t>
      </w:r>
      <w:r w:rsidR="00BA32EB">
        <w:rPr>
          <w:lang w:val="en-NZ"/>
        </w:rPr>
        <w:t>Gambling harm service provider 3</w:t>
      </w:r>
      <w:r w:rsidR="00167862" w:rsidRPr="002F108B">
        <w:rPr>
          <w:lang w:val="en-NZ"/>
        </w:rPr>
        <w:t>)</w:t>
      </w:r>
    </w:p>
    <w:p w14:paraId="150BDE53" w14:textId="77777777" w:rsidR="00167862" w:rsidRPr="002F108B" w:rsidRDefault="00167862" w:rsidP="00167862">
      <w:pPr>
        <w:rPr>
          <w:lang w:val="en-NZ"/>
        </w:rPr>
      </w:pPr>
      <w:bookmarkStart w:id="189" w:name="_Hlk70929652"/>
      <w:bookmarkEnd w:id="188"/>
      <w:r w:rsidRPr="002F108B">
        <w:rPr>
          <w:lang w:val="en-NZ"/>
        </w:rPr>
        <w:t>Small numbers of participants also:</w:t>
      </w:r>
    </w:p>
    <w:p w14:paraId="035CDBD7" w14:textId="6D4D8C6A" w:rsidR="00167862" w:rsidRPr="00AE02F9" w:rsidRDefault="00167862" w:rsidP="007B372A">
      <w:pPr>
        <w:pStyle w:val="Bulletpointindented"/>
      </w:pPr>
      <w:r>
        <w:t xml:space="preserve">Questioned whether capacity within </w:t>
      </w:r>
      <w:r w:rsidR="00755724">
        <w:rPr>
          <w:lang w:val="en-NZ"/>
        </w:rPr>
        <w:t>Te Hiringa Hauora</w:t>
      </w:r>
      <w:r w:rsidR="00755724">
        <w:t xml:space="preserve"> </w:t>
      </w:r>
      <w:r>
        <w:t>was adequate</w:t>
      </w:r>
    </w:p>
    <w:p w14:paraId="1C6A77BD" w14:textId="6403928F" w:rsidR="00167862" w:rsidRPr="002F108B" w:rsidRDefault="00BA32EB" w:rsidP="007B372A">
      <w:pPr>
        <w:pStyle w:val="Quotes"/>
        <w:ind w:left="1080"/>
        <w:rPr>
          <w:lang w:val="en-NZ"/>
        </w:rPr>
      </w:pPr>
      <w:r w:rsidRPr="002F108B">
        <w:rPr>
          <w:lang w:val="en-NZ"/>
        </w:rPr>
        <w:t>Te Hiringa Hauora</w:t>
      </w:r>
      <w:r w:rsidR="00167862" w:rsidRPr="002F108B">
        <w:rPr>
          <w:lang w:val="en-NZ"/>
        </w:rPr>
        <w:t xml:space="preserve"> ha</w:t>
      </w:r>
      <w:r w:rsidR="00167862">
        <w:rPr>
          <w:lang w:val="en-NZ"/>
        </w:rPr>
        <w:t>s</w:t>
      </w:r>
      <w:r w:rsidR="00167862" w:rsidRPr="002F108B">
        <w:rPr>
          <w:lang w:val="en-NZ"/>
        </w:rPr>
        <w:t xml:space="preserve"> been in the past a lot stronger than what they are presently...Even our engagement with </w:t>
      </w:r>
      <w:r w:rsidRPr="002F108B">
        <w:rPr>
          <w:lang w:val="en-NZ"/>
        </w:rPr>
        <w:t>Te Hiringa Hauora</w:t>
      </w:r>
      <w:r w:rsidR="00167862" w:rsidRPr="002F108B">
        <w:rPr>
          <w:lang w:val="en-NZ"/>
        </w:rPr>
        <w:t xml:space="preserve"> has dropped off...We tried to reach out</w:t>
      </w:r>
      <w:r w:rsidR="00167862">
        <w:rPr>
          <w:lang w:val="en-NZ"/>
        </w:rPr>
        <w:t>,</w:t>
      </w:r>
      <w:r w:rsidR="00167862" w:rsidRPr="002F108B">
        <w:rPr>
          <w:lang w:val="en-NZ"/>
        </w:rPr>
        <w:t xml:space="preserve"> and there [was] only a part</w:t>
      </w:r>
      <w:r w:rsidR="00167862">
        <w:rPr>
          <w:lang w:val="en-NZ"/>
        </w:rPr>
        <w:t>-</w:t>
      </w:r>
      <w:r w:rsidR="00167862" w:rsidRPr="002F108B">
        <w:rPr>
          <w:lang w:val="en-NZ"/>
        </w:rPr>
        <w:t>time person [at the time]. (</w:t>
      </w:r>
      <w:r>
        <w:rPr>
          <w:lang w:val="en-NZ"/>
        </w:rPr>
        <w:t>Gambling industry 2</w:t>
      </w:r>
      <w:r w:rsidR="00167862" w:rsidRPr="002F108B">
        <w:rPr>
          <w:lang w:val="en-NZ"/>
        </w:rPr>
        <w:t>)</w:t>
      </w:r>
    </w:p>
    <w:p w14:paraId="3B803CB7" w14:textId="77777777" w:rsidR="00167862" w:rsidRDefault="00167862" w:rsidP="007B372A">
      <w:pPr>
        <w:pStyle w:val="Bulletpointindented"/>
      </w:pPr>
      <w:r>
        <w:t>Noted promotion of the Helpline and little resource promoting local and accessible intervention services</w:t>
      </w:r>
    </w:p>
    <w:p w14:paraId="41A61504" w14:textId="290A92A7" w:rsidR="00167862" w:rsidRPr="00A31C5C" w:rsidRDefault="00167862" w:rsidP="007B372A">
      <w:pPr>
        <w:pStyle w:val="Quotes"/>
        <w:ind w:left="1080"/>
        <w:rPr>
          <w:lang w:val="en-NZ"/>
        </w:rPr>
      </w:pPr>
      <w:r w:rsidRPr="00A31C5C">
        <w:rPr>
          <w:lang w:val="en-NZ"/>
        </w:rPr>
        <w:t>I know that, for example, our marketing leaders are always going</w:t>
      </w:r>
      <w:r>
        <w:rPr>
          <w:lang w:val="en-NZ"/>
        </w:rPr>
        <w:t xml:space="preserve"> “W</w:t>
      </w:r>
      <w:r w:rsidRPr="00A31C5C">
        <w:rPr>
          <w:lang w:val="en-NZ"/>
        </w:rPr>
        <w:t>e just don't have budget to do it. We would love to be able to put money into actually promoting the service</w:t>
      </w:r>
      <w:r>
        <w:rPr>
          <w:lang w:val="en-NZ"/>
        </w:rPr>
        <w:t>”</w:t>
      </w:r>
      <w:r w:rsidRPr="00A31C5C">
        <w:rPr>
          <w:lang w:val="en-NZ"/>
        </w:rPr>
        <w:t xml:space="preserve">...It would be amazing if we could actually have the ability to really promote our services because we would definitely, take a different approach than the </w:t>
      </w:r>
      <w:r w:rsidR="00755724">
        <w:rPr>
          <w:lang w:val="en-NZ"/>
        </w:rPr>
        <w:t xml:space="preserve">[Te Hiringa Hauora] </w:t>
      </w:r>
      <w:r w:rsidRPr="00A31C5C">
        <w:rPr>
          <w:lang w:val="en-NZ"/>
        </w:rPr>
        <w:t>in how they have over the last while.</w:t>
      </w:r>
      <w:r>
        <w:rPr>
          <w:lang w:val="en-NZ"/>
        </w:rPr>
        <w:t xml:space="preserve"> (</w:t>
      </w:r>
      <w:r w:rsidR="00BA32EB">
        <w:rPr>
          <w:lang w:val="en-NZ"/>
        </w:rPr>
        <w:t>Gambling harm service provider 2</w:t>
      </w:r>
      <w:r>
        <w:rPr>
          <w:lang w:val="en-NZ"/>
        </w:rPr>
        <w:t>)</w:t>
      </w:r>
    </w:p>
    <w:p w14:paraId="1B8120CF" w14:textId="15A8E8B6" w:rsidR="00167862" w:rsidRPr="00AE02F9" w:rsidRDefault="00167862" w:rsidP="007B372A">
      <w:pPr>
        <w:pStyle w:val="Bulletpointindented"/>
      </w:pPr>
      <w:r>
        <w:t xml:space="preserve">Contended that resources and merchandise no longer produced by </w:t>
      </w:r>
      <w:r w:rsidR="00755724">
        <w:rPr>
          <w:lang w:val="en-NZ"/>
        </w:rPr>
        <w:t>Te Hiringa Hauora</w:t>
      </w:r>
      <w:r w:rsidR="00755724">
        <w:t xml:space="preserve"> </w:t>
      </w:r>
      <w:r>
        <w:t>were still necessary for providing public health engagement with communities.</w:t>
      </w:r>
      <w:r w:rsidR="0060592A">
        <w:t xml:space="preserve"> Half of the workforce survey respondents said that one challenge they face in delivering </w:t>
      </w:r>
      <w:r w:rsidR="0060592A">
        <w:lastRenderedPageBreak/>
        <w:t>services and support to clients is ‘having the right resource available to work with the clients’</w:t>
      </w:r>
      <w:r w:rsidR="00F9132F">
        <w:rPr>
          <w:rStyle w:val="FootnoteReference"/>
        </w:rPr>
        <w:footnoteReference w:id="48"/>
      </w:r>
      <w:r w:rsidR="00F9132F">
        <w:t>.</w:t>
      </w:r>
    </w:p>
    <w:p w14:paraId="43D45D52" w14:textId="17503E30" w:rsidR="00167862" w:rsidRDefault="00167862" w:rsidP="007B372A">
      <w:pPr>
        <w:pStyle w:val="Quotes"/>
        <w:ind w:left="1080"/>
        <w:rPr>
          <w:lang w:val="en-NZ"/>
        </w:rPr>
      </w:pPr>
      <w:r w:rsidRPr="002F108B">
        <w:rPr>
          <w:lang w:val="en-NZ"/>
        </w:rPr>
        <w:t>We do have evidence from evaluations that some of the big public health events like the Pasifika festival that some of the larger organisations go to, to talk about gambling and, and brief screens and things - then you see a spike in people attending, calling the gambling helpline or attending services. So that is some indication that raising awareness then gets people doing something, but it’s too sporadic in my mind. (Gambling agency</w:t>
      </w:r>
      <w:r w:rsidR="00BA32EB">
        <w:rPr>
          <w:lang w:val="en-NZ"/>
        </w:rPr>
        <w:t xml:space="preserve"> 2</w:t>
      </w:r>
      <w:r w:rsidRPr="002F108B">
        <w:rPr>
          <w:lang w:val="en-NZ"/>
        </w:rPr>
        <w:t>)</w:t>
      </w:r>
    </w:p>
    <w:bookmarkEnd w:id="189"/>
    <w:p w14:paraId="1739E101" w14:textId="04D04EF7" w:rsidR="00636A4D" w:rsidRDefault="00636A4D" w:rsidP="00636A4D">
      <w:pPr>
        <w:rPr>
          <w:lang w:val="en-NZ"/>
        </w:rPr>
      </w:pPr>
      <w:r w:rsidRPr="002F108B">
        <w:rPr>
          <w:lang w:val="en-NZ"/>
        </w:rPr>
        <w:t xml:space="preserve">Interviewed gambling harm service </w:t>
      </w:r>
      <w:r w:rsidR="00451777">
        <w:rPr>
          <w:lang w:val="en-NZ"/>
        </w:rPr>
        <w:t>provider</w:t>
      </w:r>
      <w:r w:rsidR="00451777" w:rsidRPr="002F108B">
        <w:rPr>
          <w:lang w:val="en-NZ"/>
        </w:rPr>
        <w:t xml:space="preserve"> </w:t>
      </w:r>
      <w:r w:rsidRPr="002F108B">
        <w:rPr>
          <w:lang w:val="en-NZ"/>
        </w:rPr>
        <w:t>representatives noted they were unsure whether the frequency of training for venue staff around host responsibilities and exclusion was adequate given the high turnover and recruitment of staff in the hospitality industry – providers questioned whether online training was required to avoid delays training newly recruited staff.</w:t>
      </w:r>
    </w:p>
    <w:p w14:paraId="5D90B029" w14:textId="078E7A89" w:rsidR="00D705C8" w:rsidRDefault="00D705C8" w:rsidP="00D705C8">
      <w:pPr>
        <w:pStyle w:val="Heading2"/>
      </w:pPr>
      <w:bookmarkStart w:id="190" w:name="_Toc76469813"/>
      <w:r>
        <w:t>Objective 11</w:t>
      </w:r>
      <w:r w:rsidR="00E9023A">
        <w:t xml:space="preserve"> - focus on research and evaluation</w:t>
      </w:r>
      <w:bookmarkStart w:id="191" w:name="_Toc65250330"/>
      <w:bookmarkEnd w:id="190"/>
      <w:r w:rsidR="00E9023A">
        <w:t xml:space="preserve"> </w:t>
      </w:r>
    </w:p>
    <w:p w14:paraId="2E421223" w14:textId="77777777" w:rsidR="00F0203F" w:rsidRPr="00F0203F" w:rsidRDefault="00F0203F" w:rsidP="00F0203F">
      <w:pPr>
        <w:rPr>
          <w:b/>
          <w:bCs/>
          <w:lang w:val="en-NZ"/>
        </w:rPr>
      </w:pPr>
      <w:r w:rsidRPr="00F0203F">
        <w:rPr>
          <w:b/>
          <w:bCs/>
          <w:lang w:val="en-NZ"/>
        </w:rPr>
        <w:t xml:space="preserve">Objective 11: A programme of research and evaluation establishes an evidence base that underpins all activities to prevent and minimise gambling harm </w:t>
      </w:r>
    </w:p>
    <w:p w14:paraId="368B39CF" w14:textId="095C2DB1" w:rsidR="00C64B27" w:rsidRDefault="00C64B27" w:rsidP="00D705C8">
      <w:pPr>
        <w:pStyle w:val="Heading3"/>
      </w:pPr>
      <w:r>
        <w:t>What does the evidence tell us?</w:t>
      </w:r>
    </w:p>
    <w:p w14:paraId="30518E95" w14:textId="0FB9E8CA" w:rsidR="00C73C4F" w:rsidRDefault="00FE02C9" w:rsidP="00C73C4F">
      <w:r>
        <w:t>Each</w:t>
      </w:r>
      <w:r w:rsidR="00C73C4F">
        <w:t xml:space="preserve"> </w:t>
      </w:r>
      <w:r w:rsidR="00062770">
        <w:rPr>
          <w:rFonts w:asciiTheme="minorHAnsi" w:hAnsiTheme="minorHAnsi" w:cstheme="minorHAnsi"/>
        </w:rPr>
        <w:t>Strategy to Prevent and Minimise Gambling Harm</w:t>
      </w:r>
      <w:r w:rsidR="006C524D">
        <w:rPr>
          <w:rFonts w:asciiTheme="minorHAnsi" w:hAnsiTheme="minorHAnsi" w:cstheme="minorHAnsi"/>
        </w:rPr>
        <w:t xml:space="preserve"> includes the Ministry’s priorities for research and evaluation.</w:t>
      </w:r>
      <w:r w:rsidR="00BD0878">
        <w:rPr>
          <w:rFonts w:asciiTheme="minorHAnsi" w:hAnsiTheme="minorHAnsi" w:cstheme="minorHAnsi"/>
        </w:rPr>
        <w:t xml:space="preserve"> Research and evaluation outcomes are </w:t>
      </w:r>
      <w:r w:rsidR="000E503B" w:rsidRPr="00356B38">
        <w:rPr>
          <w:rStyle w:val="QuotesChar"/>
        </w:rPr>
        <w:t>intended to inform policy and service development</w:t>
      </w:r>
      <w:r w:rsidR="00356B38" w:rsidRPr="00356B38">
        <w:rPr>
          <w:rStyle w:val="QuotesChar"/>
        </w:rPr>
        <w:t xml:space="preserve"> by government agencies, and appropriate activities in the sector</w:t>
      </w:r>
      <w:r w:rsidR="000D3570">
        <w:rPr>
          <w:rStyle w:val="FootnoteReference"/>
          <w:i/>
          <w:noProof/>
          <w:color w:val="4A1B1A" w:themeColor="accent2" w:themeShade="80"/>
        </w:rPr>
        <w:footnoteReference w:id="49"/>
      </w:r>
      <w:r w:rsidR="00356B38">
        <w:rPr>
          <w:rFonts w:asciiTheme="minorHAnsi" w:hAnsiTheme="minorHAnsi" w:cstheme="minorHAnsi"/>
        </w:rPr>
        <w:t xml:space="preserve">. </w:t>
      </w:r>
    </w:p>
    <w:p w14:paraId="12C2FC39" w14:textId="3EB6D50E" w:rsidR="00D705C8" w:rsidRDefault="00C64B27" w:rsidP="00D705C8">
      <w:pPr>
        <w:pStyle w:val="Heading3"/>
      </w:pPr>
      <w:r>
        <w:t>Progress against Objective 11</w:t>
      </w:r>
    </w:p>
    <w:p w14:paraId="591FEDA5" w14:textId="3DF7586B" w:rsidR="00D705C8" w:rsidRDefault="00D705C8" w:rsidP="00D705C8">
      <w:pPr>
        <w:rPr>
          <w:lang w:val="en-NZ"/>
        </w:rPr>
      </w:pPr>
      <w:r w:rsidRPr="002F108B">
        <w:rPr>
          <w:lang w:val="en-NZ"/>
        </w:rPr>
        <w:t xml:space="preserve">Interviewed participants from all gambling stakeholder groups </w:t>
      </w:r>
      <w:r w:rsidR="002E1C8A">
        <w:rPr>
          <w:lang w:val="en-NZ"/>
        </w:rPr>
        <w:t xml:space="preserve">and </w:t>
      </w:r>
      <w:r>
        <w:rPr>
          <w:lang w:val="en-NZ"/>
        </w:rPr>
        <w:t>a quarter of the workforce survey respondents</w:t>
      </w:r>
      <w:r>
        <w:rPr>
          <w:rStyle w:val="FootnoteReference"/>
          <w:lang w:val="en-NZ"/>
        </w:rPr>
        <w:footnoteReference w:id="50"/>
      </w:r>
      <w:r>
        <w:rPr>
          <w:lang w:val="en-NZ"/>
        </w:rPr>
        <w:t xml:space="preserve"> </w:t>
      </w:r>
      <w:r w:rsidRPr="002F108B">
        <w:rPr>
          <w:lang w:val="en-NZ"/>
        </w:rPr>
        <w:t xml:space="preserve">noted </w:t>
      </w:r>
      <w:r w:rsidR="00DC7106">
        <w:rPr>
          <w:lang w:val="en-NZ"/>
        </w:rPr>
        <w:t xml:space="preserve">some </w:t>
      </w:r>
      <w:r w:rsidRPr="002F108B">
        <w:rPr>
          <w:lang w:val="en-NZ"/>
        </w:rPr>
        <w:t>progress</w:t>
      </w:r>
      <w:r>
        <w:rPr>
          <w:lang w:val="en-NZ"/>
        </w:rPr>
        <w:t xml:space="preserve"> had been made</w:t>
      </w:r>
      <w:r w:rsidRPr="002F108B">
        <w:rPr>
          <w:lang w:val="en-NZ"/>
        </w:rPr>
        <w:t xml:space="preserve"> against this </w:t>
      </w:r>
      <w:r w:rsidR="001D6A9F">
        <w:rPr>
          <w:lang w:val="en-NZ"/>
        </w:rPr>
        <w:t>Objective</w:t>
      </w:r>
      <w:r>
        <w:rPr>
          <w:lang w:val="en-NZ"/>
        </w:rPr>
        <w:t>. However, many also said this occurred with limited planning and co</w:t>
      </w:r>
      <w:r w:rsidR="00E91CE0">
        <w:rPr>
          <w:lang w:val="en-NZ"/>
        </w:rPr>
        <w:t>-</w:t>
      </w:r>
      <w:r>
        <w:rPr>
          <w:lang w:val="en-NZ"/>
        </w:rPr>
        <w:t>ordination.</w:t>
      </w:r>
    </w:p>
    <w:p w14:paraId="38ECB519" w14:textId="32D8BDAF" w:rsidR="00D705C8" w:rsidRDefault="00D705C8" w:rsidP="00D705C8">
      <w:pPr>
        <w:pStyle w:val="Quotes"/>
        <w:rPr>
          <w:lang w:val="en-NZ"/>
        </w:rPr>
      </w:pPr>
      <w:r w:rsidRPr="002F108B">
        <w:rPr>
          <w:lang w:val="en-NZ"/>
        </w:rPr>
        <w:t xml:space="preserve">...we haven’t had a programme of research and evaluation to establish evidence to underpin all the activities. (Gambling </w:t>
      </w:r>
      <w:r>
        <w:rPr>
          <w:lang w:val="en-NZ"/>
        </w:rPr>
        <w:t>agency</w:t>
      </w:r>
      <w:r w:rsidR="00BA32EB">
        <w:rPr>
          <w:lang w:val="en-NZ"/>
        </w:rPr>
        <w:t xml:space="preserve"> 2</w:t>
      </w:r>
      <w:r w:rsidRPr="002F108B">
        <w:rPr>
          <w:lang w:val="en-NZ"/>
        </w:rPr>
        <w:t>)</w:t>
      </w:r>
    </w:p>
    <w:p w14:paraId="6BEC57F8" w14:textId="7FEF2732" w:rsidR="00D705C8" w:rsidRDefault="00D705C8" w:rsidP="00D705C8">
      <w:pPr>
        <w:pStyle w:val="Quotes"/>
        <w:rPr>
          <w:lang w:val="en-NZ"/>
        </w:rPr>
      </w:pPr>
      <w:r w:rsidRPr="002F108B">
        <w:rPr>
          <w:lang w:val="en-NZ"/>
        </w:rPr>
        <w:t xml:space="preserve">From the last strategy [and on the Ministry] website...the intention [was] for the 2019 to 2022 calendar years is to have one funding round per annum...that the funding stream will support approximately five to seven projects...The </w:t>
      </w:r>
      <w:r w:rsidRPr="007B7959">
        <w:t>Ministry</w:t>
      </w:r>
      <w:r w:rsidRPr="002F108B">
        <w:rPr>
          <w:lang w:val="en-NZ"/>
        </w:rPr>
        <w:t xml:space="preserve"> is aiming to issue an RFP in August each year...The last time they issued an RFP was in 2019. (Gambling agency</w:t>
      </w:r>
      <w:r w:rsidR="00BA32EB">
        <w:rPr>
          <w:lang w:val="en-NZ"/>
        </w:rPr>
        <w:t xml:space="preserve"> 2</w:t>
      </w:r>
      <w:r w:rsidRPr="002F108B">
        <w:rPr>
          <w:lang w:val="en-NZ"/>
        </w:rPr>
        <w:t xml:space="preserve">) </w:t>
      </w:r>
    </w:p>
    <w:p w14:paraId="14BFAA6B" w14:textId="153EEB83" w:rsidR="00852E5C" w:rsidRDefault="00852E5C" w:rsidP="00B44299">
      <w:pPr>
        <w:rPr>
          <w:lang w:val="en-NZ"/>
        </w:rPr>
      </w:pPr>
      <w:r>
        <w:rPr>
          <w:lang w:val="en-NZ"/>
        </w:rPr>
        <w:lastRenderedPageBreak/>
        <w:t>In relation to the latter quote, it is important to note that COVID-19 impacted on the release of the 2020 funding round.</w:t>
      </w:r>
      <w:r w:rsidR="00CD7ED0">
        <w:rPr>
          <w:lang w:val="en-NZ"/>
        </w:rPr>
        <w:t xml:space="preserve"> The Ministry has further informed that the impact of COVID-19 has resulted in delays to the delivery of some funded research projects and evaluations. This included the planned:</w:t>
      </w:r>
    </w:p>
    <w:p w14:paraId="237826D2" w14:textId="268486C8" w:rsidR="00CD7ED0" w:rsidRDefault="00CD7ED0" w:rsidP="00CD7ED0">
      <w:pPr>
        <w:pStyle w:val="Bullet"/>
      </w:pPr>
      <w:r>
        <w:t>Evaluation of services, interventions and pilots, including the new service and innovation pilots</w:t>
      </w:r>
    </w:p>
    <w:p w14:paraId="4533770E" w14:textId="53E682D2" w:rsidR="00CD7ED0" w:rsidRDefault="00CD7ED0" w:rsidP="00CD7ED0">
      <w:pPr>
        <w:pStyle w:val="Bullet"/>
      </w:pPr>
      <w:r>
        <w:t>Research into reducing inequities in gambling harm, including how to address barriers to Māori, Pacific and Asian people use of gambling harm minimisation services, and the evidence for effective gambling harm minimisation service design for these population groups</w:t>
      </w:r>
    </w:p>
    <w:p w14:paraId="4D358FCD" w14:textId="3F5E9C63" w:rsidR="00CD7ED0" w:rsidRPr="002F108B" w:rsidRDefault="00CD7ED0" w:rsidP="0020635C">
      <w:pPr>
        <w:pStyle w:val="Bullet"/>
      </w:pPr>
      <w:r>
        <w:t>Research into how to prevent and reduce gambling relapse.</w:t>
      </w:r>
    </w:p>
    <w:p w14:paraId="39EFCCB7" w14:textId="77777777" w:rsidR="00D705C8" w:rsidRDefault="00D705C8" w:rsidP="00D705C8">
      <w:pPr>
        <w:pStyle w:val="Heading3"/>
      </w:pPr>
      <w:r>
        <w:t>Participant’s suggestions to address research and evaluation gaps and risks</w:t>
      </w:r>
    </w:p>
    <w:p w14:paraId="3F8D532F" w14:textId="77777777" w:rsidR="00D705C8" w:rsidRPr="002F108B" w:rsidRDefault="00D705C8" w:rsidP="00D705C8">
      <w:pPr>
        <w:rPr>
          <w:lang w:val="en-NZ"/>
        </w:rPr>
      </w:pPr>
      <w:r w:rsidRPr="002F108B">
        <w:rPr>
          <w:lang w:val="en-NZ"/>
        </w:rPr>
        <w:t>Suggestions to address research gaps and risks as identified by all interviewed stakeholders included a need to ensure:</w:t>
      </w:r>
    </w:p>
    <w:p w14:paraId="493D1FEE" w14:textId="293046BE" w:rsidR="002E5B99" w:rsidRPr="007F6ACE" w:rsidRDefault="0064366B" w:rsidP="002E5B99">
      <w:pPr>
        <w:rPr>
          <w:lang w:val="en-NZ"/>
        </w:rPr>
      </w:pPr>
      <w:r>
        <w:rPr>
          <w:b/>
          <w:bCs/>
          <w:lang w:val="en-NZ"/>
        </w:rPr>
        <w:t>Adequate e</w:t>
      </w:r>
      <w:r w:rsidR="002E5B99" w:rsidRPr="007F6ACE">
        <w:rPr>
          <w:b/>
          <w:bCs/>
          <w:lang w:val="en-NZ"/>
        </w:rPr>
        <w:t xml:space="preserve">vidence </w:t>
      </w:r>
      <w:r w:rsidR="002E5B99">
        <w:rPr>
          <w:b/>
          <w:bCs/>
          <w:lang w:val="en-NZ"/>
        </w:rPr>
        <w:t xml:space="preserve">is used </w:t>
      </w:r>
      <w:r w:rsidR="002E5B99" w:rsidRPr="007F6ACE">
        <w:rPr>
          <w:b/>
          <w:bCs/>
          <w:lang w:val="en-NZ"/>
        </w:rPr>
        <w:t xml:space="preserve">to inform </w:t>
      </w:r>
      <w:r>
        <w:rPr>
          <w:b/>
          <w:bCs/>
          <w:lang w:val="en-NZ"/>
        </w:rPr>
        <w:t>provider contracting and procurement</w:t>
      </w:r>
      <w:r w:rsidR="002E5B99" w:rsidRPr="007F6ACE">
        <w:rPr>
          <w:b/>
          <w:bCs/>
          <w:lang w:val="en-NZ"/>
        </w:rPr>
        <w:t>:</w:t>
      </w:r>
      <w:r w:rsidR="002E5B99" w:rsidRPr="007F6ACE">
        <w:rPr>
          <w:lang w:val="en-NZ"/>
        </w:rPr>
        <w:t xml:space="preserve"> Participants noted that funding and service models do not currently measure </w:t>
      </w:r>
      <w:r w:rsidR="00916D1E">
        <w:rPr>
          <w:lang w:val="en-NZ"/>
        </w:rPr>
        <w:t xml:space="preserve">service delivery and </w:t>
      </w:r>
      <w:r w:rsidR="002E5B99" w:rsidRPr="007F6ACE">
        <w:rPr>
          <w:lang w:val="en-NZ"/>
        </w:rPr>
        <w:t>impacts in culturally responsive ways. For example, many ethnic-specific providers undertake additional work to ensure culturally safe engagement and outcomes that are not recognised in contractual agreements. Some providers also noted extensive compliance and reporting – and questioned whether the same level of inquiry was consistent across all providers.</w:t>
      </w:r>
    </w:p>
    <w:p w14:paraId="48FED22A" w14:textId="23A79CC5" w:rsidR="002E5B99" w:rsidRPr="00B827F1" w:rsidRDefault="002E5B99" w:rsidP="002E5B99">
      <w:pPr>
        <w:pStyle w:val="Quotes"/>
      </w:pPr>
      <w:r w:rsidRPr="007F6ACE">
        <w:rPr>
          <w:lang w:val="en-NZ"/>
        </w:rPr>
        <w:t xml:space="preserve">So much stuff is not reported of the work that we do because it doesn't fit nice entirely into </w:t>
      </w:r>
      <w:r w:rsidRPr="00B827F1">
        <w:t>this very complex contracting arrangement for gambling contract services. (Gambling harm service provider</w:t>
      </w:r>
      <w:r w:rsidR="00BA32EB">
        <w:t xml:space="preserve"> 6</w:t>
      </w:r>
      <w:r w:rsidRPr="00B827F1">
        <w:t>)</w:t>
      </w:r>
    </w:p>
    <w:p w14:paraId="72D173E4" w14:textId="6121ABD4" w:rsidR="002E5B99" w:rsidRPr="007F6ACE" w:rsidRDefault="002E5B99" w:rsidP="002E5B99">
      <w:pPr>
        <w:pStyle w:val="Quotes"/>
        <w:rPr>
          <w:lang w:val="en-NZ"/>
        </w:rPr>
      </w:pPr>
      <w:r w:rsidRPr="00B827F1">
        <w:t>[We] have the ability to or are expected to provide counselling in [ethnic-specific] language and cultural</w:t>
      </w:r>
      <w:r w:rsidRPr="007F6ACE">
        <w:rPr>
          <w:lang w:val="en-NZ"/>
        </w:rPr>
        <w:t xml:space="preserve"> models...We're expected to translate information to simple and effective information for our people. And we're not recogni</w:t>
      </w:r>
      <w:r w:rsidR="00A2600E">
        <w:rPr>
          <w:lang w:val="en-NZ"/>
        </w:rPr>
        <w:t>s</w:t>
      </w:r>
      <w:r w:rsidRPr="007F6ACE">
        <w:rPr>
          <w:lang w:val="en-NZ"/>
        </w:rPr>
        <w:t>ed for that. (Gambling harm service provider</w:t>
      </w:r>
      <w:r w:rsidR="00BA32EB">
        <w:rPr>
          <w:lang w:val="en-NZ"/>
        </w:rPr>
        <w:t xml:space="preserve"> 3</w:t>
      </w:r>
      <w:r w:rsidRPr="007F6ACE">
        <w:rPr>
          <w:lang w:val="en-NZ"/>
        </w:rPr>
        <w:t>)</w:t>
      </w:r>
    </w:p>
    <w:p w14:paraId="6F1FB424" w14:textId="444D27CA" w:rsidR="00F30DBB" w:rsidRDefault="00F30DBB" w:rsidP="00F30DBB">
      <w:pPr>
        <w:rPr>
          <w:b/>
          <w:bCs/>
          <w:lang w:val="en-NZ"/>
        </w:rPr>
      </w:pPr>
      <w:r w:rsidRPr="007E259B">
        <w:rPr>
          <w:b/>
          <w:lang w:val="en-NZ"/>
        </w:rPr>
        <w:t xml:space="preserve">Evaluation sits alongside all pilot projects </w:t>
      </w:r>
      <w:r w:rsidRPr="002F108B">
        <w:rPr>
          <w:b/>
          <w:lang w:val="en-NZ"/>
        </w:rPr>
        <w:t>and services</w:t>
      </w:r>
      <w:r>
        <w:rPr>
          <w:b/>
          <w:bCs/>
          <w:lang w:val="en-NZ"/>
        </w:rPr>
        <w:t>:</w:t>
      </w:r>
    </w:p>
    <w:p w14:paraId="11420CAA" w14:textId="12AD7DFD" w:rsidR="00503A8E" w:rsidRPr="00B827F1" w:rsidRDefault="00503A8E" w:rsidP="00503A8E">
      <w:pPr>
        <w:pStyle w:val="Quotes"/>
      </w:pPr>
      <w:r w:rsidRPr="002F108B">
        <w:rPr>
          <w:lang w:val="en-NZ"/>
        </w:rPr>
        <w:t xml:space="preserve">The need for more evaluation… so often we don’t know what effective </w:t>
      </w:r>
      <w:r w:rsidRPr="00B827F1">
        <w:t>services are. That evidence for effectiveness of services is pretty lacking in this country and also internationally as well. (Gambling agency</w:t>
      </w:r>
      <w:r w:rsidR="00BA32EB">
        <w:t xml:space="preserve"> 2</w:t>
      </w:r>
      <w:r w:rsidRPr="00B827F1">
        <w:t>)</w:t>
      </w:r>
    </w:p>
    <w:p w14:paraId="2DEC93A6" w14:textId="23984112" w:rsidR="00503A8E" w:rsidRPr="00B827F1" w:rsidRDefault="00503A8E" w:rsidP="00503A8E">
      <w:pPr>
        <w:pStyle w:val="Quotes"/>
        <w:rPr>
          <w:highlight w:val="yellow"/>
        </w:rPr>
      </w:pPr>
      <w:r w:rsidRPr="00B827F1">
        <w:t>...we know the gold standard services for gambling treatment are CBT and motivational interviewing and various variants of those that’s been shown worldwide. But we don’t insist that our services provide MI or CBT. And in fact, it might not work for Māori and Pacific and Asian and other ethnic groups or culture groups. So we don’t really know what works. (Gambling agency</w:t>
      </w:r>
      <w:r w:rsidR="00BA32EB">
        <w:t xml:space="preserve"> 2</w:t>
      </w:r>
      <w:r w:rsidRPr="00B827F1">
        <w:t>)</w:t>
      </w:r>
    </w:p>
    <w:p w14:paraId="2E4EC9A8" w14:textId="7FA4F6CC" w:rsidR="00F30DBB" w:rsidRPr="00EB1CF8" w:rsidRDefault="00907530" w:rsidP="00F30DBB">
      <w:pPr>
        <w:rPr>
          <w:lang w:val="en-NZ"/>
        </w:rPr>
      </w:pPr>
      <w:r>
        <w:rPr>
          <w:b/>
          <w:bCs/>
          <w:lang w:val="en-NZ"/>
        </w:rPr>
        <w:t xml:space="preserve">The timing of research and evaluation outputs aligns with policy, practice and strategy: </w:t>
      </w:r>
      <w:r>
        <w:rPr>
          <w:lang w:val="en-NZ"/>
        </w:rPr>
        <w:t xml:space="preserve">Participants noted the importance of co-ordinating and aligning </w:t>
      </w:r>
      <w:r w:rsidR="00F30DBB">
        <w:rPr>
          <w:lang w:val="en-NZ"/>
        </w:rPr>
        <w:t xml:space="preserve">research and evaluation </w:t>
      </w:r>
      <w:r>
        <w:rPr>
          <w:lang w:val="en-NZ"/>
        </w:rPr>
        <w:t>outputs and evidence</w:t>
      </w:r>
      <w:r w:rsidR="00F30DBB" w:rsidRPr="00EB1CF8">
        <w:rPr>
          <w:lang w:val="en-NZ"/>
        </w:rPr>
        <w:t xml:space="preserve"> </w:t>
      </w:r>
      <w:r w:rsidR="00F30DBB">
        <w:rPr>
          <w:lang w:val="en-NZ"/>
        </w:rPr>
        <w:t>with timing required to inform policy and practice development and strategy</w:t>
      </w:r>
      <w:r w:rsidR="000D5F14">
        <w:rPr>
          <w:lang w:val="en-NZ"/>
        </w:rPr>
        <w:t xml:space="preserve"> for gambling service providers and industry stakeholders</w:t>
      </w:r>
      <w:r w:rsidR="00F30DBB">
        <w:rPr>
          <w:lang w:val="en-NZ"/>
        </w:rPr>
        <w:t>.</w:t>
      </w:r>
      <w:r w:rsidR="00D81E6D">
        <w:rPr>
          <w:lang w:val="en-NZ"/>
        </w:rPr>
        <w:t xml:space="preserve"> </w:t>
      </w:r>
    </w:p>
    <w:p w14:paraId="1862CFDC" w14:textId="769CF973" w:rsidR="00F30DBB" w:rsidRDefault="00F30DBB" w:rsidP="00F30DBB">
      <w:pPr>
        <w:pStyle w:val="Quotes"/>
        <w:rPr>
          <w:lang w:val="en-NZ"/>
        </w:rPr>
      </w:pPr>
      <w:r w:rsidRPr="00B827F1">
        <w:lastRenderedPageBreak/>
        <w:t>Research [is] critical [but] sometimes not necessarily [done] in parallel [with services], so I think that is a challenge. As a Ministry, they do try their best to to have both so that they can inform the parties and bring all the parties together, but it's just</w:t>
      </w:r>
      <w:r w:rsidRPr="002F108B">
        <w:rPr>
          <w:lang w:val="en-NZ"/>
        </w:rPr>
        <w:t xml:space="preserve"> the nature of [research] that it will take time. (</w:t>
      </w:r>
      <w:r w:rsidR="00BA32EB">
        <w:rPr>
          <w:lang w:val="en-NZ"/>
        </w:rPr>
        <w:t>Lived experience representative</w:t>
      </w:r>
      <w:r w:rsidRPr="002F108B">
        <w:rPr>
          <w:lang w:val="en-NZ"/>
        </w:rPr>
        <w:t>)</w:t>
      </w:r>
    </w:p>
    <w:p w14:paraId="264E47CB" w14:textId="35155CB9" w:rsidR="00907530" w:rsidRPr="00D4749E" w:rsidRDefault="00B91CD3" w:rsidP="00F30DBB">
      <w:pPr>
        <w:pStyle w:val="Quotes"/>
        <w:rPr>
          <w:lang w:val="en-NZ"/>
        </w:rPr>
      </w:pPr>
      <w:r>
        <w:rPr>
          <w:lang w:val="en-NZ"/>
        </w:rPr>
        <w:t>Everything’s moving so quickly…By</w:t>
      </w:r>
      <w:r w:rsidR="00907530">
        <w:rPr>
          <w:lang w:val="en-NZ"/>
        </w:rPr>
        <w:t xml:space="preserve"> the time the studies are done and they get published</w:t>
      </w:r>
      <w:r>
        <w:rPr>
          <w:lang w:val="en-NZ"/>
        </w:rPr>
        <w:t>…With all due respect to the Ministry, it does sometimes take quite a long time to com out…</w:t>
      </w:r>
      <w:r w:rsidR="00907530">
        <w:rPr>
          <w:lang w:val="en-NZ"/>
        </w:rPr>
        <w:t>How can we get better access to data more quickly to help make us understand whether the responsible gaming things we’re putting in place are working? (Gambling industry 5)</w:t>
      </w:r>
    </w:p>
    <w:p w14:paraId="5ABB0010" w14:textId="72FCFB24" w:rsidR="000E4BFE" w:rsidRPr="002F108B" w:rsidRDefault="00A47B98" w:rsidP="000E4BFE">
      <w:pPr>
        <w:rPr>
          <w:b/>
          <w:lang w:val="en-NZ"/>
        </w:rPr>
      </w:pPr>
      <w:r w:rsidRPr="002F108B">
        <w:rPr>
          <w:b/>
          <w:lang w:val="en-NZ"/>
        </w:rPr>
        <w:t xml:space="preserve">A commitment to action from the Ministry/Government in response to research </w:t>
      </w:r>
      <w:r w:rsidRPr="00DE219E">
        <w:rPr>
          <w:b/>
          <w:lang w:val="en-NZ"/>
        </w:rPr>
        <w:t>recommendations</w:t>
      </w:r>
      <w:r w:rsidRPr="002F108B">
        <w:rPr>
          <w:b/>
          <w:lang w:val="en-NZ"/>
        </w:rPr>
        <w:t>:</w:t>
      </w:r>
      <w:r w:rsidRPr="002F108B">
        <w:rPr>
          <w:lang w:val="en-NZ"/>
        </w:rPr>
        <w:t xml:space="preserve"> </w:t>
      </w:r>
      <w:r w:rsidR="006E42C1">
        <w:rPr>
          <w:lang w:val="en-NZ"/>
        </w:rPr>
        <w:t>Participants highlighted that while research outputs are produced the outcomes of this remain unknown.</w:t>
      </w:r>
      <w:r w:rsidR="000E4BFE">
        <w:rPr>
          <w:lang w:val="en-NZ"/>
        </w:rPr>
        <w:t xml:space="preserve"> </w:t>
      </w:r>
      <w:r w:rsidR="004637E5">
        <w:rPr>
          <w:lang w:val="en-NZ"/>
        </w:rPr>
        <w:t xml:space="preserve">Many </w:t>
      </w:r>
      <w:r w:rsidR="000E4BFE">
        <w:rPr>
          <w:lang w:val="en-NZ"/>
        </w:rPr>
        <w:t xml:space="preserve">emphasised </w:t>
      </w:r>
      <w:r w:rsidR="000E4BFE" w:rsidRPr="002F108B">
        <w:rPr>
          <w:lang w:val="en-NZ"/>
        </w:rPr>
        <w:t>a need for government agencies to detail how research findings have/will be used to inform strategic thinking, practice and policy.</w:t>
      </w:r>
    </w:p>
    <w:p w14:paraId="520CAE31" w14:textId="0D9C4510" w:rsidR="006E42C1" w:rsidRDefault="006E42C1" w:rsidP="006E42C1">
      <w:pPr>
        <w:pStyle w:val="Quotes"/>
        <w:rPr>
          <w:lang w:val="en-NZ"/>
        </w:rPr>
      </w:pPr>
      <w:r w:rsidRPr="002F108B">
        <w:rPr>
          <w:lang w:val="en-NZ"/>
        </w:rPr>
        <w:t>...The report goes to the Ministry of Health, and yes, it will be publicly available at some point when it’s on their website...But then what happens to it?...The people who could benefit from it don’t get to see it...Really good findings</w:t>
      </w:r>
      <w:r>
        <w:rPr>
          <w:lang w:val="en-NZ"/>
        </w:rPr>
        <w:t>. S</w:t>
      </w:r>
      <w:r w:rsidRPr="002F108B">
        <w:rPr>
          <w:lang w:val="en-NZ"/>
        </w:rPr>
        <w:t xml:space="preserve">ometimes that could have a real impact. But then what happens to it? I just don’t know, apart from the National </w:t>
      </w:r>
      <w:r>
        <w:rPr>
          <w:lang w:val="en-NZ"/>
        </w:rPr>
        <w:t>G</w:t>
      </w:r>
      <w:r w:rsidRPr="002F108B">
        <w:rPr>
          <w:lang w:val="en-NZ"/>
        </w:rPr>
        <w:t xml:space="preserve">ambling </w:t>
      </w:r>
      <w:r>
        <w:rPr>
          <w:lang w:val="en-NZ"/>
        </w:rPr>
        <w:t>S</w:t>
      </w:r>
      <w:r w:rsidRPr="002F108B">
        <w:rPr>
          <w:lang w:val="en-NZ"/>
        </w:rPr>
        <w:t>tudy, where the Ministry has used the prevalence data and the longitudinal data for informing decisions. (Gambling agency</w:t>
      </w:r>
      <w:r w:rsidR="00AD1820">
        <w:rPr>
          <w:lang w:val="en-NZ"/>
        </w:rPr>
        <w:t xml:space="preserve"> 2</w:t>
      </w:r>
      <w:r w:rsidRPr="002F108B">
        <w:rPr>
          <w:lang w:val="en-NZ"/>
        </w:rPr>
        <w:t>)</w:t>
      </w:r>
    </w:p>
    <w:p w14:paraId="2BBD0F96" w14:textId="73A95CC9" w:rsidR="00D705C8" w:rsidRPr="002F108B" w:rsidRDefault="00D705C8" w:rsidP="00627EDC">
      <w:pPr>
        <w:rPr>
          <w:lang w:val="en-NZ"/>
        </w:rPr>
      </w:pPr>
      <w:r w:rsidRPr="002F108B">
        <w:rPr>
          <w:b/>
          <w:lang w:val="en-NZ"/>
        </w:rPr>
        <w:t xml:space="preserve">Research findings are disseminated and accessible to the entire gambling sector: </w:t>
      </w:r>
      <w:r w:rsidRPr="002F108B">
        <w:rPr>
          <w:lang w:val="en-NZ"/>
        </w:rPr>
        <w:t xml:space="preserve">Participants also noted a need to ensure findings are communicated in a way that resonates with different communities. </w:t>
      </w:r>
    </w:p>
    <w:p w14:paraId="0F0BBB59" w14:textId="3A7981B0" w:rsidR="00D705C8" w:rsidRPr="002F108B" w:rsidRDefault="00D705C8" w:rsidP="00B827F1">
      <w:pPr>
        <w:pStyle w:val="Quotes"/>
        <w:rPr>
          <w:highlight w:val="yellow"/>
          <w:lang w:val="en-NZ"/>
        </w:rPr>
      </w:pPr>
      <w:r w:rsidRPr="002F108B">
        <w:rPr>
          <w:lang w:val="en-NZ"/>
        </w:rPr>
        <w:t xml:space="preserve">There needs to be some mechanism for that knowledge translation </w:t>
      </w:r>
      <w:r>
        <w:rPr>
          <w:lang w:val="en-NZ"/>
        </w:rPr>
        <w:t xml:space="preserve">[and] </w:t>
      </w:r>
      <w:r w:rsidRPr="002F108B">
        <w:rPr>
          <w:lang w:val="en-NZ"/>
        </w:rPr>
        <w:t xml:space="preserve">exchange. The research and the research reports are written very </w:t>
      </w:r>
      <w:r w:rsidRPr="00B827F1">
        <w:t>academically</w:t>
      </w:r>
      <w:r w:rsidRPr="002F108B">
        <w:rPr>
          <w:lang w:val="en-NZ"/>
        </w:rPr>
        <w:t xml:space="preserve"> and are not necessarily easy for non-academics to understand. There needs to be some mechanism of synthesising important findings and getting them out to the whole sector so that people can then see what could be built on, where are the gaps are, what needs to be done, what’s good, what’s bad. (Gambling agency</w:t>
      </w:r>
      <w:r w:rsidR="00AD1820">
        <w:rPr>
          <w:lang w:val="en-NZ"/>
        </w:rPr>
        <w:t xml:space="preserve"> 2</w:t>
      </w:r>
      <w:r w:rsidRPr="002F108B">
        <w:rPr>
          <w:lang w:val="en-NZ"/>
        </w:rPr>
        <w:t>)</w:t>
      </w:r>
    </w:p>
    <w:p w14:paraId="6F36E4E8" w14:textId="77777777" w:rsidR="00447864" w:rsidRDefault="00447864" w:rsidP="00F32391">
      <w:pPr>
        <w:rPr>
          <w:b/>
          <w:lang w:val="en-NZ"/>
        </w:rPr>
      </w:pPr>
    </w:p>
    <w:p w14:paraId="26FC68B4" w14:textId="6E4F31D0" w:rsidR="00F32391" w:rsidRPr="002F108B" w:rsidRDefault="00F32391" w:rsidP="00F32391">
      <w:pPr>
        <w:rPr>
          <w:b/>
          <w:lang w:val="en-NZ"/>
        </w:rPr>
      </w:pPr>
      <w:r>
        <w:rPr>
          <w:b/>
          <w:lang w:val="en-NZ"/>
        </w:rPr>
        <w:t>Research</w:t>
      </w:r>
      <w:r w:rsidR="00D7066F">
        <w:rPr>
          <w:b/>
          <w:lang w:val="en-NZ"/>
        </w:rPr>
        <w:t xml:space="preserve"> and </w:t>
      </w:r>
      <w:r w:rsidRPr="002F108B">
        <w:rPr>
          <w:b/>
          <w:lang w:val="en-NZ"/>
        </w:rPr>
        <w:t xml:space="preserve">evidence </w:t>
      </w:r>
      <w:r w:rsidR="00D7066F">
        <w:rPr>
          <w:b/>
          <w:lang w:val="en-NZ"/>
        </w:rPr>
        <w:t>gaps are address</w:t>
      </w:r>
      <w:r w:rsidR="00CA07EC">
        <w:rPr>
          <w:b/>
          <w:lang w:val="en-NZ"/>
        </w:rPr>
        <w:t>ed</w:t>
      </w:r>
      <w:r w:rsidR="00D7066F">
        <w:rPr>
          <w:b/>
          <w:lang w:val="en-NZ"/>
        </w:rPr>
        <w:t xml:space="preserve"> relating to</w:t>
      </w:r>
      <w:r w:rsidRPr="002F108B">
        <w:rPr>
          <w:b/>
          <w:lang w:val="en-NZ"/>
        </w:rPr>
        <w:t>:</w:t>
      </w:r>
    </w:p>
    <w:p w14:paraId="3C4990BE" w14:textId="77777777" w:rsidR="00F32391" w:rsidRPr="002F108B" w:rsidRDefault="00F32391" w:rsidP="00F32391">
      <w:pPr>
        <w:pStyle w:val="Bulletpointindented"/>
        <w:rPr>
          <w:lang w:val="en-NZ"/>
        </w:rPr>
      </w:pPr>
      <w:r w:rsidRPr="002F108B">
        <w:rPr>
          <w:lang w:val="en-NZ"/>
        </w:rPr>
        <w:t xml:space="preserve">Gaming and gambling among young people to inform potential </w:t>
      </w:r>
      <w:r>
        <w:rPr>
          <w:lang w:val="en-NZ"/>
        </w:rPr>
        <w:t xml:space="preserve">harm minimisation strategies for this new phenomena and </w:t>
      </w:r>
      <w:r w:rsidRPr="002F108B">
        <w:rPr>
          <w:lang w:val="en-NZ"/>
        </w:rPr>
        <w:t>health promotion and awareness</w:t>
      </w:r>
      <w:r>
        <w:rPr>
          <w:lang w:val="en-NZ"/>
        </w:rPr>
        <w:t>-</w:t>
      </w:r>
      <w:r w:rsidRPr="002F108B">
        <w:rPr>
          <w:lang w:val="en-NZ"/>
        </w:rPr>
        <w:t>raising activities in schools</w:t>
      </w:r>
    </w:p>
    <w:p w14:paraId="6D428A35" w14:textId="77777777" w:rsidR="00F32391" w:rsidRPr="002F108B" w:rsidRDefault="00F32391" w:rsidP="00F32391">
      <w:pPr>
        <w:pStyle w:val="Quotes"/>
        <w:ind w:left="1080"/>
        <w:rPr>
          <w:lang w:val="en-NZ"/>
        </w:rPr>
      </w:pPr>
      <w:r w:rsidRPr="002F108B">
        <w:rPr>
          <w:lang w:val="en-NZ"/>
        </w:rPr>
        <w:t>There's all these great progra</w:t>
      </w:r>
      <w:r>
        <w:rPr>
          <w:lang w:val="en-NZ"/>
        </w:rPr>
        <w:t>m</w:t>
      </w:r>
      <w:r w:rsidRPr="002F108B">
        <w:rPr>
          <w:lang w:val="en-NZ"/>
        </w:rPr>
        <w:t>m</w:t>
      </w:r>
      <w:r>
        <w:rPr>
          <w:lang w:val="en-NZ"/>
        </w:rPr>
        <w:t>e</w:t>
      </w:r>
      <w:r w:rsidRPr="002F108B">
        <w:rPr>
          <w:lang w:val="en-NZ"/>
        </w:rPr>
        <w:t>s throughout schools, but not on gambling, and online gambling is becoming huge...I know it's a real issue. (Lived experience representative)</w:t>
      </w:r>
    </w:p>
    <w:p w14:paraId="2CBD1482" w14:textId="27C2DF1F" w:rsidR="00F32391" w:rsidRPr="002F108B" w:rsidRDefault="00F32391" w:rsidP="00F32391">
      <w:pPr>
        <w:pStyle w:val="Quotes"/>
        <w:ind w:left="1080"/>
        <w:rPr>
          <w:lang w:val="en-NZ"/>
        </w:rPr>
      </w:pPr>
      <w:r w:rsidRPr="002F108B">
        <w:rPr>
          <w:lang w:val="en-NZ"/>
        </w:rPr>
        <w:t xml:space="preserve">Gaming and gambling </w:t>
      </w:r>
      <w:r>
        <w:rPr>
          <w:lang w:val="en-NZ"/>
        </w:rPr>
        <w:t>are</w:t>
      </w:r>
      <w:r w:rsidRPr="002F108B">
        <w:rPr>
          <w:lang w:val="en-NZ"/>
        </w:rPr>
        <w:t xml:space="preserve"> becoming much more interwoven. As a result, it's hard to know when it's gambling...So we're dealing with things that we don't know the answers to</w:t>
      </w:r>
      <w:r>
        <w:rPr>
          <w:lang w:val="en-NZ"/>
        </w:rPr>
        <w:t>…T</w:t>
      </w:r>
      <w:r w:rsidRPr="002F108B">
        <w:rPr>
          <w:lang w:val="en-NZ"/>
        </w:rPr>
        <w:t>here's no host responsibility</w:t>
      </w:r>
      <w:r>
        <w:rPr>
          <w:lang w:val="en-NZ"/>
        </w:rPr>
        <w:t>. T</w:t>
      </w:r>
      <w:r w:rsidRPr="002F108B">
        <w:rPr>
          <w:lang w:val="en-NZ"/>
        </w:rPr>
        <w:t>here's no safety net</w:t>
      </w:r>
      <w:r>
        <w:rPr>
          <w:lang w:val="en-NZ"/>
        </w:rPr>
        <w:t>. T</w:t>
      </w:r>
      <w:r w:rsidRPr="002F108B">
        <w:rPr>
          <w:lang w:val="en-NZ"/>
        </w:rPr>
        <w:t>here's no harm minimisation stuff going on there. (</w:t>
      </w:r>
      <w:r>
        <w:rPr>
          <w:lang w:val="en-NZ"/>
        </w:rPr>
        <w:t>Gambling agency</w:t>
      </w:r>
      <w:r w:rsidR="00AD1820">
        <w:rPr>
          <w:lang w:val="en-NZ"/>
        </w:rPr>
        <w:t xml:space="preserve"> 1</w:t>
      </w:r>
      <w:r w:rsidRPr="002F108B">
        <w:rPr>
          <w:lang w:val="en-NZ"/>
        </w:rPr>
        <w:t>)</w:t>
      </w:r>
    </w:p>
    <w:p w14:paraId="6CC87F70" w14:textId="77777777" w:rsidR="00F32391" w:rsidRPr="002F108B" w:rsidRDefault="00F32391" w:rsidP="00F32391">
      <w:pPr>
        <w:pStyle w:val="Bulletpointindented"/>
        <w:rPr>
          <w:lang w:val="en-NZ"/>
        </w:rPr>
      </w:pPr>
      <w:r w:rsidRPr="002F108B">
        <w:rPr>
          <w:lang w:val="en-NZ"/>
        </w:rPr>
        <w:t>Clients who relapse, drop</w:t>
      </w:r>
      <w:r>
        <w:rPr>
          <w:lang w:val="en-NZ"/>
        </w:rPr>
        <w:t xml:space="preserve"> </w:t>
      </w:r>
      <w:r w:rsidRPr="002F108B">
        <w:rPr>
          <w:lang w:val="en-NZ"/>
        </w:rPr>
        <w:t>out or do not attend</w:t>
      </w:r>
    </w:p>
    <w:p w14:paraId="62CDDF13" w14:textId="7EC209F2" w:rsidR="00F32391" w:rsidRPr="002F108B" w:rsidRDefault="00F32391" w:rsidP="00F32391">
      <w:pPr>
        <w:pStyle w:val="Quotes"/>
        <w:ind w:left="1080"/>
        <w:rPr>
          <w:lang w:val="en-NZ"/>
        </w:rPr>
      </w:pPr>
      <w:r w:rsidRPr="002F108B">
        <w:rPr>
          <w:lang w:val="en-NZ"/>
        </w:rPr>
        <w:lastRenderedPageBreak/>
        <w:t>We also don’t know the outcomes which will help with relapse. Services struggle to do follow-ups with people</w:t>
      </w:r>
      <w:r>
        <w:rPr>
          <w:lang w:val="en-NZ"/>
        </w:rPr>
        <w:t>,</w:t>
      </w:r>
      <w:r w:rsidRPr="002F108B">
        <w:rPr>
          <w:lang w:val="en-NZ"/>
        </w:rPr>
        <w:t xml:space="preserve"> and when they do get them and do follow-ups, we’re not collecting any outcomes data. So, we really don’t understand the longer-term outcomes. And this could help with understanding relapse... (Gambling agency</w:t>
      </w:r>
      <w:r w:rsidR="00AD1820">
        <w:rPr>
          <w:lang w:val="en-NZ"/>
        </w:rPr>
        <w:t xml:space="preserve"> 2</w:t>
      </w:r>
      <w:r w:rsidRPr="002F108B">
        <w:rPr>
          <w:lang w:val="en-NZ"/>
        </w:rPr>
        <w:t>)</w:t>
      </w:r>
    </w:p>
    <w:p w14:paraId="0EF3D19E" w14:textId="0D1F77D9" w:rsidR="00F32391" w:rsidRDefault="00F32391" w:rsidP="00F32391">
      <w:pPr>
        <w:pStyle w:val="Quotes"/>
        <w:ind w:left="1080"/>
        <w:rPr>
          <w:lang w:val="en-NZ"/>
        </w:rPr>
      </w:pPr>
      <w:r w:rsidRPr="002F108B">
        <w:rPr>
          <w:lang w:val="en-NZ"/>
        </w:rPr>
        <w:t>A huge proportion of people are dropping out...</w:t>
      </w:r>
      <w:r w:rsidRPr="005E5A68">
        <w:rPr>
          <w:lang w:val="en-NZ"/>
        </w:rPr>
        <w:t>Why are they dropping out before they’re turning up</w:t>
      </w:r>
      <w:r w:rsidRPr="002F108B">
        <w:rPr>
          <w:lang w:val="en-NZ"/>
        </w:rPr>
        <w:t>...</w:t>
      </w:r>
      <w:r w:rsidRPr="005E5A68">
        <w:rPr>
          <w:lang w:val="en-NZ"/>
        </w:rPr>
        <w:t>If they’ve gone to that effort to contact and make an appointment? We need to understand why a majority of people who turn up for face-to-face services only attend one session and then don’t go back anymore. Why are they dropping out so early? Is it the therapeutic relationship?</w:t>
      </w:r>
      <w:r w:rsidRPr="002F108B">
        <w:rPr>
          <w:lang w:val="en-NZ"/>
        </w:rPr>
        <w:t xml:space="preserve"> W</w:t>
      </w:r>
      <w:r w:rsidRPr="005E5A68">
        <w:rPr>
          <w:lang w:val="en-NZ"/>
        </w:rPr>
        <w:t xml:space="preserve">e really need to understand these </w:t>
      </w:r>
      <w:r w:rsidRPr="002F108B">
        <w:rPr>
          <w:lang w:val="en-NZ"/>
        </w:rPr>
        <w:t>dropouts. (Gambling agency</w:t>
      </w:r>
      <w:r w:rsidR="002A51CF">
        <w:rPr>
          <w:lang w:val="en-NZ"/>
        </w:rPr>
        <w:t xml:space="preserve"> 2</w:t>
      </w:r>
      <w:r w:rsidRPr="002F108B">
        <w:rPr>
          <w:lang w:val="en-NZ"/>
        </w:rPr>
        <w:t>)</w:t>
      </w:r>
    </w:p>
    <w:p w14:paraId="6E98B1C7" w14:textId="6573241E" w:rsidR="00803E9F" w:rsidRDefault="00841B7B" w:rsidP="000E272D">
      <w:pPr>
        <w:pStyle w:val="Bulletpointindented"/>
        <w:rPr>
          <w:lang w:val="en-NZ"/>
        </w:rPr>
      </w:pPr>
      <w:r>
        <w:rPr>
          <w:lang w:val="en-NZ"/>
        </w:rPr>
        <w:t>Monitoring and m</w:t>
      </w:r>
      <w:r w:rsidR="00803E9F">
        <w:rPr>
          <w:lang w:val="en-NZ"/>
        </w:rPr>
        <w:t xml:space="preserve">anaging mild to moderate gambling </w:t>
      </w:r>
    </w:p>
    <w:p w14:paraId="6E3AEBE5" w14:textId="2BE1D689" w:rsidR="00803E9F" w:rsidRDefault="00803E9F" w:rsidP="00803E9F">
      <w:pPr>
        <w:pStyle w:val="Quotes"/>
        <w:ind w:left="1080"/>
      </w:pPr>
      <w:r>
        <w:t>W</w:t>
      </w:r>
      <w:r w:rsidRPr="00803E9F">
        <w:t>e fully recogni</w:t>
      </w:r>
      <w:r>
        <w:t>s</w:t>
      </w:r>
      <w:r w:rsidRPr="00803E9F">
        <w:t xml:space="preserve">e that those presentation figures are kind of ambulance at the bottom of the cliff, that those are the people who are severely impacted by gambling harm. But I think that </w:t>
      </w:r>
      <w:r>
        <w:t xml:space="preserve">[what is] </w:t>
      </w:r>
      <w:r w:rsidRPr="00803E9F">
        <w:t>probably missing for us is, and what</w:t>
      </w:r>
      <w:r>
        <w:t xml:space="preserve"> </w:t>
      </w:r>
      <w:r w:rsidRPr="00803E9F">
        <w:t xml:space="preserve">we've asked for before is </w:t>
      </w:r>
      <w:r>
        <w:t xml:space="preserve">‘What are </w:t>
      </w:r>
      <w:r w:rsidRPr="00803E9F">
        <w:t>the other data points that we should be monitoring</w:t>
      </w:r>
      <w:r>
        <w:t>’. (Gambling industry 5)</w:t>
      </w:r>
    </w:p>
    <w:p w14:paraId="11F00D08" w14:textId="687B2D39" w:rsidR="00DB5115" w:rsidRDefault="00DB5115" w:rsidP="00DB5115">
      <w:pPr>
        <w:pStyle w:val="Quotes"/>
        <w:ind w:left="1080"/>
      </w:pPr>
      <w:r>
        <w:t>There’s a lot of the resarch from responsible gambling historically based on looking a problem gambling and telling people what not to do...Trying to reframe responsible gambling into something that’s more about encouraging positive play and healthy play behaviour...That becomes something for everybody who plays our games, as opposed to us looking at the people who are potentially experiencing harm. (Gambling industry 5)</w:t>
      </w:r>
    </w:p>
    <w:p w14:paraId="5A9FCF78" w14:textId="3DB9A24B" w:rsidR="000E272D" w:rsidRPr="002F108B" w:rsidRDefault="000E272D" w:rsidP="000E272D">
      <w:pPr>
        <w:pStyle w:val="Bulletpointindented"/>
        <w:rPr>
          <w:lang w:val="en-NZ"/>
        </w:rPr>
      </w:pPr>
      <w:r w:rsidRPr="002F108B">
        <w:rPr>
          <w:lang w:val="en-NZ"/>
        </w:rPr>
        <w:t>Gambling harm prevalence (</w:t>
      </w:r>
      <w:r w:rsidR="00755724">
        <w:rPr>
          <w:lang w:val="en-NZ"/>
        </w:rPr>
        <w:t>Te Hiringa Hauora</w:t>
      </w:r>
      <w:r w:rsidR="00755724" w:rsidRPr="002F108B">
        <w:rPr>
          <w:lang w:val="en-NZ"/>
        </w:rPr>
        <w:t xml:space="preserve"> </w:t>
      </w:r>
      <w:r w:rsidRPr="002F108B">
        <w:rPr>
          <w:lang w:val="en-NZ"/>
        </w:rPr>
        <w:t xml:space="preserve">surveys are limited and do not </w:t>
      </w:r>
      <w:r w:rsidR="00852E5C">
        <w:rPr>
          <w:lang w:val="en-NZ"/>
        </w:rPr>
        <w:t xml:space="preserve">explore details associated with </w:t>
      </w:r>
      <w:r w:rsidRPr="002F108B">
        <w:rPr>
          <w:lang w:val="en-NZ"/>
        </w:rPr>
        <w:t>online gambling and national surveys are infrequent)</w:t>
      </w:r>
    </w:p>
    <w:p w14:paraId="3FE72701" w14:textId="77777777" w:rsidR="000E272D" w:rsidRPr="002F108B" w:rsidRDefault="000E272D" w:rsidP="000E272D">
      <w:pPr>
        <w:pStyle w:val="Quotes"/>
        <w:ind w:left="1080"/>
        <w:rPr>
          <w:lang w:val="en-NZ"/>
        </w:rPr>
      </w:pPr>
      <w:r w:rsidRPr="002F108B">
        <w:rPr>
          <w:lang w:val="en-NZ"/>
        </w:rPr>
        <w:t>Possibly not with all the online gambling</w:t>
      </w:r>
      <w:r>
        <w:rPr>
          <w:lang w:val="en-NZ"/>
        </w:rPr>
        <w:t>,</w:t>
      </w:r>
      <w:r w:rsidRPr="002F108B">
        <w:rPr>
          <w:lang w:val="en-NZ"/>
        </w:rPr>
        <w:t xml:space="preserve"> I would say that doesn't draw it out</w:t>
      </w:r>
      <w:r>
        <w:rPr>
          <w:lang w:val="en-NZ"/>
        </w:rPr>
        <w:t xml:space="preserve"> e</w:t>
      </w:r>
      <w:r w:rsidRPr="002F108B">
        <w:rPr>
          <w:lang w:val="en-NZ"/>
        </w:rPr>
        <w:t>nough</w:t>
      </w:r>
      <w:r>
        <w:rPr>
          <w:lang w:val="en-NZ"/>
        </w:rPr>
        <w:t>…</w:t>
      </w:r>
      <w:r w:rsidRPr="002F108B">
        <w:rPr>
          <w:lang w:val="en-NZ"/>
        </w:rPr>
        <w:t>I wasn't sure what's behind the questions</w:t>
      </w:r>
      <w:r>
        <w:rPr>
          <w:lang w:val="en-NZ"/>
        </w:rPr>
        <w:t>…I</w:t>
      </w:r>
      <w:r w:rsidRPr="002F108B">
        <w:rPr>
          <w:lang w:val="en-NZ"/>
        </w:rPr>
        <w:t>t's hard to know how much detail was given to the people that responded to it. (Lived experience representative)</w:t>
      </w:r>
    </w:p>
    <w:p w14:paraId="21D0273C" w14:textId="1593EFBD" w:rsidR="000E272D" w:rsidRPr="002F108B" w:rsidRDefault="000E272D" w:rsidP="000E272D">
      <w:pPr>
        <w:pStyle w:val="Quotes"/>
        <w:ind w:left="1080"/>
        <w:rPr>
          <w:lang w:val="en-NZ"/>
        </w:rPr>
      </w:pPr>
      <w:r w:rsidRPr="002F108B">
        <w:rPr>
          <w:lang w:val="en-NZ"/>
        </w:rPr>
        <w:t>The last proper big national gambling prevalence survey finished in 2015</w:t>
      </w:r>
      <w:r>
        <w:rPr>
          <w:lang w:val="en-NZ"/>
        </w:rPr>
        <w:t>…T</w:t>
      </w:r>
      <w:r w:rsidRPr="002F108B">
        <w:rPr>
          <w:lang w:val="en-NZ"/>
        </w:rPr>
        <w:t xml:space="preserve">he </w:t>
      </w:r>
      <w:r w:rsidR="00B60B67">
        <w:rPr>
          <w:lang w:val="en-NZ"/>
        </w:rPr>
        <w:t xml:space="preserve">[Te Hiringa Hauora] </w:t>
      </w:r>
      <w:r w:rsidRPr="002F108B">
        <w:rPr>
          <w:lang w:val="en-NZ"/>
        </w:rPr>
        <w:t>healthy lifestyle survey, which is done every two years</w:t>
      </w:r>
      <w:r>
        <w:rPr>
          <w:lang w:val="en-NZ"/>
        </w:rPr>
        <w:t>…v</w:t>
      </w:r>
      <w:r w:rsidRPr="002F108B">
        <w:rPr>
          <w:lang w:val="en-NZ"/>
        </w:rPr>
        <w:t>ery few gambling questions in that, and they’re embedded within other healthy lifestyle questions around smoking and alcohol</w:t>
      </w:r>
      <w:r>
        <w:rPr>
          <w:lang w:val="en-NZ"/>
        </w:rPr>
        <w:t>…W</w:t>
      </w:r>
      <w:r w:rsidRPr="002F108B">
        <w:rPr>
          <w:lang w:val="en-NZ"/>
        </w:rPr>
        <w:t>e know from other international research that people answer gambling questions differently. They tend to be probably slightly more honest if it’s a gambling survey, as opposed to a health survey. (Gambling agency</w:t>
      </w:r>
      <w:r w:rsidR="00AD1820">
        <w:rPr>
          <w:lang w:val="en-NZ"/>
        </w:rPr>
        <w:t xml:space="preserve"> 2</w:t>
      </w:r>
      <w:r w:rsidRPr="002F108B">
        <w:rPr>
          <w:lang w:val="en-NZ"/>
        </w:rPr>
        <w:t>)</w:t>
      </w:r>
    </w:p>
    <w:p w14:paraId="10F6B3C4" w14:textId="1A8ABBA7" w:rsidR="00C673CA" w:rsidRPr="002F108B" w:rsidRDefault="00C673CA" w:rsidP="00C673CA">
      <w:pPr>
        <w:rPr>
          <w:b/>
          <w:lang w:val="en-NZ"/>
        </w:rPr>
      </w:pPr>
      <w:r>
        <w:rPr>
          <w:b/>
          <w:lang w:val="en-NZ"/>
        </w:rPr>
        <w:t>Synthes</w:t>
      </w:r>
      <w:r w:rsidR="000E272D">
        <w:rPr>
          <w:b/>
          <w:lang w:val="en-NZ"/>
        </w:rPr>
        <w:t>is of m</w:t>
      </w:r>
      <w:r w:rsidRPr="002F108B">
        <w:rPr>
          <w:b/>
          <w:lang w:val="en-NZ"/>
        </w:rPr>
        <w:t xml:space="preserve">ultiple and conflicting databases and analysis: </w:t>
      </w:r>
      <w:r w:rsidRPr="002F108B">
        <w:rPr>
          <w:lang w:val="en-NZ"/>
        </w:rPr>
        <w:t>Several database systems were described to collect a range of data for reporting, research and evaluation, service outputs and delivery and continuous improvement of gambling harm prevention and minimisation approaches. Some were developed and utilised by the Ministry and gambling harm service providers and others by those in the gambling industry. Gambling industry representatives noted conflicting and opposing results and findings and limited access to up-to-date evidence</w:t>
      </w:r>
      <w:r>
        <w:rPr>
          <w:lang w:val="en-NZ"/>
        </w:rPr>
        <w:t>.</w:t>
      </w:r>
    </w:p>
    <w:p w14:paraId="3953D59E" w14:textId="3108919A" w:rsidR="00C673CA" w:rsidRDefault="00C673CA" w:rsidP="00CA07EC">
      <w:pPr>
        <w:pStyle w:val="Quotes"/>
        <w:rPr>
          <w:lang w:val="en-NZ"/>
        </w:rPr>
      </w:pPr>
      <w:r w:rsidRPr="002F108B">
        <w:rPr>
          <w:lang w:val="en-NZ"/>
        </w:rPr>
        <w:t>Accessing up to date statistics is problematic. Currently</w:t>
      </w:r>
      <w:r>
        <w:rPr>
          <w:lang w:val="en-NZ"/>
        </w:rPr>
        <w:t>,</w:t>
      </w:r>
      <w:r w:rsidRPr="002F108B">
        <w:rPr>
          <w:lang w:val="en-NZ"/>
        </w:rPr>
        <w:t xml:space="preserve"> all available statistics are only available up to and including 2017/2018. (Gambling industry</w:t>
      </w:r>
      <w:r w:rsidR="00AD1820">
        <w:rPr>
          <w:lang w:val="en-NZ"/>
        </w:rPr>
        <w:t xml:space="preserve"> 1</w:t>
      </w:r>
      <w:r w:rsidRPr="002F108B">
        <w:rPr>
          <w:lang w:val="en-NZ"/>
        </w:rPr>
        <w:t>)</w:t>
      </w:r>
    </w:p>
    <w:p w14:paraId="4C5577E6" w14:textId="77777777" w:rsidR="00852E5C" w:rsidRPr="002F108B" w:rsidRDefault="00852E5C" w:rsidP="00852E5C">
      <w:pPr>
        <w:pStyle w:val="Quotes"/>
        <w:rPr>
          <w:lang w:val="en-NZ"/>
        </w:rPr>
      </w:pPr>
      <w:r w:rsidRPr="002F108B">
        <w:rPr>
          <w:lang w:val="en-NZ"/>
        </w:rPr>
        <w:lastRenderedPageBreak/>
        <w:t>The details of all excluded players based on the MVE framework are recorded in the CONCERN database – a National database. These figures indicate that approximately 850 unique individuals have been excluded from venues throughout New Zealand. Consider this against the statistical information for gambling prevalence rates and figures pertaining to interventions [4478 in 2018] recorded by treatment service providers. How do these figures reconcile? (Gambling industry</w:t>
      </w:r>
      <w:r>
        <w:rPr>
          <w:lang w:val="en-NZ"/>
        </w:rPr>
        <w:t xml:space="preserve"> 1</w:t>
      </w:r>
      <w:r w:rsidRPr="002F108B">
        <w:rPr>
          <w:lang w:val="en-NZ"/>
        </w:rPr>
        <w:t>)</w:t>
      </w:r>
    </w:p>
    <w:p w14:paraId="1940551E" w14:textId="2942BDF0" w:rsidR="00D705C8" w:rsidRPr="00BC1AA3" w:rsidRDefault="00852E5C" w:rsidP="00D705C8">
      <w:r>
        <w:rPr>
          <w:lang w:val="en-NZ"/>
        </w:rPr>
        <w:t>In relation to the latter quote, it is likely that the number of individual exclusions may not match not client because not all opt for exclusion and some exclusions are venue- rather than self-initiated.</w:t>
      </w:r>
      <w:r w:rsidR="000D5F14">
        <w:rPr>
          <w:lang w:val="en-NZ"/>
        </w:rPr>
        <w:t xml:space="preserve"> It is</w:t>
      </w:r>
      <w:r w:rsidR="00AB4CAC">
        <w:rPr>
          <w:lang w:val="en-NZ"/>
        </w:rPr>
        <w:t xml:space="preserve"> also</w:t>
      </w:r>
      <w:r w:rsidR="000D5F14">
        <w:rPr>
          <w:lang w:val="en-NZ"/>
        </w:rPr>
        <w:t xml:space="preserve"> important to note that the most up-to-date 2019/20 gambling statistics were released as Needs Assessment interviews were in progress. </w:t>
      </w:r>
    </w:p>
    <w:p w14:paraId="720435C4" w14:textId="77777777" w:rsidR="00D705C8" w:rsidRDefault="00D705C8" w:rsidP="00D705C8">
      <w:pPr>
        <w:pStyle w:val="Bulletpointindented"/>
        <w:numPr>
          <w:ilvl w:val="0"/>
          <w:numId w:val="0"/>
        </w:numPr>
        <w:ind w:left="709" w:hanging="425"/>
      </w:pPr>
    </w:p>
    <w:p w14:paraId="1376DC00" w14:textId="10641229" w:rsidR="008355C0" w:rsidRPr="002F108B" w:rsidRDefault="003355F1" w:rsidP="008355C0">
      <w:pPr>
        <w:pStyle w:val="Heading1"/>
        <w:numPr>
          <w:ilvl w:val="0"/>
          <w:numId w:val="0"/>
        </w:numPr>
        <w:rPr>
          <w:lang w:val="en-NZ"/>
        </w:rPr>
      </w:pPr>
      <w:bookmarkStart w:id="192" w:name="_Toc76469814"/>
      <w:r w:rsidRPr="002F108B">
        <w:rPr>
          <w:lang w:val="en-NZ"/>
        </w:rPr>
        <w:lastRenderedPageBreak/>
        <w:t>References</w:t>
      </w:r>
      <w:bookmarkEnd w:id="191"/>
      <w:bookmarkEnd w:id="192"/>
    </w:p>
    <w:p w14:paraId="7E96C1B7" w14:textId="21943E1A" w:rsidR="005D5010"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Abbott, M., Bellringer, M., &amp; Garrett, N. (2018). </w:t>
      </w:r>
      <w:r w:rsidRPr="00DD4547">
        <w:rPr>
          <w:rFonts w:ascii="Calibri" w:hAnsi="Calibri" w:cs="Calibri"/>
          <w:i/>
          <w:iCs/>
          <w:sz w:val="22"/>
        </w:rPr>
        <w:t>New Zealand National Gambling Study: Wave 4 (2015). NGS report number 6.</w:t>
      </w:r>
      <w:r w:rsidRPr="00DD4547">
        <w:rPr>
          <w:rFonts w:ascii="Calibri" w:hAnsi="Calibri" w:cs="Calibri"/>
          <w:sz w:val="22"/>
        </w:rPr>
        <w:t xml:space="preserve"> Auckland: Auckland University of Technology, Gambling and Addictions Research Centre. </w:t>
      </w:r>
      <w:hyperlink w:history="1"/>
      <w:hyperlink r:id="rId27" w:history="1">
        <w:r w:rsidR="005D5010" w:rsidRPr="00B44299">
          <w:rPr>
            <w:rFonts w:ascii="Calibri" w:hAnsi="Calibri" w:cs="Calibri"/>
            <w:color w:val="0000FF"/>
            <w:sz w:val="22"/>
            <w:szCs w:val="22"/>
            <w:u w:val="single"/>
            <w:lang w:val="en-US" w:eastAsia="en-US"/>
          </w:rPr>
          <w:t>https://www.health.govt.nz/publication/new-zealand-national-gambling-study-wave-4-2015</w:t>
        </w:r>
      </w:hyperlink>
      <w:r w:rsidR="005D5010" w:rsidRPr="00B44299">
        <w:rPr>
          <w:rFonts w:ascii="Calibri" w:hAnsi="Calibri" w:cs="Calibri"/>
          <w:sz w:val="22"/>
          <w:szCs w:val="22"/>
          <w:lang w:val="en-US" w:eastAsia="en-US"/>
        </w:rPr>
        <w:t xml:space="preserve"> </w:t>
      </w:r>
    </w:p>
    <w:p w14:paraId="5FE31286" w14:textId="7AD4D42B" w:rsidR="005D5010"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Abbott, M., Bellringer, M., Garrett, N., &amp; Mundy-McPherson, S. (2014). </w:t>
      </w:r>
      <w:r w:rsidRPr="00DD4547">
        <w:rPr>
          <w:rFonts w:ascii="Calibri" w:hAnsi="Calibri" w:cs="Calibri"/>
          <w:i/>
          <w:iCs/>
          <w:sz w:val="22"/>
        </w:rPr>
        <w:t>New Zealand 2012 National Gambling Study: Gambling harm and problem gambling. NGS report number 2.</w:t>
      </w:r>
      <w:r w:rsidR="00F85000">
        <w:rPr>
          <w:rFonts w:ascii="Calibri" w:hAnsi="Calibri" w:cs="Calibri"/>
          <w:i/>
          <w:iCs/>
          <w:sz w:val="22"/>
        </w:rPr>
        <w:t xml:space="preserve"> </w:t>
      </w:r>
      <w:r w:rsidRPr="00DD4547">
        <w:rPr>
          <w:rFonts w:ascii="Calibri" w:hAnsi="Calibri" w:cs="Calibri"/>
          <w:sz w:val="22"/>
        </w:rPr>
        <w:t xml:space="preserve">Auckland University of Technology, Gambling and Addictions Research Centre. </w:t>
      </w:r>
      <w:hyperlink w:history="1"/>
      <w:hyperlink r:id="rId28" w:history="1">
        <w:r w:rsidR="005D5010" w:rsidRPr="00B44299">
          <w:rPr>
            <w:rStyle w:val="cf01"/>
            <w:rFonts w:ascii="Calibri" w:hAnsi="Calibri" w:cs="Calibri"/>
            <w:sz w:val="22"/>
            <w:szCs w:val="22"/>
          </w:rPr>
          <w:t>https://www.health.govt.nz/publication/new-zealand-2012-national-gambling-study-gambling-harm-and-problem-gambling</w:t>
        </w:r>
      </w:hyperlink>
      <w:r w:rsidR="005D5010" w:rsidRPr="00B44299">
        <w:rPr>
          <w:rStyle w:val="cf01"/>
          <w:rFonts w:ascii="Calibri" w:hAnsi="Calibri" w:cs="Calibri"/>
          <w:sz w:val="22"/>
          <w:szCs w:val="22"/>
        </w:rPr>
        <w:t xml:space="preserve"> </w:t>
      </w:r>
    </w:p>
    <w:p w14:paraId="30EFCDED" w14:textId="0E11BA79" w:rsidR="005D5010" w:rsidRPr="00DD4547" w:rsidRDefault="00F85000"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Abbott,</w:t>
      </w:r>
      <w:r>
        <w:rPr>
          <w:rFonts w:ascii="Calibri" w:hAnsi="Calibri" w:cs="Calibri"/>
          <w:sz w:val="22"/>
        </w:rPr>
        <w:t xml:space="preserve"> M.,</w:t>
      </w:r>
      <w:r w:rsidRPr="00DD4547">
        <w:rPr>
          <w:rFonts w:ascii="Calibri" w:hAnsi="Calibri" w:cs="Calibri"/>
          <w:sz w:val="22"/>
        </w:rPr>
        <w:t xml:space="preserve"> McKenna,</w:t>
      </w:r>
      <w:r>
        <w:rPr>
          <w:rFonts w:ascii="Calibri" w:hAnsi="Calibri" w:cs="Calibri"/>
          <w:sz w:val="22"/>
        </w:rPr>
        <w:t xml:space="preserve"> B.,</w:t>
      </w:r>
      <w:r w:rsidRPr="00DD4547">
        <w:rPr>
          <w:rFonts w:ascii="Calibri" w:hAnsi="Calibri" w:cs="Calibri"/>
          <w:sz w:val="22"/>
        </w:rPr>
        <w:t xml:space="preserve"> &amp; Giles</w:t>
      </w:r>
      <w:r>
        <w:rPr>
          <w:rFonts w:ascii="Calibri" w:hAnsi="Calibri" w:cs="Calibri"/>
          <w:sz w:val="22"/>
        </w:rPr>
        <w:t>, L</w:t>
      </w:r>
      <w:r w:rsidRPr="00DD4547">
        <w:rPr>
          <w:rFonts w:ascii="Calibri" w:hAnsi="Calibri" w:cs="Calibri"/>
          <w:sz w:val="22"/>
        </w:rPr>
        <w:t xml:space="preserve">. (2000). </w:t>
      </w:r>
      <w:r w:rsidRPr="00DD4547">
        <w:rPr>
          <w:rFonts w:ascii="Calibri" w:hAnsi="Calibri" w:cs="Calibri"/>
          <w:i/>
          <w:iCs/>
          <w:sz w:val="22"/>
        </w:rPr>
        <w:t>Gambling and problem gambling among recently sentenced males in four New Zealand prisons.</w:t>
      </w:r>
      <w:r w:rsidRPr="00DD4547">
        <w:rPr>
          <w:rFonts w:ascii="Calibri" w:hAnsi="Calibri" w:cs="Calibri"/>
          <w:sz w:val="22"/>
        </w:rPr>
        <w:t xml:space="preserve"> Wellington: Department of Internal Affairs. </w:t>
      </w:r>
      <w:hyperlink w:history="1"/>
      <w:r w:rsidR="008145BF">
        <w:rPr>
          <w:rFonts w:ascii="Calibri" w:hAnsi="Calibri" w:cs="Calibri"/>
          <w:sz w:val="22"/>
        </w:rPr>
        <w:t xml:space="preserve"> </w:t>
      </w:r>
      <w:hyperlink r:id="rId29" w:history="1">
        <w:r w:rsidR="005D5010" w:rsidRPr="00B44299">
          <w:rPr>
            <w:rFonts w:ascii="Calibri" w:hAnsi="Calibri" w:cs="Calibri"/>
            <w:color w:val="0000FF"/>
            <w:sz w:val="22"/>
            <w:szCs w:val="22"/>
            <w:u w:val="single"/>
            <w:lang w:val="en-US" w:eastAsia="en-US"/>
          </w:rPr>
          <w:t>https://www.dia.govt.nz/diawebsite.nsf/wpg_URL/Resource-material-Our-Research-and-Reports-New-Zealand-Gaming-Survey?OpenDocument#men</w:t>
        </w:r>
      </w:hyperlink>
    </w:p>
    <w:p w14:paraId="02C03089" w14:textId="77777777"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Abbott, M., &amp; Volberg, R. (1991). </w:t>
      </w:r>
      <w:r w:rsidRPr="00DD4547">
        <w:rPr>
          <w:rFonts w:ascii="Calibri" w:hAnsi="Calibri" w:cs="Calibri"/>
          <w:i/>
          <w:iCs/>
          <w:sz w:val="22"/>
        </w:rPr>
        <w:t>Gambling and problem gambling in New Zealand. Research series No. 12.</w:t>
      </w:r>
      <w:r w:rsidRPr="00DD4547">
        <w:rPr>
          <w:rFonts w:ascii="Calibri" w:hAnsi="Calibri" w:cs="Calibri"/>
          <w:sz w:val="22"/>
        </w:rPr>
        <w:t xml:space="preserve"> Wellington: Department of Internal Affairs. </w:t>
      </w:r>
    </w:p>
    <w:p w14:paraId="0010D79C" w14:textId="737EE439" w:rsidR="005D5010"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Abbott, M., &amp; Volberg, R. (2000). </w:t>
      </w:r>
      <w:r w:rsidRPr="00DD4547">
        <w:rPr>
          <w:rFonts w:ascii="Calibri" w:hAnsi="Calibri" w:cs="Calibri"/>
          <w:i/>
          <w:iCs/>
          <w:sz w:val="22"/>
        </w:rPr>
        <w:t>Taking the pulse on gambling and problem gambling in New Zealand: A report on Phase One of the 1999 National Prevalence Survey.</w:t>
      </w:r>
      <w:r w:rsidRPr="00DD4547">
        <w:rPr>
          <w:rFonts w:ascii="Calibri" w:hAnsi="Calibri" w:cs="Calibri"/>
          <w:sz w:val="22"/>
        </w:rPr>
        <w:t xml:space="preserve"> Wellington: Department of Internal Affairs. </w:t>
      </w:r>
      <w:hyperlink r:id="rId30" w:history="1">
        <w:r w:rsidR="005D5010" w:rsidRPr="00B44299">
          <w:rPr>
            <w:rFonts w:ascii="Calibri" w:hAnsi="Calibri" w:cs="Calibri"/>
            <w:color w:val="0000FF"/>
            <w:sz w:val="22"/>
            <w:szCs w:val="22"/>
            <w:u w:val="single"/>
            <w:lang w:val="en-US" w:eastAsia="en-US"/>
          </w:rPr>
          <w:t>https://www.dia.govt.nz/diawebsite.nsf/wpg_URL/Resource-material-Our-Research-and-Reports-New-Zealand-Gaming-Survey?OpenDocument#ph1</w:t>
        </w:r>
      </w:hyperlink>
    </w:p>
    <w:p w14:paraId="47F2BCAF" w14:textId="1C06D2BE" w:rsidR="005D5010"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Bellringer, M., Pulford, J., Abbott, M., DeSouza, R., &amp; Clarke, D. (2008). </w:t>
      </w:r>
      <w:r w:rsidRPr="00DD4547">
        <w:rPr>
          <w:rFonts w:ascii="Calibri" w:hAnsi="Calibri" w:cs="Calibri"/>
          <w:i/>
          <w:iCs/>
          <w:sz w:val="22"/>
        </w:rPr>
        <w:t>Problem gambling - barriers to help seeking behaviours.</w:t>
      </w:r>
      <w:r w:rsidRPr="00DD4547">
        <w:rPr>
          <w:rFonts w:ascii="Calibri" w:hAnsi="Calibri" w:cs="Calibri"/>
          <w:sz w:val="22"/>
        </w:rPr>
        <w:t xml:space="preserve"> Wellington: Ministry of Health. </w:t>
      </w:r>
      <w:hyperlink r:id="rId31" w:history="1">
        <w:r w:rsidR="005D5010" w:rsidRPr="00B44299">
          <w:rPr>
            <w:rFonts w:ascii="Calibri" w:hAnsi="Calibri" w:cs="Calibri"/>
            <w:color w:val="0000FF"/>
            <w:sz w:val="22"/>
            <w:szCs w:val="22"/>
            <w:u w:val="single"/>
            <w:lang w:val="en-US" w:eastAsia="en-US"/>
          </w:rPr>
          <w:t>https://www.health.govt.nz/publication/problem-gambling-barriers-help-seeking-behaviours</w:t>
        </w:r>
      </w:hyperlink>
      <w:r w:rsidR="005D5010" w:rsidRPr="00B44299">
        <w:rPr>
          <w:rFonts w:ascii="Calibri" w:hAnsi="Calibri" w:cs="Calibri"/>
          <w:sz w:val="22"/>
          <w:szCs w:val="22"/>
          <w:lang w:val="en-US" w:eastAsia="en-US"/>
        </w:rPr>
        <w:t xml:space="preserve"> </w:t>
      </w:r>
    </w:p>
    <w:p w14:paraId="40BAA318" w14:textId="39176790" w:rsidR="00532CC1" w:rsidRPr="00532CC1" w:rsidRDefault="00532CC1" w:rsidP="00CF2F97">
      <w:pPr>
        <w:pStyle w:val="pf0"/>
        <w:spacing w:before="0" w:beforeAutospacing="0" w:after="60" w:afterAutospacing="0"/>
        <w:ind w:left="426" w:hanging="426"/>
        <w:rPr>
          <w:rFonts w:ascii="Calibri" w:hAnsi="Calibri" w:cs="Calibri"/>
          <w:sz w:val="22"/>
          <w:szCs w:val="22"/>
        </w:rPr>
      </w:pPr>
      <w:r w:rsidRPr="00532CC1">
        <w:rPr>
          <w:rFonts w:ascii="Calibri" w:hAnsi="Calibri" w:cs="Calibri"/>
          <w:sz w:val="22"/>
          <w:szCs w:val="22"/>
        </w:rPr>
        <w:t>Bellringer, M., Coomes, R., Pulford, J., and Abbot, M. (2010) Formative investigation into the effectiveness of gambling venue exclusion processes in New Zealand. Ministry of Health: Wellington.</w:t>
      </w:r>
      <w:r w:rsidR="005D5010">
        <w:rPr>
          <w:rFonts w:ascii="Calibri" w:hAnsi="Calibri" w:cs="Calibri"/>
          <w:sz w:val="22"/>
          <w:szCs w:val="22"/>
        </w:rPr>
        <w:t xml:space="preserve"> </w:t>
      </w:r>
      <w:hyperlink r:id="rId32" w:history="1">
        <w:r w:rsidR="005D5010" w:rsidRPr="00B44299">
          <w:rPr>
            <w:rStyle w:val="cf01"/>
            <w:rFonts w:ascii="Calibri" w:hAnsi="Calibri" w:cs="Calibri"/>
            <w:sz w:val="22"/>
            <w:szCs w:val="22"/>
          </w:rPr>
          <w:t>https://openrepository.aut.ac.nz/handle/10292/2009</w:t>
        </w:r>
      </w:hyperlink>
    </w:p>
    <w:p w14:paraId="736F2FCD" w14:textId="51A25466" w:rsidR="005D5010"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Bellringer, M. E., Lowe, G., Paavonen, A., Palmer du Preez, K., Garrett, N., &amp; Abbott, M. (2019). </w:t>
      </w:r>
      <w:r w:rsidRPr="00DD4547">
        <w:rPr>
          <w:rFonts w:ascii="Calibri" w:hAnsi="Calibri" w:cs="Calibri"/>
          <w:i/>
          <w:iCs/>
          <w:sz w:val="22"/>
        </w:rPr>
        <w:t>New Zealand National Gambling Study: Qualitative phase. NGS series report number 8.</w:t>
      </w:r>
      <w:r w:rsidRPr="00DD4547">
        <w:rPr>
          <w:rFonts w:ascii="Calibri" w:hAnsi="Calibri" w:cs="Calibri"/>
          <w:sz w:val="22"/>
        </w:rPr>
        <w:t xml:space="preserve"> Auckland: Auckland University of Technology, Gambling and Addictions Research Centre. </w:t>
      </w:r>
      <w:hyperlink r:id="rId33" w:history="1">
        <w:r w:rsidR="005D5010" w:rsidRPr="00B44299">
          <w:rPr>
            <w:rStyle w:val="cf01"/>
            <w:rFonts w:ascii="Calibri" w:hAnsi="Calibri" w:cs="Calibri"/>
            <w:sz w:val="22"/>
            <w:szCs w:val="22"/>
          </w:rPr>
          <w:t>https://www.health.govt.nz/publication/new-zealand-national-gambling-qualitative-phase</w:t>
        </w:r>
      </w:hyperlink>
      <w:r w:rsidR="005D5010" w:rsidRPr="00B44299">
        <w:rPr>
          <w:rStyle w:val="cf01"/>
          <w:rFonts w:ascii="Calibri" w:hAnsi="Calibri" w:cs="Calibri"/>
          <w:sz w:val="22"/>
          <w:szCs w:val="22"/>
        </w:rPr>
        <w:t xml:space="preserve"> </w:t>
      </w:r>
    </w:p>
    <w:p w14:paraId="2A55B28E" w14:textId="3F97BD98" w:rsidR="005D5010"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Bellringer, M. E., Prah, P., Iusitini, L., &amp; Abbott, M. (2019). </w:t>
      </w:r>
      <w:r w:rsidRPr="00DD4547">
        <w:rPr>
          <w:rFonts w:ascii="Calibri" w:hAnsi="Calibri" w:cs="Calibri"/>
          <w:i/>
          <w:iCs/>
          <w:sz w:val="22"/>
        </w:rPr>
        <w:t>Gambling behaviours and associated risk factors for 17 year old Pacific youth.</w:t>
      </w:r>
      <w:r w:rsidRPr="00DD4547">
        <w:rPr>
          <w:rFonts w:ascii="Calibri" w:hAnsi="Calibri" w:cs="Calibri"/>
          <w:sz w:val="22"/>
        </w:rPr>
        <w:t xml:space="preserve"> Auckland: Auckland University of Technology, Gambling and Addictions Research Centre. </w:t>
      </w:r>
      <w:hyperlink r:id="rId34" w:history="1">
        <w:r w:rsidR="005D5010" w:rsidRPr="00B44299">
          <w:rPr>
            <w:rStyle w:val="cf01"/>
            <w:rFonts w:ascii="Calibri" w:hAnsi="Calibri" w:cs="Calibri"/>
            <w:sz w:val="22"/>
            <w:szCs w:val="22"/>
          </w:rPr>
          <w:t>https://www.health.govt.nz/publication/gambling-behaviours-and-associated-risk-factors-17-year-old-pacific-youth</w:t>
        </w:r>
      </w:hyperlink>
      <w:r w:rsidR="005D5010" w:rsidRPr="00B44299">
        <w:rPr>
          <w:rStyle w:val="cf01"/>
          <w:rFonts w:ascii="Calibri" w:hAnsi="Calibri" w:cs="Calibri"/>
          <w:sz w:val="22"/>
          <w:szCs w:val="22"/>
        </w:rPr>
        <w:t xml:space="preserve"> </w:t>
      </w:r>
    </w:p>
    <w:p w14:paraId="6095E4E3" w14:textId="3B514962" w:rsidR="005D5010"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Bellringer,</w:t>
      </w:r>
      <w:r w:rsidR="009F1229">
        <w:rPr>
          <w:rFonts w:ascii="Calibri" w:hAnsi="Calibri" w:cs="Calibri"/>
          <w:sz w:val="22"/>
        </w:rPr>
        <w:t xml:space="preserve"> M.</w:t>
      </w:r>
      <w:r w:rsidRPr="00DD4547">
        <w:rPr>
          <w:rFonts w:ascii="Calibri" w:hAnsi="Calibri" w:cs="Calibri"/>
          <w:sz w:val="22"/>
        </w:rPr>
        <w:t xml:space="preserve">, Janicot, </w:t>
      </w:r>
      <w:r w:rsidR="0099623A">
        <w:rPr>
          <w:rFonts w:ascii="Calibri" w:hAnsi="Calibri" w:cs="Calibri"/>
          <w:sz w:val="22"/>
        </w:rPr>
        <w:t>S.,</w:t>
      </w:r>
      <w:r w:rsidRPr="00DD4547">
        <w:rPr>
          <w:rFonts w:ascii="Calibri" w:hAnsi="Calibri" w:cs="Calibri"/>
          <w:sz w:val="22"/>
        </w:rPr>
        <w:t xml:space="preserve"> Ikeda, </w:t>
      </w:r>
      <w:r w:rsidR="009632AF">
        <w:rPr>
          <w:rFonts w:ascii="Calibri" w:hAnsi="Calibri" w:cs="Calibri"/>
          <w:sz w:val="22"/>
        </w:rPr>
        <w:t>T.,</w:t>
      </w:r>
      <w:r w:rsidRPr="00DD4547">
        <w:rPr>
          <w:rFonts w:ascii="Calibri" w:hAnsi="Calibri" w:cs="Calibri"/>
          <w:sz w:val="22"/>
        </w:rPr>
        <w:t xml:space="preserve"> Lowe, </w:t>
      </w:r>
      <w:r w:rsidR="00775BB8">
        <w:rPr>
          <w:rFonts w:ascii="Calibri" w:hAnsi="Calibri" w:cs="Calibri"/>
          <w:sz w:val="22"/>
        </w:rPr>
        <w:t xml:space="preserve">G., </w:t>
      </w:r>
      <w:r w:rsidRPr="00DD4547">
        <w:rPr>
          <w:rFonts w:ascii="Calibri" w:hAnsi="Calibri" w:cs="Calibri"/>
          <w:sz w:val="22"/>
        </w:rPr>
        <w:t xml:space="preserve">Garrett, </w:t>
      </w:r>
      <w:r w:rsidR="00254328">
        <w:rPr>
          <w:rFonts w:ascii="Calibri" w:hAnsi="Calibri" w:cs="Calibri"/>
          <w:sz w:val="22"/>
        </w:rPr>
        <w:t>N.,</w:t>
      </w:r>
      <w:r w:rsidRPr="00DD4547">
        <w:rPr>
          <w:rFonts w:ascii="Calibri" w:hAnsi="Calibri" w:cs="Calibri"/>
          <w:sz w:val="22"/>
        </w:rPr>
        <w:t xml:space="preserve"> &amp; Abbott.</w:t>
      </w:r>
      <w:r w:rsidR="00254328">
        <w:rPr>
          <w:rFonts w:ascii="Calibri" w:hAnsi="Calibri" w:cs="Calibri"/>
          <w:sz w:val="22"/>
        </w:rPr>
        <w:t xml:space="preserve"> M.</w:t>
      </w:r>
      <w:r w:rsidRPr="00DD4547">
        <w:rPr>
          <w:rFonts w:ascii="Calibri" w:hAnsi="Calibri" w:cs="Calibri"/>
          <w:sz w:val="22"/>
        </w:rPr>
        <w:t xml:space="preserve"> (2020). </w:t>
      </w:r>
      <w:r w:rsidRPr="00DD4547">
        <w:rPr>
          <w:rFonts w:ascii="Calibri" w:hAnsi="Calibri" w:cs="Calibri"/>
          <w:i/>
          <w:iCs/>
          <w:sz w:val="22"/>
        </w:rPr>
        <w:t>New Zealand National Gambling Study: Correspondence between changes in gambling and gambling risk levels and health, quality of life, and health and social inequities. NGS series report number 9.</w:t>
      </w:r>
      <w:r w:rsidRPr="00DD4547">
        <w:rPr>
          <w:rFonts w:ascii="Calibri" w:hAnsi="Calibri" w:cs="Calibri"/>
          <w:sz w:val="22"/>
        </w:rPr>
        <w:t xml:space="preserve"> Wellington: Ministry of Health. </w:t>
      </w:r>
      <w:hyperlink r:id="rId35" w:history="1">
        <w:r w:rsidR="005D5010" w:rsidRPr="00B44299">
          <w:rPr>
            <w:rFonts w:ascii="Calibri" w:hAnsi="Calibri" w:cs="Calibri"/>
            <w:color w:val="0000FF"/>
            <w:sz w:val="22"/>
            <w:szCs w:val="22"/>
            <w:u w:val="single"/>
            <w:lang w:val="en-US" w:eastAsia="en-US"/>
          </w:rPr>
          <w:t>https://www.health.govt.nz/publication/new-zealand-national-gambling-study-correspondence-between-changes-gambling-and-gambling-risk-levels</w:t>
        </w:r>
      </w:hyperlink>
    </w:p>
    <w:p w14:paraId="22FC6C57" w14:textId="180C0CA3" w:rsidR="005D5010"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Centre for Social and Health Outcomes Research and Evaluation, &amp; Te Ropu Whariki. (2008). </w:t>
      </w:r>
      <w:r w:rsidRPr="00DD4547">
        <w:rPr>
          <w:rFonts w:ascii="Calibri" w:hAnsi="Calibri" w:cs="Calibri"/>
          <w:i/>
          <w:iCs/>
          <w:sz w:val="22"/>
        </w:rPr>
        <w:t>Assessment of the social impacts of gambling in New Zealand.</w:t>
      </w:r>
      <w:r w:rsidRPr="00DD4547">
        <w:rPr>
          <w:rFonts w:ascii="Calibri" w:hAnsi="Calibri" w:cs="Calibri"/>
          <w:sz w:val="22"/>
        </w:rPr>
        <w:t xml:space="preserve"> Wellington: Ministry of Health. </w:t>
      </w:r>
      <w:hyperlink r:id="rId36" w:history="1">
        <w:r w:rsidR="005D5010" w:rsidRPr="00B44299">
          <w:rPr>
            <w:rStyle w:val="cf01"/>
            <w:rFonts w:ascii="Calibri" w:hAnsi="Calibri" w:cs="Calibri"/>
            <w:sz w:val="22"/>
            <w:szCs w:val="22"/>
          </w:rPr>
          <w:t>https://www.health.govt.nz/publication/assessment-social-impacts-gambling-new-zealand</w:t>
        </w:r>
      </w:hyperlink>
    </w:p>
    <w:p w14:paraId="35B9384C" w14:textId="17D8D10D"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Chan, M. L. E., Cheung, W. T. N., Yeung, N. Y. D., Kwok, F. P. A., &amp; Wong, H. Y. R. (2018). An </w:t>
      </w:r>
      <w:r w:rsidR="008145BF">
        <w:rPr>
          <w:rFonts w:ascii="Calibri" w:hAnsi="Calibri" w:cs="Calibri"/>
          <w:sz w:val="22"/>
        </w:rPr>
        <w:t>e</w:t>
      </w:r>
      <w:r w:rsidRPr="00DD4547">
        <w:rPr>
          <w:rFonts w:ascii="Calibri" w:hAnsi="Calibri" w:cs="Calibri"/>
          <w:sz w:val="22"/>
        </w:rPr>
        <w:t xml:space="preserve">valuation </w:t>
      </w:r>
      <w:r w:rsidR="008145BF">
        <w:rPr>
          <w:rFonts w:ascii="Calibri" w:hAnsi="Calibri" w:cs="Calibri"/>
          <w:sz w:val="22"/>
        </w:rPr>
        <w:t>s</w:t>
      </w:r>
      <w:r w:rsidRPr="00DD4547">
        <w:rPr>
          <w:rFonts w:ascii="Calibri" w:hAnsi="Calibri" w:cs="Calibri"/>
          <w:sz w:val="22"/>
        </w:rPr>
        <w:t xml:space="preserve">tudy of the “RESTART” </w:t>
      </w:r>
      <w:r w:rsidR="008145BF">
        <w:rPr>
          <w:rFonts w:ascii="Calibri" w:hAnsi="Calibri" w:cs="Calibri"/>
          <w:sz w:val="22"/>
        </w:rPr>
        <w:t>p</w:t>
      </w:r>
      <w:r w:rsidRPr="00DD4547">
        <w:rPr>
          <w:rFonts w:ascii="Calibri" w:hAnsi="Calibri" w:cs="Calibri"/>
          <w:sz w:val="22"/>
        </w:rPr>
        <w:t>rogram—</w:t>
      </w:r>
      <w:r w:rsidR="008145BF">
        <w:rPr>
          <w:rFonts w:ascii="Calibri" w:hAnsi="Calibri" w:cs="Calibri"/>
          <w:sz w:val="22"/>
        </w:rPr>
        <w:t>s</w:t>
      </w:r>
      <w:r w:rsidRPr="00DD4547">
        <w:rPr>
          <w:rFonts w:ascii="Calibri" w:hAnsi="Calibri" w:cs="Calibri"/>
          <w:sz w:val="22"/>
        </w:rPr>
        <w:t>hort-</w:t>
      </w:r>
      <w:r w:rsidR="008145BF">
        <w:rPr>
          <w:rFonts w:ascii="Calibri" w:hAnsi="Calibri" w:cs="Calibri"/>
          <w:sz w:val="22"/>
        </w:rPr>
        <w:t>t</w:t>
      </w:r>
      <w:r w:rsidRPr="00DD4547">
        <w:rPr>
          <w:rFonts w:ascii="Calibri" w:hAnsi="Calibri" w:cs="Calibri"/>
          <w:sz w:val="22"/>
        </w:rPr>
        <w:t xml:space="preserve">erm </w:t>
      </w:r>
      <w:r w:rsidR="008145BF">
        <w:rPr>
          <w:rFonts w:ascii="Calibri" w:hAnsi="Calibri" w:cs="Calibri"/>
          <w:sz w:val="22"/>
        </w:rPr>
        <w:t>r</w:t>
      </w:r>
      <w:r w:rsidRPr="00DD4547">
        <w:rPr>
          <w:rFonts w:ascii="Calibri" w:hAnsi="Calibri" w:cs="Calibri"/>
          <w:sz w:val="22"/>
        </w:rPr>
        <w:t xml:space="preserve">esidential </w:t>
      </w:r>
      <w:r w:rsidR="008145BF">
        <w:rPr>
          <w:rFonts w:ascii="Calibri" w:hAnsi="Calibri" w:cs="Calibri"/>
          <w:sz w:val="22"/>
        </w:rPr>
        <w:t>t</w:t>
      </w:r>
      <w:r w:rsidRPr="00DD4547">
        <w:rPr>
          <w:rFonts w:ascii="Calibri" w:hAnsi="Calibri" w:cs="Calibri"/>
          <w:sz w:val="22"/>
        </w:rPr>
        <w:t xml:space="preserve">reatment for </w:t>
      </w:r>
      <w:r w:rsidR="008145BF">
        <w:rPr>
          <w:rFonts w:ascii="Calibri" w:hAnsi="Calibri" w:cs="Calibri"/>
          <w:sz w:val="22"/>
        </w:rPr>
        <w:t>a</w:t>
      </w:r>
      <w:r w:rsidRPr="00DD4547">
        <w:rPr>
          <w:rFonts w:ascii="Calibri" w:hAnsi="Calibri" w:cs="Calibri"/>
          <w:sz w:val="22"/>
        </w:rPr>
        <w:t>ddiction.</w:t>
      </w:r>
      <w:r w:rsidRPr="00DD4547">
        <w:rPr>
          <w:rFonts w:ascii="Calibri" w:hAnsi="Calibri" w:cs="Calibri"/>
          <w:i/>
          <w:iCs/>
          <w:sz w:val="22"/>
        </w:rPr>
        <w:t xml:space="preserve"> International Journal of Mental Health and Addiction, 16</w:t>
      </w:r>
      <w:r w:rsidRPr="00DD4547">
        <w:rPr>
          <w:rFonts w:ascii="Calibri" w:hAnsi="Calibri" w:cs="Calibri"/>
          <w:sz w:val="22"/>
        </w:rPr>
        <w:t xml:space="preserve">(6), 1357-1372. </w:t>
      </w:r>
      <w:hyperlink r:id="rId37" w:history="1">
        <w:r w:rsidR="00AB17B2" w:rsidRPr="00BE6B55">
          <w:rPr>
            <w:rStyle w:val="Hyperlink"/>
            <w:rFonts w:ascii="Calibri" w:hAnsi="Calibri" w:cs="Calibri"/>
            <w:sz w:val="22"/>
          </w:rPr>
          <w:t>https://doi.org/10.1007/s11469-018-9933-5</w:t>
        </w:r>
      </w:hyperlink>
      <w:r w:rsidR="00AB17B2">
        <w:rPr>
          <w:rFonts w:ascii="Calibri" w:hAnsi="Calibri" w:cs="Calibri"/>
          <w:sz w:val="22"/>
        </w:rPr>
        <w:t xml:space="preserve"> </w:t>
      </w:r>
    </w:p>
    <w:p w14:paraId="1DB19A8C" w14:textId="216B517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lastRenderedPageBreak/>
        <w:t>Christopher, F. (2021). Editorial - Gambling: A neglected public health issue.</w:t>
      </w:r>
      <w:r w:rsidRPr="00DD4547">
        <w:rPr>
          <w:rFonts w:ascii="Calibri" w:hAnsi="Calibri" w:cs="Calibri"/>
          <w:i/>
          <w:iCs/>
          <w:sz w:val="22"/>
        </w:rPr>
        <w:t xml:space="preserve"> The Lancet Public Health, 6</w:t>
      </w:r>
      <w:r w:rsidRPr="00DD4547">
        <w:rPr>
          <w:rFonts w:ascii="Calibri" w:hAnsi="Calibri" w:cs="Calibri"/>
          <w:sz w:val="22"/>
        </w:rPr>
        <w:t xml:space="preserve">(1), e1. </w:t>
      </w:r>
      <w:hyperlink r:id="rId38" w:history="1">
        <w:r w:rsidR="00F85000" w:rsidRPr="00F82F77">
          <w:rPr>
            <w:rStyle w:val="Hyperlink"/>
            <w:rFonts w:ascii="Calibri" w:hAnsi="Calibri" w:cs="Calibri"/>
            <w:sz w:val="22"/>
          </w:rPr>
          <w:t>https://doi.org/10.1016/S2468-2667(20)30290-5</w:t>
        </w:r>
      </w:hyperlink>
      <w:r w:rsidR="00F85000">
        <w:rPr>
          <w:rFonts w:ascii="Calibri" w:hAnsi="Calibri" w:cs="Calibri"/>
          <w:sz w:val="22"/>
        </w:rPr>
        <w:t xml:space="preserve"> </w:t>
      </w:r>
    </w:p>
    <w:p w14:paraId="75FDA0FA" w14:textId="4ADD8263" w:rsidR="005D5010" w:rsidRPr="002F108B" w:rsidRDefault="00720885" w:rsidP="00CF2F97">
      <w:pPr>
        <w:spacing w:before="0" w:after="60"/>
        <w:ind w:left="426" w:hanging="426"/>
        <w:rPr>
          <w:lang w:val="en-NZ"/>
        </w:rPr>
      </w:pPr>
      <w:r w:rsidRPr="002F108B">
        <w:rPr>
          <w:lang w:val="en-NZ"/>
        </w:rPr>
        <w:t xml:space="preserve">Department of Internal Affairs. (2001). </w:t>
      </w:r>
      <w:r w:rsidRPr="002F108B">
        <w:rPr>
          <w:i/>
          <w:lang w:val="en-NZ"/>
        </w:rPr>
        <w:t>Public Attitudes towards Gaming Survey, 2000: Examining People's Participation in Gaming</w:t>
      </w:r>
      <w:r w:rsidRPr="002F108B">
        <w:rPr>
          <w:lang w:val="en-NZ"/>
        </w:rPr>
        <w:t xml:space="preserve">. </w:t>
      </w:r>
      <w:smartTag w:uri="urn:schemas-microsoft-com:office:smarttags" w:element="place">
        <w:smartTag w:uri="urn:schemas-microsoft-com:office:smarttags" w:element="City">
          <w:r w:rsidRPr="002F108B">
            <w:rPr>
              <w:lang w:val="en-NZ"/>
            </w:rPr>
            <w:t>Wellington</w:t>
          </w:r>
        </w:smartTag>
      </w:smartTag>
      <w:r w:rsidRPr="002F108B">
        <w:rPr>
          <w:lang w:val="en-NZ"/>
        </w:rPr>
        <w:t>: The Department of Internal Affairs.</w:t>
      </w:r>
      <w:r w:rsidR="005D5010">
        <w:rPr>
          <w:lang w:val="en-NZ"/>
        </w:rPr>
        <w:t xml:space="preserve"> </w:t>
      </w:r>
      <w:hyperlink r:id="rId39" w:history="1">
        <w:r w:rsidR="005D5010" w:rsidRPr="00B44299">
          <w:rPr>
            <w:color w:val="0000FF"/>
            <w:u w:val="single"/>
            <w:lang w:val="en-US" w:eastAsia="en-US"/>
          </w:rPr>
          <w:t>https://www.dia.govt.nz/diawebsite.nsf/wpg_URL/Resource-material-Our-Research-and-Reports-Participation-in-Gambling?OpenDocument</w:t>
        </w:r>
      </w:hyperlink>
    </w:p>
    <w:p w14:paraId="489FD46B" w14:textId="38363BA0" w:rsidR="00F454A2" w:rsidRPr="00B44299" w:rsidRDefault="00DD4547" w:rsidP="00CF2F97">
      <w:pPr>
        <w:pStyle w:val="NormalWeb"/>
        <w:spacing w:before="0" w:beforeAutospacing="0" w:after="60" w:afterAutospacing="0"/>
        <w:ind w:left="450" w:hanging="450"/>
        <w:rPr>
          <w:rFonts w:ascii="Calibri" w:hAnsi="Calibri" w:cs="Calibri"/>
          <w:sz w:val="22"/>
          <w:szCs w:val="22"/>
        </w:rPr>
      </w:pPr>
      <w:r w:rsidRPr="00DD4547">
        <w:rPr>
          <w:rFonts w:ascii="Calibri" w:hAnsi="Calibri" w:cs="Calibri"/>
          <w:sz w:val="22"/>
        </w:rPr>
        <w:t xml:space="preserve">Department of Internal Affairs. (2016). </w:t>
      </w:r>
      <w:r w:rsidRPr="00DD4547">
        <w:rPr>
          <w:rFonts w:ascii="Calibri" w:hAnsi="Calibri" w:cs="Calibri"/>
          <w:i/>
          <w:iCs/>
          <w:sz w:val="22"/>
        </w:rPr>
        <w:t>Discussion document: Review of Class 4 gambling.</w:t>
      </w:r>
      <w:r w:rsidRPr="00DD4547">
        <w:rPr>
          <w:rFonts w:ascii="Calibri" w:hAnsi="Calibri" w:cs="Calibri"/>
          <w:sz w:val="22"/>
        </w:rPr>
        <w:t xml:space="preserve"> Wellington: Department of Internal Affairs. </w:t>
      </w:r>
      <w:hyperlink r:id="rId40" w:history="1">
        <w:r w:rsidR="00F454A2" w:rsidRPr="00B44299">
          <w:rPr>
            <w:rStyle w:val="cf01"/>
            <w:rFonts w:ascii="Calibri" w:hAnsi="Calibri" w:cs="Calibri"/>
            <w:sz w:val="22"/>
            <w:szCs w:val="22"/>
          </w:rPr>
          <w:t>https://www.dia.govt.nz/diawebsite.nsf/wpg_URL/Services-Casino-and-Non-Casino-Gaming-Gambling-Consultation-Archive#Class-4</w:t>
        </w:r>
      </w:hyperlink>
      <w:r w:rsidR="00F454A2" w:rsidRPr="00B44299">
        <w:rPr>
          <w:rStyle w:val="cf01"/>
          <w:rFonts w:ascii="Calibri" w:hAnsi="Calibri" w:cs="Calibri"/>
          <w:sz w:val="22"/>
          <w:szCs w:val="22"/>
        </w:rPr>
        <w:t xml:space="preserve"> </w:t>
      </w:r>
    </w:p>
    <w:p w14:paraId="7E7C7DC2" w14:textId="1CFFB253" w:rsidR="00F454A2" w:rsidRPr="002F108B" w:rsidRDefault="00842CB2" w:rsidP="00CF2F97">
      <w:pPr>
        <w:spacing w:before="0" w:after="60"/>
        <w:ind w:left="426" w:hanging="426"/>
        <w:rPr>
          <w:rFonts w:cs="Calibri"/>
          <w:lang w:val="en-NZ"/>
        </w:rPr>
      </w:pPr>
      <w:r w:rsidRPr="002F108B">
        <w:rPr>
          <w:rFonts w:cs="Calibri"/>
          <w:lang w:val="en-NZ"/>
        </w:rPr>
        <w:t xml:space="preserve">Department of Internal Affairs. (2016b). </w:t>
      </w:r>
      <w:r w:rsidRPr="002F108B">
        <w:rPr>
          <w:rFonts w:cs="Calibri"/>
          <w:i/>
          <w:lang w:val="en-NZ"/>
        </w:rPr>
        <w:t xml:space="preserve">Multi-venue exclusion recommendations. August 2016. </w:t>
      </w:r>
      <w:r w:rsidRPr="002F108B">
        <w:rPr>
          <w:rFonts w:cs="Calibri"/>
          <w:lang w:val="en-NZ"/>
        </w:rPr>
        <w:t xml:space="preserve">Wellington. The Department of Internal Affairs. </w:t>
      </w:r>
      <w:hyperlink r:id="rId41" w:history="1">
        <w:r w:rsidR="00F454A2" w:rsidRPr="00B44299">
          <w:rPr>
            <w:rFonts w:cs="Calibri"/>
            <w:color w:val="0000FF"/>
            <w:u w:val="single"/>
            <w:lang w:val="en-US" w:eastAsia="en-US"/>
          </w:rPr>
          <w:t>https://www.dia.govt.nz/Services-Casino-and-Non-Casino-Gaming-Problem-Gambling#five</w:t>
        </w:r>
      </w:hyperlink>
    </w:p>
    <w:p w14:paraId="2DD41E6F" w14:textId="0799EBAE" w:rsidR="00F454A2" w:rsidRPr="00F454A2" w:rsidRDefault="0018336F" w:rsidP="00CF2F97">
      <w:pPr>
        <w:pStyle w:val="NormalWeb"/>
        <w:spacing w:before="0" w:beforeAutospacing="0" w:after="60" w:afterAutospacing="0"/>
        <w:ind w:left="450" w:hanging="450"/>
        <w:rPr>
          <w:rFonts w:ascii="Calibri" w:hAnsi="Calibri" w:cs="Calibri"/>
          <w:sz w:val="22"/>
          <w:szCs w:val="22"/>
        </w:rPr>
      </w:pPr>
      <w:r>
        <w:rPr>
          <w:rFonts w:ascii="Calibri" w:hAnsi="Calibri" w:cs="Calibri"/>
          <w:sz w:val="22"/>
        </w:rPr>
        <w:t xml:space="preserve">Department of Internal Affairs. (2019a). </w:t>
      </w:r>
      <w:r w:rsidR="00BD2A3D">
        <w:rPr>
          <w:rFonts w:ascii="Calibri" w:hAnsi="Calibri" w:cs="Calibri"/>
          <w:i/>
          <w:iCs/>
          <w:sz w:val="22"/>
        </w:rPr>
        <w:t xml:space="preserve">Online gambling in New Zealand – public discussion document. </w:t>
      </w:r>
      <w:r w:rsidR="009A3851">
        <w:rPr>
          <w:rFonts w:ascii="Calibri" w:hAnsi="Calibri" w:cs="Calibri"/>
          <w:sz w:val="22"/>
        </w:rPr>
        <w:t>Wellington: Department of Internal Affairs.</w:t>
      </w:r>
      <w:r w:rsidR="00BD2A3D">
        <w:rPr>
          <w:rFonts w:ascii="Calibri" w:hAnsi="Calibri" w:cs="Calibri"/>
          <w:i/>
          <w:iCs/>
          <w:sz w:val="22"/>
        </w:rPr>
        <w:t xml:space="preserve"> </w:t>
      </w:r>
      <w:hyperlink r:id="rId42" w:history="1">
        <w:r w:rsidR="00F454A2" w:rsidRPr="00B44299">
          <w:rPr>
            <w:rFonts w:ascii="Calibri" w:hAnsi="Calibri" w:cs="Calibri"/>
            <w:color w:val="0000FF"/>
            <w:sz w:val="22"/>
            <w:szCs w:val="22"/>
            <w:u w:val="single"/>
            <w:lang w:val="en-US" w:eastAsia="en-US"/>
          </w:rPr>
          <w:t>https://www.dia.govt.nz/onlinegamblingconsultation</w:t>
        </w:r>
      </w:hyperlink>
    </w:p>
    <w:p w14:paraId="2ECF2BDC" w14:textId="7D7AEA8F" w:rsidR="00E70EC3" w:rsidRPr="008365BF" w:rsidRDefault="00E70EC3"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Department of Internal Affairs. (20</w:t>
      </w:r>
      <w:r w:rsidR="00221A0C">
        <w:rPr>
          <w:rFonts w:ascii="Calibri" w:hAnsi="Calibri" w:cs="Calibri"/>
          <w:sz w:val="22"/>
        </w:rPr>
        <w:t>21</w:t>
      </w:r>
      <w:r w:rsidR="00EC6847">
        <w:rPr>
          <w:rFonts w:ascii="Calibri" w:hAnsi="Calibri" w:cs="Calibri"/>
          <w:sz w:val="22"/>
        </w:rPr>
        <w:t>a</w:t>
      </w:r>
      <w:r w:rsidRPr="00DD4547">
        <w:rPr>
          <w:rFonts w:ascii="Calibri" w:hAnsi="Calibri" w:cs="Calibri"/>
          <w:sz w:val="22"/>
        </w:rPr>
        <w:t xml:space="preserve">). </w:t>
      </w:r>
      <w:r w:rsidRPr="00DD4547">
        <w:rPr>
          <w:rFonts w:ascii="Calibri" w:hAnsi="Calibri" w:cs="Calibri"/>
          <w:i/>
          <w:iCs/>
          <w:sz w:val="22"/>
        </w:rPr>
        <w:t xml:space="preserve">5 year summary of annual expenditure. </w:t>
      </w:r>
      <w:hyperlink r:id="rId43" w:history="1">
        <w:r w:rsidR="00221A0C" w:rsidRPr="00BE6B55">
          <w:rPr>
            <w:rStyle w:val="Hyperlink"/>
            <w:rFonts w:ascii="Calibri" w:hAnsi="Calibri" w:cs="Calibri"/>
            <w:sz w:val="22"/>
          </w:rPr>
          <w:t>https://www.dia.govt.nz/gambling-statistics-expenditure</w:t>
        </w:r>
      </w:hyperlink>
      <w:r w:rsidR="00221A0C">
        <w:rPr>
          <w:rFonts w:ascii="Calibri" w:hAnsi="Calibri" w:cs="Calibri"/>
          <w:sz w:val="22"/>
        </w:rPr>
        <w:t xml:space="preserve"> </w:t>
      </w:r>
    </w:p>
    <w:p w14:paraId="02258222" w14:textId="307A5E6B" w:rsidR="00FA6DE5" w:rsidRDefault="00BC70A8" w:rsidP="00CF2F97">
      <w:pPr>
        <w:spacing w:before="0" w:after="60"/>
        <w:rPr>
          <w:rFonts w:ascii="Arial" w:hAnsi="Arial" w:cs="Arial"/>
          <w:sz w:val="20"/>
          <w:szCs w:val="20"/>
        </w:rPr>
      </w:pPr>
      <w:r w:rsidRPr="00DD4547">
        <w:rPr>
          <w:rFonts w:cs="Calibri"/>
        </w:rPr>
        <w:t>Department of Internal Affairs. (202</w:t>
      </w:r>
      <w:r>
        <w:rPr>
          <w:rFonts w:cs="Calibri"/>
        </w:rPr>
        <w:t>1</w:t>
      </w:r>
      <w:r w:rsidR="00B9347C">
        <w:rPr>
          <w:rFonts w:cs="Calibri"/>
        </w:rPr>
        <w:t>b</w:t>
      </w:r>
      <w:r w:rsidRPr="00DD4547">
        <w:rPr>
          <w:rFonts w:cs="Calibri"/>
        </w:rPr>
        <w:t xml:space="preserve">). </w:t>
      </w:r>
      <w:r w:rsidRPr="00DD4547">
        <w:rPr>
          <w:rFonts w:cs="Calibri"/>
          <w:i/>
          <w:iCs/>
        </w:rPr>
        <w:t xml:space="preserve">GMP dashboard. </w:t>
      </w:r>
      <w:r>
        <w:rPr>
          <w:rFonts w:cs="Calibri"/>
        </w:rPr>
        <w:t>Wellington: Department of Internal Affairs.</w:t>
      </w:r>
      <w:r>
        <w:rPr>
          <w:rFonts w:cs="Calibri"/>
          <w:i/>
        </w:rPr>
        <w:t xml:space="preserve"> </w:t>
      </w:r>
      <w:hyperlink r:id="rId44" w:history="1">
        <w:r w:rsidR="00FA6DE5">
          <w:rPr>
            <w:rStyle w:val="cf11"/>
          </w:rPr>
          <w:t>https://www.dia.govt.nz/gambling-statistics-gmp-dashboard</w:t>
        </w:r>
      </w:hyperlink>
    </w:p>
    <w:p w14:paraId="5053365D" w14:textId="207C23CC" w:rsidR="00886E5C" w:rsidRDefault="00B9347C" w:rsidP="00CF2F97">
      <w:pPr>
        <w:pStyle w:val="NormalWeb"/>
        <w:spacing w:before="0" w:beforeAutospacing="0" w:after="60" w:afterAutospacing="0"/>
        <w:ind w:left="450" w:hanging="450"/>
        <w:rPr>
          <w:rFonts w:ascii="Calibri" w:hAnsi="Calibri" w:cs="Calibri"/>
          <w:sz w:val="22"/>
        </w:rPr>
      </w:pPr>
      <w:r>
        <w:rPr>
          <w:rFonts w:ascii="Calibri" w:hAnsi="Calibri" w:cs="Calibri"/>
          <w:sz w:val="22"/>
        </w:rPr>
        <w:t xml:space="preserve">Department of Internal Affairs (2021c). </w:t>
      </w:r>
      <w:r w:rsidR="0071269D">
        <w:rPr>
          <w:rFonts w:ascii="Calibri" w:hAnsi="Calibri" w:cs="Calibri"/>
          <w:i/>
          <w:iCs/>
          <w:sz w:val="22"/>
        </w:rPr>
        <w:t>December 2020 shows record high spending at pokie machines</w:t>
      </w:r>
      <w:r w:rsidR="000E5C75">
        <w:rPr>
          <w:rFonts w:ascii="Calibri" w:hAnsi="Calibri" w:cs="Calibri"/>
          <w:i/>
          <w:iCs/>
          <w:sz w:val="22"/>
        </w:rPr>
        <w:t xml:space="preserve">. </w:t>
      </w:r>
      <w:r w:rsidR="00375426">
        <w:rPr>
          <w:rFonts w:ascii="Calibri" w:hAnsi="Calibri" w:cs="Calibri"/>
          <w:sz w:val="22"/>
        </w:rPr>
        <w:t>Wellington:</w:t>
      </w:r>
      <w:r w:rsidR="00EC6847">
        <w:rPr>
          <w:rFonts w:ascii="Calibri" w:hAnsi="Calibri" w:cs="Calibri"/>
          <w:sz w:val="22"/>
        </w:rPr>
        <w:t xml:space="preserve"> Department of Internal Affairs. </w:t>
      </w:r>
      <w:hyperlink r:id="rId45" w:history="1">
        <w:r w:rsidR="00886E5C" w:rsidRPr="00BE6B55">
          <w:rPr>
            <w:rStyle w:val="Hyperlink"/>
            <w:rFonts w:ascii="Calibri" w:hAnsi="Calibri" w:cs="Calibri"/>
            <w:sz w:val="22"/>
          </w:rPr>
          <w:t>https://www.dia.govt.nz/press.nsf/d77da9b523f12931cc256ac5000d19b6/3c7f05df2a9cfe76cc258695007f7f24!OpenDocument</w:t>
        </w:r>
      </w:hyperlink>
      <w:r w:rsidR="00886E5C">
        <w:rPr>
          <w:rFonts w:ascii="Calibri" w:hAnsi="Calibri" w:cs="Calibri"/>
          <w:sz w:val="22"/>
        </w:rPr>
        <w:t xml:space="preserve"> </w:t>
      </w:r>
    </w:p>
    <w:p w14:paraId="55DA1AFA" w14:textId="3268BDB7"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Dyall, L. (2009). </w:t>
      </w:r>
      <w:r w:rsidRPr="00DD4547">
        <w:rPr>
          <w:rFonts w:ascii="Calibri" w:hAnsi="Calibri" w:cs="Calibri"/>
          <w:i/>
          <w:iCs/>
          <w:sz w:val="22"/>
        </w:rPr>
        <w:t>The impact of gambling on Māori .</w:t>
      </w:r>
      <w:r w:rsidRPr="00DD4547">
        <w:rPr>
          <w:rFonts w:ascii="Calibri" w:hAnsi="Calibri" w:cs="Calibri"/>
          <w:sz w:val="22"/>
        </w:rPr>
        <w:t xml:space="preserve"> Auckland: Ngā Pae o te Māramatanga. </w:t>
      </w:r>
      <w:hyperlink r:id="rId46" w:history="1">
        <w:r w:rsidR="00AB17B2" w:rsidRPr="00BE6B55">
          <w:rPr>
            <w:rStyle w:val="Hyperlink"/>
            <w:rFonts w:ascii="Calibri" w:hAnsi="Calibri" w:cs="Calibri"/>
            <w:sz w:val="22"/>
          </w:rPr>
          <w:t>http://www.maramatanga.co.nz/sites/default/files/Dyall%20web%20ready_0.pdf</w:t>
        </w:r>
      </w:hyperlink>
      <w:r w:rsidR="00AB17B2">
        <w:rPr>
          <w:rFonts w:ascii="Calibri" w:hAnsi="Calibri" w:cs="Calibri"/>
          <w:sz w:val="22"/>
        </w:rPr>
        <w:t xml:space="preserve"> </w:t>
      </w:r>
    </w:p>
    <w:p w14:paraId="296D2C41" w14:textId="3ABF6FC9" w:rsidR="004F25B3"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Erwin, C., Lees, K., Pacheco, G., &amp; Turcu, A. (2020). </w:t>
      </w:r>
      <w:r w:rsidRPr="00DD4547">
        <w:rPr>
          <w:rFonts w:ascii="Calibri" w:hAnsi="Calibri" w:cs="Calibri"/>
          <w:i/>
          <w:iCs/>
          <w:sz w:val="22"/>
        </w:rPr>
        <w:t>Capping problem gambling in NZ: The effectiveness of local government policy interventions.</w:t>
      </w:r>
      <w:r w:rsidRPr="00DD4547">
        <w:rPr>
          <w:rFonts w:ascii="Calibri" w:hAnsi="Calibri" w:cs="Calibri"/>
          <w:sz w:val="22"/>
        </w:rPr>
        <w:t xml:space="preserve"> Auckland: New Zealand Work Research Institute</w:t>
      </w:r>
      <w:r w:rsidR="004F25B3">
        <w:rPr>
          <w:rFonts w:ascii="Calibri" w:hAnsi="Calibri" w:cs="Calibri"/>
          <w:sz w:val="22"/>
        </w:rPr>
        <w:t xml:space="preserve">. </w:t>
      </w:r>
      <w:hyperlink r:id="rId47" w:history="1">
        <w:r w:rsidR="004F25B3" w:rsidRPr="00B44299">
          <w:rPr>
            <w:rFonts w:ascii="Calibri" w:hAnsi="Calibri" w:cs="Calibri"/>
            <w:color w:val="0000FF"/>
            <w:sz w:val="22"/>
            <w:szCs w:val="22"/>
            <w:u w:val="single"/>
            <w:lang w:val="en-US" w:eastAsia="en-US"/>
          </w:rPr>
          <w:t>https://www.health.govt.nz/publication/capping-problem-gambling-nz-effectiveness-local-government-policy-interventions</w:t>
        </w:r>
      </w:hyperlink>
      <w:r w:rsidR="004F25B3" w:rsidRPr="00B44299">
        <w:rPr>
          <w:rFonts w:ascii="Calibri" w:hAnsi="Calibri" w:cs="Calibri"/>
          <w:sz w:val="22"/>
          <w:szCs w:val="22"/>
          <w:lang w:val="en-US" w:eastAsia="en-US"/>
        </w:rPr>
        <w:t xml:space="preserve"> </w:t>
      </w:r>
    </w:p>
    <w:p w14:paraId="4B7AD400" w14:textId="423AEC6B"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Gainsbury, S. (2014). Review of self-exclusion from gambling venues as an intervention for problem gambling.</w:t>
      </w:r>
      <w:r w:rsidRPr="00DD4547">
        <w:rPr>
          <w:rFonts w:ascii="Calibri" w:hAnsi="Calibri" w:cs="Calibri"/>
          <w:i/>
          <w:iCs/>
          <w:sz w:val="22"/>
        </w:rPr>
        <w:t xml:space="preserve"> Journal of Gambling Studies, 30</w:t>
      </w:r>
      <w:r w:rsidRPr="00DD4547">
        <w:rPr>
          <w:rFonts w:ascii="Calibri" w:hAnsi="Calibri" w:cs="Calibri"/>
          <w:sz w:val="22"/>
        </w:rPr>
        <w:t xml:space="preserve">(2), 229-251. </w:t>
      </w:r>
      <w:hyperlink r:id="rId48" w:history="1">
        <w:r w:rsidR="00F85000" w:rsidRPr="00F82F77">
          <w:rPr>
            <w:rStyle w:val="Hyperlink"/>
            <w:rFonts w:ascii="Calibri" w:hAnsi="Calibri" w:cs="Calibri"/>
            <w:sz w:val="22"/>
          </w:rPr>
          <w:t>https://doi.org/10.1007/s10899-013-9362-0</w:t>
        </w:r>
      </w:hyperlink>
      <w:r w:rsidR="00F85000">
        <w:rPr>
          <w:rFonts w:ascii="Calibri" w:hAnsi="Calibri" w:cs="Calibri"/>
          <w:sz w:val="22"/>
        </w:rPr>
        <w:t xml:space="preserve"> </w:t>
      </w:r>
    </w:p>
    <w:p w14:paraId="5AE463E5" w14:textId="1EAD61AF" w:rsidR="004F25B3"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Gambling Commission. </w:t>
      </w:r>
      <w:r w:rsidR="00957F2D">
        <w:rPr>
          <w:rFonts w:ascii="Calibri" w:hAnsi="Calibri" w:cs="Calibri"/>
          <w:sz w:val="22"/>
        </w:rPr>
        <w:t xml:space="preserve">(2020). Report of the Gambling Commission for the year ended 30 June 2020. Wellington: Gambling Commission. </w:t>
      </w:r>
      <w:hyperlink r:id="rId49" w:history="1">
        <w:r w:rsidR="004F25B3" w:rsidRPr="00B44299">
          <w:rPr>
            <w:rFonts w:ascii="Calibri" w:hAnsi="Calibri" w:cs="Calibri"/>
            <w:color w:val="0000FF"/>
            <w:sz w:val="22"/>
            <w:szCs w:val="22"/>
            <w:u w:val="single"/>
            <w:lang w:val="en-US" w:eastAsia="en-US"/>
          </w:rPr>
          <w:t>http://www.gamblingcommission.govt.nz/GCwebsite.nsf/wpg_URL/Reports-Annual-Reports-Index!OpenDocument</w:t>
        </w:r>
      </w:hyperlink>
      <w:r w:rsidR="004F25B3" w:rsidRPr="00B44299">
        <w:rPr>
          <w:rFonts w:ascii="Calibri" w:hAnsi="Calibri" w:cs="Calibri"/>
          <w:sz w:val="22"/>
          <w:szCs w:val="22"/>
          <w:lang w:val="en-US" w:eastAsia="en-US"/>
        </w:rPr>
        <w:t xml:space="preserve"> </w:t>
      </w:r>
    </w:p>
    <w:p w14:paraId="7641646B" w14:textId="189C8CB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Goodwin, B. C., Browne, M., Rockloff, M., &amp; Rose, J. (2017). A typical problem gambler affects six others.</w:t>
      </w:r>
      <w:r w:rsidRPr="00DD4547">
        <w:rPr>
          <w:rFonts w:ascii="Calibri" w:hAnsi="Calibri" w:cs="Calibri"/>
          <w:i/>
          <w:iCs/>
          <w:sz w:val="22"/>
        </w:rPr>
        <w:t xml:space="preserve"> International Gambling Studies, 17</w:t>
      </w:r>
      <w:r w:rsidRPr="00DD4547">
        <w:rPr>
          <w:rFonts w:ascii="Calibri" w:hAnsi="Calibri" w:cs="Calibri"/>
          <w:sz w:val="22"/>
        </w:rPr>
        <w:t xml:space="preserve">(2), 276-289. </w:t>
      </w:r>
      <w:hyperlink r:id="rId50" w:history="1">
        <w:r w:rsidR="00F57923" w:rsidRPr="00BE6B55">
          <w:rPr>
            <w:rStyle w:val="Hyperlink"/>
            <w:rFonts w:ascii="Calibri" w:hAnsi="Calibri" w:cs="Calibri"/>
            <w:sz w:val="22"/>
          </w:rPr>
          <w:t>https://doi.org/10.1080/14459795.2017.1331252</w:t>
        </w:r>
      </w:hyperlink>
      <w:r w:rsidR="00F57923">
        <w:rPr>
          <w:rFonts w:ascii="Calibri" w:hAnsi="Calibri" w:cs="Calibri"/>
          <w:sz w:val="22"/>
        </w:rPr>
        <w:t xml:space="preserve"> </w:t>
      </w:r>
    </w:p>
    <w:p w14:paraId="46C8B525" w14:textId="79D26EA3" w:rsidR="004F25B3"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Guttenbeil-Po’uhila, Y., Hand, J., Htay, T., &amp; Tu’itahi, S. (2004). </w:t>
      </w:r>
      <w:r w:rsidRPr="00DD4547">
        <w:rPr>
          <w:rFonts w:ascii="Calibri" w:hAnsi="Calibri" w:cs="Calibri"/>
          <w:i/>
          <w:iCs/>
          <w:sz w:val="22"/>
        </w:rPr>
        <w:t>Gambling Issues in the Auckland Tongan Community: Palopalema ‘oe Va’inga Pa’anga ‘i he K’ainga Tonga ‘i ‘Aokalani.</w:t>
      </w:r>
      <w:r w:rsidRPr="00DD4547">
        <w:rPr>
          <w:rFonts w:ascii="Calibri" w:hAnsi="Calibri" w:cs="Calibri"/>
          <w:sz w:val="22"/>
        </w:rPr>
        <w:t xml:space="preserve"> Auckland: Auckland Regional Public Health Service. </w:t>
      </w:r>
      <w:hyperlink r:id="rId51" w:history="1">
        <w:r w:rsidR="004F25B3" w:rsidRPr="00B44299">
          <w:rPr>
            <w:rFonts w:ascii="Calibri" w:eastAsia="Times New Roman" w:hAnsi="Calibri" w:cs="Calibri"/>
            <w:color w:val="0000FF"/>
            <w:sz w:val="22"/>
            <w:szCs w:val="22"/>
            <w:u w:val="single"/>
            <w:lang w:val="en-US" w:eastAsia="en-US"/>
          </w:rPr>
          <w:t>http://web.archive.org/web/20060211095053/http://arphs.govt.nz/publications/TonganGambling/Tongan_Gambling_Download.asp</w:t>
        </w:r>
      </w:hyperlink>
      <w:r w:rsidR="004F25B3" w:rsidRPr="00B44299">
        <w:rPr>
          <w:rFonts w:ascii="Calibri" w:eastAsia="Times New Roman" w:hAnsi="Calibri" w:cs="Calibri"/>
          <w:sz w:val="22"/>
          <w:szCs w:val="22"/>
          <w:lang w:val="en-US" w:eastAsia="en-US"/>
        </w:rPr>
        <w:t xml:space="preserve"> </w:t>
      </w:r>
    </w:p>
    <w:p w14:paraId="3BFB4E2F" w14:textId="6E1656F7"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lastRenderedPageBreak/>
        <w:t>Korn, D. A., &amp; Shaffer, H. J. (1999). Gambling and the health of the public: Adopting a public health perspective.</w:t>
      </w:r>
      <w:r w:rsidRPr="00DD4547">
        <w:rPr>
          <w:rFonts w:ascii="Calibri" w:hAnsi="Calibri" w:cs="Calibri"/>
          <w:i/>
          <w:iCs/>
          <w:sz w:val="22"/>
        </w:rPr>
        <w:t xml:space="preserve"> Journal of Gambling Studies, 15</w:t>
      </w:r>
      <w:r w:rsidRPr="00DD4547">
        <w:rPr>
          <w:rFonts w:ascii="Calibri" w:hAnsi="Calibri" w:cs="Calibri"/>
          <w:sz w:val="22"/>
        </w:rPr>
        <w:t xml:space="preserve">(4), 289-365. </w:t>
      </w:r>
      <w:hyperlink r:id="rId52" w:history="1">
        <w:r w:rsidR="00F57923" w:rsidRPr="00BE6B55">
          <w:rPr>
            <w:rStyle w:val="Hyperlink"/>
            <w:rFonts w:ascii="Calibri" w:hAnsi="Calibri" w:cs="Calibri"/>
            <w:sz w:val="22"/>
          </w:rPr>
          <w:t>https://doi.org/10.1023/a:1023005115932</w:t>
        </w:r>
      </w:hyperlink>
      <w:r w:rsidR="00F57923">
        <w:rPr>
          <w:rFonts w:ascii="Calibri" w:hAnsi="Calibri" w:cs="Calibri"/>
          <w:sz w:val="22"/>
        </w:rPr>
        <w:t xml:space="preserve"> </w:t>
      </w:r>
    </w:p>
    <w:p w14:paraId="32F33BAA" w14:textId="7B8BEB44"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Ledgerwood, D. M., &amp; Arfken, C. L. (2017). </w:t>
      </w:r>
      <w:r w:rsidR="00201AB0">
        <w:rPr>
          <w:rFonts w:ascii="Calibri" w:hAnsi="Calibri" w:cs="Calibri"/>
          <w:sz w:val="22"/>
        </w:rPr>
        <w:t>Assessing the need for higher levels of care among problem gambling outpatients</w:t>
      </w:r>
      <w:r w:rsidRPr="00DD4547">
        <w:rPr>
          <w:rFonts w:ascii="Calibri" w:hAnsi="Calibri" w:cs="Calibri"/>
          <w:sz w:val="22"/>
        </w:rPr>
        <w:t>.</w:t>
      </w:r>
      <w:r w:rsidRPr="00DD4547">
        <w:rPr>
          <w:rFonts w:ascii="Calibri" w:hAnsi="Calibri" w:cs="Calibri"/>
          <w:i/>
          <w:iCs/>
          <w:sz w:val="22"/>
        </w:rPr>
        <w:t xml:space="preserve"> Journal of Gambling Studies, 33</w:t>
      </w:r>
      <w:r w:rsidRPr="00DD4547">
        <w:rPr>
          <w:rFonts w:ascii="Calibri" w:hAnsi="Calibri" w:cs="Calibri"/>
          <w:sz w:val="22"/>
        </w:rPr>
        <w:t xml:space="preserve">(4), 1263–1275. </w:t>
      </w:r>
      <w:hyperlink r:id="rId53" w:history="1">
        <w:r w:rsidR="00F57923" w:rsidRPr="00BE6B55">
          <w:rPr>
            <w:rStyle w:val="Hyperlink"/>
            <w:rFonts w:ascii="Calibri" w:hAnsi="Calibri" w:cs="Calibri"/>
            <w:sz w:val="22"/>
          </w:rPr>
          <w:t>https://doi.org/10.1007/s10899-017-9677-3</w:t>
        </w:r>
      </w:hyperlink>
      <w:r w:rsidR="00F57923">
        <w:rPr>
          <w:rFonts w:ascii="Calibri" w:hAnsi="Calibri" w:cs="Calibri"/>
          <w:sz w:val="22"/>
        </w:rPr>
        <w:t xml:space="preserve"> </w:t>
      </w:r>
    </w:p>
    <w:p w14:paraId="3844BEDA" w14:textId="1921E27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Ledgerwood, D. M., Dyshniku, F., McCarthy, J. E., Ostojic-Aitkens, D., Forfitt, J., &amp; Rumble, S. C. (2020). Gambling-related cognitive distortions in residential treatment for gambling disorder.</w:t>
      </w:r>
      <w:r w:rsidRPr="00DD4547">
        <w:rPr>
          <w:rFonts w:ascii="Calibri" w:hAnsi="Calibri" w:cs="Calibri"/>
          <w:i/>
          <w:iCs/>
          <w:sz w:val="22"/>
        </w:rPr>
        <w:t xml:space="preserve"> Journal of Gambling Studies, 36</w:t>
      </w:r>
      <w:r w:rsidRPr="00DD4547">
        <w:rPr>
          <w:rFonts w:ascii="Calibri" w:hAnsi="Calibri" w:cs="Calibri"/>
          <w:sz w:val="22"/>
        </w:rPr>
        <w:t xml:space="preserve">(2), 669-683. </w:t>
      </w:r>
      <w:hyperlink r:id="rId54" w:history="1">
        <w:r w:rsidR="00AB17B2" w:rsidRPr="00BE6B55">
          <w:rPr>
            <w:rStyle w:val="Hyperlink"/>
            <w:rFonts w:ascii="Calibri" w:hAnsi="Calibri" w:cs="Calibri"/>
            <w:sz w:val="22"/>
          </w:rPr>
          <w:t>https://doi.org/10.1007/s10899-019-09895-4</w:t>
        </w:r>
      </w:hyperlink>
      <w:r w:rsidR="00AB17B2">
        <w:rPr>
          <w:rFonts w:ascii="Calibri" w:hAnsi="Calibri" w:cs="Calibri"/>
          <w:sz w:val="22"/>
        </w:rPr>
        <w:t xml:space="preserve"> </w:t>
      </w:r>
    </w:p>
    <w:p w14:paraId="405A7FB8" w14:textId="317A3198"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Lopez-Gonzalez, H., Estévez, A., &amp; Griffiths, M. D. (2019). Can positive social perception and reduced stigma be a problem in sports betting? A qualitative focus group study with Spanish sports bettors undergoing treatment for gambling disorder.</w:t>
      </w:r>
      <w:r w:rsidRPr="00DD4547">
        <w:rPr>
          <w:rFonts w:ascii="Calibri" w:hAnsi="Calibri" w:cs="Calibri"/>
          <w:i/>
          <w:iCs/>
          <w:sz w:val="22"/>
        </w:rPr>
        <w:t xml:space="preserve"> Journal of Gambling Studies, 35</w:t>
      </w:r>
      <w:r w:rsidRPr="00DD4547">
        <w:rPr>
          <w:rFonts w:ascii="Calibri" w:hAnsi="Calibri" w:cs="Calibri"/>
          <w:sz w:val="22"/>
        </w:rPr>
        <w:t xml:space="preserve">(2), 571-585. </w:t>
      </w:r>
      <w:hyperlink r:id="rId55" w:history="1">
        <w:r w:rsidR="00AB17B2" w:rsidRPr="00BE6B55">
          <w:rPr>
            <w:rStyle w:val="Hyperlink"/>
            <w:rFonts w:ascii="Calibri" w:hAnsi="Calibri" w:cs="Calibri"/>
            <w:sz w:val="22"/>
          </w:rPr>
          <w:t>https://doi.org/10.1007/s10899-018-9799-2</w:t>
        </w:r>
      </w:hyperlink>
      <w:r w:rsidR="00AB17B2">
        <w:rPr>
          <w:rFonts w:ascii="Calibri" w:hAnsi="Calibri" w:cs="Calibri"/>
          <w:sz w:val="22"/>
        </w:rPr>
        <w:t xml:space="preserve"> </w:t>
      </w:r>
    </w:p>
    <w:p w14:paraId="474D6663" w14:textId="39E1CF90" w:rsidR="004F25B3"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Lotto New Zealand. (2020). </w:t>
      </w:r>
      <w:r w:rsidRPr="00DD4547">
        <w:rPr>
          <w:rFonts w:ascii="Calibri" w:hAnsi="Calibri" w:cs="Calibri"/>
          <w:i/>
          <w:iCs/>
          <w:sz w:val="22"/>
        </w:rPr>
        <w:t>Annual Report 2019/20.</w:t>
      </w:r>
      <w:r w:rsidRPr="00DD4547">
        <w:rPr>
          <w:rFonts w:ascii="Calibri" w:hAnsi="Calibri" w:cs="Calibri"/>
          <w:sz w:val="22"/>
        </w:rPr>
        <w:t xml:space="preserve"> Auckland: New Zealand Lotteries Commission. </w:t>
      </w:r>
      <w:hyperlink r:id="rId56" w:history="1">
        <w:r w:rsidR="004F25B3" w:rsidRPr="00B44299">
          <w:rPr>
            <w:rFonts w:ascii="Calibri" w:hAnsi="Calibri" w:cs="Calibri"/>
            <w:color w:val="0000FF"/>
            <w:sz w:val="22"/>
            <w:szCs w:val="22"/>
            <w:u w:val="single"/>
            <w:lang w:val="en-US" w:eastAsia="en-US"/>
          </w:rPr>
          <w:t>https://mylotto.co.nz/about-us/reports-and-statements</w:t>
        </w:r>
      </w:hyperlink>
      <w:r w:rsidR="004F25B3" w:rsidRPr="00B44299">
        <w:rPr>
          <w:rFonts w:ascii="Calibri" w:hAnsi="Calibri" w:cs="Calibri"/>
          <w:sz w:val="22"/>
          <w:szCs w:val="22"/>
          <w:lang w:val="en-US" w:eastAsia="en-US"/>
        </w:rPr>
        <w:t xml:space="preserve"> </w:t>
      </w:r>
    </w:p>
    <w:p w14:paraId="1CC3737C" w14:textId="71D8C0CA" w:rsidR="004F25B3" w:rsidRDefault="00547DF4" w:rsidP="00CF2F97">
      <w:pPr>
        <w:pStyle w:val="NormalWeb"/>
        <w:spacing w:before="0" w:beforeAutospacing="0" w:after="60" w:afterAutospacing="0"/>
        <w:ind w:left="450" w:hanging="450"/>
        <w:rPr>
          <w:rFonts w:ascii="Calibri" w:hAnsi="Calibri" w:cs="Calibri"/>
          <w:sz w:val="22"/>
        </w:rPr>
      </w:pPr>
      <w:r>
        <w:rPr>
          <w:rFonts w:ascii="Calibri" w:hAnsi="Calibri" w:cs="Calibri"/>
          <w:sz w:val="22"/>
        </w:rPr>
        <w:t xml:space="preserve">Ministry of Health. (2009). </w:t>
      </w:r>
      <w:r>
        <w:rPr>
          <w:rFonts w:ascii="Calibri" w:hAnsi="Calibri" w:cs="Calibri"/>
          <w:i/>
          <w:iCs/>
          <w:sz w:val="22"/>
        </w:rPr>
        <w:t>Problem gambling resource for local government.</w:t>
      </w:r>
      <w:r>
        <w:rPr>
          <w:rFonts w:ascii="Calibri" w:hAnsi="Calibri" w:cs="Calibri"/>
          <w:sz w:val="22"/>
        </w:rPr>
        <w:t xml:space="preserve"> Wellington: Ministry of Health. </w:t>
      </w:r>
      <w:hyperlink r:id="rId57" w:history="1">
        <w:r w:rsidR="004F25B3" w:rsidRPr="00B44299">
          <w:rPr>
            <w:rStyle w:val="cf01"/>
            <w:rFonts w:ascii="Calibri" w:hAnsi="Calibri" w:cs="Calibri"/>
            <w:sz w:val="22"/>
            <w:szCs w:val="22"/>
          </w:rPr>
          <w:t>https://www.moh.govt.nz/notebook/nbbooks.nsf/0/253B4A3BB4F7CA47CC2575F2006F9519?opendocument</w:t>
        </w:r>
      </w:hyperlink>
    </w:p>
    <w:p w14:paraId="66F8AC4E" w14:textId="31B47C19"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Ministry of Health. (2019). </w:t>
      </w:r>
      <w:r w:rsidRPr="00DD4547">
        <w:rPr>
          <w:rFonts w:ascii="Calibri" w:hAnsi="Calibri" w:cs="Calibri"/>
          <w:i/>
          <w:iCs/>
          <w:sz w:val="22"/>
        </w:rPr>
        <w:t>Strategy to prevent and minimise gambling harm 2019/20 to 2021/22.</w:t>
      </w:r>
      <w:r w:rsidRPr="00DD4547">
        <w:rPr>
          <w:rFonts w:ascii="Calibri" w:hAnsi="Calibri" w:cs="Calibri"/>
          <w:sz w:val="22"/>
        </w:rPr>
        <w:t xml:space="preserve"> Wellington: Ministry of Health. </w:t>
      </w:r>
      <w:hyperlink r:id="rId58" w:history="1">
        <w:r w:rsidR="00AB17B2" w:rsidRPr="00BE6B55">
          <w:rPr>
            <w:rStyle w:val="Hyperlink"/>
            <w:rFonts w:ascii="Calibri" w:hAnsi="Calibri" w:cs="Calibri"/>
            <w:sz w:val="22"/>
          </w:rPr>
          <w:t>https://www.health.govt.nz/system/files/documents/publications/hp7137-strategy-minimise-gambling-harm-jun19.pdf</w:t>
        </w:r>
      </w:hyperlink>
      <w:r w:rsidR="00AB17B2">
        <w:rPr>
          <w:rFonts w:ascii="Calibri" w:hAnsi="Calibri" w:cs="Calibri"/>
          <w:sz w:val="22"/>
        </w:rPr>
        <w:t xml:space="preserve"> </w:t>
      </w:r>
    </w:p>
    <w:p w14:paraId="78DBEA09" w14:textId="7A0B767A" w:rsidR="00651F82" w:rsidRPr="00AB17B2" w:rsidRDefault="00651F82" w:rsidP="00CF2F97">
      <w:pPr>
        <w:pStyle w:val="NormalWeb"/>
        <w:spacing w:before="0" w:beforeAutospacing="0" w:after="60" w:afterAutospacing="0"/>
        <w:ind w:left="450" w:hanging="450"/>
        <w:rPr>
          <w:rFonts w:ascii="Calibri" w:hAnsi="Calibri" w:cs="Calibri"/>
          <w:i/>
          <w:iCs/>
          <w:sz w:val="22"/>
        </w:rPr>
      </w:pPr>
      <w:r>
        <w:rPr>
          <w:rFonts w:ascii="Calibri" w:hAnsi="Calibri" w:cs="Calibri"/>
          <w:sz w:val="22"/>
        </w:rPr>
        <w:t xml:space="preserve">Ministry of Health. (2020). </w:t>
      </w:r>
      <w:r w:rsidR="0077517E">
        <w:rPr>
          <w:rFonts w:ascii="Calibri" w:hAnsi="Calibri" w:cs="Calibri"/>
          <w:sz w:val="22"/>
        </w:rPr>
        <w:t>[</w:t>
      </w:r>
      <w:r w:rsidR="00B251BE">
        <w:rPr>
          <w:rFonts w:ascii="Calibri" w:hAnsi="Calibri" w:cs="Calibri"/>
          <w:sz w:val="22"/>
        </w:rPr>
        <w:t>Worksheet in territorial authority gambling venue policies] [Unpublished raw data]. Wellington: Ministry of Health.</w:t>
      </w:r>
    </w:p>
    <w:p w14:paraId="797B7D0D" w14:textId="10C65376" w:rsidR="0002662E" w:rsidRPr="0002662E" w:rsidRDefault="0002662E" w:rsidP="00CF2F97">
      <w:pPr>
        <w:pStyle w:val="NormalWeb"/>
        <w:spacing w:before="0" w:beforeAutospacing="0" w:after="60" w:afterAutospacing="0"/>
        <w:ind w:left="450" w:hanging="450"/>
        <w:rPr>
          <w:rFonts w:ascii="Calibri" w:hAnsi="Calibri" w:cs="Calibri"/>
          <w:sz w:val="22"/>
        </w:rPr>
      </w:pPr>
      <w:r>
        <w:rPr>
          <w:rFonts w:ascii="Calibri" w:hAnsi="Calibri" w:cs="Calibri"/>
          <w:sz w:val="22"/>
        </w:rPr>
        <w:t xml:space="preserve">Ministry of Health. (2021). </w:t>
      </w:r>
      <w:r>
        <w:rPr>
          <w:rFonts w:ascii="Calibri" w:hAnsi="Calibri" w:cs="Calibri"/>
          <w:i/>
          <w:iCs/>
          <w:sz w:val="22"/>
        </w:rPr>
        <w:t>Intervention client data.</w:t>
      </w:r>
      <w:r>
        <w:rPr>
          <w:rFonts w:ascii="Calibri" w:hAnsi="Calibri" w:cs="Calibri"/>
          <w:sz w:val="22"/>
        </w:rPr>
        <w:t xml:space="preserve"> Wellington: Ministry of Health. </w:t>
      </w:r>
      <w:hyperlink r:id="rId59" w:history="1">
        <w:r w:rsidRPr="00306B39">
          <w:rPr>
            <w:rStyle w:val="Hyperlink"/>
            <w:rFonts w:ascii="Calibri" w:hAnsi="Calibri" w:cs="Calibri"/>
            <w:sz w:val="22"/>
          </w:rPr>
          <w:t>https://www.health.govt.nz/our-work/mental-health-and-addiction/addiction/gambling/service-user-data/intervention-client-data</w:t>
        </w:r>
      </w:hyperlink>
      <w:r>
        <w:rPr>
          <w:rFonts w:ascii="Calibri" w:hAnsi="Calibri" w:cs="Calibri"/>
          <w:sz w:val="22"/>
        </w:rPr>
        <w:t xml:space="preserve"> </w:t>
      </w:r>
    </w:p>
    <w:p w14:paraId="7CA4F82D" w14:textId="0C11294A" w:rsidR="005868DB" w:rsidRPr="005868DB" w:rsidRDefault="005868DB" w:rsidP="00CF2F97">
      <w:pPr>
        <w:pStyle w:val="NormalWeb"/>
        <w:spacing w:before="0" w:beforeAutospacing="0" w:after="60" w:afterAutospacing="0"/>
        <w:ind w:left="450" w:hanging="450"/>
        <w:rPr>
          <w:rFonts w:ascii="Calibri" w:hAnsi="Calibri" w:cs="Calibri"/>
          <w:i/>
          <w:iCs/>
          <w:sz w:val="20"/>
          <w:szCs w:val="22"/>
        </w:rPr>
      </w:pPr>
      <w:r>
        <w:rPr>
          <w:rFonts w:ascii="Calibri" w:hAnsi="Calibri" w:cs="Calibri"/>
          <w:sz w:val="22"/>
        </w:rPr>
        <w:t xml:space="preserve">Mold, H., Holmay, B., Merkesdal, A.G., Torsheim, T., Mentzoni, R. A., Hanns, D., Sagoe, D., Pallensen, S. (2019). </w:t>
      </w:r>
      <w:r w:rsidRPr="005868DB">
        <w:rPr>
          <w:rFonts w:ascii="Calibri" w:hAnsi="Calibri" w:cs="Calibri"/>
          <w:sz w:val="22"/>
        </w:rPr>
        <w:t xml:space="preserve">Are video games a gateway to gambling? A Longitudinal Study Based on a Representative Norwegian Sample. </w:t>
      </w:r>
      <w:r>
        <w:rPr>
          <w:rFonts w:ascii="Calibri" w:hAnsi="Calibri" w:cs="Calibri"/>
          <w:i/>
          <w:iCs/>
          <w:sz w:val="22"/>
        </w:rPr>
        <w:t xml:space="preserve">Journal </w:t>
      </w:r>
      <w:r w:rsidR="0055686D">
        <w:rPr>
          <w:rFonts w:ascii="Calibri" w:hAnsi="Calibri" w:cs="Calibri"/>
          <w:i/>
          <w:iCs/>
          <w:sz w:val="22"/>
        </w:rPr>
        <w:t>of</w:t>
      </w:r>
      <w:r>
        <w:rPr>
          <w:rFonts w:ascii="Calibri" w:hAnsi="Calibri" w:cs="Calibri"/>
          <w:i/>
          <w:iCs/>
          <w:sz w:val="22"/>
        </w:rPr>
        <w:t xml:space="preserve"> Gambling Studies, 35:545-557. </w:t>
      </w:r>
      <w:hyperlink r:id="rId60" w:anchor="Abs1" w:history="1">
        <w:r w:rsidRPr="0020635C">
          <w:rPr>
            <w:rStyle w:val="Hyperlink"/>
            <w:rFonts w:ascii="Calibri" w:hAnsi="Calibri" w:cs="Calibri"/>
            <w:sz w:val="22"/>
            <w:szCs w:val="22"/>
          </w:rPr>
          <w:t>https://link.springer.com/article/10.1007/s10899-018-9781-z#Abs1</w:t>
        </w:r>
      </w:hyperlink>
    </w:p>
    <w:p w14:paraId="6CF72711" w14:textId="793B8D34" w:rsidR="00DD4547" w:rsidRPr="000C57D0"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Morrison, L. (2004). Pokie gambling and Māori women: Friend or foe?</w:t>
      </w:r>
      <w:r w:rsidRPr="00DD4547">
        <w:rPr>
          <w:rFonts w:ascii="Calibri" w:hAnsi="Calibri" w:cs="Calibri"/>
          <w:i/>
          <w:iCs/>
          <w:sz w:val="22"/>
        </w:rPr>
        <w:t xml:space="preserve"> Journal of Gambling Issues, 12</w:t>
      </w:r>
      <w:r w:rsidR="000C57D0">
        <w:rPr>
          <w:rFonts w:ascii="Calibri" w:hAnsi="Calibri" w:cs="Calibri"/>
          <w:i/>
          <w:iCs/>
          <w:sz w:val="22"/>
        </w:rPr>
        <w:t xml:space="preserve">. </w:t>
      </w:r>
      <w:hyperlink r:id="rId61" w:history="1">
        <w:r w:rsidR="008678CF" w:rsidRPr="0075704A">
          <w:rPr>
            <w:rStyle w:val="Hyperlink"/>
            <w:rFonts w:ascii="Calibri" w:hAnsi="Calibri" w:cs="Calibri"/>
            <w:sz w:val="22"/>
          </w:rPr>
          <w:t>http://dx.doi.org/10.4309/jgi.2004.12.6</w:t>
        </w:r>
      </w:hyperlink>
      <w:r w:rsidR="008678CF">
        <w:rPr>
          <w:rFonts w:ascii="Calibri" w:hAnsi="Calibri" w:cs="Calibri"/>
          <w:sz w:val="22"/>
        </w:rPr>
        <w:t xml:space="preserve"> </w:t>
      </w:r>
    </w:p>
    <w:p w14:paraId="0666415D" w14:textId="28D6CB92" w:rsidR="004F25B3" w:rsidRPr="00B44299" w:rsidRDefault="00DD4547" w:rsidP="00CF2F97">
      <w:pPr>
        <w:pStyle w:val="NormalWeb"/>
        <w:spacing w:before="0" w:beforeAutospacing="0" w:after="60" w:afterAutospacing="0"/>
        <w:ind w:left="450" w:hanging="450"/>
        <w:rPr>
          <w:rFonts w:ascii="Calibri" w:hAnsi="Calibri" w:cs="Calibri"/>
          <w:sz w:val="22"/>
          <w:szCs w:val="22"/>
          <w:lang w:val="en-US" w:eastAsia="en-US"/>
        </w:rPr>
      </w:pPr>
      <w:r w:rsidRPr="00DD4547">
        <w:rPr>
          <w:rFonts w:ascii="Calibri" w:hAnsi="Calibri" w:cs="Calibri"/>
          <w:sz w:val="22"/>
        </w:rPr>
        <w:t xml:space="preserve">New Zealand Institute of Economic Research. (2020). </w:t>
      </w:r>
      <w:r w:rsidRPr="00DD4547">
        <w:rPr>
          <w:rFonts w:ascii="Calibri" w:hAnsi="Calibri" w:cs="Calibri"/>
          <w:i/>
          <w:iCs/>
          <w:sz w:val="22"/>
        </w:rPr>
        <w:t>The retail employment and tax costs of Class 4 gambling in New Zealand.</w:t>
      </w:r>
      <w:r w:rsidRPr="00DD4547">
        <w:rPr>
          <w:rFonts w:ascii="Calibri" w:hAnsi="Calibri" w:cs="Calibri"/>
          <w:sz w:val="22"/>
        </w:rPr>
        <w:t xml:space="preserve"> Wellington: New Zealand Institute of Economic Research. </w:t>
      </w:r>
      <w:hyperlink r:id="rId62" w:history="1">
        <w:r w:rsidR="004F25B3" w:rsidRPr="00B44299">
          <w:rPr>
            <w:rFonts w:ascii="Calibri" w:hAnsi="Calibri" w:cs="Calibri"/>
            <w:color w:val="0000FF"/>
            <w:sz w:val="22"/>
            <w:szCs w:val="22"/>
            <w:u w:val="single"/>
            <w:lang w:val="en-US" w:eastAsia="en-US"/>
          </w:rPr>
          <w:t>https://nzier.org.nz/publication/the-retail-employment-and-tax-costs-of-class-4-gambling-in-new-zealand</w:t>
        </w:r>
      </w:hyperlink>
      <w:r w:rsidR="004F25B3" w:rsidRPr="00B44299">
        <w:rPr>
          <w:rFonts w:ascii="Calibri" w:hAnsi="Calibri" w:cs="Calibri"/>
          <w:sz w:val="22"/>
          <w:szCs w:val="22"/>
          <w:lang w:val="en-US" w:eastAsia="en-US"/>
        </w:rPr>
        <w:t xml:space="preserve"> </w:t>
      </w:r>
    </w:p>
    <w:p w14:paraId="5AAA3548" w14:textId="4BD327B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Palmer du Preez, K., Mauchline, L., Paavonen, A., Thurlow, R., Garrett, N., Bellringer, M. E., Landon, J., &amp; Abbott, M. (2019). </w:t>
      </w:r>
      <w:r w:rsidRPr="00DD4547">
        <w:rPr>
          <w:rFonts w:ascii="Calibri" w:hAnsi="Calibri" w:cs="Calibri"/>
          <w:i/>
          <w:iCs/>
          <w:sz w:val="22"/>
        </w:rPr>
        <w:t>A mixed methods analysis of gambling harm for women in New Zealand.</w:t>
      </w:r>
      <w:r w:rsidRPr="00DD4547">
        <w:rPr>
          <w:rFonts w:ascii="Calibri" w:hAnsi="Calibri" w:cs="Calibri"/>
          <w:sz w:val="22"/>
        </w:rPr>
        <w:t xml:space="preserve"> Auckland: Auckland University of Technology, Gambling and Addictions Research Centre. </w:t>
      </w:r>
      <w:hyperlink r:id="rId63" w:history="1">
        <w:r w:rsidR="008678CF" w:rsidRPr="0075704A">
          <w:rPr>
            <w:rStyle w:val="Hyperlink"/>
            <w:rFonts w:ascii="Calibri" w:hAnsi="Calibri" w:cs="Calibri"/>
            <w:sz w:val="22"/>
          </w:rPr>
          <w:t>https://www.health.govt.nz/publication/mixed-methods-analysis-gambling-harm-women-new-zealand</w:t>
        </w:r>
      </w:hyperlink>
      <w:r w:rsidR="008678CF">
        <w:rPr>
          <w:rFonts w:ascii="Calibri" w:hAnsi="Calibri" w:cs="Calibri"/>
          <w:sz w:val="22"/>
        </w:rPr>
        <w:t xml:space="preserve"> </w:t>
      </w:r>
    </w:p>
    <w:p w14:paraId="4ECAEB5D" w14:textId="53D56A75"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Parliamentary Counsel Office. (2003). </w:t>
      </w:r>
      <w:r w:rsidRPr="00DD4547">
        <w:rPr>
          <w:rFonts w:ascii="Calibri" w:hAnsi="Calibri" w:cs="Calibri"/>
          <w:i/>
          <w:iCs/>
          <w:sz w:val="22"/>
        </w:rPr>
        <w:t>Gambling Act 2003</w:t>
      </w:r>
      <w:r w:rsidRPr="00DD4547">
        <w:rPr>
          <w:rFonts w:ascii="Calibri" w:hAnsi="Calibri" w:cs="Calibri"/>
          <w:sz w:val="22"/>
        </w:rPr>
        <w:t xml:space="preserve">. Department of Internal Affairs. </w:t>
      </w:r>
      <w:hyperlink r:id="rId64" w:history="1">
        <w:r w:rsidR="00F85000" w:rsidRPr="00F82F77">
          <w:rPr>
            <w:rStyle w:val="Hyperlink"/>
            <w:rFonts w:ascii="Calibri" w:hAnsi="Calibri" w:cs="Calibri"/>
            <w:sz w:val="22"/>
          </w:rPr>
          <w:t>http://www.legislation.govt.nz/act/public/2003/0051/latest/DLM207497.html</w:t>
        </w:r>
      </w:hyperlink>
      <w:r w:rsidRPr="00DD4547">
        <w:rPr>
          <w:rFonts w:ascii="Calibri" w:hAnsi="Calibri" w:cs="Calibri"/>
          <w:sz w:val="22"/>
        </w:rPr>
        <w:t>.</w:t>
      </w:r>
      <w:r w:rsidR="00D81E6D">
        <w:rPr>
          <w:rFonts w:ascii="Calibri" w:hAnsi="Calibri" w:cs="Calibri"/>
          <w:sz w:val="22"/>
        </w:rPr>
        <w:t xml:space="preserve"> </w:t>
      </w:r>
    </w:p>
    <w:p w14:paraId="59B43151" w14:textId="7173419F"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Perese, L., &amp; Faleafa, M. (2000). </w:t>
      </w:r>
      <w:r w:rsidRPr="00DD4547">
        <w:rPr>
          <w:rFonts w:ascii="Calibri" w:hAnsi="Calibri" w:cs="Calibri"/>
          <w:i/>
          <w:iCs/>
          <w:sz w:val="22"/>
        </w:rPr>
        <w:t>The impact of gambling on some Samoan people’s lives in Auckland.</w:t>
      </w:r>
      <w:r w:rsidRPr="00DD4547">
        <w:rPr>
          <w:rFonts w:ascii="Calibri" w:hAnsi="Calibri" w:cs="Calibri"/>
          <w:sz w:val="22"/>
        </w:rPr>
        <w:t xml:space="preserve"> Auckland: The Problem Gambling Foundation of New Zealand. </w:t>
      </w:r>
      <w:hyperlink r:id="rId65" w:history="1">
        <w:r w:rsidR="00CF7A0D" w:rsidRPr="00150DA5">
          <w:rPr>
            <w:rStyle w:val="Hyperlink"/>
            <w:rFonts w:ascii="Calibri" w:hAnsi="Calibri" w:cs="Calibri"/>
            <w:sz w:val="22"/>
          </w:rPr>
          <w:t>https://www.fmhs.auckland.ac.nz/assets/fmhs/faculty/Centre%20for%20Gambling%20Studies/documents/2000perese_samoan_people.pdf</w:t>
        </w:r>
      </w:hyperlink>
      <w:r w:rsidR="00CF7A0D">
        <w:rPr>
          <w:rFonts w:ascii="Calibri" w:hAnsi="Calibri" w:cs="Calibri"/>
          <w:sz w:val="22"/>
        </w:rPr>
        <w:t xml:space="preserve"> </w:t>
      </w:r>
    </w:p>
    <w:p w14:paraId="70D4C4CB" w14:textId="024C8416" w:rsidR="00DD4547" w:rsidRPr="00C75A16"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Perese, L. (2009). </w:t>
      </w:r>
      <w:r w:rsidRPr="00DD4547">
        <w:rPr>
          <w:rFonts w:ascii="Calibri" w:hAnsi="Calibri" w:cs="Calibri"/>
          <w:i/>
          <w:iCs/>
          <w:sz w:val="22"/>
        </w:rPr>
        <w:t>You bet your life...and mine! Contemporary Samoan gambling in New Zealand</w:t>
      </w:r>
      <w:r w:rsidR="00C75A16">
        <w:rPr>
          <w:rFonts w:ascii="Calibri" w:hAnsi="Calibri" w:cs="Calibri"/>
          <w:i/>
          <w:iCs/>
          <w:sz w:val="22"/>
        </w:rPr>
        <w:t xml:space="preserve">. </w:t>
      </w:r>
      <w:r w:rsidR="00FB1FBF">
        <w:rPr>
          <w:rFonts w:ascii="Calibri" w:hAnsi="Calibri" w:cs="Calibri"/>
          <w:sz w:val="22"/>
        </w:rPr>
        <w:t xml:space="preserve">[Doctoral </w:t>
      </w:r>
      <w:r w:rsidR="00B64B96">
        <w:rPr>
          <w:rFonts w:ascii="Calibri" w:hAnsi="Calibri" w:cs="Calibri"/>
          <w:sz w:val="22"/>
        </w:rPr>
        <w:t>thesis</w:t>
      </w:r>
      <w:r w:rsidR="00D33433">
        <w:rPr>
          <w:rFonts w:ascii="Calibri" w:hAnsi="Calibri" w:cs="Calibri"/>
          <w:sz w:val="22"/>
        </w:rPr>
        <w:t>, The University of Auckland</w:t>
      </w:r>
      <w:r w:rsidR="00B64B96">
        <w:rPr>
          <w:rFonts w:ascii="Calibri" w:hAnsi="Calibri" w:cs="Calibri"/>
          <w:sz w:val="22"/>
        </w:rPr>
        <w:t>].</w:t>
      </w:r>
    </w:p>
    <w:p w14:paraId="2D8E8DD1" w14:textId="6BB627C8"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PGF Group. (2020). </w:t>
      </w:r>
      <w:r w:rsidRPr="00DD4547">
        <w:rPr>
          <w:rFonts w:ascii="Calibri" w:hAnsi="Calibri" w:cs="Calibri"/>
          <w:i/>
          <w:iCs/>
          <w:sz w:val="22"/>
        </w:rPr>
        <w:t>Report to stakeholders 2020. Te Pūrongo Ā-tau.</w:t>
      </w:r>
      <w:r w:rsidRPr="00DD4547">
        <w:rPr>
          <w:rFonts w:ascii="Calibri" w:hAnsi="Calibri" w:cs="Calibri"/>
          <w:sz w:val="22"/>
        </w:rPr>
        <w:t xml:space="preserve"> Auckland: PGF Group. </w:t>
      </w:r>
      <w:hyperlink r:id="rId66" w:history="1">
        <w:r w:rsidR="00F85000" w:rsidRPr="00F82F77">
          <w:rPr>
            <w:rStyle w:val="Hyperlink"/>
            <w:rFonts w:ascii="Calibri" w:hAnsi="Calibri" w:cs="Calibri"/>
            <w:sz w:val="22"/>
          </w:rPr>
          <w:t>https://www.pgf.nz/downloads/assets/13448/1/pgf0033</w:t>
        </w:r>
      </w:hyperlink>
      <w:r w:rsidR="00F85000">
        <w:rPr>
          <w:rFonts w:ascii="Calibri" w:hAnsi="Calibri" w:cs="Calibri"/>
          <w:sz w:val="22"/>
        </w:rPr>
        <w:t xml:space="preserve"> </w:t>
      </w:r>
    </w:p>
    <w:p w14:paraId="50E35E52" w14:textId="3BB62CAB"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PGF Group, Hāpai Te Hauora, &amp; The Salvation Army. (2020). </w:t>
      </w:r>
      <w:r w:rsidRPr="00DD4547">
        <w:rPr>
          <w:rFonts w:ascii="Calibri" w:hAnsi="Calibri" w:cs="Calibri"/>
          <w:i/>
          <w:iCs/>
          <w:sz w:val="22"/>
        </w:rPr>
        <w:t>Ending community sector dependence on pokie funding. White paper. </w:t>
      </w:r>
      <w:r w:rsidRPr="00DD4547">
        <w:rPr>
          <w:rFonts w:ascii="Calibri" w:hAnsi="Calibri" w:cs="Calibri"/>
          <w:sz w:val="22"/>
        </w:rPr>
        <w:t xml:space="preserve">Wellington: Discussion Document: Review of Class 4 gambling. </w:t>
      </w:r>
      <w:hyperlink r:id="rId67" w:history="1">
        <w:r w:rsidR="009121D4" w:rsidRPr="00150DA5">
          <w:rPr>
            <w:rStyle w:val="Hyperlink"/>
            <w:rFonts w:ascii="Calibri" w:hAnsi="Calibri" w:cs="Calibri"/>
            <w:sz w:val="22"/>
          </w:rPr>
          <w:t>http://hapai.co.nz/sites/default/files/White%20Paper%20Ending%20community%20sector%20dependence%20on%20pokie%20funding.pdf</w:t>
        </w:r>
      </w:hyperlink>
      <w:r w:rsidR="009121D4">
        <w:rPr>
          <w:rFonts w:ascii="Calibri" w:hAnsi="Calibri" w:cs="Calibri"/>
          <w:sz w:val="22"/>
        </w:rPr>
        <w:t xml:space="preserve"> </w:t>
      </w:r>
    </w:p>
    <w:p w14:paraId="3DA64FFF" w14:textId="60C8AFB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Pickering, D., Nong, Z., Gainsbury, S. M., &amp; Blaszczynski, A. (2019). Consumer perspectives of a multi-venue gambling self-exclusion program: A qualitative process analysis.</w:t>
      </w:r>
      <w:r w:rsidRPr="00DD4547">
        <w:rPr>
          <w:rFonts w:ascii="Calibri" w:hAnsi="Calibri" w:cs="Calibri"/>
          <w:i/>
          <w:iCs/>
          <w:sz w:val="22"/>
        </w:rPr>
        <w:t xml:space="preserve"> Journal of Gambling </w:t>
      </w:r>
      <w:r w:rsidR="00933D10">
        <w:rPr>
          <w:rFonts w:ascii="Calibri" w:hAnsi="Calibri" w:cs="Calibri"/>
          <w:i/>
          <w:iCs/>
          <w:sz w:val="22"/>
        </w:rPr>
        <w:t>Issues</w:t>
      </w:r>
      <w:r w:rsidRPr="00DD4547">
        <w:rPr>
          <w:rFonts w:ascii="Calibri" w:hAnsi="Calibri" w:cs="Calibri"/>
          <w:i/>
          <w:iCs/>
          <w:sz w:val="22"/>
        </w:rPr>
        <w:t>, 41</w:t>
      </w:r>
      <w:r w:rsidR="00933D10">
        <w:t xml:space="preserve">. </w:t>
      </w:r>
      <w:hyperlink r:id="rId68" w:history="1">
        <w:r w:rsidR="00F85000" w:rsidRPr="00F82F77">
          <w:rPr>
            <w:rStyle w:val="Hyperlink"/>
            <w:rFonts w:ascii="Calibri" w:hAnsi="Calibri" w:cs="Calibri"/>
            <w:sz w:val="22"/>
            <w:szCs w:val="22"/>
          </w:rPr>
          <w:t>http://dx.doi.org/10.4309/jgi.2019.41.2</w:t>
        </w:r>
      </w:hyperlink>
      <w:r w:rsidR="00D81E6D">
        <w:rPr>
          <w:rFonts w:ascii="Calibri" w:hAnsi="Calibri" w:cs="Calibri"/>
          <w:sz w:val="22"/>
          <w:szCs w:val="22"/>
        </w:rPr>
        <w:t xml:space="preserve"> </w:t>
      </w:r>
    </w:p>
    <w:p w14:paraId="0BBE8BEA" w14:textId="10796225" w:rsidR="00A55661" w:rsidRPr="002F108B" w:rsidRDefault="00A55661" w:rsidP="00CF2F97">
      <w:pPr>
        <w:spacing w:before="0" w:after="60"/>
        <w:ind w:left="426" w:hanging="426"/>
        <w:rPr>
          <w:rFonts w:cs="Calibri"/>
          <w:lang w:val="en-NZ"/>
        </w:rPr>
      </w:pPr>
      <w:r w:rsidRPr="002F108B">
        <w:rPr>
          <w:lang w:val="en-NZ"/>
        </w:rPr>
        <w:t xml:space="preserve">Productivity Commission. (1999) </w:t>
      </w:r>
      <w:r w:rsidR="00E82198" w:rsidRPr="002F108B">
        <w:rPr>
          <w:i/>
          <w:lang w:val="en-NZ"/>
        </w:rPr>
        <w:t xml:space="preserve">Australia’s Gambling Industries, </w:t>
      </w:r>
      <w:r w:rsidR="00E82198" w:rsidRPr="002F108B">
        <w:rPr>
          <w:lang w:val="en-NZ"/>
        </w:rPr>
        <w:t>Report No. 10, AusInfo. Canberra</w:t>
      </w:r>
      <w:r w:rsidRPr="002F108B">
        <w:rPr>
          <w:lang w:val="en-NZ"/>
        </w:rPr>
        <w:t xml:space="preserve"> </w:t>
      </w:r>
      <w:hyperlink r:id="rId69" w:history="1">
        <w:r w:rsidRPr="002F108B">
          <w:rPr>
            <w:rStyle w:val="Hyperlink"/>
            <w:lang w:val="en-NZ"/>
          </w:rPr>
          <w:t>https://www.pc.gov.au/inquiries/completed/gambling/report/gambling1.pdf</w:t>
        </w:r>
      </w:hyperlink>
    </w:p>
    <w:p w14:paraId="3057CC2B" w14:textId="4FF813D1" w:rsid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Pulford, J., Bellringer, M., Abbott, M., Clarke, D., Hodgins, D., &amp; Williams, J. (2009). Barriers to help-seeking for a gambling problem: The experiences of gamblers who have sought specialist assistance and the perceptions of those who have not.</w:t>
      </w:r>
      <w:r w:rsidRPr="00DD4547">
        <w:rPr>
          <w:rFonts w:ascii="Calibri" w:hAnsi="Calibri" w:cs="Calibri"/>
          <w:i/>
          <w:iCs/>
          <w:sz w:val="22"/>
        </w:rPr>
        <w:t xml:space="preserve"> Journal of Gambling Studies, 25</w:t>
      </w:r>
      <w:r w:rsidRPr="00DD4547">
        <w:rPr>
          <w:rFonts w:ascii="Calibri" w:hAnsi="Calibri" w:cs="Calibri"/>
          <w:sz w:val="22"/>
        </w:rPr>
        <w:t xml:space="preserve">(1), 33-48. </w:t>
      </w:r>
      <w:hyperlink r:id="rId70" w:history="1">
        <w:r w:rsidR="00EE77FC" w:rsidRPr="008B725E">
          <w:rPr>
            <w:rStyle w:val="Hyperlink"/>
            <w:rFonts w:ascii="Calibri" w:hAnsi="Calibri" w:cs="Calibri"/>
            <w:sz w:val="22"/>
          </w:rPr>
          <w:t>https://doi.org/10.1007/s10899-008-9113-</w:t>
        </w:r>
        <w:r w:rsidR="00E56616" w:rsidRPr="008B725E">
          <w:rPr>
            <w:rStyle w:val="Hyperlink"/>
            <w:rFonts w:ascii="Calibri" w:hAnsi="Calibri" w:cs="Calibri"/>
            <w:sz w:val="22"/>
          </w:rPr>
          <w:t>9</w:t>
        </w:r>
      </w:hyperlink>
    </w:p>
    <w:p w14:paraId="5645102D" w14:textId="3D9C5FD7" w:rsidR="00EE77FC" w:rsidRPr="00EE77FC" w:rsidRDefault="00EE77FC" w:rsidP="00CF2F97">
      <w:pPr>
        <w:pStyle w:val="NormalWeb"/>
        <w:spacing w:before="0" w:beforeAutospacing="0" w:after="60" w:afterAutospacing="0"/>
        <w:ind w:left="450" w:hanging="450"/>
        <w:rPr>
          <w:rFonts w:ascii="Calibri" w:hAnsi="Calibri" w:cs="Calibri"/>
          <w:sz w:val="22"/>
        </w:rPr>
      </w:pPr>
      <w:r>
        <w:rPr>
          <w:rFonts w:ascii="Calibri" w:hAnsi="Calibri" w:cs="Calibri"/>
          <w:sz w:val="22"/>
        </w:rPr>
        <w:t xml:space="preserve">Racing Industry Transaction Agency. (2020). </w:t>
      </w:r>
      <w:r>
        <w:rPr>
          <w:rFonts w:ascii="Calibri" w:hAnsi="Calibri" w:cs="Calibri"/>
          <w:i/>
          <w:iCs/>
          <w:sz w:val="22"/>
        </w:rPr>
        <w:t>Annual report 2020.</w:t>
      </w:r>
      <w:r>
        <w:rPr>
          <w:rFonts w:ascii="Calibri" w:hAnsi="Calibri" w:cs="Calibri"/>
          <w:sz w:val="22"/>
        </w:rPr>
        <w:t xml:space="preserve"> Wellington: Racing Industry Transaction Agency. </w:t>
      </w:r>
      <w:hyperlink r:id="rId71" w:history="1">
        <w:r w:rsidR="00FC5710" w:rsidRPr="007D3A6D">
          <w:rPr>
            <w:rStyle w:val="Hyperlink"/>
            <w:rFonts w:ascii="Calibri" w:hAnsi="Calibri" w:cs="Calibri"/>
            <w:sz w:val="22"/>
          </w:rPr>
          <w:t>https://www.tabnz.org/sites/default/files/documents/tab21780%20AR%202020%20f%20web%20%281%29.pdf</w:t>
        </w:r>
      </w:hyperlink>
      <w:r w:rsidR="00FC5710">
        <w:rPr>
          <w:rFonts w:ascii="Calibri" w:hAnsi="Calibri" w:cs="Calibri"/>
          <w:sz w:val="22"/>
        </w:rPr>
        <w:t xml:space="preserve"> </w:t>
      </w:r>
      <w:r>
        <w:rPr>
          <w:rFonts w:ascii="Calibri" w:hAnsi="Calibri" w:cs="Calibri"/>
          <w:i/>
          <w:iCs/>
          <w:sz w:val="22"/>
        </w:rPr>
        <w:t xml:space="preserve"> </w:t>
      </w:r>
    </w:p>
    <w:p w14:paraId="22BA2FB5" w14:textId="327EC37E" w:rsidR="004F25B3"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Rankine, J., &amp; Haigh, D. (2003). </w:t>
      </w:r>
      <w:r w:rsidRPr="00DD4547">
        <w:rPr>
          <w:rFonts w:ascii="Calibri" w:hAnsi="Calibri" w:cs="Calibri"/>
          <w:i/>
          <w:iCs/>
          <w:sz w:val="22"/>
        </w:rPr>
        <w:t>Social impacts of gambling in Manukau City.</w:t>
      </w:r>
      <w:r w:rsidRPr="00DD4547">
        <w:rPr>
          <w:rFonts w:ascii="Calibri" w:hAnsi="Calibri" w:cs="Calibri"/>
          <w:sz w:val="22"/>
        </w:rPr>
        <w:t xml:space="preserve"> Auckland: Manukau City Council. </w:t>
      </w:r>
      <w:hyperlink r:id="rId72" w:history="1">
        <w:r w:rsidR="004F25B3" w:rsidRPr="00B44299">
          <w:rPr>
            <w:rFonts w:ascii="Calibri" w:eastAsia="Times New Roman" w:hAnsi="Calibri" w:cs="Calibri"/>
            <w:color w:val="0000FF"/>
            <w:sz w:val="22"/>
            <w:szCs w:val="22"/>
            <w:u w:val="single"/>
            <w:lang w:val="en-US" w:eastAsia="en-US"/>
          </w:rPr>
          <w:t>http://web.archive.org/web/20051030031510/http://www.manukau.govt.nz/documents/gambling.pdf</w:t>
        </w:r>
      </w:hyperlink>
      <w:r w:rsidR="004F25B3" w:rsidRPr="00B44299">
        <w:rPr>
          <w:rFonts w:ascii="Calibri" w:eastAsia="Times New Roman" w:hAnsi="Calibri" w:cs="Calibri"/>
          <w:sz w:val="22"/>
          <w:szCs w:val="22"/>
          <w:lang w:val="en-US" w:eastAsia="en-US"/>
        </w:rPr>
        <w:t xml:space="preserve"> </w:t>
      </w:r>
    </w:p>
    <w:p w14:paraId="47FC14FB" w14:textId="6BA4432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Re, T. S., Bragazzi, N. L., Covelli, M., Poli, D., Dalpiaz, C., Benevene, P., &amp; Zerbetto, R. (2019). Outcomes evaluation of ORTHOS: an intensive residential program for gambling addiction treatment.</w:t>
      </w:r>
      <w:r w:rsidRPr="00DD4547">
        <w:rPr>
          <w:rFonts w:ascii="Calibri" w:hAnsi="Calibri" w:cs="Calibri"/>
          <w:i/>
          <w:iCs/>
          <w:sz w:val="22"/>
        </w:rPr>
        <w:t xml:space="preserve"> Journal of Developmental and Educational Psychology., 1</w:t>
      </w:r>
      <w:r w:rsidRPr="00DD4547">
        <w:rPr>
          <w:rFonts w:ascii="Calibri" w:hAnsi="Calibri" w:cs="Calibri"/>
          <w:sz w:val="22"/>
        </w:rPr>
        <w:t xml:space="preserve">(1), 269-276. </w:t>
      </w:r>
      <w:hyperlink r:id="rId73" w:history="1">
        <w:r w:rsidR="00AF6DFE" w:rsidRPr="00BE6B55">
          <w:rPr>
            <w:rStyle w:val="Hyperlink"/>
            <w:rFonts w:ascii="Calibri" w:hAnsi="Calibri" w:cs="Calibri"/>
            <w:sz w:val="22"/>
          </w:rPr>
          <w:t>https://doi.org/10.17060/ijodaep.2019.n1.v1.1421</w:t>
        </w:r>
      </w:hyperlink>
      <w:r w:rsidR="00AF6DFE">
        <w:rPr>
          <w:rFonts w:ascii="Calibri" w:hAnsi="Calibri" w:cs="Calibri"/>
          <w:sz w:val="22"/>
        </w:rPr>
        <w:t xml:space="preserve"> </w:t>
      </w:r>
    </w:p>
    <w:p w14:paraId="3D4A2CA0" w14:textId="534C668C" w:rsidR="001D5378"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Rendall, S., Thimasarn-Anwar, T., &amp; Martin, G. (2019). </w:t>
      </w:r>
      <w:r w:rsidRPr="00DD4547">
        <w:rPr>
          <w:rFonts w:ascii="Calibri" w:hAnsi="Calibri" w:cs="Calibri"/>
          <w:i/>
          <w:iCs/>
          <w:sz w:val="22"/>
        </w:rPr>
        <w:t>Online gambling in New Zealand: Results from the 2018 Health and Lifestyles Survey.</w:t>
      </w:r>
      <w:r w:rsidRPr="00DD4547">
        <w:rPr>
          <w:rFonts w:ascii="Calibri" w:hAnsi="Calibri" w:cs="Calibri"/>
          <w:sz w:val="22"/>
        </w:rPr>
        <w:t xml:space="preserve"> Wellington: Te Hiringa Hauora</w:t>
      </w:r>
      <w:r w:rsidR="00E56616">
        <w:rPr>
          <w:rFonts w:ascii="Calibri" w:hAnsi="Calibri" w:cs="Calibri"/>
          <w:sz w:val="22"/>
        </w:rPr>
        <w:t xml:space="preserve">. </w:t>
      </w:r>
      <w:hyperlink w:history="1"/>
      <w:r w:rsidR="00F85000">
        <w:rPr>
          <w:rFonts w:ascii="Calibri" w:hAnsi="Calibri" w:cs="Calibri"/>
          <w:sz w:val="22"/>
        </w:rPr>
        <w:t xml:space="preserve"> </w:t>
      </w:r>
      <w:hyperlink r:id="rId74" w:history="1">
        <w:r w:rsidR="001D5378" w:rsidRPr="00B44299">
          <w:rPr>
            <w:rStyle w:val="cf01"/>
            <w:rFonts w:ascii="Calibri" w:hAnsi="Calibri" w:cs="Calibri"/>
            <w:sz w:val="22"/>
            <w:szCs w:val="22"/>
          </w:rPr>
          <w:t>https://www.hpa.org.nz/research-library/research-publications/online-gambling-in-new-zealand-results-from-the-2018-health-and-lifestyles-survey</w:t>
        </w:r>
      </w:hyperlink>
      <w:r w:rsidR="001D5378" w:rsidRPr="00B44299">
        <w:rPr>
          <w:rStyle w:val="cf01"/>
          <w:rFonts w:ascii="Calibri" w:hAnsi="Calibri" w:cs="Calibri"/>
          <w:sz w:val="22"/>
          <w:szCs w:val="22"/>
        </w:rPr>
        <w:t xml:space="preserve"> </w:t>
      </w:r>
    </w:p>
    <w:p w14:paraId="04C2921B" w14:textId="485A5D8A"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Roberts, A., Murphy, R., Turner, J., &amp; Sharman, S. (2020). Predictors of dropout in disordered gamblers in UK residential treatment.</w:t>
      </w:r>
      <w:r w:rsidRPr="00DD4547">
        <w:rPr>
          <w:rFonts w:ascii="Calibri" w:hAnsi="Calibri" w:cs="Calibri"/>
          <w:i/>
          <w:iCs/>
          <w:sz w:val="22"/>
        </w:rPr>
        <w:t xml:space="preserve"> Journal of Gambling Studies, 36</w:t>
      </w:r>
      <w:r w:rsidRPr="00DD4547">
        <w:rPr>
          <w:rFonts w:ascii="Calibri" w:hAnsi="Calibri" w:cs="Calibri"/>
          <w:sz w:val="22"/>
        </w:rPr>
        <w:t xml:space="preserve">(1), 373-386. </w:t>
      </w:r>
      <w:hyperlink r:id="rId75" w:history="1">
        <w:r w:rsidR="00D93BEB" w:rsidRPr="00BE6B55">
          <w:rPr>
            <w:rStyle w:val="Hyperlink"/>
            <w:rFonts w:ascii="Calibri" w:hAnsi="Calibri" w:cs="Calibri"/>
            <w:sz w:val="22"/>
          </w:rPr>
          <w:t>https://doi.org/10.1007/s10899-019-09876-7</w:t>
        </w:r>
      </w:hyperlink>
      <w:r w:rsidR="00D93BEB">
        <w:rPr>
          <w:rFonts w:ascii="Calibri" w:hAnsi="Calibri" w:cs="Calibri"/>
          <w:sz w:val="22"/>
        </w:rPr>
        <w:t xml:space="preserve"> </w:t>
      </w:r>
    </w:p>
    <w:p w14:paraId="376BD619" w14:textId="598D722C"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Rossen, F. (2015). </w:t>
      </w:r>
      <w:r w:rsidRPr="00DD4547">
        <w:rPr>
          <w:rFonts w:ascii="Calibri" w:hAnsi="Calibri" w:cs="Calibri"/>
          <w:i/>
          <w:iCs/>
          <w:sz w:val="22"/>
        </w:rPr>
        <w:t>Gambling and problem gambling: Results of the 2011/12 New Zealand Health Survey.</w:t>
      </w:r>
      <w:r w:rsidRPr="00DD4547">
        <w:rPr>
          <w:rFonts w:ascii="Calibri" w:hAnsi="Calibri" w:cs="Calibri"/>
          <w:sz w:val="22"/>
        </w:rPr>
        <w:t xml:space="preserve"> Wellington: Ministry of Health. </w:t>
      </w:r>
      <w:hyperlink r:id="rId76" w:history="1">
        <w:r w:rsidR="00F50DD2" w:rsidRPr="0075704A">
          <w:rPr>
            <w:rStyle w:val="Hyperlink"/>
            <w:rFonts w:ascii="Calibri" w:hAnsi="Calibri" w:cs="Calibri"/>
            <w:sz w:val="22"/>
          </w:rPr>
          <w:t>https://www.health.govt.nz/publication/gambling-and-problem-gambling-results-2011-12-new-zealand-health-survey</w:t>
        </w:r>
      </w:hyperlink>
      <w:r w:rsidR="00F50DD2">
        <w:rPr>
          <w:rFonts w:ascii="Calibri" w:hAnsi="Calibri" w:cs="Calibri"/>
          <w:sz w:val="22"/>
        </w:rPr>
        <w:t xml:space="preserve"> </w:t>
      </w:r>
    </w:p>
    <w:p w14:paraId="3F015114" w14:textId="3CE0C595"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Rossen, F., Fleming, T., Lucassen, M., Peiris-John, R., Teevale, T., Crengle, S., Robinson, E., Bullen, P., Dyson, B., Fortune, S., Utter, J., Sheridan, J., Clark, T., &amp; The Adolescent Health Research Group. (2013). </w:t>
      </w:r>
      <w:r w:rsidRPr="00DD4547">
        <w:rPr>
          <w:rFonts w:ascii="Calibri" w:hAnsi="Calibri" w:cs="Calibri"/>
          <w:i/>
          <w:iCs/>
          <w:sz w:val="22"/>
        </w:rPr>
        <w:t>The health and wellbeing of New Zealand secondary school</w:t>
      </w:r>
      <w:r w:rsidR="00F85000">
        <w:rPr>
          <w:rFonts w:ascii="Calibri" w:hAnsi="Calibri" w:cs="Calibri"/>
          <w:i/>
          <w:iCs/>
          <w:sz w:val="22"/>
        </w:rPr>
        <w:t xml:space="preserve"> </w:t>
      </w:r>
      <w:r w:rsidRPr="00DD4547">
        <w:rPr>
          <w:rFonts w:ascii="Calibri" w:hAnsi="Calibri" w:cs="Calibri"/>
          <w:i/>
          <w:iCs/>
          <w:sz w:val="22"/>
        </w:rPr>
        <w:t>students in 2012: Youth gambling.</w:t>
      </w:r>
      <w:r w:rsidRPr="00DD4547">
        <w:rPr>
          <w:rFonts w:ascii="Calibri" w:hAnsi="Calibri" w:cs="Calibri"/>
          <w:sz w:val="22"/>
        </w:rPr>
        <w:t xml:space="preserve"> Auckland: The University of Auckland. </w:t>
      </w:r>
      <w:hyperlink r:id="rId77" w:history="1">
        <w:r w:rsidR="002119F3" w:rsidRPr="00150DA5">
          <w:rPr>
            <w:rStyle w:val="Hyperlink"/>
            <w:rFonts w:ascii="Calibri" w:hAnsi="Calibri" w:cs="Calibri"/>
            <w:sz w:val="22"/>
          </w:rPr>
          <w:t>https://www.health.govt.nz/publication/youth-gambling-health-and-wellbeing-new-zealand-secondary-school-students-2012</w:t>
        </w:r>
      </w:hyperlink>
      <w:r w:rsidR="002119F3">
        <w:rPr>
          <w:rFonts w:ascii="Calibri" w:hAnsi="Calibri" w:cs="Calibri"/>
          <w:sz w:val="22"/>
        </w:rPr>
        <w:t xml:space="preserve"> </w:t>
      </w:r>
    </w:p>
    <w:p w14:paraId="3090377F" w14:textId="676FD11B"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lastRenderedPageBreak/>
        <w:t>Russell, A. M., Hing, N., Browne, M., Li, E., &amp; Vitartas, P. (2019). Who bets on micro events (microbets) in sports?</w:t>
      </w:r>
      <w:r w:rsidRPr="00DD4547">
        <w:rPr>
          <w:rFonts w:ascii="Calibri" w:hAnsi="Calibri" w:cs="Calibri"/>
          <w:i/>
          <w:iCs/>
          <w:sz w:val="22"/>
        </w:rPr>
        <w:t xml:space="preserve"> Journal of Gambling Studies, 35</w:t>
      </w:r>
      <w:r w:rsidRPr="00DD4547">
        <w:rPr>
          <w:rFonts w:ascii="Calibri" w:hAnsi="Calibri" w:cs="Calibri"/>
          <w:sz w:val="22"/>
        </w:rPr>
        <w:t xml:space="preserve">(1), 205-223. </w:t>
      </w:r>
      <w:hyperlink r:id="rId78" w:history="1">
        <w:r w:rsidR="002119F3" w:rsidRPr="00150DA5">
          <w:rPr>
            <w:rStyle w:val="Hyperlink"/>
            <w:rFonts w:ascii="Calibri" w:hAnsi="Calibri" w:cs="Calibri"/>
            <w:sz w:val="22"/>
          </w:rPr>
          <w:t>https://doi.org/10.1007/s10899-018-9810-y</w:t>
        </w:r>
      </w:hyperlink>
      <w:r w:rsidR="002119F3">
        <w:rPr>
          <w:rFonts w:ascii="Calibri" w:hAnsi="Calibri" w:cs="Calibri"/>
          <w:sz w:val="22"/>
        </w:rPr>
        <w:t xml:space="preserve"> </w:t>
      </w:r>
    </w:p>
    <w:p w14:paraId="278C8787" w14:textId="3C1BA004" w:rsidR="001D5378" w:rsidRPr="00B44299" w:rsidRDefault="00DD4547" w:rsidP="00CF2F97">
      <w:pPr>
        <w:pStyle w:val="NormalWeb"/>
        <w:spacing w:before="0" w:beforeAutospacing="0" w:after="60" w:afterAutospacing="0"/>
        <w:ind w:left="450" w:hanging="450"/>
        <w:rPr>
          <w:rFonts w:ascii="Calibri" w:hAnsi="Calibri" w:cs="Calibri"/>
          <w:sz w:val="22"/>
          <w:szCs w:val="22"/>
        </w:rPr>
      </w:pPr>
      <w:r w:rsidRPr="00DD4547">
        <w:rPr>
          <w:rFonts w:ascii="Calibri" w:hAnsi="Calibri" w:cs="Calibri"/>
          <w:sz w:val="22"/>
        </w:rPr>
        <w:t xml:space="preserve">Sapere Research Group. (2018). </w:t>
      </w:r>
      <w:r w:rsidRPr="00DD4547">
        <w:rPr>
          <w:rFonts w:ascii="Calibri" w:hAnsi="Calibri" w:cs="Calibri"/>
          <w:i/>
          <w:iCs/>
          <w:sz w:val="22"/>
        </w:rPr>
        <w:t>Gambling harm reduction needs assessment.</w:t>
      </w:r>
      <w:r w:rsidRPr="00DD4547">
        <w:rPr>
          <w:rFonts w:ascii="Calibri" w:hAnsi="Calibri" w:cs="Calibri"/>
          <w:sz w:val="22"/>
        </w:rPr>
        <w:t xml:space="preserve"> Wellington: Sapere Research Group. </w:t>
      </w:r>
      <w:hyperlink r:id="rId79" w:history="1">
        <w:r w:rsidR="001D5378" w:rsidRPr="00B44299">
          <w:rPr>
            <w:rStyle w:val="cf01"/>
            <w:rFonts w:ascii="Calibri" w:hAnsi="Calibri" w:cs="Calibri"/>
            <w:sz w:val="22"/>
            <w:szCs w:val="22"/>
          </w:rPr>
          <w:t>https://www.health.govt.nz/publication/gambling-harm-reduction-needs-assessment</w:t>
        </w:r>
      </w:hyperlink>
      <w:r w:rsidR="001D5378" w:rsidRPr="00B44299">
        <w:rPr>
          <w:rStyle w:val="cf01"/>
          <w:rFonts w:ascii="Calibri" w:hAnsi="Calibri" w:cs="Calibri"/>
          <w:sz w:val="22"/>
          <w:szCs w:val="22"/>
        </w:rPr>
        <w:t xml:space="preserve"> </w:t>
      </w:r>
    </w:p>
    <w:p w14:paraId="2EE9A01D" w14:textId="63E6410A" w:rsidR="001D5378"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Sapere Research Group, &amp; Litmus. (2020). </w:t>
      </w:r>
      <w:r w:rsidRPr="00DD4547">
        <w:rPr>
          <w:rFonts w:ascii="Calibri" w:hAnsi="Calibri" w:cs="Calibri"/>
          <w:i/>
          <w:iCs/>
          <w:sz w:val="22"/>
        </w:rPr>
        <w:t>Phase 3 report on the National Telehealth Service Evaluation.</w:t>
      </w:r>
      <w:r w:rsidRPr="00DD4547">
        <w:rPr>
          <w:rFonts w:ascii="Calibri" w:hAnsi="Calibri" w:cs="Calibri"/>
          <w:sz w:val="22"/>
        </w:rPr>
        <w:t xml:space="preserve"> Wellington: Litmus and Sapere. </w:t>
      </w:r>
      <w:hyperlink r:id="rId80" w:history="1">
        <w:r w:rsidR="001D5378" w:rsidRPr="00B44299">
          <w:rPr>
            <w:rFonts w:ascii="Calibri" w:hAnsi="Calibri" w:cs="Calibri"/>
            <w:color w:val="0000FF"/>
            <w:sz w:val="22"/>
            <w:szCs w:val="22"/>
            <w:u w:val="single"/>
            <w:lang w:val="en-US" w:eastAsia="en-US"/>
          </w:rPr>
          <w:t>https://www.health.govt.nz/our-work/national-telehealth-service</w:t>
        </w:r>
      </w:hyperlink>
      <w:r w:rsidR="001D5378" w:rsidRPr="00B44299">
        <w:rPr>
          <w:rFonts w:ascii="Calibri" w:hAnsi="Calibri" w:cs="Calibri"/>
          <w:sz w:val="22"/>
          <w:szCs w:val="22"/>
          <w:lang w:val="en-US" w:eastAsia="en-US"/>
        </w:rPr>
        <w:t xml:space="preserve"> </w:t>
      </w:r>
    </w:p>
    <w:p w14:paraId="08E39A97" w14:textId="0375AD29"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Sense Partners. (2019). </w:t>
      </w:r>
      <w:r w:rsidRPr="00DD4547">
        <w:rPr>
          <w:rFonts w:ascii="Calibri" w:hAnsi="Calibri" w:cs="Calibri"/>
          <w:i/>
          <w:iCs/>
          <w:sz w:val="22"/>
        </w:rPr>
        <w:t>Offshore online gambling by New Zealanders. Size and descriptive characteristics.</w:t>
      </w:r>
      <w:r w:rsidRPr="00DD4547">
        <w:rPr>
          <w:rFonts w:ascii="Calibri" w:hAnsi="Calibri" w:cs="Calibri"/>
          <w:sz w:val="22"/>
        </w:rPr>
        <w:t xml:space="preserve"> Wellington: </w:t>
      </w:r>
      <w:r w:rsidR="001D5378">
        <w:rPr>
          <w:rFonts w:ascii="Calibri" w:hAnsi="Calibri" w:cs="Calibri"/>
          <w:sz w:val="22"/>
        </w:rPr>
        <w:t xml:space="preserve">Department of Internal Affairs </w:t>
      </w:r>
      <w:r w:rsidR="001D5378" w:rsidRPr="00B44299">
        <w:rPr>
          <w:rFonts w:ascii="Calibri" w:hAnsi="Calibri" w:cs="Calibri"/>
          <w:i/>
          <w:iCs/>
          <w:sz w:val="22"/>
        </w:rPr>
        <w:t>(</w:t>
      </w:r>
      <w:r w:rsidR="001D5378">
        <w:rPr>
          <w:rFonts w:ascii="Calibri" w:hAnsi="Calibri" w:cs="Calibri"/>
          <w:i/>
          <w:iCs/>
          <w:sz w:val="22"/>
        </w:rPr>
        <w:t>U</w:t>
      </w:r>
      <w:r w:rsidR="001D5378" w:rsidRPr="00B44299">
        <w:rPr>
          <w:rFonts w:ascii="Calibri" w:hAnsi="Calibri" w:cs="Calibri"/>
          <w:i/>
          <w:iCs/>
          <w:sz w:val="22"/>
        </w:rPr>
        <w:t>npublished).</w:t>
      </w:r>
      <w:r w:rsidRPr="00DD4547">
        <w:rPr>
          <w:rFonts w:ascii="Calibri" w:hAnsi="Calibri" w:cs="Calibri"/>
          <w:sz w:val="22"/>
        </w:rPr>
        <w:t xml:space="preserve"> </w:t>
      </w:r>
    </w:p>
    <w:p w14:paraId="1EAE5ACA" w14:textId="5480BA10"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Sense Partners. (2020). </w:t>
      </w:r>
      <w:r w:rsidRPr="00DD4547">
        <w:rPr>
          <w:rFonts w:ascii="Calibri" w:hAnsi="Calibri" w:cs="Calibri"/>
          <w:i/>
          <w:iCs/>
          <w:sz w:val="22"/>
        </w:rPr>
        <w:t>Effects of COVID-19 on the online gambling market. Size and descriptive characteristics.</w:t>
      </w:r>
      <w:r w:rsidRPr="00DD4547">
        <w:rPr>
          <w:rFonts w:ascii="Calibri" w:hAnsi="Calibri" w:cs="Calibri"/>
          <w:sz w:val="22"/>
        </w:rPr>
        <w:t xml:space="preserve"> Wellington: </w:t>
      </w:r>
      <w:r w:rsidR="001D5378">
        <w:rPr>
          <w:rFonts w:ascii="Calibri" w:hAnsi="Calibri" w:cs="Calibri"/>
          <w:sz w:val="22"/>
        </w:rPr>
        <w:t xml:space="preserve">Department of Internal Affairs </w:t>
      </w:r>
      <w:r w:rsidR="001D5378" w:rsidRPr="00B44299">
        <w:rPr>
          <w:rFonts w:ascii="Calibri" w:hAnsi="Calibri" w:cs="Calibri"/>
          <w:i/>
          <w:iCs/>
          <w:sz w:val="22"/>
        </w:rPr>
        <w:t>(Unpublished)</w:t>
      </w:r>
      <w:r w:rsidRPr="00B44299">
        <w:rPr>
          <w:rFonts w:ascii="Calibri" w:hAnsi="Calibri" w:cs="Calibri"/>
          <w:i/>
          <w:iCs/>
          <w:sz w:val="22"/>
        </w:rPr>
        <w:t>.</w:t>
      </w:r>
      <w:r w:rsidRPr="00DD4547">
        <w:rPr>
          <w:rFonts w:ascii="Calibri" w:hAnsi="Calibri" w:cs="Calibri"/>
          <w:sz w:val="22"/>
        </w:rPr>
        <w:t xml:space="preserve"> </w:t>
      </w:r>
    </w:p>
    <w:p w14:paraId="21DDB93F" w14:textId="1A7A522C" w:rsid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Sharman, S., Clark, L., Roberts, A., Michalczuk, R., Cocks, R., &amp; Bowden-Jones, H. (2019). Heterogeneity in disordered gambling: Decision-making and impulsivity in gamblers grouped by preferred form.</w:t>
      </w:r>
      <w:r w:rsidRPr="00DD4547">
        <w:rPr>
          <w:rFonts w:ascii="Calibri" w:hAnsi="Calibri" w:cs="Calibri"/>
          <w:i/>
          <w:iCs/>
          <w:sz w:val="22"/>
        </w:rPr>
        <w:t xml:space="preserve"> Frontiers in Psychiatry, 10</w:t>
      </w:r>
      <w:r w:rsidRPr="00DD4547">
        <w:rPr>
          <w:rFonts w:ascii="Calibri" w:hAnsi="Calibri" w:cs="Calibri"/>
          <w:sz w:val="22"/>
        </w:rPr>
        <w:t xml:space="preserve">, 588. </w:t>
      </w:r>
      <w:hyperlink r:id="rId81" w:history="1">
        <w:r w:rsidR="00F57923" w:rsidRPr="00BE6B55">
          <w:rPr>
            <w:rStyle w:val="Hyperlink"/>
            <w:rFonts w:ascii="Calibri" w:hAnsi="Calibri" w:cs="Calibri"/>
            <w:sz w:val="22"/>
          </w:rPr>
          <w:t>https://doi.org/10.3389/fpsyt.2019.00588</w:t>
        </w:r>
      </w:hyperlink>
      <w:r w:rsidR="00F57923">
        <w:rPr>
          <w:rFonts w:ascii="Calibri" w:hAnsi="Calibri" w:cs="Calibri"/>
          <w:sz w:val="22"/>
        </w:rPr>
        <w:t xml:space="preserve"> </w:t>
      </w:r>
    </w:p>
    <w:p w14:paraId="12BF2F10" w14:textId="4F6CE5D0" w:rsidR="00F85000" w:rsidRPr="00DD4547" w:rsidRDefault="00F85000"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Suurvali,</w:t>
      </w:r>
      <w:r>
        <w:rPr>
          <w:rFonts w:ascii="Calibri" w:hAnsi="Calibri" w:cs="Calibri"/>
          <w:sz w:val="22"/>
        </w:rPr>
        <w:t xml:space="preserve"> H.,</w:t>
      </w:r>
      <w:r w:rsidRPr="00DD4547">
        <w:rPr>
          <w:rFonts w:ascii="Calibri" w:hAnsi="Calibri" w:cs="Calibri"/>
          <w:sz w:val="22"/>
        </w:rPr>
        <w:t xml:space="preserve"> Cordingley,</w:t>
      </w:r>
      <w:r>
        <w:rPr>
          <w:rFonts w:ascii="Calibri" w:hAnsi="Calibri" w:cs="Calibri"/>
          <w:sz w:val="22"/>
        </w:rPr>
        <w:t xml:space="preserve"> J.,</w:t>
      </w:r>
      <w:r w:rsidRPr="00DD4547">
        <w:rPr>
          <w:rFonts w:ascii="Calibri" w:hAnsi="Calibri" w:cs="Calibri"/>
          <w:sz w:val="22"/>
        </w:rPr>
        <w:t xml:space="preserve"> Hodgins,</w:t>
      </w:r>
      <w:r>
        <w:rPr>
          <w:rFonts w:ascii="Calibri" w:hAnsi="Calibri" w:cs="Calibri"/>
          <w:sz w:val="22"/>
        </w:rPr>
        <w:t xml:space="preserve"> D.,</w:t>
      </w:r>
      <w:r w:rsidRPr="00DD4547">
        <w:rPr>
          <w:rFonts w:ascii="Calibri" w:hAnsi="Calibri" w:cs="Calibri"/>
          <w:sz w:val="22"/>
        </w:rPr>
        <w:t xml:space="preserve"> &amp; Cunningham</w:t>
      </w:r>
      <w:r>
        <w:rPr>
          <w:rFonts w:ascii="Calibri" w:hAnsi="Calibri" w:cs="Calibri"/>
          <w:sz w:val="22"/>
        </w:rPr>
        <w:t>, J</w:t>
      </w:r>
      <w:r w:rsidRPr="00DD4547">
        <w:rPr>
          <w:rFonts w:ascii="Calibri" w:hAnsi="Calibri" w:cs="Calibri"/>
          <w:sz w:val="22"/>
        </w:rPr>
        <w:t>. (2009). Barriers to seeking help for gambling problems: A review of the empirical literature.</w:t>
      </w:r>
      <w:r w:rsidRPr="00DD4547">
        <w:rPr>
          <w:rFonts w:ascii="Calibri" w:hAnsi="Calibri" w:cs="Calibri"/>
          <w:i/>
          <w:iCs/>
          <w:sz w:val="22"/>
        </w:rPr>
        <w:t xml:space="preserve"> Journal of Gambling Studies, 25</w:t>
      </w:r>
      <w:r w:rsidRPr="00DD4547">
        <w:rPr>
          <w:rFonts w:ascii="Calibri" w:hAnsi="Calibri" w:cs="Calibri"/>
          <w:sz w:val="22"/>
        </w:rPr>
        <w:t xml:space="preserve">, 407-424. </w:t>
      </w:r>
      <w:hyperlink r:id="rId82" w:history="1">
        <w:r w:rsidR="00D93BEB" w:rsidRPr="00BE6B55">
          <w:rPr>
            <w:rStyle w:val="Hyperlink"/>
            <w:rFonts w:ascii="Calibri" w:hAnsi="Calibri" w:cs="Calibri"/>
            <w:sz w:val="22"/>
          </w:rPr>
          <w:t>https://doi.org/10.1007/s10899-009-9129-9</w:t>
        </w:r>
      </w:hyperlink>
      <w:r w:rsidR="00D93BEB">
        <w:rPr>
          <w:rFonts w:ascii="Calibri" w:hAnsi="Calibri" w:cs="Calibri"/>
          <w:sz w:val="22"/>
        </w:rPr>
        <w:t xml:space="preserve"> </w:t>
      </w:r>
    </w:p>
    <w:p w14:paraId="1B7DF8C9" w14:textId="08CDD659" w:rsidR="005D5FFC" w:rsidRDefault="005D5FFC"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Te Hiringa Hauora/Health Promotion Agency. (</w:t>
      </w:r>
      <w:r>
        <w:rPr>
          <w:rFonts w:ascii="Calibri" w:hAnsi="Calibri" w:cs="Calibri"/>
          <w:sz w:val="22"/>
        </w:rPr>
        <w:t>2018</w:t>
      </w:r>
      <w:r w:rsidRPr="00DD4547">
        <w:rPr>
          <w:rFonts w:ascii="Calibri" w:hAnsi="Calibri" w:cs="Calibri"/>
          <w:sz w:val="22"/>
        </w:rPr>
        <w:t xml:space="preserve">). </w:t>
      </w:r>
      <w:r w:rsidRPr="00DD4547">
        <w:rPr>
          <w:rFonts w:ascii="Calibri" w:hAnsi="Calibri" w:cs="Calibri"/>
          <w:i/>
          <w:iCs/>
          <w:sz w:val="22"/>
        </w:rPr>
        <w:t xml:space="preserve">Health and Lifestyle Survey gambling data. </w:t>
      </w:r>
      <w:r>
        <w:rPr>
          <w:rFonts w:ascii="Calibri" w:hAnsi="Calibri" w:cs="Calibri"/>
          <w:sz w:val="22"/>
        </w:rPr>
        <w:t xml:space="preserve">[Data set]. Wellington: </w:t>
      </w:r>
      <w:r w:rsidRPr="00DD4547">
        <w:rPr>
          <w:rFonts w:ascii="Calibri" w:hAnsi="Calibri" w:cs="Calibri"/>
          <w:sz w:val="22"/>
        </w:rPr>
        <w:t>Te Hiringa Hauora</w:t>
      </w:r>
      <w:r>
        <w:rPr>
          <w:rFonts w:ascii="Calibri" w:hAnsi="Calibri" w:cs="Calibri"/>
          <w:sz w:val="22"/>
        </w:rPr>
        <w:t xml:space="preserve"> </w:t>
      </w:r>
      <w:hyperlink r:id="rId83" w:anchor="!/gambling/gambling-harm" w:history="1">
        <w:r w:rsidRPr="004D589E">
          <w:rPr>
            <w:rStyle w:val="Hyperlink"/>
            <w:rFonts w:ascii="Calibri" w:hAnsi="Calibri" w:cs="Calibri"/>
            <w:sz w:val="22"/>
          </w:rPr>
          <w:t>https://kupe.hpa.org.nz/#!/gambling/gambling-harm</w:t>
        </w:r>
      </w:hyperlink>
      <w:r>
        <w:rPr>
          <w:rFonts w:ascii="Calibri" w:hAnsi="Calibri" w:cs="Calibri"/>
          <w:sz w:val="22"/>
        </w:rPr>
        <w:t xml:space="preserve"> </w:t>
      </w:r>
    </w:p>
    <w:p w14:paraId="5A72AECD" w14:textId="77777777" w:rsidR="009679BB" w:rsidRDefault="009679BB"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Te Hiringa Hauora/Health Promotion Agency. (</w:t>
      </w:r>
      <w:r>
        <w:rPr>
          <w:rFonts w:ascii="Calibri" w:hAnsi="Calibri" w:cs="Calibri"/>
          <w:sz w:val="22"/>
        </w:rPr>
        <w:t>2018b</w:t>
      </w:r>
      <w:r w:rsidRPr="00DD4547">
        <w:rPr>
          <w:rFonts w:ascii="Calibri" w:hAnsi="Calibri" w:cs="Calibri"/>
          <w:sz w:val="22"/>
        </w:rPr>
        <w:t xml:space="preserve">). </w:t>
      </w:r>
      <w:r w:rsidRPr="00DD4547">
        <w:rPr>
          <w:rFonts w:ascii="Calibri" w:hAnsi="Calibri" w:cs="Calibri"/>
          <w:i/>
          <w:iCs/>
          <w:sz w:val="22"/>
        </w:rPr>
        <w:t xml:space="preserve">Health and Lifestyle Survey gambling data. </w:t>
      </w:r>
      <w:r>
        <w:rPr>
          <w:rFonts w:ascii="Calibri" w:hAnsi="Calibri" w:cs="Calibri"/>
          <w:sz w:val="22"/>
        </w:rPr>
        <w:t xml:space="preserve">[Data set]. Wellington: </w:t>
      </w:r>
      <w:r w:rsidRPr="00DD4547">
        <w:rPr>
          <w:rFonts w:ascii="Calibri" w:hAnsi="Calibri" w:cs="Calibri"/>
          <w:sz w:val="22"/>
        </w:rPr>
        <w:t>Te Hiringa Hauora</w:t>
      </w:r>
      <w:r>
        <w:rPr>
          <w:rFonts w:ascii="Calibri" w:hAnsi="Calibri" w:cs="Calibri"/>
          <w:sz w:val="22"/>
        </w:rPr>
        <w:t xml:space="preserve"> </w:t>
      </w:r>
      <w:hyperlink r:id="rId84" w:anchor="!/gambling/gambling-participation/hls-online-gambling-on-overseas-websites" w:history="1">
        <w:r w:rsidRPr="00FB3D6F">
          <w:rPr>
            <w:rStyle w:val="Hyperlink"/>
            <w:rFonts w:ascii="Calibri" w:hAnsi="Calibri" w:cs="Calibri"/>
            <w:sz w:val="22"/>
          </w:rPr>
          <w:t>https://kupe.hpa.org.nz/#!/gambling/gambling-participation/hls-online-gambling-on-overseas-websites</w:t>
        </w:r>
      </w:hyperlink>
      <w:r>
        <w:rPr>
          <w:rFonts w:ascii="Calibri" w:hAnsi="Calibri" w:cs="Calibri"/>
          <w:sz w:val="22"/>
        </w:rPr>
        <w:t xml:space="preserve"> </w:t>
      </w:r>
    </w:p>
    <w:p w14:paraId="0EF78A9E" w14:textId="18A952BE"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Te Hiringa Hauora. (2020). </w:t>
      </w:r>
      <w:r w:rsidRPr="00DD4547">
        <w:rPr>
          <w:rFonts w:ascii="Calibri" w:hAnsi="Calibri" w:cs="Calibri"/>
          <w:i/>
          <w:iCs/>
          <w:sz w:val="22"/>
        </w:rPr>
        <w:t>The impact of lockdown on health risk behaviours.</w:t>
      </w:r>
      <w:r w:rsidR="00F003AA" w:rsidRPr="00DD4547">
        <w:rPr>
          <w:rFonts w:ascii="Calibri" w:hAnsi="Calibri" w:cs="Calibri"/>
          <w:sz w:val="22"/>
        </w:rPr>
        <w:t xml:space="preserve"> </w:t>
      </w:r>
      <w:r w:rsidRPr="00DD4547">
        <w:rPr>
          <w:rFonts w:ascii="Calibri" w:hAnsi="Calibri" w:cs="Calibri"/>
          <w:sz w:val="22"/>
        </w:rPr>
        <w:t xml:space="preserve">Te Hiringa Hauora </w:t>
      </w:r>
      <w:hyperlink r:id="rId85" w:history="1">
        <w:r w:rsidR="00F85000" w:rsidRPr="00F82F77">
          <w:rPr>
            <w:rStyle w:val="Hyperlink"/>
            <w:rFonts w:ascii="Calibri" w:hAnsi="Calibri" w:cs="Calibri"/>
            <w:sz w:val="22"/>
          </w:rPr>
          <w:t>https://www.hpa.org.nz/research-library/research-publications/the-impact-of-lockdown-on-health-risk-behaviours</w:t>
        </w:r>
      </w:hyperlink>
      <w:r w:rsidR="00F85000">
        <w:rPr>
          <w:rFonts w:ascii="Calibri" w:hAnsi="Calibri" w:cs="Calibri"/>
          <w:sz w:val="22"/>
        </w:rPr>
        <w:t xml:space="preserve"> </w:t>
      </w:r>
    </w:p>
    <w:p w14:paraId="582CD727" w14:textId="696ECC2E" w:rsidR="00DD4547" w:rsidRPr="00DA2CA8" w:rsidRDefault="00DD4547" w:rsidP="00CF2F97">
      <w:pPr>
        <w:pStyle w:val="NormalWeb"/>
        <w:spacing w:before="0" w:beforeAutospacing="0" w:after="60" w:afterAutospacing="0"/>
        <w:ind w:left="450" w:hanging="450"/>
        <w:rPr>
          <w:rFonts w:ascii="Calibri" w:hAnsi="Calibri" w:cs="Calibri"/>
          <w:i/>
          <w:iCs/>
          <w:sz w:val="22"/>
        </w:rPr>
      </w:pPr>
      <w:r w:rsidRPr="00DD4547">
        <w:rPr>
          <w:rFonts w:ascii="Calibri" w:hAnsi="Calibri" w:cs="Calibri"/>
          <w:sz w:val="22"/>
        </w:rPr>
        <w:t xml:space="preserve">Te Pou. (2020). </w:t>
      </w:r>
      <w:r w:rsidRPr="00DD4547">
        <w:rPr>
          <w:rFonts w:ascii="Calibri" w:hAnsi="Calibri" w:cs="Calibri"/>
          <w:i/>
          <w:iCs/>
          <w:sz w:val="22"/>
        </w:rPr>
        <w:t>Peer worker roles in preventing and minimising gambling harm services. Sustainable workforce development.</w:t>
      </w:r>
      <w:r w:rsidRPr="00DD4547">
        <w:rPr>
          <w:rFonts w:ascii="Calibri" w:hAnsi="Calibri" w:cs="Calibri"/>
          <w:sz w:val="22"/>
        </w:rPr>
        <w:t xml:space="preserve"> Wellington: Ministry of Health. </w:t>
      </w:r>
      <w:r w:rsidR="00DA2CA8">
        <w:rPr>
          <w:rFonts w:ascii="Calibri" w:hAnsi="Calibri" w:cs="Calibri"/>
          <w:i/>
          <w:iCs/>
          <w:sz w:val="22"/>
        </w:rPr>
        <w:t>(</w:t>
      </w:r>
      <w:r w:rsidR="001D5378">
        <w:rPr>
          <w:rFonts w:ascii="Calibri" w:hAnsi="Calibri" w:cs="Calibri"/>
          <w:i/>
          <w:iCs/>
          <w:sz w:val="22"/>
        </w:rPr>
        <w:t>Unpublished</w:t>
      </w:r>
      <w:r w:rsidR="00DA2CA8">
        <w:rPr>
          <w:rFonts w:ascii="Calibri" w:hAnsi="Calibri" w:cs="Calibri"/>
          <w:i/>
          <w:iCs/>
          <w:sz w:val="22"/>
        </w:rPr>
        <w:t>)</w:t>
      </w:r>
    </w:p>
    <w:p w14:paraId="4B46E0B6" w14:textId="7589C1AE"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Thomas, A., Carson, R., Deblaquiere, J., Armstrong, A., Moore, S., Christensen, D., &amp; Rintoul, A. (2016). </w:t>
      </w:r>
      <w:r w:rsidRPr="00DD4547">
        <w:rPr>
          <w:rFonts w:ascii="Calibri" w:hAnsi="Calibri" w:cs="Calibri"/>
          <w:i/>
          <w:iCs/>
          <w:sz w:val="22"/>
        </w:rPr>
        <w:t>Review of electronic gaming machine pre-commitment features: Self-exclusion.</w:t>
      </w:r>
      <w:r w:rsidRPr="00DD4547">
        <w:rPr>
          <w:rFonts w:ascii="Calibri" w:hAnsi="Calibri" w:cs="Calibri"/>
          <w:sz w:val="22"/>
        </w:rPr>
        <w:t xml:space="preserve"> Melbourne: Australian Institute of Family Studies (AIFS). </w:t>
      </w:r>
      <w:hyperlink r:id="rId86" w:history="1">
        <w:r w:rsidR="00D93BEB" w:rsidRPr="00BE6B55">
          <w:rPr>
            <w:rStyle w:val="Hyperlink"/>
            <w:rFonts w:ascii="Calibri" w:hAnsi="Calibri" w:cs="Calibri"/>
            <w:sz w:val="22"/>
          </w:rPr>
          <w:t>https://aifs.gov.au/agrc/publications/pre-commitment-self-exclusion</w:t>
        </w:r>
      </w:hyperlink>
      <w:r w:rsidR="00D93BEB">
        <w:rPr>
          <w:rFonts w:ascii="Calibri" w:hAnsi="Calibri" w:cs="Calibri"/>
          <w:sz w:val="22"/>
        </w:rPr>
        <w:t xml:space="preserve"> </w:t>
      </w:r>
    </w:p>
    <w:p w14:paraId="79279562" w14:textId="4C2D4BC2" w:rsidR="00DD4547"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Tu, D., Gray, R., &amp; Walton, D. (2014). Household experience of gambling-related harm by socio-economic deprivation in New Zealand: increases in inequality between 2008 and 2012.</w:t>
      </w:r>
      <w:r w:rsidRPr="00DD4547">
        <w:rPr>
          <w:rFonts w:ascii="Calibri" w:hAnsi="Calibri" w:cs="Calibri"/>
          <w:i/>
          <w:iCs/>
          <w:sz w:val="22"/>
        </w:rPr>
        <w:t xml:space="preserve"> International Gambling Studies, 14</w:t>
      </w:r>
      <w:r w:rsidRPr="00DD4547">
        <w:rPr>
          <w:rFonts w:ascii="Calibri" w:hAnsi="Calibri" w:cs="Calibri"/>
          <w:sz w:val="22"/>
        </w:rPr>
        <w:t xml:space="preserve">(2), 330-344. </w:t>
      </w:r>
      <w:hyperlink r:id="rId87" w:history="1">
        <w:r w:rsidR="00F85000" w:rsidRPr="00F82F77">
          <w:rPr>
            <w:rStyle w:val="Hyperlink"/>
            <w:rFonts w:ascii="Calibri" w:hAnsi="Calibri" w:cs="Calibri"/>
            <w:sz w:val="22"/>
          </w:rPr>
          <w:t>https://doi.org/10.1080/14459795.2014.922112</w:t>
        </w:r>
      </w:hyperlink>
      <w:r w:rsidR="00F85000">
        <w:rPr>
          <w:rFonts w:ascii="Calibri" w:hAnsi="Calibri" w:cs="Calibri"/>
          <w:sz w:val="22"/>
        </w:rPr>
        <w:t xml:space="preserve"> </w:t>
      </w:r>
    </w:p>
    <w:p w14:paraId="6F068948" w14:textId="2B2441FA" w:rsidR="00C4435D" w:rsidRP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 xml:space="preserve">Tu, D., &amp; Puthipiroj, P. (2017). </w:t>
      </w:r>
      <w:r w:rsidRPr="00DD4547">
        <w:rPr>
          <w:rFonts w:ascii="Calibri" w:hAnsi="Calibri" w:cs="Calibri"/>
          <w:i/>
          <w:iCs/>
          <w:sz w:val="22"/>
        </w:rPr>
        <w:t>New Zealanders’ participation in gambling: Results from</w:t>
      </w:r>
      <w:r w:rsidR="00F85000">
        <w:rPr>
          <w:rFonts w:ascii="Calibri" w:hAnsi="Calibri" w:cs="Calibri"/>
          <w:i/>
          <w:iCs/>
          <w:sz w:val="22"/>
        </w:rPr>
        <w:t xml:space="preserve"> </w:t>
      </w:r>
      <w:r w:rsidRPr="00DD4547">
        <w:rPr>
          <w:rFonts w:ascii="Calibri" w:hAnsi="Calibri" w:cs="Calibri"/>
          <w:i/>
          <w:iCs/>
          <w:sz w:val="22"/>
        </w:rPr>
        <w:t>the 2014 Health and Lifestyles Survey.</w:t>
      </w:r>
      <w:r w:rsidRPr="00DD4547">
        <w:rPr>
          <w:rFonts w:ascii="Calibri" w:hAnsi="Calibri" w:cs="Calibri"/>
          <w:sz w:val="22"/>
        </w:rPr>
        <w:t xml:space="preserve"> Wellington: Health Promotion Agency Research and Evaluation Unit. </w:t>
      </w:r>
      <w:hyperlink r:id="rId88" w:history="1">
        <w:r w:rsidR="00C4435D" w:rsidRPr="00B44299">
          <w:rPr>
            <w:rFonts w:ascii="Calibri" w:hAnsi="Calibri" w:cs="Calibri"/>
            <w:color w:val="0000FF"/>
            <w:sz w:val="22"/>
            <w:szCs w:val="22"/>
            <w:u w:val="single"/>
            <w:lang w:val="en-US" w:eastAsia="en-US"/>
          </w:rPr>
          <w:t>https://www.hpa.org.nz/research-library/research-publications/new-zealanders-participation-in-gambling-0</w:t>
        </w:r>
      </w:hyperlink>
      <w:r w:rsidR="00C4435D" w:rsidRPr="00B44299">
        <w:rPr>
          <w:rFonts w:ascii="Calibri" w:hAnsi="Calibri" w:cs="Calibri"/>
          <w:sz w:val="22"/>
          <w:szCs w:val="22"/>
          <w:lang w:val="en-US" w:eastAsia="en-US"/>
        </w:rPr>
        <w:t xml:space="preserve"> </w:t>
      </w:r>
    </w:p>
    <w:p w14:paraId="12C531F8" w14:textId="7DD5D308" w:rsidR="00DD4547" w:rsidRDefault="00DD4547" w:rsidP="00CF2F97">
      <w:pPr>
        <w:pStyle w:val="NormalWeb"/>
        <w:spacing w:before="0" w:beforeAutospacing="0" w:after="60" w:afterAutospacing="0"/>
        <w:ind w:left="450" w:hanging="450"/>
        <w:rPr>
          <w:rFonts w:ascii="Calibri" w:hAnsi="Calibri" w:cs="Calibri"/>
          <w:sz w:val="22"/>
        </w:rPr>
      </w:pPr>
      <w:r w:rsidRPr="00DD4547">
        <w:rPr>
          <w:rFonts w:ascii="Calibri" w:hAnsi="Calibri" w:cs="Calibri"/>
          <w:sz w:val="22"/>
        </w:rPr>
        <w:t>Ward, A. D., McIvor, J. T., &amp; Bracewell, P. (2020). The geographic distribution of gaming machine proceeds in New Zealand.</w:t>
      </w:r>
      <w:r w:rsidRPr="00DD4547">
        <w:rPr>
          <w:rFonts w:ascii="Calibri" w:hAnsi="Calibri" w:cs="Calibri"/>
          <w:i/>
          <w:iCs/>
          <w:sz w:val="22"/>
        </w:rPr>
        <w:t xml:space="preserve"> Kōtuitui: New Zealand Journal of Social Sciences Online, 15</w:t>
      </w:r>
      <w:r w:rsidRPr="00DD4547">
        <w:rPr>
          <w:rFonts w:ascii="Calibri" w:hAnsi="Calibri" w:cs="Calibri"/>
          <w:sz w:val="22"/>
        </w:rPr>
        <w:t>(1), 54-74.</w:t>
      </w:r>
      <w:r w:rsidR="00F85000">
        <w:rPr>
          <w:rFonts w:ascii="Calibri" w:hAnsi="Calibri" w:cs="Calibri"/>
          <w:sz w:val="22"/>
        </w:rPr>
        <w:t xml:space="preserve"> </w:t>
      </w:r>
      <w:hyperlink r:id="rId89" w:history="1">
        <w:r w:rsidR="00F85000" w:rsidRPr="00F82F77">
          <w:rPr>
            <w:rStyle w:val="Hyperlink"/>
            <w:rFonts w:ascii="Calibri" w:hAnsi="Calibri" w:cs="Calibri"/>
            <w:sz w:val="22"/>
          </w:rPr>
          <w:t>https://doi.org/10.1080/1177083X.2019.1640752</w:t>
        </w:r>
      </w:hyperlink>
      <w:r w:rsidR="00F85000">
        <w:rPr>
          <w:rFonts w:ascii="Calibri" w:hAnsi="Calibri" w:cs="Calibri"/>
          <w:sz w:val="22"/>
        </w:rPr>
        <w:t xml:space="preserve"> </w:t>
      </w:r>
    </w:p>
    <w:p w14:paraId="5F6830F0" w14:textId="0CF2E09C" w:rsidR="0055686D" w:rsidRPr="0055686D" w:rsidRDefault="0055686D" w:rsidP="0057280E">
      <w:pPr>
        <w:spacing w:before="0" w:after="60"/>
        <w:ind w:left="426" w:hanging="426"/>
        <w:rPr>
          <w:i/>
          <w:iCs/>
          <w:lang w:val="en-NZ"/>
        </w:rPr>
      </w:pPr>
      <w:r>
        <w:rPr>
          <w:lang w:val="en-NZ"/>
        </w:rPr>
        <w:t xml:space="preserve">Wardle, H. (2019). The Same or Different? Covergence of Skin Gambling and Other Gambling Among Children. </w:t>
      </w:r>
      <w:r>
        <w:rPr>
          <w:i/>
          <w:iCs/>
          <w:lang w:val="en-NZ"/>
        </w:rPr>
        <w:t xml:space="preserve">Journal of Gambling Studies, </w:t>
      </w:r>
      <w:r>
        <w:rPr>
          <w:rFonts w:cs="Calibri"/>
          <w:i/>
          <w:iCs/>
        </w:rPr>
        <w:t xml:space="preserve">35:1109-1125. </w:t>
      </w:r>
      <w:r w:rsidRPr="0055686D">
        <w:rPr>
          <w:rFonts w:cs="Calibri"/>
          <w:i/>
          <w:iCs/>
        </w:rPr>
        <w:t>https://link.springer.com/article/10.1007/s10899-019-09840-5</w:t>
      </w:r>
    </w:p>
    <w:p w14:paraId="7B140686" w14:textId="3BDB1959" w:rsidR="00B05CC3" w:rsidRPr="00DD4547" w:rsidRDefault="00B05CC3" w:rsidP="0057280E">
      <w:pPr>
        <w:spacing w:before="0" w:after="60"/>
        <w:ind w:left="426" w:hanging="426"/>
        <w:rPr>
          <w:rFonts w:cs="Calibri"/>
        </w:rPr>
      </w:pPr>
      <w:r w:rsidRPr="002F108B">
        <w:rPr>
          <w:lang w:val="en-NZ"/>
        </w:rPr>
        <w:lastRenderedPageBreak/>
        <w:t xml:space="preserve">Wong, J., &amp; Tse, S. (2003). The face of Chinese migrants' gambling: A perspective from </w:t>
      </w:r>
      <w:smartTag w:uri="urn:schemas-microsoft-com:office:smarttags" w:element="place">
        <w:smartTag w:uri="urn:schemas-microsoft-com:office:smarttags" w:element="country-region">
          <w:r w:rsidRPr="002F108B">
            <w:rPr>
              <w:lang w:val="en-NZ"/>
            </w:rPr>
            <w:t>New Zealand</w:t>
          </w:r>
        </w:smartTag>
      </w:smartTag>
      <w:r w:rsidRPr="002F108B">
        <w:rPr>
          <w:lang w:val="en-NZ"/>
        </w:rPr>
        <w:t xml:space="preserve">. </w:t>
      </w:r>
      <w:r w:rsidRPr="002F108B">
        <w:rPr>
          <w:i/>
          <w:lang w:val="en-NZ"/>
        </w:rPr>
        <w:t>The Electronic Journal of Gambling Issues, 1</w:t>
      </w:r>
      <w:r w:rsidRPr="002F108B">
        <w:rPr>
          <w:lang w:val="en-NZ"/>
        </w:rPr>
        <w:t>(9).</w:t>
      </w:r>
      <w:hyperlink r:id="rId90" w:history="1">
        <w:r w:rsidR="00C4435D" w:rsidRPr="00B44299">
          <w:rPr>
            <w:rStyle w:val="cf01"/>
            <w:rFonts w:ascii="Calibri" w:hAnsi="Calibri" w:cs="Calibri"/>
            <w:sz w:val="22"/>
            <w:szCs w:val="22"/>
          </w:rPr>
          <w:t>http://dx.doi.org/10.4309/jgi.2003.9.7</w:t>
        </w:r>
      </w:hyperlink>
    </w:p>
    <w:p w14:paraId="1E7C0047" w14:textId="0BA9B046" w:rsidR="00D06EE3" w:rsidRPr="002F108B" w:rsidRDefault="00DD4547" w:rsidP="00DD4547">
      <w:pPr>
        <w:rPr>
          <w:lang w:val="en-NZ"/>
        </w:rPr>
        <w:sectPr w:rsidR="00D06EE3" w:rsidRPr="002F108B" w:rsidSect="00F45A35">
          <w:footerReference w:type="default" r:id="rId91"/>
          <w:pgSz w:w="11906" w:h="16838" w:code="9"/>
          <w:pgMar w:top="1440" w:right="1440" w:bottom="1440" w:left="1440" w:header="284" w:footer="567" w:gutter="0"/>
          <w:cols w:space="708"/>
          <w:docGrid w:linePitch="360"/>
        </w:sectPr>
      </w:pPr>
      <w:r w:rsidRPr="002F108B">
        <w:rPr>
          <w:rFonts w:cs="Calibri"/>
          <w:lang w:val="en-NZ"/>
        </w:rPr>
        <w:t> </w:t>
      </w:r>
    </w:p>
    <w:p w14:paraId="6830A792" w14:textId="52877283" w:rsidR="00E00715" w:rsidRPr="00AD4A6C" w:rsidRDefault="00AD4A6C" w:rsidP="00AD4A6C">
      <w:pPr>
        <w:pStyle w:val="TOCHeading"/>
        <w:rPr>
          <w:rFonts w:ascii="Calibri" w:hAnsi="Calibri" w:cs="Calibri"/>
          <w:b/>
          <w:bCs/>
          <w:sz w:val="28"/>
          <w:szCs w:val="28"/>
        </w:rPr>
      </w:pPr>
      <w:bookmarkStart w:id="193" w:name="_Toc65250331"/>
      <w:bookmarkStart w:id="194" w:name="_Toc76469815"/>
      <w:bookmarkStart w:id="195" w:name="_Ref64880763"/>
      <w:bookmarkStart w:id="196" w:name="_Toc65250332"/>
      <w:r w:rsidRPr="00AD4A6C">
        <w:rPr>
          <w:rFonts w:ascii="Calibri" w:hAnsi="Calibri" w:cs="Calibri"/>
          <w:b/>
          <w:bCs/>
          <w:sz w:val="28"/>
          <w:szCs w:val="28"/>
        </w:rPr>
        <w:lastRenderedPageBreak/>
        <w:t>Appendix 1:</w:t>
      </w:r>
      <w:r w:rsidR="00E00715" w:rsidRPr="00AD4A6C">
        <w:rPr>
          <w:rFonts w:ascii="Calibri" w:hAnsi="Calibri" w:cs="Calibri"/>
          <w:b/>
          <w:bCs/>
          <w:sz w:val="28"/>
          <w:szCs w:val="28"/>
        </w:rPr>
        <w:t xml:space="preserve"> Gambling behaviour and harm: the continuum of prevention and harm reduction (Ministry of Health, 2019)</w:t>
      </w:r>
      <w:bookmarkEnd w:id="193"/>
      <w:bookmarkEnd w:id="194"/>
    </w:p>
    <w:p w14:paraId="2D9969B3" w14:textId="1B3B7892" w:rsidR="00E00715" w:rsidRDefault="00286D3C" w:rsidP="00286D3C">
      <w:pPr>
        <w:pStyle w:val="NOSPACE0"/>
      </w:pPr>
      <w:r w:rsidRPr="002F108B">
        <w:rPr>
          <w:noProof/>
        </w:rPr>
        <w:drawing>
          <wp:anchor distT="0" distB="0" distL="114300" distR="114300" simplePos="0" relativeHeight="251655168" behindDoc="0" locked="0" layoutInCell="1" allowOverlap="1" wp14:anchorId="433E86B3" wp14:editId="3644B914">
            <wp:simplePos x="0" y="0"/>
            <wp:positionH relativeFrom="margin">
              <wp:align>left</wp:align>
            </wp:positionH>
            <wp:positionV relativeFrom="paragraph">
              <wp:posOffset>12525</wp:posOffset>
            </wp:positionV>
            <wp:extent cx="8828690" cy="5099570"/>
            <wp:effectExtent l="0" t="0" r="0" b="6350"/>
            <wp:wrapNone/>
            <wp:docPr id="4" name="Picture 4" descr="Diagram showing the continuum of gambling behaviour and harm from no gambling/no harm to severe gambling/ severe harm and the continuum of intervention from public health and primary care to intensive tertiary level " title="Figure 2: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828690" cy="5099570"/>
                    </a:xfrm>
                    <a:prstGeom prst="rect">
                      <a:avLst/>
                    </a:prstGeom>
                  </pic:spPr>
                </pic:pic>
              </a:graphicData>
            </a:graphic>
            <wp14:sizeRelH relativeFrom="margin">
              <wp14:pctWidth>0</wp14:pctWidth>
            </wp14:sizeRelH>
            <wp14:sizeRelV relativeFrom="margin">
              <wp14:pctHeight>0</wp14:pctHeight>
            </wp14:sizeRelV>
          </wp:anchor>
        </w:drawing>
      </w:r>
    </w:p>
    <w:p w14:paraId="13D47EBE" w14:textId="4311C190" w:rsidR="00286D3C" w:rsidRDefault="00286D3C" w:rsidP="00286D3C">
      <w:pPr>
        <w:pStyle w:val="NOSPACE0"/>
      </w:pPr>
    </w:p>
    <w:p w14:paraId="09A8139E" w14:textId="1005415C" w:rsidR="00286D3C" w:rsidRDefault="00286D3C" w:rsidP="00286D3C">
      <w:pPr>
        <w:pStyle w:val="NOSPACE0"/>
      </w:pPr>
    </w:p>
    <w:p w14:paraId="34A9194D" w14:textId="77777777" w:rsidR="00286D3C" w:rsidRPr="002F108B" w:rsidRDefault="00286D3C" w:rsidP="00286D3C">
      <w:pPr>
        <w:pStyle w:val="NOSPACE0"/>
      </w:pPr>
    </w:p>
    <w:p w14:paraId="261D9B51" w14:textId="77777777" w:rsidR="00E00715" w:rsidRDefault="00E00715" w:rsidP="002B4028">
      <w:pPr>
        <w:pStyle w:val="Caption"/>
        <w:rPr>
          <w:lang w:val="en-NZ"/>
        </w:rPr>
      </w:pPr>
    </w:p>
    <w:p w14:paraId="11141BAE" w14:textId="77777777" w:rsidR="00286D3C" w:rsidRPr="00286D3C" w:rsidRDefault="00286D3C" w:rsidP="00286D3C">
      <w:pPr>
        <w:rPr>
          <w:lang w:val="en-NZ"/>
        </w:rPr>
      </w:pPr>
    </w:p>
    <w:p w14:paraId="1ECF58D2" w14:textId="77777777" w:rsidR="00286D3C" w:rsidRPr="00286D3C" w:rsidRDefault="00286D3C" w:rsidP="00286D3C">
      <w:pPr>
        <w:rPr>
          <w:lang w:val="en-NZ"/>
        </w:rPr>
      </w:pPr>
    </w:p>
    <w:p w14:paraId="76309E4D" w14:textId="77777777" w:rsidR="00286D3C" w:rsidRPr="00286D3C" w:rsidRDefault="00286D3C" w:rsidP="00286D3C">
      <w:pPr>
        <w:rPr>
          <w:lang w:val="en-NZ"/>
        </w:rPr>
      </w:pPr>
    </w:p>
    <w:p w14:paraId="2A853D82" w14:textId="77777777" w:rsidR="00286D3C" w:rsidRPr="00286D3C" w:rsidRDefault="00286D3C" w:rsidP="00286D3C">
      <w:pPr>
        <w:rPr>
          <w:lang w:val="en-NZ"/>
        </w:rPr>
      </w:pPr>
    </w:p>
    <w:p w14:paraId="0631C26E" w14:textId="77777777" w:rsidR="00286D3C" w:rsidRPr="00286D3C" w:rsidRDefault="00286D3C" w:rsidP="00286D3C">
      <w:pPr>
        <w:rPr>
          <w:lang w:val="en-NZ"/>
        </w:rPr>
      </w:pPr>
    </w:p>
    <w:p w14:paraId="1FE06C2A" w14:textId="77777777" w:rsidR="00286D3C" w:rsidRPr="00286D3C" w:rsidRDefault="00286D3C" w:rsidP="00286D3C">
      <w:pPr>
        <w:rPr>
          <w:lang w:val="en-NZ"/>
        </w:rPr>
      </w:pPr>
    </w:p>
    <w:p w14:paraId="114906B8" w14:textId="77777777" w:rsidR="00286D3C" w:rsidRPr="00286D3C" w:rsidRDefault="00286D3C" w:rsidP="00286D3C">
      <w:pPr>
        <w:rPr>
          <w:lang w:val="en-NZ"/>
        </w:rPr>
      </w:pPr>
    </w:p>
    <w:p w14:paraId="674A11D3" w14:textId="77777777" w:rsidR="00286D3C" w:rsidRPr="00286D3C" w:rsidRDefault="00286D3C" w:rsidP="00286D3C">
      <w:pPr>
        <w:rPr>
          <w:lang w:val="en-NZ"/>
        </w:rPr>
      </w:pPr>
    </w:p>
    <w:p w14:paraId="0C30146A" w14:textId="77777777" w:rsidR="00286D3C" w:rsidRPr="00286D3C" w:rsidRDefault="00286D3C" w:rsidP="00286D3C">
      <w:pPr>
        <w:rPr>
          <w:lang w:val="en-NZ"/>
        </w:rPr>
      </w:pPr>
    </w:p>
    <w:p w14:paraId="2D4DC035" w14:textId="77777777" w:rsidR="00286D3C" w:rsidRPr="00286D3C" w:rsidRDefault="00286D3C" w:rsidP="00286D3C">
      <w:pPr>
        <w:rPr>
          <w:lang w:val="en-NZ"/>
        </w:rPr>
      </w:pPr>
    </w:p>
    <w:p w14:paraId="3C3C1B0D" w14:textId="77777777" w:rsidR="00286D3C" w:rsidRPr="00286D3C" w:rsidRDefault="00286D3C" w:rsidP="00286D3C">
      <w:pPr>
        <w:rPr>
          <w:lang w:val="en-NZ"/>
        </w:rPr>
      </w:pPr>
    </w:p>
    <w:p w14:paraId="73496534" w14:textId="77777777" w:rsidR="00286D3C" w:rsidRPr="00286D3C" w:rsidRDefault="00286D3C" w:rsidP="00286D3C">
      <w:pPr>
        <w:rPr>
          <w:lang w:val="en-NZ"/>
        </w:rPr>
      </w:pPr>
    </w:p>
    <w:p w14:paraId="1644FE3A" w14:textId="77777777" w:rsidR="00286D3C" w:rsidRPr="00286D3C" w:rsidRDefault="00286D3C" w:rsidP="00286D3C">
      <w:pPr>
        <w:rPr>
          <w:lang w:val="en-NZ"/>
        </w:rPr>
      </w:pPr>
    </w:p>
    <w:p w14:paraId="0FFA05CC" w14:textId="77777777" w:rsidR="00286D3C" w:rsidRPr="00286D3C" w:rsidRDefault="00286D3C" w:rsidP="00286D3C">
      <w:pPr>
        <w:rPr>
          <w:lang w:val="en-NZ"/>
        </w:rPr>
      </w:pPr>
    </w:p>
    <w:p w14:paraId="42F88014" w14:textId="77777777" w:rsidR="00286D3C" w:rsidRPr="00286D3C" w:rsidRDefault="00286D3C" w:rsidP="00286D3C">
      <w:pPr>
        <w:rPr>
          <w:lang w:val="en-NZ"/>
        </w:rPr>
      </w:pPr>
    </w:p>
    <w:p w14:paraId="53664C58" w14:textId="77777777" w:rsidR="00286D3C" w:rsidRDefault="00286D3C" w:rsidP="00286D3C">
      <w:pPr>
        <w:rPr>
          <w:b/>
          <w:iCs/>
          <w:color w:val="000000" w:themeColor="text1"/>
          <w:sz w:val="20"/>
          <w:szCs w:val="18"/>
          <w:lang w:val="en-NZ"/>
        </w:rPr>
      </w:pPr>
    </w:p>
    <w:p w14:paraId="7178D3D0" w14:textId="66A18C27" w:rsidR="00286D3C" w:rsidRPr="00286D3C" w:rsidRDefault="00286D3C" w:rsidP="00286D3C">
      <w:pPr>
        <w:rPr>
          <w:lang w:val="en-NZ"/>
        </w:rPr>
        <w:sectPr w:rsidR="00286D3C" w:rsidRPr="00286D3C" w:rsidSect="00C104D1">
          <w:headerReference w:type="default" r:id="rId93"/>
          <w:footerReference w:type="default" r:id="rId94"/>
          <w:pgSz w:w="16838" w:h="11906" w:orient="landscape" w:code="9"/>
          <w:pgMar w:top="720" w:right="720" w:bottom="720" w:left="720" w:header="284" w:footer="567" w:gutter="0"/>
          <w:cols w:space="708"/>
          <w:docGrid w:linePitch="360"/>
        </w:sectPr>
      </w:pPr>
    </w:p>
    <w:p w14:paraId="5849E9AE" w14:textId="63F17FCA" w:rsidR="00D06EE3" w:rsidRPr="00AD4A6C" w:rsidRDefault="00AD4A6C" w:rsidP="00AD4A6C">
      <w:pPr>
        <w:pStyle w:val="TOCHeading"/>
        <w:rPr>
          <w:rFonts w:ascii="Calibri" w:hAnsi="Calibri" w:cs="Calibri"/>
          <w:b/>
          <w:bCs/>
          <w:sz w:val="28"/>
          <w:szCs w:val="28"/>
        </w:rPr>
      </w:pPr>
      <w:bookmarkStart w:id="197" w:name="_Toc76469816"/>
      <w:bookmarkEnd w:id="195"/>
      <w:r w:rsidRPr="00AD4A6C">
        <w:rPr>
          <w:rFonts w:ascii="Calibri" w:hAnsi="Calibri" w:cs="Calibri"/>
          <w:b/>
          <w:bCs/>
          <w:sz w:val="28"/>
          <w:szCs w:val="28"/>
        </w:rPr>
        <w:lastRenderedPageBreak/>
        <w:t xml:space="preserve">Appendix 2: </w:t>
      </w:r>
      <w:r w:rsidR="00D06EE3" w:rsidRPr="00AD4A6C">
        <w:rPr>
          <w:rFonts w:ascii="Calibri" w:hAnsi="Calibri" w:cs="Calibri"/>
          <w:b/>
          <w:bCs/>
          <w:sz w:val="28"/>
          <w:szCs w:val="28"/>
        </w:rPr>
        <w:t xml:space="preserve">Community and sports funding sub-categories </w:t>
      </w:r>
      <w:r w:rsidR="00FC77C5" w:rsidRPr="00AD4A6C">
        <w:rPr>
          <w:rFonts w:ascii="Calibri" w:hAnsi="Calibri" w:cs="Calibri"/>
          <w:b/>
          <w:bCs/>
          <w:sz w:val="28"/>
          <w:szCs w:val="28"/>
        </w:rPr>
        <w:t>–</w:t>
      </w:r>
      <w:r w:rsidR="00D06EE3" w:rsidRPr="00AD4A6C">
        <w:rPr>
          <w:rFonts w:ascii="Calibri" w:hAnsi="Calibri" w:cs="Calibri"/>
          <w:b/>
          <w:bCs/>
          <w:sz w:val="28"/>
          <w:szCs w:val="28"/>
        </w:rPr>
        <w:t xml:space="preserve"> 2019</w:t>
      </w:r>
      <w:bookmarkEnd w:id="196"/>
      <w:bookmarkEnd w:id="197"/>
    </w:p>
    <w:p w14:paraId="44DD297B" w14:textId="77777777" w:rsidR="00B57969" w:rsidRPr="002F108B" w:rsidRDefault="00B57969" w:rsidP="00B57969">
      <w:pPr>
        <w:rPr>
          <w:lang w:val="en-NZ"/>
        </w:rPr>
      </w:pPr>
    </w:p>
    <w:tbl>
      <w:tblPr>
        <w:tblStyle w:val="GridTable4-Accent1"/>
        <w:tblW w:w="0" w:type="auto"/>
        <w:tblLook w:val="04A0" w:firstRow="1" w:lastRow="0" w:firstColumn="1" w:lastColumn="0" w:noHBand="0" w:noVBand="1"/>
      </w:tblPr>
      <w:tblGrid>
        <w:gridCol w:w="4248"/>
        <w:gridCol w:w="3350"/>
      </w:tblGrid>
      <w:tr w:rsidR="00FC77C5" w:rsidRPr="002F108B" w14:paraId="4BA1BC11" w14:textId="77777777" w:rsidTr="00CC0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C139676" w14:textId="2E7BCC56" w:rsidR="00FC77C5" w:rsidRPr="002F108B" w:rsidRDefault="00FC77C5" w:rsidP="009467B2">
            <w:pPr>
              <w:spacing w:after="60"/>
              <w:rPr>
                <w:sz w:val="28"/>
                <w:szCs w:val="28"/>
                <w:lang w:val="en-NZ"/>
              </w:rPr>
            </w:pPr>
            <w:r w:rsidRPr="002F108B">
              <w:rPr>
                <w:sz w:val="28"/>
                <w:szCs w:val="28"/>
                <w:lang w:val="en-NZ"/>
              </w:rPr>
              <w:t>Community group sub</w:t>
            </w:r>
            <w:r w:rsidR="00E9387B" w:rsidRPr="002F108B">
              <w:rPr>
                <w:sz w:val="28"/>
                <w:szCs w:val="28"/>
                <w:lang w:val="en-NZ"/>
              </w:rPr>
              <w:t>-</w:t>
            </w:r>
            <w:r w:rsidRPr="002F108B">
              <w:rPr>
                <w:sz w:val="28"/>
                <w:szCs w:val="28"/>
                <w:lang w:val="en-NZ"/>
              </w:rPr>
              <w:t>categories</w:t>
            </w:r>
          </w:p>
        </w:tc>
        <w:tc>
          <w:tcPr>
            <w:tcW w:w="3350" w:type="dxa"/>
          </w:tcPr>
          <w:p w14:paraId="16801B3D" w14:textId="77777777" w:rsidR="00FC77C5" w:rsidRPr="002F108B" w:rsidRDefault="00FC77C5" w:rsidP="009467B2">
            <w:pPr>
              <w:spacing w:after="60"/>
              <w:cnfStyle w:val="100000000000" w:firstRow="1" w:lastRow="0" w:firstColumn="0" w:lastColumn="0" w:oddVBand="0" w:evenVBand="0" w:oddHBand="0" w:evenHBand="0" w:firstRowFirstColumn="0" w:firstRowLastColumn="0" w:lastRowFirstColumn="0" w:lastRowLastColumn="0"/>
              <w:rPr>
                <w:sz w:val="28"/>
                <w:szCs w:val="28"/>
                <w:lang w:val="en-NZ"/>
              </w:rPr>
            </w:pPr>
            <w:r w:rsidRPr="002F108B">
              <w:rPr>
                <w:sz w:val="28"/>
                <w:szCs w:val="28"/>
                <w:lang w:val="en-NZ"/>
              </w:rPr>
              <w:t>Funding received</w:t>
            </w:r>
          </w:p>
        </w:tc>
      </w:tr>
      <w:tr w:rsidR="00FC77C5" w:rsidRPr="002F108B" w14:paraId="461F6EC6"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6B8A7E7" w14:textId="77777777" w:rsidR="00FC77C5" w:rsidRPr="002F108B" w:rsidRDefault="00FC77C5" w:rsidP="009467B2">
            <w:pPr>
              <w:spacing w:after="60"/>
              <w:rPr>
                <w:lang w:val="en-NZ"/>
              </w:rPr>
            </w:pPr>
            <w:r w:rsidRPr="002F108B">
              <w:rPr>
                <w:lang w:val="en-NZ"/>
              </w:rPr>
              <w:t>Community groups</w:t>
            </w:r>
          </w:p>
        </w:tc>
        <w:tc>
          <w:tcPr>
            <w:tcW w:w="3350" w:type="dxa"/>
          </w:tcPr>
          <w:p w14:paraId="450E0695"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$37,838,195</w:t>
            </w:r>
          </w:p>
        </w:tc>
      </w:tr>
      <w:tr w:rsidR="00FC77C5" w:rsidRPr="002F108B" w14:paraId="5DDE6A56" w14:textId="77777777" w:rsidTr="00CC0994">
        <w:tc>
          <w:tcPr>
            <w:cnfStyle w:val="001000000000" w:firstRow="0" w:lastRow="0" w:firstColumn="1" w:lastColumn="0" w:oddVBand="0" w:evenVBand="0" w:oddHBand="0" w:evenHBand="0" w:firstRowFirstColumn="0" w:firstRowLastColumn="0" w:lastRowFirstColumn="0" w:lastRowLastColumn="0"/>
            <w:tcW w:w="4248" w:type="dxa"/>
          </w:tcPr>
          <w:p w14:paraId="3EE98A4E" w14:textId="77777777" w:rsidR="00FC77C5" w:rsidRPr="002F108B" w:rsidRDefault="00FC77C5" w:rsidP="009467B2">
            <w:pPr>
              <w:spacing w:after="60"/>
              <w:rPr>
                <w:lang w:val="en-NZ"/>
              </w:rPr>
            </w:pPr>
            <w:r w:rsidRPr="002F108B">
              <w:rPr>
                <w:lang w:val="en-NZ"/>
              </w:rPr>
              <w:t>Education</w:t>
            </w:r>
          </w:p>
        </w:tc>
        <w:tc>
          <w:tcPr>
            <w:tcW w:w="3350" w:type="dxa"/>
          </w:tcPr>
          <w:p w14:paraId="206BAD27" w14:textId="77777777" w:rsidR="00FC77C5" w:rsidRPr="002F108B" w:rsidRDefault="00FC77C5"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23,466,718</w:t>
            </w:r>
          </w:p>
        </w:tc>
      </w:tr>
      <w:tr w:rsidR="00FC77C5" w:rsidRPr="002F108B" w14:paraId="14CCEA3C"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8A255C9" w14:textId="77777777" w:rsidR="00FC77C5" w:rsidRPr="002F108B" w:rsidRDefault="00FC77C5" w:rsidP="009467B2">
            <w:pPr>
              <w:spacing w:after="60"/>
              <w:rPr>
                <w:lang w:val="en-NZ"/>
              </w:rPr>
            </w:pPr>
            <w:r w:rsidRPr="002F108B">
              <w:rPr>
                <w:lang w:val="en-NZ"/>
              </w:rPr>
              <w:t>Arts</w:t>
            </w:r>
          </w:p>
        </w:tc>
        <w:tc>
          <w:tcPr>
            <w:tcW w:w="3350" w:type="dxa"/>
          </w:tcPr>
          <w:p w14:paraId="46C1D31D"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12,952,443</w:t>
            </w:r>
          </w:p>
        </w:tc>
      </w:tr>
      <w:tr w:rsidR="00FC77C5" w:rsidRPr="002F108B" w14:paraId="5832F819" w14:textId="77777777" w:rsidTr="00CC0994">
        <w:tc>
          <w:tcPr>
            <w:cnfStyle w:val="001000000000" w:firstRow="0" w:lastRow="0" w:firstColumn="1" w:lastColumn="0" w:oddVBand="0" w:evenVBand="0" w:oddHBand="0" w:evenHBand="0" w:firstRowFirstColumn="0" w:firstRowLastColumn="0" w:lastRowFirstColumn="0" w:lastRowLastColumn="0"/>
            <w:tcW w:w="4248" w:type="dxa"/>
          </w:tcPr>
          <w:p w14:paraId="1442CC74" w14:textId="77777777" w:rsidR="00FC77C5" w:rsidRPr="002F108B" w:rsidRDefault="00FC77C5" w:rsidP="009467B2">
            <w:pPr>
              <w:spacing w:after="60"/>
              <w:rPr>
                <w:lang w:val="en-NZ"/>
              </w:rPr>
            </w:pPr>
            <w:r w:rsidRPr="002F108B">
              <w:rPr>
                <w:lang w:val="en-NZ"/>
              </w:rPr>
              <w:t>Health related</w:t>
            </w:r>
          </w:p>
        </w:tc>
        <w:tc>
          <w:tcPr>
            <w:tcW w:w="3350" w:type="dxa"/>
          </w:tcPr>
          <w:p w14:paraId="61AA2AA5" w14:textId="77777777" w:rsidR="00FC77C5" w:rsidRPr="002F108B" w:rsidRDefault="00FC77C5"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10,446,792</w:t>
            </w:r>
          </w:p>
        </w:tc>
      </w:tr>
      <w:tr w:rsidR="00FC77C5" w:rsidRPr="002F108B" w14:paraId="408F2560"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664B019" w14:textId="77777777" w:rsidR="00FC77C5" w:rsidRPr="002F108B" w:rsidRDefault="00FC77C5" w:rsidP="009467B2">
            <w:pPr>
              <w:spacing w:after="60"/>
              <w:rPr>
                <w:lang w:val="en-NZ"/>
              </w:rPr>
            </w:pPr>
            <w:r w:rsidRPr="002F108B">
              <w:rPr>
                <w:lang w:val="en-NZ"/>
              </w:rPr>
              <w:t>Community services</w:t>
            </w:r>
          </w:p>
        </w:tc>
        <w:tc>
          <w:tcPr>
            <w:tcW w:w="3350" w:type="dxa"/>
          </w:tcPr>
          <w:p w14:paraId="4FC480D4"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10,420,915</w:t>
            </w:r>
          </w:p>
        </w:tc>
      </w:tr>
      <w:tr w:rsidR="00FC77C5" w:rsidRPr="002F108B" w14:paraId="3A842F85" w14:textId="77777777" w:rsidTr="00CC0994">
        <w:tc>
          <w:tcPr>
            <w:cnfStyle w:val="001000000000" w:firstRow="0" w:lastRow="0" w:firstColumn="1" w:lastColumn="0" w:oddVBand="0" w:evenVBand="0" w:oddHBand="0" w:evenHBand="0" w:firstRowFirstColumn="0" w:firstRowLastColumn="0" w:lastRowFirstColumn="0" w:lastRowLastColumn="0"/>
            <w:tcW w:w="4248" w:type="dxa"/>
          </w:tcPr>
          <w:p w14:paraId="4E999DFB" w14:textId="77777777" w:rsidR="00FC77C5" w:rsidRPr="002F108B" w:rsidRDefault="00FC77C5" w:rsidP="009467B2">
            <w:pPr>
              <w:spacing w:after="60"/>
              <w:rPr>
                <w:lang w:val="en-NZ"/>
              </w:rPr>
            </w:pPr>
            <w:r w:rsidRPr="002F108B">
              <w:rPr>
                <w:lang w:val="en-NZ"/>
              </w:rPr>
              <w:t>Faith based</w:t>
            </w:r>
          </w:p>
        </w:tc>
        <w:tc>
          <w:tcPr>
            <w:tcW w:w="3350" w:type="dxa"/>
          </w:tcPr>
          <w:p w14:paraId="764E724F" w14:textId="77777777" w:rsidR="00FC77C5" w:rsidRPr="002F108B" w:rsidRDefault="00FC77C5"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6,819,355</w:t>
            </w:r>
          </w:p>
        </w:tc>
      </w:tr>
      <w:tr w:rsidR="00FC77C5" w:rsidRPr="002F108B" w14:paraId="10F9B31D"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C1FCDAA" w14:textId="77777777" w:rsidR="00FC77C5" w:rsidRPr="002F108B" w:rsidRDefault="00FC77C5" w:rsidP="009467B2">
            <w:pPr>
              <w:spacing w:after="60"/>
              <w:rPr>
                <w:lang w:val="en-NZ"/>
              </w:rPr>
            </w:pPr>
            <w:r w:rsidRPr="002F108B">
              <w:rPr>
                <w:lang w:val="en-NZ"/>
              </w:rPr>
              <w:t>Search and rescue (excluding surf clubs)</w:t>
            </w:r>
          </w:p>
        </w:tc>
        <w:tc>
          <w:tcPr>
            <w:tcW w:w="3350" w:type="dxa"/>
          </w:tcPr>
          <w:p w14:paraId="6B21F67B"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6,656,072</w:t>
            </w:r>
          </w:p>
        </w:tc>
      </w:tr>
      <w:tr w:rsidR="00FC77C5" w:rsidRPr="002F108B" w14:paraId="55F3382C" w14:textId="77777777" w:rsidTr="00CC0994">
        <w:tc>
          <w:tcPr>
            <w:cnfStyle w:val="001000000000" w:firstRow="0" w:lastRow="0" w:firstColumn="1" w:lastColumn="0" w:oddVBand="0" w:evenVBand="0" w:oddHBand="0" w:evenHBand="0" w:firstRowFirstColumn="0" w:firstRowLastColumn="0" w:lastRowFirstColumn="0" w:lastRowLastColumn="0"/>
            <w:tcW w:w="4248" w:type="dxa"/>
          </w:tcPr>
          <w:p w14:paraId="56591EB3" w14:textId="77777777" w:rsidR="00FC77C5" w:rsidRPr="002F108B" w:rsidRDefault="00FC77C5" w:rsidP="009467B2">
            <w:pPr>
              <w:spacing w:after="60"/>
              <w:rPr>
                <w:lang w:val="en-NZ"/>
              </w:rPr>
            </w:pPr>
            <w:r w:rsidRPr="002F108B">
              <w:rPr>
                <w:lang w:val="en-NZ"/>
              </w:rPr>
              <w:t>Māori</w:t>
            </w:r>
          </w:p>
        </w:tc>
        <w:tc>
          <w:tcPr>
            <w:tcW w:w="3350" w:type="dxa"/>
          </w:tcPr>
          <w:p w14:paraId="33FB9797" w14:textId="77777777" w:rsidR="00FC77C5" w:rsidRPr="002F108B" w:rsidRDefault="00FC77C5"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5,092,069</w:t>
            </w:r>
          </w:p>
        </w:tc>
      </w:tr>
      <w:tr w:rsidR="00FC77C5" w:rsidRPr="002F108B" w14:paraId="05238844"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EBED24A" w14:textId="77777777" w:rsidR="00FC77C5" w:rsidRPr="002F108B" w:rsidRDefault="00FC77C5" w:rsidP="009467B2">
            <w:pPr>
              <w:spacing w:after="60"/>
              <w:rPr>
                <w:lang w:val="en-NZ"/>
              </w:rPr>
            </w:pPr>
            <w:r w:rsidRPr="002F108B">
              <w:rPr>
                <w:lang w:val="en-NZ"/>
              </w:rPr>
              <w:t>Kindergartens/Childcare/Plunket</w:t>
            </w:r>
          </w:p>
        </w:tc>
        <w:tc>
          <w:tcPr>
            <w:tcW w:w="3350" w:type="dxa"/>
          </w:tcPr>
          <w:p w14:paraId="299646B6"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2,452,638</w:t>
            </w:r>
          </w:p>
        </w:tc>
      </w:tr>
      <w:tr w:rsidR="00FC77C5" w:rsidRPr="002F108B" w14:paraId="390D99FA" w14:textId="77777777" w:rsidTr="00CC0994">
        <w:tc>
          <w:tcPr>
            <w:cnfStyle w:val="001000000000" w:firstRow="0" w:lastRow="0" w:firstColumn="1" w:lastColumn="0" w:oddVBand="0" w:evenVBand="0" w:oddHBand="0" w:evenHBand="0" w:firstRowFirstColumn="0" w:firstRowLastColumn="0" w:lastRowFirstColumn="0" w:lastRowLastColumn="0"/>
            <w:tcW w:w="4248" w:type="dxa"/>
          </w:tcPr>
          <w:p w14:paraId="3F2F4B81" w14:textId="77777777" w:rsidR="00FC77C5" w:rsidRPr="002F108B" w:rsidRDefault="00FC77C5" w:rsidP="009467B2">
            <w:pPr>
              <w:spacing w:after="60"/>
              <w:rPr>
                <w:lang w:val="en-NZ"/>
              </w:rPr>
            </w:pPr>
            <w:r w:rsidRPr="002F108B">
              <w:rPr>
                <w:lang w:val="en-NZ"/>
              </w:rPr>
              <w:t>Ambulance services</w:t>
            </w:r>
          </w:p>
        </w:tc>
        <w:tc>
          <w:tcPr>
            <w:tcW w:w="3350" w:type="dxa"/>
          </w:tcPr>
          <w:p w14:paraId="1470738D" w14:textId="77777777" w:rsidR="00FC77C5" w:rsidRPr="002F108B" w:rsidRDefault="00FC77C5"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2,401,716</w:t>
            </w:r>
          </w:p>
        </w:tc>
      </w:tr>
      <w:tr w:rsidR="00FC77C5" w:rsidRPr="002F108B" w14:paraId="01C2E970"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9D8D6AC" w14:textId="77777777" w:rsidR="00FC77C5" w:rsidRPr="002F108B" w:rsidRDefault="00FC77C5" w:rsidP="009467B2">
            <w:pPr>
              <w:spacing w:after="60"/>
              <w:rPr>
                <w:lang w:val="en-NZ"/>
              </w:rPr>
            </w:pPr>
            <w:r w:rsidRPr="002F108B">
              <w:rPr>
                <w:lang w:val="en-NZ"/>
              </w:rPr>
              <w:t>Council</w:t>
            </w:r>
          </w:p>
        </w:tc>
        <w:tc>
          <w:tcPr>
            <w:tcW w:w="3350" w:type="dxa"/>
          </w:tcPr>
          <w:p w14:paraId="6EB06FEE"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1,516,343</w:t>
            </w:r>
          </w:p>
        </w:tc>
      </w:tr>
      <w:tr w:rsidR="00FC77C5" w:rsidRPr="002F108B" w14:paraId="3410EA11" w14:textId="77777777" w:rsidTr="00CC0994">
        <w:tc>
          <w:tcPr>
            <w:cnfStyle w:val="001000000000" w:firstRow="0" w:lastRow="0" w:firstColumn="1" w:lastColumn="0" w:oddVBand="0" w:evenVBand="0" w:oddHBand="0" w:evenHBand="0" w:firstRowFirstColumn="0" w:firstRowLastColumn="0" w:lastRowFirstColumn="0" w:lastRowLastColumn="0"/>
            <w:tcW w:w="4248" w:type="dxa"/>
          </w:tcPr>
          <w:p w14:paraId="2D82176D" w14:textId="77777777" w:rsidR="00FC77C5" w:rsidRPr="002F108B" w:rsidRDefault="00FC77C5" w:rsidP="009467B2">
            <w:pPr>
              <w:spacing w:after="60"/>
              <w:rPr>
                <w:lang w:val="en-NZ"/>
              </w:rPr>
            </w:pPr>
            <w:r w:rsidRPr="002F108B">
              <w:rPr>
                <w:lang w:val="en-NZ"/>
              </w:rPr>
              <w:t>Fire Services</w:t>
            </w:r>
          </w:p>
        </w:tc>
        <w:tc>
          <w:tcPr>
            <w:tcW w:w="3350" w:type="dxa"/>
          </w:tcPr>
          <w:p w14:paraId="72C96ABE" w14:textId="77777777" w:rsidR="00FC77C5" w:rsidRPr="002F108B" w:rsidRDefault="00FC77C5"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748,819</w:t>
            </w:r>
          </w:p>
        </w:tc>
      </w:tr>
      <w:tr w:rsidR="00FC77C5" w:rsidRPr="002F108B" w14:paraId="50DE8914" w14:textId="77777777" w:rsidTr="00CC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364D79" w:themeFill="accent1"/>
          </w:tcPr>
          <w:p w14:paraId="07F06F83" w14:textId="77777777" w:rsidR="00FC77C5" w:rsidRPr="002F108B" w:rsidRDefault="00FC77C5" w:rsidP="009467B2">
            <w:pPr>
              <w:spacing w:after="60"/>
              <w:rPr>
                <w:color w:val="FFFFFF" w:themeColor="background1"/>
                <w:sz w:val="24"/>
                <w:szCs w:val="24"/>
                <w:lang w:val="en-NZ"/>
              </w:rPr>
            </w:pPr>
            <w:r w:rsidRPr="002F108B">
              <w:rPr>
                <w:color w:val="FFFFFF" w:themeColor="background1"/>
                <w:sz w:val="24"/>
                <w:szCs w:val="24"/>
                <w:lang w:val="en-NZ"/>
              </w:rPr>
              <w:t>Total</w:t>
            </w:r>
          </w:p>
        </w:tc>
        <w:tc>
          <w:tcPr>
            <w:tcW w:w="3350" w:type="dxa"/>
            <w:shd w:val="clear" w:color="auto" w:fill="364D79" w:themeFill="accent1"/>
          </w:tcPr>
          <w:p w14:paraId="2DF2A632" w14:textId="77777777" w:rsidR="00FC77C5" w:rsidRPr="002F108B" w:rsidRDefault="00FC77C5" w:rsidP="009467B2">
            <w:pPr>
              <w:spacing w:after="60"/>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en-NZ"/>
              </w:rPr>
            </w:pPr>
            <w:r w:rsidRPr="002F108B">
              <w:rPr>
                <w:color w:val="FFFFFF" w:themeColor="background1"/>
                <w:sz w:val="24"/>
                <w:szCs w:val="24"/>
                <w:lang w:val="en-NZ"/>
              </w:rPr>
              <w:t>$120,812,075</w:t>
            </w:r>
          </w:p>
        </w:tc>
      </w:tr>
    </w:tbl>
    <w:p w14:paraId="797899D1" w14:textId="4564846F" w:rsidR="00FC77C5" w:rsidRPr="002F108B" w:rsidRDefault="00FC77C5" w:rsidP="00FC77C5">
      <w:pPr>
        <w:rPr>
          <w:lang w:val="en-NZ"/>
        </w:rPr>
      </w:pPr>
      <w:r w:rsidRPr="002F108B">
        <w:rPr>
          <w:lang w:val="en-NZ"/>
        </w:rPr>
        <w:t xml:space="preserve">Source: </w:t>
      </w:r>
      <w:r w:rsidR="00B57969" w:rsidRPr="002F108B">
        <w:rPr>
          <w:rFonts w:cs="Calibri"/>
          <w:lang w:val="en-NZ"/>
        </w:rPr>
        <w:t>(PGF Group et al., 2020)</w:t>
      </w:r>
      <w:r w:rsidRPr="002F108B">
        <w:rPr>
          <w:lang w:val="en-NZ"/>
        </w:rPr>
        <w:br/>
        <w:t>Reproduced by Malatest International.</w:t>
      </w:r>
    </w:p>
    <w:p w14:paraId="3F322204" w14:textId="63826121" w:rsidR="000A296B" w:rsidRPr="002F108B" w:rsidRDefault="000A296B" w:rsidP="000A296B">
      <w:pPr>
        <w:autoSpaceDE w:val="0"/>
        <w:autoSpaceDN w:val="0"/>
        <w:adjustRightInd w:val="0"/>
        <w:spacing w:before="0" w:after="0" w:line="240" w:lineRule="auto"/>
        <w:jc w:val="center"/>
        <w:rPr>
          <w:lang w:val="en-NZ"/>
        </w:rPr>
      </w:pPr>
    </w:p>
    <w:p w14:paraId="3B2FB55C" w14:textId="77777777" w:rsidR="00111804" w:rsidRPr="002F108B" w:rsidRDefault="00111804" w:rsidP="004363E7">
      <w:pPr>
        <w:spacing w:before="0" w:after="0" w:line="240" w:lineRule="auto"/>
        <w:rPr>
          <w:lang w:val="en-NZ"/>
        </w:rPr>
      </w:pPr>
      <w:r w:rsidRPr="002F108B">
        <w:rPr>
          <w:lang w:val="en-NZ"/>
        </w:rPr>
        <w:br w:type="page"/>
      </w:r>
    </w:p>
    <w:p w14:paraId="2508F7A1" w14:textId="4799AF89" w:rsidR="003355F1" w:rsidRPr="002F108B" w:rsidRDefault="003355F1" w:rsidP="004363E7">
      <w:pPr>
        <w:spacing w:before="0" w:after="0" w:line="240" w:lineRule="auto"/>
        <w:rPr>
          <w:lang w:val="en-NZ"/>
        </w:rPr>
      </w:pPr>
    </w:p>
    <w:p w14:paraId="2A6D798A" w14:textId="5557E04E" w:rsidR="00910DEF" w:rsidRPr="002F108B" w:rsidRDefault="00910DEF" w:rsidP="00910DEF">
      <w:pPr>
        <w:rPr>
          <w:lang w:val="en-NZ"/>
        </w:rPr>
      </w:pPr>
    </w:p>
    <w:tbl>
      <w:tblPr>
        <w:tblStyle w:val="GridTable4-Accent1"/>
        <w:tblW w:w="0" w:type="auto"/>
        <w:tblLook w:val="04A0" w:firstRow="1" w:lastRow="0" w:firstColumn="1" w:lastColumn="0" w:noHBand="0" w:noVBand="1"/>
      </w:tblPr>
      <w:tblGrid>
        <w:gridCol w:w="4248"/>
        <w:gridCol w:w="3350"/>
      </w:tblGrid>
      <w:tr w:rsidR="00111804" w:rsidRPr="002F108B" w14:paraId="7E474F2B" w14:textId="77777777" w:rsidTr="0094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3DC102" w14:textId="77777777" w:rsidR="00111804" w:rsidRPr="002F108B" w:rsidRDefault="00111804" w:rsidP="009467B2">
            <w:pPr>
              <w:spacing w:after="60"/>
              <w:rPr>
                <w:sz w:val="28"/>
                <w:szCs w:val="28"/>
                <w:lang w:val="en-NZ"/>
              </w:rPr>
            </w:pPr>
            <w:r w:rsidRPr="002F108B">
              <w:rPr>
                <w:sz w:val="28"/>
                <w:szCs w:val="28"/>
                <w:lang w:val="en-NZ"/>
              </w:rPr>
              <w:t>Sports group sub-categories</w:t>
            </w:r>
          </w:p>
        </w:tc>
        <w:tc>
          <w:tcPr>
            <w:tcW w:w="3350" w:type="dxa"/>
          </w:tcPr>
          <w:p w14:paraId="4B224F41" w14:textId="77777777" w:rsidR="00111804" w:rsidRPr="002F108B" w:rsidRDefault="00111804" w:rsidP="009467B2">
            <w:pPr>
              <w:spacing w:after="60"/>
              <w:cnfStyle w:val="100000000000" w:firstRow="1" w:lastRow="0" w:firstColumn="0" w:lastColumn="0" w:oddVBand="0" w:evenVBand="0" w:oddHBand="0" w:evenHBand="0" w:firstRowFirstColumn="0" w:firstRowLastColumn="0" w:lastRowFirstColumn="0" w:lastRowLastColumn="0"/>
              <w:rPr>
                <w:sz w:val="28"/>
                <w:szCs w:val="28"/>
                <w:lang w:val="en-NZ"/>
              </w:rPr>
            </w:pPr>
            <w:r w:rsidRPr="002F108B">
              <w:rPr>
                <w:sz w:val="28"/>
                <w:szCs w:val="28"/>
                <w:lang w:val="en-NZ"/>
              </w:rPr>
              <w:t>Funding received</w:t>
            </w:r>
          </w:p>
        </w:tc>
      </w:tr>
      <w:tr w:rsidR="00111804" w:rsidRPr="002F108B" w14:paraId="1D22EC83"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0B52DAB" w14:textId="77777777" w:rsidR="00111804" w:rsidRPr="002F108B" w:rsidRDefault="00111804" w:rsidP="009467B2">
            <w:pPr>
              <w:spacing w:after="60"/>
              <w:rPr>
                <w:lang w:val="en-NZ"/>
              </w:rPr>
            </w:pPr>
            <w:r w:rsidRPr="002F108B">
              <w:rPr>
                <w:lang w:val="en-NZ"/>
              </w:rPr>
              <w:t>Rugby</w:t>
            </w:r>
          </w:p>
        </w:tc>
        <w:tc>
          <w:tcPr>
            <w:tcW w:w="3350" w:type="dxa"/>
          </w:tcPr>
          <w:p w14:paraId="11A5B524"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$19,982,236</w:t>
            </w:r>
          </w:p>
        </w:tc>
      </w:tr>
      <w:tr w:rsidR="00111804" w:rsidRPr="002F108B" w14:paraId="5C47AEAC"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5FD82D89" w14:textId="77777777" w:rsidR="00111804" w:rsidRPr="002F108B" w:rsidRDefault="00111804" w:rsidP="009467B2">
            <w:pPr>
              <w:spacing w:after="60"/>
              <w:rPr>
                <w:lang w:val="en-NZ"/>
              </w:rPr>
            </w:pPr>
            <w:r w:rsidRPr="002F108B">
              <w:rPr>
                <w:lang w:val="en-NZ"/>
              </w:rPr>
              <w:t>Other sports</w:t>
            </w:r>
          </w:p>
        </w:tc>
        <w:tc>
          <w:tcPr>
            <w:tcW w:w="3350" w:type="dxa"/>
          </w:tcPr>
          <w:p w14:paraId="0357D9B5"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$19,861,454</w:t>
            </w:r>
          </w:p>
        </w:tc>
      </w:tr>
      <w:tr w:rsidR="00111804" w:rsidRPr="002F108B" w14:paraId="27458E31"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04E5FC" w14:textId="77777777" w:rsidR="00111804" w:rsidRPr="002F108B" w:rsidRDefault="00111804" w:rsidP="009467B2">
            <w:pPr>
              <w:spacing w:after="60"/>
              <w:rPr>
                <w:lang w:val="en-NZ"/>
              </w:rPr>
            </w:pPr>
            <w:r w:rsidRPr="002F108B">
              <w:rPr>
                <w:lang w:val="en-NZ"/>
              </w:rPr>
              <w:t>Soccer</w:t>
            </w:r>
          </w:p>
        </w:tc>
        <w:tc>
          <w:tcPr>
            <w:tcW w:w="3350" w:type="dxa"/>
          </w:tcPr>
          <w:p w14:paraId="67F7C4CB"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$11,295,064</w:t>
            </w:r>
          </w:p>
        </w:tc>
      </w:tr>
      <w:tr w:rsidR="00111804" w:rsidRPr="002F108B" w14:paraId="2B21F34B"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326CBD9A" w14:textId="77777777" w:rsidR="00111804" w:rsidRPr="002F108B" w:rsidRDefault="00111804" w:rsidP="009467B2">
            <w:pPr>
              <w:spacing w:after="60"/>
              <w:rPr>
                <w:lang w:val="en-NZ"/>
              </w:rPr>
            </w:pPr>
            <w:r w:rsidRPr="002F108B">
              <w:rPr>
                <w:lang w:val="en-NZ"/>
              </w:rPr>
              <w:t>Cricket</w:t>
            </w:r>
          </w:p>
        </w:tc>
        <w:tc>
          <w:tcPr>
            <w:tcW w:w="3350" w:type="dxa"/>
          </w:tcPr>
          <w:p w14:paraId="10B28195"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$8,908,166</w:t>
            </w:r>
          </w:p>
        </w:tc>
      </w:tr>
      <w:tr w:rsidR="00111804" w:rsidRPr="002F108B" w14:paraId="5E9E325E"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07F46A2" w14:textId="77777777" w:rsidR="00111804" w:rsidRPr="002F108B" w:rsidRDefault="00111804" w:rsidP="009467B2">
            <w:pPr>
              <w:spacing w:after="60"/>
              <w:rPr>
                <w:lang w:val="en-NZ"/>
              </w:rPr>
            </w:pPr>
            <w:r w:rsidRPr="002F108B">
              <w:rPr>
                <w:lang w:val="en-NZ"/>
              </w:rPr>
              <w:t>Water sports</w:t>
            </w:r>
          </w:p>
        </w:tc>
        <w:tc>
          <w:tcPr>
            <w:tcW w:w="3350" w:type="dxa"/>
          </w:tcPr>
          <w:p w14:paraId="3DC58C25"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$8,046,758</w:t>
            </w:r>
          </w:p>
        </w:tc>
      </w:tr>
      <w:tr w:rsidR="00111804" w:rsidRPr="002F108B" w14:paraId="704A69CE"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75FF3290" w14:textId="77777777" w:rsidR="00111804" w:rsidRPr="002F108B" w:rsidRDefault="00111804" w:rsidP="009467B2">
            <w:pPr>
              <w:spacing w:after="60"/>
              <w:rPr>
                <w:lang w:val="en-NZ"/>
              </w:rPr>
            </w:pPr>
            <w:r w:rsidRPr="002F108B">
              <w:rPr>
                <w:lang w:val="en-NZ"/>
              </w:rPr>
              <w:t>Racquets</w:t>
            </w:r>
          </w:p>
        </w:tc>
        <w:tc>
          <w:tcPr>
            <w:tcW w:w="3350" w:type="dxa"/>
          </w:tcPr>
          <w:p w14:paraId="5A43A629"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$6,012,940</w:t>
            </w:r>
          </w:p>
        </w:tc>
      </w:tr>
      <w:tr w:rsidR="00111804" w:rsidRPr="002F108B" w14:paraId="2236E9C4"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C9E7CA" w14:textId="77777777" w:rsidR="00111804" w:rsidRPr="002F108B" w:rsidRDefault="00111804" w:rsidP="009467B2">
            <w:pPr>
              <w:spacing w:after="60"/>
              <w:rPr>
                <w:lang w:val="en-NZ"/>
              </w:rPr>
            </w:pPr>
            <w:r w:rsidRPr="002F108B">
              <w:rPr>
                <w:lang w:val="en-NZ"/>
              </w:rPr>
              <w:t>Sports stadiums/academies/event centres</w:t>
            </w:r>
          </w:p>
        </w:tc>
        <w:tc>
          <w:tcPr>
            <w:tcW w:w="3350" w:type="dxa"/>
          </w:tcPr>
          <w:p w14:paraId="69CE1635"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$5,478,896</w:t>
            </w:r>
          </w:p>
        </w:tc>
      </w:tr>
      <w:tr w:rsidR="00111804" w:rsidRPr="002F108B" w14:paraId="4B1A817A"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2FB2B701" w14:textId="77777777" w:rsidR="00111804" w:rsidRPr="002F108B" w:rsidRDefault="00111804" w:rsidP="009467B2">
            <w:pPr>
              <w:spacing w:after="60"/>
              <w:rPr>
                <w:lang w:val="en-NZ"/>
              </w:rPr>
            </w:pPr>
            <w:r w:rsidRPr="002F108B">
              <w:rPr>
                <w:lang w:val="en-NZ"/>
              </w:rPr>
              <w:t>Hockey</w:t>
            </w:r>
          </w:p>
        </w:tc>
        <w:tc>
          <w:tcPr>
            <w:tcW w:w="3350" w:type="dxa"/>
          </w:tcPr>
          <w:p w14:paraId="7623810B"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$4,757,123</w:t>
            </w:r>
          </w:p>
        </w:tc>
      </w:tr>
      <w:tr w:rsidR="00111804" w:rsidRPr="002F108B" w14:paraId="3F5F6EEF"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2E5F02C" w14:textId="77777777" w:rsidR="00111804" w:rsidRPr="002F108B" w:rsidRDefault="00111804" w:rsidP="009467B2">
            <w:pPr>
              <w:spacing w:after="60"/>
              <w:rPr>
                <w:lang w:val="en-NZ"/>
              </w:rPr>
            </w:pPr>
            <w:r w:rsidRPr="002F108B">
              <w:rPr>
                <w:lang w:val="en-NZ"/>
              </w:rPr>
              <w:t>Basketball</w:t>
            </w:r>
          </w:p>
        </w:tc>
        <w:tc>
          <w:tcPr>
            <w:tcW w:w="3350" w:type="dxa"/>
          </w:tcPr>
          <w:p w14:paraId="5A3BB36E"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$4,743,441</w:t>
            </w:r>
          </w:p>
        </w:tc>
      </w:tr>
      <w:tr w:rsidR="00111804" w:rsidRPr="002F108B" w14:paraId="4AA504AC"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4B2F96D9" w14:textId="77777777" w:rsidR="00111804" w:rsidRPr="002F108B" w:rsidRDefault="00111804" w:rsidP="009467B2">
            <w:pPr>
              <w:spacing w:after="60"/>
              <w:rPr>
                <w:lang w:val="en-NZ"/>
              </w:rPr>
            </w:pPr>
            <w:r w:rsidRPr="002F108B">
              <w:rPr>
                <w:lang w:val="en-NZ"/>
              </w:rPr>
              <w:t>Netball</w:t>
            </w:r>
          </w:p>
        </w:tc>
        <w:tc>
          <w:tcPr>
            <w:tcW w:w="3350" w:type="dxa"/>
          </w:tcPr>
          <w:p w14:paraId="7BBADC5E"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$4,524,828</w:t>
            </w:r>
          </w:p>
        </w:tc>
      </w:tr>
      <w:tr w:rsidR="00111804" w:rsidRPr="002F108B" w14:paraId="2035216D"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7B12482" w14:textId="77777777" w:rsidR="00111804" w:rsidRPr="002F108B" w:rsidRDefault="00111804" w:rsidP="009467B2">
            <w:pPr>
              <w:spacing w:after="60"/>
              <w:rPr>
                <w:lang w:val="en-NZ"/>
              </w:rPr>
            </w:pPr>
            <w:r w:rsidRPr="002F108B">
              <w:rPr>
                <w:lang w:val="en-NZ"/>
              </w:rPr>
              <w:t>Surf livesaving clubs</w:t>
            </w:r>
          </w:p>
        </w:tc>
        <w:tc>
          <w:tcPr>
            <w:tcW w:w="3350" w:type="dxa"/>
          </w:tcPr>
          <w:p w14:paraId="21D269E4"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$4,438,863</w:t>
            </w:r>
          </w:p>
        </w:tc>
      </w:tr>
      <w:tr w:rsidR="00111804" w:rsidRPr="002F108B" w14:paraId="70EB2DA2"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31502505" w14:textId="77777777" w:rsidR="00111804" w:rsidRPr="002F108B" w:rsidRDefault="00111804" w:rsidP="009467B2">
            <w:pPr>
              <w:spacing w:after="60"/>
              <w:rPr>
                <w:lang w:val="en-NZ"/>
              </w:rPr>
            </w:pPr>
            <w:r w:rsidRPr="002F108B">
              <w:rPr>
                <w:lang w:val="en-NZ"/>
              </w:rPr>
              <w:t>Bowling</w:t>
            </w:r>
          </w:p>
        </w:tc>
        <w:tc>
          <w:tcPr>
            <w:tcW w:w="3350" w:type="dxa"/>
          </w:tcPr>
          <w:p w14:paraId="6AA90329"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$3,431,502</w:t>
            </w:r>
          </w:p>
        </w:tc>
      </w:tr>
      <w:tr w:rsidR="00111804" w:rsidRPr="002F108B" w14:paraId="09CE58D4"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94295B8" w14:textId="77777777" w:rsidR="00111804" w:rsidRPr="002F108B" w:rsidRDefault="00111804" w:rsidP="009467B2">
            <w:pPr>
              <w:spacing w:after="60"/>
              <w:rPr>
                <w:lang w:val="en-NZ"/>
              </w:rPr>
            </w:pPr>
            <w:r w:rsidRPr="002F108B">
              <w:rPr>
                <w:lang w:val="en-NZ"/>
              </w:rPr>
              <w:t>League</w:t>
            </w:r>
          </w:p>
        </w:tc>
        <w:tc>
          <w:tcPr>
            <w:tcW w:w="3350" w:type="dxa"/>
          </w:tcPr>
          <w:p w14:paraId="5A765CAE"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$3,179,766</w:t>
            </w:r>
          </w:p>
        </w:tc>
      </w:tr>
      <w:tr w:rsidR="00111804" w:rsidRPr="002F108B" w14:paraId="3499303F"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4C3279C8" w14:textId="77777777" w:rsidR="00111804" w:rsidRPr="002F108B" w:rsidRDefault="00111804" w:rsidP="009467B2">
            <w:pPr>
              <w:spacing w:after="60"/>
              <w:rPr>
                <w:lang w:val="en-NZ"/>
              </w:rPr>
            </w:pPr>
            <w:r w:rsidRPr="002F108B">
              <w:rPr>
                <w:lang w:val="en-NZ"/>
              </w:rPr>
              <w:t>Racing</w:t>
            </w:r>
          </w:p>
        </w:tc>
        <w:tc>
          <w:tcPr>
            <w:tcW w:w="3350" w:type="dxa"/>
          </w:tcPr>
          <w:p w14:paraId="4776D369"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$2,861,218</w:t>
            </w:r>
          </w:p>
        </w:tc>
      </w:tr>
      <w:tr w:rsidR="00111804" w:rsidRPr="002F108B" w14:paraId="77D70A20"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3DCB734" w14:textId="77777777" w:rsidR="00111804" w:rsidRPr="002F108B" w:rsidRDefault="00111804" w:rsidP="009467B2">
            <w:pPr>
              <w:spacing w:after="60"/>
              <w:rPr>
                <w:lang w:val="en-NZ"/>
              </w:rPr>
            </w:pPr>
            <w:r w:rsidRPr="002F108B">
              <w:rPr>
                <w:lang w:val="en-NZ"/>
              </w:rPr>
              <w:t>Cycling</w:t>
            </w:r>
          </w:p>
        </w:tc>
        <w:tc>
          <w:tcPr>
            <w:tcW w:w="3350" w:type="dxa"/>
          </w:tcPr>
          <w:p w14:paraId="756D2951"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$2,695,279</w:t>
            </w:r>
          </w:p>
        </w:tc>
      </w:tr>
      <w:tr w:rsidR="00111804" w:rsidRPr="002F108B" w14:paraId="0510BC91"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0FAC57A7" w14:textId="77777777" w:rsidR="00111804" w:rsidRPr="002F108B" w:rsidRDefault="00111804" w:rsidP="009467B2">
            <w:pPr>
              <w:spacing w:after="60"/>
              <w:rPr>
                <w:lang w:val="en-NZ"/>
              </w:rPr>
            </w:pPr>
            <w:r w:rsidRPr="002F108B">
              <w:rPr>
                <w:lang w:val="en-NZ"/>
              </w:rPr>
              <w:t>Special Olympics/sports for the disabled</w:t>
            </w:r>
          </w:p>
        </w:tc>
        <w:tc>
          <w:tcPr>
            <w:tcW w:w="3350" w:type="dxa"/>
          </w:tcPr>
          <w:p w14:paraId="61AB560B"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$2,433,512</w:t>
            </w:r>
          </w:p>
        </w:tc>
      </w:tr>
      <w:tr w:rsidR="00111804" w:rsidRPr="002F108B" w14:paraId="4B20CD55"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E1EAE9C" w14:textId="77777777" w:rsidR="00111804" w:rsidRPr="002F108B" w:rsidRDefault="00111804" w:rsidP="009467B2">
            <w:pPr>
              <w:spacing w:after="60"/>
              <w:rPr>
                <w:lang w:val="en-NZ"/>
              </w:rPr>
            </w:pPr>
            <w:r w:rsidRPr="002F108B">
              <w:rPr>
                <w:lang w:val="en-NZ"/>
              </w:rPr>
              <w:t>Gym sports</w:t>
            </w:r>
          </w:p>
        </w:tc>
        <w:tc>
          <w:tcPr>
            <w:tcW w:w="3350" w:type="dxa"/>
          </w:tcPr>
          <w:p w14:paraId="2A1D8FC2"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$2,341,199</w:t>
            </w:r>
          </w:p>
        </w:tc>
      </w:tr>
      <w:tr w:rsidR="00111804" w:rsidRPr="002F108B" w14:paraId="4080AF85"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44721723" w14:textId="77777777" w:rsidR="00111804" w:rsidRPr="002F108B" w:rsidRDefault="00111804" w:rsidP="009467B2">
            <w:pPr>
              <w:spacing w:after="60"/>
              <w:rPr>
                <w:lang w:val="en-NZ"/>
              </w:rPr>
            </w:pPr>
            <w:r w:rsidRPr="002F108B">
              <w:rPr>
                <w:lang w:val="en-NZ"/>
              </w:rPr>
              <w:t>Softball</w:t>
            </w:r>
          </w:p>
        </w:tc>
        <w:tc>
          <w:tcPr>
            <w:tcW w:w="3350" w:type="dxa"/>
          </w:tcPr>
          <w:p w14:paraId="67EE6AB6"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$1,766,541</w:t>
            </w:r>
          </w:p>
        </w:tc>
      </w:tr>
      <w:tr w:rsidR="00111804" w:rsidRPr="002F108B" w14:paraId="651B8216"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3DA4E45" w14:textId="77777777" w:rsidR="00111804" w:rsidRPr="002F108B" w:rsidRDefault="00111804" w:rsidP="009467B2">
            <w:pPr>
              <w:spacing w:after="60"/>
              <w:rPr>
                <w:lang w:val="en-NZ"/>
              </w:rPr>
            </w:pPr>
            <w:r w:rsidRPr="002F108B">
              <w:rPr>
                <w:lang w:val="en-NZ"/>
              </w:rPr>
              <w:t>Athletics</w:t>
            </w:r>
          </w:p>
        </w:tc>
        <w:tc>
          <w:tcPr>
            <w:tcW w:w="3350" w:type="dxa"/>
          </w:tcPr>
          <w:p w14:paraId="08F97573"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$1,412,553</w:t>
            </w:r>
          </w:p>
        </w:tc>
      </w:tr>
      <w:tr w:rsidR="00111804" w:rsidRPr="002F108B" w14:paraId="61EEC534" w14:textId="77777777" w:rsidTr="009467B2">
        <w:tc>
          <w:tcPr>
            <w:cnfStyle w:val="001000000000" w:firstRow="0" w:lastRow="0" w:firstColumn="1" w:lastColumn="0" w:oddVBand="0" w:evenVBand="0" w:oddHBand="0" w:evenHBand="0" w:firstRowFirstColumn="0" w:firstRowLastColumn="0" w:lastRowFirstColumn="0" w:lastRowLastColumn="0"/>
            <w:tcW w:w="4248" w:type="dxa"/>
          </w:tcPr>
          <w:p w14:paraId="6B5A6081" w14:textId="77777777" w:rsidR="00111804" w:rsidRPr="002F108B" w:rsidRDefault="00111804" w:rsidP="009467B2">
            <w:pPr>
              <w:spacing w:after="60"/>
              <w:rPr>
                <w:lang w:val="en-NZ"/>
              </w:rPr>
            </w:pPr>
            <w:r w:rsidRPr="002F108B">
              <w:rPr>
                <w:lang w:val="en-NZ"/>
              </w:rPr>
              <w:t>Equestrian/pony clubs</w:t>
            </w:r>
          </w:p>
        </w:tc>
        <w:tc>
          <w:tcPr>
            <w:tcW w:w="3350" w:type="dxa"/>
          </w:tcPr>
          <w:p w14:paraId="05351EE4"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lang w:val="en-NZ"/>
              </w:rPr>
            </w:pPr>
            <w:r w:rsidRPr="002F108B">
              <w:rPr>
                <w:lang w:val="en-NZ"/>
              </w:rPr>
              <w:t>$1,303,274</w:t>
            </w:r>
          </w:p>
        </w:tc>
      </w:tr>
      <w:tr w:rsidR="00111804" w:rsidRPr="002F108B" w14:paraId="6511C38E" w14:textId="77777777" w:rsidTr="00946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0103475" w14:textId="77777777" w:rsidR="00111804" w:rsidRPr="002F108B" w:rsidRDefault="00111804" w:rsidP="009467B2">
            <w:pPr>
              <w:spacing w:after="60"/>
              <w:rPr>
                <w:lang w:val="en-NZ"/>
              </w:rPr>
            </w:pPr>
            <w:r w:rsidRPr="002F108B">
              <w:rPr>
                <w:lang w:val="en-NZ"/>
              </w:rPr>
              <w:t>Motorsports</w:t>
            </w:r>
          </w:p>
        </w:tc>
        <w:tc>
          <w:tcPr>
            <w:tcW w:w="3350" w:type="dxa"/>
          </w:tcPr>
          <w:p w14:paraId="28B93ACE" w14:textId="77777777" w:rsidR="00111804" w:rsidRPr="002F108B" w:rsidRDefault="00111804" w:rsidP="009467B2">
            <w:pPr>
              <w:spacing w:after="60"/>
              <w:cnfStyle w:val="000000100000" w:firstRow="0" w:lastRow="0" w:firstColumn="0" w:lastColumn="0" w:oddVBand="0" w:evenVBand="0" w:oddHBand="1" w:evenHBand="0" w:firstRowFirstColumn="0" w:firstRowLastColumn="0" w:lastRowFirstColumn="0" w:lastRowLastColumn="0"/>
              <w:rPr>
                <w:lang w:val="en-NZ"/>
              </w:rPr>
            </w:pPr>
            <w:r w:rsidRPr="002F108B">
              <w:rPr>
                <w:lang w:val="en-NZ"/>
              </w:rPr>
              <w:t>$970,161</w:t>
            </w:r>
          </w:p>
        </w:tc>
      </w:tr>
      <w:tr w:rsidR="00111804" w:rsidRPr="002F108B" w14:paraId="252295DE" w14:textId="77777777" w:rsidTr="009467B2">
        <w:tc>
          <w:tcPr>
            <w:cnfStyle w:val="001000000000" w:firstRow="0" w:lastRow="0" w:firstColumn="1" w:lastColumn="0" w:oddVBand="0" w:evenVBand="0" w:oddHBand="0" w:evenHBand="0" w:firstRowFirstColumn="0" w:firstRowLastColumn="0" w:lastRowFirstColumn="0" w:lastRowLastColumn="0"/>
            <w:tcW w:w="4248" w:type="dxa"/>
            <w:shd w:val="clear" w:color="auto" w:fill="364D79" w:themeFill="accent1"/>
          </w:tcPr>
          <w:p w14:paraId="75880CCD" w14:textId="77777777" w:rsidR="00111804" w:rsidRPr="002F108B" w:rsidRDefault="00111804" w:rsidP="009467B2">
            <w:pPr>
              <w:spacing w:after="60"/>
              <w:rPr>
                <w:color w:val="FFFFFF" w:themeColor="background1"/>
                <w:sz w:val="24"/>
                <w:szCs w:val="24"/>
                <w:lang w:val="en-NZ"/>
              </w:rPr>
            </w:pPr>
            <w:r w:rsidRPr="002F108B">
              <w:rPr>
                <w:color w:val="FFFFFF" w:themeColor="background1"/>
                <w:sz w:val="24"/>
                <w:szCs w:val="24"/>
                <w:lang w:val="en-NZ"/>
              </w:rPr>
              <w:t>Total</w:t>
            </w:r>
          </w:p>
        </w:tc>
        <w:tc>
          <w:tcPr>
            <w:tcW w:w="3350" w:type="dxa"/>
            <w:shd w:val="clear" w:color="auto" w:fill="364D79" w:themeFill="accent1"/>
          </w:tcPr>
          <w:p w14:paraId="7F601C17" w14:textId="77777777" w:rsidR="00111804" w:rsidRPr="002F108B" w:rsidRDefault="00111804" w:rsidP="009467B2">
            <w:pPr>
              <w:spacing w:after="60"/>
              <w:cnfStyle w:val="000000000000" w:firstRow="0" w:lastRow="0" w:firstColumn="0" w:lastColumn="0" w:oddVBand="0" w:evenVBand="0" w:oddHBand="0" w:evenHBand="0" w:firstRowFirstColumn="0" w:firstRowLastColumn="0" w:lastRowFirstColumn="0" w:lastRowLastColumn="0"/>
              <w:rPr>
                <w:color w:val="FFFFFF" w:themeColor="background1"/>
                <w:sz w:val="24"/>
                <w:szCs w:val="24"/>
                <w:lang w:val="en-NZ"/>
              </w:rPr>
            </w:pPr>
            <w:r w:rsidRPr="002F108B">
              <w:rPr>
                <w:color w:val="FFFFFF" w:themeColor="background1"/>
                <w:sz w:val="24"/>
                <w:szCs w:val="24"/>
                <w:lang w:val="en-NZ"/>
              </w:rPr>
              <w:t>$120,444,774</w:t>
            </w:r>
          </w:p>
        </w:tc>
      </w:tr>
    </w:tbl>
    <w:p w14:paraId="172600E8" w14:textId="00632606" w:rsidR="00910DEF" w:rsidRPr="002F108B" w:rsidRDefault="00111804" w:rsidP="00910DEF">
      <w:pPr>
        <w:rPr>
          <w:lang w:val="en-NZ"/>
        </w:rPr>
      </w:pPr>
      <w:r w:rsidRPr="002F108B">
        <w:rPr>
          <w:lang w:val="en-NZ"/>
        </w:rPr>
        <w:t xml:space="preserve">Source: </w:t>
      </w:r>
      <w:r w:rsidR="00FC77DD" w:rsidRPr="002F108B">
        <w:rPr>
          <w:rFonts w:cs="Calibri"/>
          <w:lang w:val="en-NZ"/>
        </w:rPr>
        <w:t>(PGF Group et al., 2020)</w:t>
      </w:r>
      <w:r w:rsidRPr="002F108B">
        <w:rPr>
          <w:lang w:val="en-NZ"/>
        </w:rPr>
        <w:br/>
        <w:t>Reproduced by Malatest International.</w:t>
      </w:r>
    </w:p>
    <w:p w14:paraId="672AA28A" w14:textId="77777777" w:rsidR="00BB7DB4" w:rsidRDefault="00BB7DB4" w:rsidP="00707C25">
      <w:pPr>
        <w:rPr>
          <w:lang w:val="en-NZ"/>
        </w:rPr>
      </w:pPr>
    </w:p>
    <w:p w14:paraId="53744AE6" w14:textId="77777777" w:rsidR="00800D86" w:rsidRPr="00AD4A6C" w:rsidRDefault="00800D86" w:rsidP="00AD4A6C">
      <w:pPr>
        <w:pStyle w:val="TOCHeading"/>
        <w:rPr>
          <w:rFonts w:ascii="Calibri" w:hAnsi="Calibri" w:cs="Calibri"/>
          <w:b/>
          <w:bCs/>
          <w:sz w:val="28"/>
          <w:szCs w:val="28"/>
        </w:rPr>
      </w:pPr>
      <w:bookmarkStart w:id="198" w:name="_Toc76469817"/>
      <w:r w:rsidRPr="00AD4A6C">
        <w:rPr>
          <w:rFonts w:ascii="Calibri" w:hAnsi="Calibri" w:cs="Calibri"/>
          <w:b/>
          <w:bCs/>
          <w:sz w:val="28"/>
          <w:szCs w:val="28"/>
        </w:rPr>
        <w:lastRenderedPageBreak/>
        <w:t xml:space="preserve">Appendix </w:t>
      </w:r>
      <w:r w:rsidR="00506DEE" w:rsidRPr="00AD4A6C">
        <w:rPr>
          <w:rFonts w:ascii="Calibri" w:hAnsi="Calibri" w:cs="Calibri"/>
          <w:b/>
          <w:bCs/>
          <w:sz w:val="28"/>
          <w:szCs w:val="28"/>
        </w:rPr>
        <w:t>3: Online workforce survey</w:t>
      </w:r>
      <w:bookmarkEnd w:id="198"/>
    </w:p>
    <w:p w14:paraId="6947F95F" w14:textId="77777777" w:rsidR="00506DEE" w:rsidRPr="00E00715" w:rsidRDefault="00506DEE" w:rsidP="00506DEE">
      <w:pPr>
        <w:rPr>
          <w:b/>
          <w:bCs/>
          <w:color w:val="374E7A"/>
        </w:rPr>
      </w:pPr>
      <w:r w:rsidRPr="00E00715">
        <w:rPr>
          <w:b/>
          <w:bCs/>
          <w:color w:val="374E7A"/>
        </w:rPr>
        <w:t>Workforce survey respondent profile:</w:t>
      </w:r>
    </w:p>
    <w:p w14:paraId="09369864" w14:textId="77777777" w:rsidR="00506DEE" w:rsidRPr="002F108B" w:rsidRDefault="00506DEE" w:rsidP="00506DEE">
      <w:pPr>
        <w:pStyle w:val="Bulletpointindented"/>
        <w:rPr>
          <w:lang w:val="en-NZ"/>
        </w:rPr>
      </w:pPr>
      <w:r w:rsidRPr="002F108B">
        <w:rPr>
          <w:b/>
          <w:lang w:val="en-NZ"/>
        </w:rPr>
        <w:t xml:space="preserve">Gender: </w:t>
      </w:r>
      <w:r>
        <w:rPr>
          <w:bCs/>
          <w:lang w:val="en-NZ"/>
        </w:rPr>
        <w:t xml:space="preserve">Higher proportions of </w:t>
      </w:r>
      <w:r w:rsidRPr="002F108B">
        <w:rPr>
          <w:lang w:val="en-NZ"/>
        </w:rPr>
        <w:t>female</w:t>
      </w:r>
      <w:r>
        <w:rPr>
          <w:lang w:val="en-NZ"/>
        </w:rPr>
        <w:t>s</w:t>
      </w:r>
      <w:r w:rsidRPr="002F108B">
        <w:rPr>
          <w:lang w:val="en-NZ"/>
        </w:rPr>
        <w:t xml:space="preserve"> (64%)</w:t>
      </w:r>
      <w:r>
        <w:rPr>
          <w:lang w:val="en-NZ"/>
        </w:rPr>
        <w:t xml:space="preserve"> compared with </w:t>
      </w:r>
      <w:r w:rsidRPr="002F108B">
        <w:rPr>
          <w:lang w:val="en-NZ"/>
        </w:rPr>
        <w:t>male</w:t>
      </w:r>
      <w:r>
        <w:rPr>
          <w:lang w:val="en-NZ"/>
        </w:rPr>
        <w:t>s</w:t>
      </w:r>
      <w:r w:rsidRPr="002F108B">
        <w:rPr>
          <w:lang w:val="en-NZ"/>
        </w:rPr>
        <w:t xml:space="preserve"> (31%)</w:t>
      </w:r>
      <w:r>
        <w:rPr>
          <w:lang w:val="en-NZ"/>
        </w:rPr>
        <w:t xml:space="preserve"> and gender diverse (4%) respondents completed the survey</w:t>
      </w:r>
    </w:p>
    <w:p w14:paraId="0E80F6DE" w14:textId="77777777" w:rsidR="00506DEE" w:rsidRPr="002E2A64" w:rsidRDefault="00506DEE" w:rsidP="00506DEE">
      <w:pPr>
        <w:pStyle w:val="Bulletpointindented"/>
        <w:rPr>
          <w:lang w:val="en-NZ"/>
        </w:rPr>
      </w:pPr>
      <w:r w:rsidRPr="002F108B">
        <w:rPr>
          <w:b/>
          <w:lang w:val="en-NZ"/>
        </w:rPr>
        <w:t xml:space="preserve">Age: </w:t>
      </w:r>
      <w:r>
        <w:rPr>
          <w:bCs/>
          <w:lang w:val="en-NZ"/>
        </w:rPr>
        <w:t>Respondents represented a mature age group with many aged over 40 years: 60+ years (22%), 50-</w:t>
      </w:r>
      <w:r>
        <w:rPr>
          <w:lang w:val="en-NZ"/>
        </w:rPr>
        <w:t>59 years (25%), 40-49 years (25%). Others were aged 30-39 years (16%) or 20-29 years (10%)</w:t>
      </w:r>
    </w:p>
    <w:p w14:paraId="048B6184" w14:textId="77777777" w:rsidR="00506DEE" w:rsidRPr="002F108B" w:rsidRDefault="00506DEE" w:rsidP="00506DEE">
      <w:pPr>
        <w:pStyle w:val="Bulletpointindented"/>
        <w:rPr>
          <w:lang w:val="en-NZ"/>
        </w:rPr>
      </w:pPr>
      <w:r w:rsidRPr="002F108B">
        <w:rPr>
          <w:b/>
          <w:lang w:val="en-NZ"/>
        </w:rPr>
        <w:t>Ethnicity</w:t>
      </w:r>
      <w:r w:rsidRPr="002F108B">
        <w:rPr>
          <w:rStyle w:val="FootnoteReference"/>
          <w:b/>
          <w:lang w:val="en-NZ"/>
        </w:rPr>
        <w:footnoteReference w:id="51"/>
      </w:r>
      <w:r w:rsidRPr="002F108B">
        <w:rPr>
          <w:b/>
          <w:lang w:val="en-NZ"/>
        </w:rPr>
        <w:t>:</w:t>
      </w:r>
      <w:r w:rsidRPr="002F108B">
        <w:rPr>
          <w:lang w:val="en-NZ"/>
        </w:rPr>
        <w:t xml:space="preserve"> The most common ethnic group </w:t>
      </w:r>
      <w:r>
        <w:rPr>
          <w:lang w:val="en-NZ"/>
        </w:rPr>
        <w:t xml:space="preserve">respondents identified with </w:t>
      </w:r>
      <w:r w:rsidRPr="002F108B">
        <w:rPr>
          <w:lang w:val="en-NZ"/>
        </w:rPr>
        <w:t xml:space="preserve">was NZ European (43%), followed by </w:t>
      </w:r>
      <w:r>
        <w:rPr>
          <w:lang w:val="en-NZ"/>
        </w:rPr>
        <w:t>Pacific</w:t>
      </w:r>
      <w:r w:rsidRPr="002F108B">
        <w:rPr>
          <w:lang w:val="en-NZ"/>
        </w:rPr>
        <w:t xml:space="preserve"> (</w:t>
      </w:r>
      <w:r>
        <w:rPr>
          <w:lang w:val="en-NZ"/>
        </w:rPr>
        <w:t>30</w:t>
      </w:r>
      <w:r w:rsidRPr="002F108B">
        <w:rPr>
          <w:lang w:val="en-NZ"/>
        </w:rPr>
        <w:t>%)</w:t>
      </w:r>
      <w:r>
        <w:rPr>
          <w:lang w:val="en-NZ"/>
        </w:rPr>
        <w:t xml:space="preserve">, </w:t>
      </w:r>
      <w:r w:rsidRPr="002F108B">
        <w:rPr>
          <w:lang w:val="en-NZ"/>
        </w:rPr>
        <w:t>Māori (21%</w:t>
      </w:r>
      <w:r>
        <w:rPr>
          <w:lang w:val="en-NZ"/>
        </w:rPr>
        <w:t>), Asian (18%) and Other (18%)</w:t>
      </w:r>
      <w:r w:rsidRPr="002F108B">
        <w:rPr>
          <w:lang w:val="en-NZ"/>
        </w:rPr>
        <w:t xml:space="preserve">. </w:t>
      </w:r>
    </w:p>
    <w:p w14:paraId="7228C7A3" w14:textId="77777777" w:rsidR="00506DEE" w:rsidRPr="002F108B" w:rsidRDefault="00506DEE" w:rsidP="00506DEE">
      <w:pPr>
        <w:pStyle w:val="Bulletpointindented"/>
        <w:rPr>
          <w:lang w:val="en-NZ"/>
        </w:rPr>
      </w:pPr>
      <w:r w:rsidRPr="002F108B">
        <w:rPr>
          <w:b/>
          <w:lang w:val="en-NZ"/>
        </w:rPr>
        <w:t xml:space="preserve">Region: </w:t>
      </w:r>
      <w:r w:rsidRPr="002F108B">
        <w:rPr>
          <w:lang w:val="en-NZ"/>
        </w:rPr>
        <w:t xml:space="preserve">The majority of respondents were from the Auckland region (49%), followed by Wellington (16%) and Waikato (9%). </w:t>
      </w:r>
      <w:r>
        <w:rPr>
          <w:lang w:val="en-NZ"/>
        </w:rPr>
        <w:t>O</w:t>
      </w:r>
      <w:r w:rsidRPr="002F108B">
        <w:rPr>
          <w:lang w:val="en-NZ"/>
        </w:rPr>
        <w:t>ther regions represented included Canterbury, Hawkes Bay, Bay of Plenty, Manawatū-Wanganui, Otago and Gisborne.</w:t>
      </w:r>
    </w:p>
    <w:p w14:paraId="217FAB62" w14:textId="77777777" w:rsidR="00506DEE" w:rsidRPr="00D86A98" w:rsidRDefault="00506DEE" w:rsidP="00506DEE">
      <w:pPr>
        <w:pStyle w:val="Bulletpointindented"/>
        <w:rPr>
          <w:lang w:val="en-NZ"/>
        </w:rPr>
      </w:pPr>
      <w:r w:rsidRPr="00D86A98">
        <w:rPr>
          <w:b/>
          <w:lang w:val="en-NZ"/>
        </w:rPr>
        <w:t xml:space="preserve">Length of time working in the harmful gambling sector: </w:t>
      </w:r>
      <w:r w:rsidRPr="00D86A98">
        <w:rPr>
          <w:lang w:val="en-NZ"/>
        </w:rPr>
        <w:t xml:space="preserve">The </w:t>
      </w:r>
      <w:r>
        <w:rPr>
          <w:lang w:val="en-NZ"/>
        </w:rPr>
        <w:t xml:space="preserve">highest proportion </w:t>
      </w:r>
      <w:r w:rsidRPr="00D86A98">
        <w:rPr>
          <w:lang w:val="en-NZ"/>
        </w:rPr>
        <w:t xml:space="preserve">of respondents had worked </w:t>
      </w:r>
      <w:r w:rsidRPr="00D86A98">
        <w:rPr>
          <w:bCs/>
          <w:lang w:val="en-NZ"/>
        </w:rPr>
        <w:t xml:space="preserve">had worked for three to four years (41%), followed by five-ten years (20%), one to two years (17%), more than ten years (14%), and less than one </w:t>
      </w:r>
      <w:r>
        <w:rPr>
          <w:bCs/>
          <w:lang w:val="en-NZ"/>
        </w:rPr>
        <w:t>year</w:t>
      </w:r>
      <w:r w:rsidRPr="00D86A98">
        <w:rPr>
          <w:bCs/>
          <w:lang w:val="en-NZ"/>
        </w:rPr>
        <w:t xml:space="preserve"> (9%)</w:t>
      </w:r>
    </w:p>
    <w:p w14:paraId="39DE891F" w14:textId="77777777" w:rsidR="00506DEE" w:rsidRDefault="00506DEE" w:rsidP="00506DEE">
      <w:pPr>
        <w:pStyle w:val="Bulletpointindented"/>
        <w:rPr>
          <w:lang w:val="en-NZ"/>
        </w:rPr>
      </w:pPr>
      <w:r w:rsidRPr="002F108B">
        <w:rPr>
          <w:b/>
          <w:lang w:val="en-NZ"/>
        </w:rPr>
        <w:t xml:space="preserve">Type of </w:t>
      </w:r>
      <w:r>
        <w:rPr>
          <w:b/>
          <w:lang w:val="en-NZ"/>
        </w:rPr>
        <w:t>organisation</w:t>
      </w:r>
      <w:r w:rsidRPr="002F108B">
        <w:rPr>
          <w:b/>
          <w:lang w:val="en-NZ"/>
        </w:rPr>
        <w:t xml:space="preserve">: </w:t>
      </w:r>
      <w:r w:rsidRPr="002F108B">
        <w:rPr>
          <w:lang w:val="en-NZ"/>
        </w:rPr>
        <w:t>Most respondents worked for a mainstream service provider (44%), followed by a Pacific provider (26%), Māori provider (15%) and Asian provider (12%). A small percent</w:t>
      </w:r>
      <w:r>
        <w:rPr>
          <w:lang w:val="en-NZ"/>
        </w:rPr>
        <w:t>age</w:t>
      </w:r>
      <w:r w:rsidRPr="002F108B">
        <w:rPr>
          <w:lang w:val="en-NZ"/>
        </w:rPr>
        <w:t xml:space="preserve"> (3%) said they worked for an Other type of service, for example, a Māori team within a mainstream service. </w:t>
      </w:r>
    </w:p>
    <w:p w14:paraId="293F3EC8" w14:textId="77777777" w:rsidR="00506DEE" w:rsidRDefault="00506DEE" w:rsidP="00506DEE">
      <w:pPr>
        <w:pStyle w:val="Bulletpointindented"/>
        <w:rPr>
          <w:lang w:val="en-NZ"/>
        </w:rPr>
      </w:pPr>
      <w:r>
        <w:rPr>
          <w:b/>
          <w:lang w:val="en-NZ"/>
        </w:rPr>
        <w:t>Type of role:</w:t>
      </w:r>
      <w:r>
        <w:rPr>
          <w:lang w:val="en-NZ"/>
        </w:rPr>
        <w:t xml:space="preserve"> A high proportion of respondents worked in a Full-time role (86%), followed by half-time (5%) and Other (9%).</w:t>
      </w:r>
    </w:p>
    <w:p w14:paraId="7A58544C" w14:textId="77777777" w:rsidR="00506DEE" w:rsidRDefault="00506DEE" w:rsidP="00506DEE">
      <w:pPr>
        <w:pStyle w:val="Bulletpointindented"/>
        <w:rPr>
          <w:lang w:val="en-NZ"/>
        </w:rPr>
      </w:pPr>
      <w:r>
        <w:rPr>
          <w:b/>
          <w:lang w:val="en-NZ"/>
        </w:rPr>
        <w:t>Type of support:</w:t>
      </w:r>
      <w:r>
        <w:rPr>
          <w:lang w:val="en-NZ"/>
        </w:rPr>
        <w:t xml:space="preserve"> Respondents provided a range of services, including clinical interventions (33%), public health (21%), and both public health and clinical interventions (30%). Twelve percent of respondents were in managerial roles.</w:t>
      </w:r>
    </w:p>
    <w:p w14:paraId="65D65CD8" w14:textId="2F6A28FB" w:rsidR="00506DEE" w:rsidRPr="00506DEE" w:rsidRDefault="00506DEE" w:rsidP="00506DEE">
      <w:pPr>
        <w:rPr>
          <w:lang w:val="en-NZ"/>
        </w:rPr>
        <w:sectPr w:rsidR="00506DEE" w:rsidRPr="00506DEE" w:rsidSect="00C104D1">
          <w:headerReference w:type="default" r:id="rId95"/>
          <w:footerReference w:type="default" r:id="rId96"/>
          <w:pgSz w:w="11906" w:h="16838" w:code="9"/>
          <w:pgMar w:top="1985" w:right="1418" w:bottom="1985" w:left="2880" w:header="284" w:footer="567" w:gutter="0"/>
          <w:cols w:space="708"/>
          <w:docGrid w:linePitch="360"/>
        </w:sectPr>
      </w:pPr>
    </w:p>
    <w:p w14:paraId="12A7F476" w14:textId="2B161601" w:rsidR="00867448" w:rsidRDefault="0021381F" w:rsidP="005D530A">
      <w:pPr>
        <w:rPr>
          <w:b/>
          <w:bCs/>
          <w:color w:val="374E7A"/>
          <w:lang w:val="en-NZ"/>
        </w:rPr>
      </w:pPr>
      <w:r>
        <w:rPr>
          <w:b/>
          <w:bCs/>
          <w:color w:val="374E7A"/>
          <w:lang w:val="en-NZ"/>
        </w:rPr>
        <w:lastRenderedPageBreak/>
        <w:t xml:space="preserve">Workforce survey – progress against </w:t>
      </w:r>
      <w:r w:rsidR="001D6A9F">
        <w:rPr>
          <w:b/>
          <w:bCs/>
          <w:color w:val="374E7A"/>
          <w:lang w:val="en-NZ"/>
        </w:rPr>
        <w:t>Objective</w:t>
      </w:r>
      <w:r>
        <w:rPr>
          <w:b/>
          <w:bCs/>
          <w:color w:val="374E7A"/>
          <w:lang w:val="en-NZ"/>
        </w:rPr>
        <w:t>s in the Strategy</w:t>
      </w:r>
    </w:p>
    <w:p w14:paraId="7B8E9BE5" w14:textId="77777777" w:rsidR="0021381F" w:rsidRDefault="0021381F" w:rsidP="0021381F">
      <w:pPr>
        <w:keepNext/>
      </w:pPr>
      <w:r>
        <w:rPr>
          <w:b/>
          <w:bCs/>
          <w:noProof/>
          <w:color w:val="374E7A"/>
          <w:lang w:val="en-NZ"/>
        </w:rPr>
        <w:drawing>
          <wp:inline distT="0" distB="0" distL="0" distR="0" wp14:anchorId="3D7553DD" wp14:editId="659AFD38">
            <wp:extent cx="5830570" cy="53591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b="5278"/>
                    <a:stretch/>
                  </pic:blipFill>
                  <pic:spPr bwMode="auto">
                    <a:xfrm>
                      <a:off x="0" y="0"/>
                      <a:ext cx="5834842" cy="5363106"/>
                    </a:xfrm>
                    <a:prstGeom prst="rect">
                      <a:avLst/>
                    </a:prstGeom>
                    <a:noFill/>
                    <a:ln>
                      <a:noFill/>
                    </a:ln>
                    <a:extLst>
                      <a:ext uri="{53640926-AAD7-44D8-BBD7-CCE9431645EC}">
                        <a14:shadowObscured xmlns:a14="http://schemas.microsoft.com/office/drawing/2010/main"/>
                      </a:ext>
                    </a:extLst>
                  </pic:spPr>
                </pic:pic>
              </a:graphicData>
            </a:graphic>
          </wp:inline>
        </w:drawing>
      </w:r>
    </w:p>
    <w:p w14:paraId="2BFB379B" w14:textId="1DD3BD03" w:rsidR="0021381F" w:rsidRPr="0021381F" w:rsidRDefault="0021381F" w:rsidP="002B4028">
      <w:pPr>
        <w:pStyle w:val="Caption"/>
        <w:rPr>
          <w:bCs/>
          <w:color w:val="374E7A"/>
          <w:lang w:val="en-NZ"/>
        </w:rPr>
      </w:pPr>
      <w:bookmarkStart w:id="199" w:name="_Toc72752876"/>
      <w:r>
        <w:t xml:space="preserve">Figure </w:t>
      </w:r>
      <w:r>
        <w:fldChar w:fldCharType="begin"/>
      </w:r>
      <w:r>
        <w:instrText xml:space="preserve"> SEQ Figure \* ARABIC </w:instrText>
      </w:r>
      <w:r>
        <w:fldChar w:fldCharType="separate"/>
      </w:r>
      <w:r w:rsidR="009B1BDF">
        <w:rPr>
          <w:noProof/>
        </w:rPr>
        <w:t>11</w:t>
      </w:r>
      <w:r>
        <w:fldChar w:fldCharType="end"/>
      </w:r>
      <w:r>
        <w:t xml:space="preserve">: Respondent’s views about progress made against </w:t>
      </w:r>
      <w:r w:rsidR="001D6A9F">
        <w:t>Objective</w:t>
      </w:r>
      <w:r>
        <w:t>s in the Strategy.</w:t>
      </w:r>
      <w:bookmarkEnd w:id="199"/>
    </w:p>
    <w:p w14:paraId="4252C7B3" w14:textId="77777777" w:rsidR="00A206B3" w:rsidRDefault="00A206B3" w:rsidP="005D530A">
      <w:pPr>
        <w:rPr>
          <w:lang w:val="en-NZ"/>
        </w:rPr>
      </w:pPr>
    </w:p>
    <w:p w14:paraId="02B2EC39" w14:textId="77777777" w:rsidR="00A206B3" w:rsidRDefault="00A206B3" w:rsidP="005D530A">
      <w:pPr>
        <w:rPr>
          <w:lang w:val="en-NZ"/>
        </w:rPr>
      </w:pPr>
    </w:p>
    <w:p w14:paraId="65A51881" w14:textId="77777777" w:rsidR="00A206B3" w:rsidRDefault="00A206B3" w:rsidP="005D530A">
      <w:pPr>
        <w:rPr>
          <w:lang w:val="en-NZ"/>
        </w:rPr>
      </w:pPr>
    </w:p>
    <w:p w14:paraId="56A831B1" w14:textId="77777777" w:rsidR="00A206B3" w:rsidRDefault="00A206B3" w:rsidP="005D530A">
      <w:pPr>
        <w:rPr>
          <w:lang w:val="en-NZ"/>
        </w:rPr>
      </w:pPr>
    </w:p>
    <w:p w14:paraId="151538AD" w14:textId="77777777" w:rsidR="00A206B3" w:rsidRDefault="00A206B3" w:rsidP="005D530A">
      <w:pPr>
        <w:rPr>
          <w:lang w:val="en-NZ"/>
        </w:rPr>
      </w:pPr>
    </w:p>
    <w:p w14:paraId="362F9F50" w14:textId="77777777" w:rsidR="00A206B3" w:rsidRDefault="00A206B3" w:rsidP="005D530A">
      <w:pPr>
        <w:rPr>
          <w:lang w:val="en-NZ"/>
        </w:rPr>
      </w:pPr>
    </w:p>
    <w:p w14:paraId="778F26C9" w14:textId="77777777" w:rsidR="00A206B3" w:rsidRDefault="00A206B3" w:rsidP="005D530A">
      <w:pPr>
        <w:rPr>
          <w:lang w:val="en-NZ"/>
        </w:rPr>
      </w:pPr>
    </w:p>
    <w:p w14:paraId="47BB61AA" w14:textId="77777777" w:rsidR="00A206B3" w:rsidRDefault="00A206B3" w:rsidP="005D530A">
      <w:pPr>
        <w:rPr>
          <w:lang w:val="en-NZ"/>
        </w:rPr>
      </w:pPr>
    </w:p>
    <w:p w14:paraId="313AA274" w14:textId="77777777" w:rsidR="00A206B3" w:rsidRDefault="00A206B3" w:rsidP="005D530A">
      <w:pPr>
        <w:rPr>
          <w:lang w:val="en-NZ"/>
        </w:rPr>
      </w:pPr>
    </w:p>
    <w:p w14:paraId="30185845" w14:textId="77777777" w:rsidR="001077AA" w:rsidRDefault="001077AA" w:rsidP="001077AA">
      <w:pPr>
        <w:keepNext/>
      </w:pPr>
      <w:r>
        <w:rPr>
          <w:noProof/>
          <w:lang w:val="en-NZ"/>
        </w:rPr>
        <w:drawing>
          <wp:inline distT="0" distB="0" distL="0" distR="0" wp14:anchorId="3D21616E" wp14:editId="719C02E4">
            <wp:extent cx="5450885" cy="2592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9262"/>
                    <a:stretch/>
                  </pic:blipFill>
                  <pic:spPr bwMode="auto">
                    <a:xfrm>
                      <a:off x="0" y="0"/>
                      <a:ext cx="5514016" cy="2622147"/>
                    </a:xfrm>
                    <a:prstGeom prst="rect">
                      <a:avLst/>
                    </a:prstGeom>
                    <a:noFill/>
                    <a:ln>
                      <a:noFill/>
                    </a:ln>
                    <a:extLst>
                      <a:ext uri="{53640926-AAD7-44D8-BBD7-CCE9431645EC}">
                        <a14:shadowObscured xmlns:a14="http://schemas.microsoft.com/office/drawing/2010/main"/>
                      </a:ext>
                    </a:extLst>
                  </pic:spPr>
                </pic:pic>
              </a:graphicData>
            </a:graphic>
          </wp:inline>
        </w:drawing>
      </w:r>
    </w:p>
    <w:p w14:paraId="56ED338A" w14:textId="587AE368" w:rsidR="00D8597B" w:rsidRPr="002F108B" w:rsidRDefault="001077AA" w:rsidP="002B4028">
      <w:pPr>
        <w:pStyle w:val="Caption"/>
        <w:rPr>
          <w:lang w:val="en-NZ"/>
        </w:rPr>
      </w:pPr>
      <w:bookmarkStart w:id="200" w:name="_Toc72752877"/>
      <w:r>
        <w:t xml:space="preserve">Figure </w:t>
      </w:r>
      <w:r>
        <w:fldChar w:fldCharType="begin"/>
      </w:r>
      <w:r>
        <w:instrText xml:space="preserve"> SEQ Figure \* ARABIC </w:instrText>
      </w:r>
      <w:r>
        <w:fldChar w:fldCharType="separate"/>
      </w:r>
      <w:r w:rsidR="009B1BDF">
        <w:rPr>
          <w:noProof/>
        </w:rPr>
        <w:t>12</w:t>
      </w:r>
      <w:r>
        <w:fldChar w:fldCharType="end"/>
      </w:r>
      <w:r>
        <w:t xml:space="preserve">: </w:t>
      </w:r>
      <w:r w:rsidR="00805ACD">
        <w:t xml:space="preserve">Respondents’ views about challenges faced in </w:t>
      </w:r>
      <w:r w:rsidR="00130396">
        <w:t>delivering services and support to clients</w:t>
      </w:r>
      <w:bookmarkEnd w:id="200"/>
    </w:p>
    <w:sectPr w:rsidR="00D8597B" w:rsidRPr="002F108B" w:rsidSect="00C104D1">
      <w:footerReference w:type="default" r:id="rId99"/>
      <w:pgSz w:w="11906" w:h="16838" w:code="9"/>
      <w:pgMar w:top="1985" w:right="1418" w:bottom="1985"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9081A" w14:textId="77777777" w:rsidR="000024E2" w:rsidRDefault="000024E2" w:rsidP="00BE490C">
      <w:r>
        <w:separator/>
      </w:r>
    </w:p>
    <w:p w14:paraId="5678C328" w14:textId="77777777" w:rsidR="000024E2" w:rsidRDefault="000024E2"/>
  </w:endnote>
  <w:endnote w:type="continuationSeparator" w:id="0">
    <w:p w14:paraId="48DC8963" w14:textId="77777777" w:rsidR="000024E2" w:rsidRDefault="000024E2" w:rsidP="00BE490C">
      <w:r>
        <w:continuationSeparator/>
      </w:r>
    </w:p>
    <w:p w14:paraId="4F8F7D7F" w14:textId="77777777" w:rsidR="000024E2" w:rsidRDefault="000024E2"/>
  </w:endnote>
  <w:endnote w:type="continuationNotice" w:id="1">
    <w:p w14:paraId="5A4D53EF" w14:textId="77777777" w:rsidR="000024E2" w:rsidRDefault="000024E2">
      <w:pPr>
        <w:spacing w:before="0" w:after="0" w:line="240" w:lineRule="auto"/>
      </w:pPr>
    </w:p>
    <w:p w14:paraId="6399CB25" w14:textId="77777777" w:rsidR="000024E2" w:rsidRDefault="000024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cumin Pro">
    <w:altName w:val="Calibri"/>
    <w:panose1 w:val="00000000000000000000"/>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25912" w14:textId="77777777" w:rsidR="00FC2F41" w:rsidRDefault="00FC2F41" w:rsidP="00E32BFE">
    <w:pPr>
      <w:pStyle w:val="Footer"/>
    </w:pPr>
    <w:r>
      <w:rPr>
        <w:noProof/>
      </w:rPr>
      <mc:AlternateContent>
        <mc:Choice Requires="wps">
          <w:drawing>
            <wp:anchor distT="0" distB="0" distL="114300" distR="114300" simplePos="0" relativeHeight="251658244" behindDoc="0" locked="0" layoutInCell="1" allowOverlap="1" wp14:anchorId="2DD04C19" wp14:editId="2B0423B0">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E5C9" w14:textId="77777777" w:rsidR="00FC2F41" w:rsidRPr="00AA4389" w:rsidRDefault="00FC2F41" w:rsidP="00E32BFE">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04C19" id="_x0000_t202" coordsize="21600,21600" o:spt="202" path="m,l,21600r21600,l21600,xe">
              <v:stroke joinstyle="miter"/>
              <v:path gradientshapeok="t" o:connecttype="rect"/>
            </v:shapetype>
            <v:shape id="Text Box 2" o:spid="_x0000_s1026" type="#_x0000_t202" style="position:absolute;margin-left:494.05pt;margin-top:35.7pt;width:43.85pt;height:2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" filled="f" stroked="f">
              <v:textbox inset=",.1mm,,.1mm">
                <w:txbxContent>
                  <w:p w14:paraId="2B03E5C9" w14:textId="77777777" w:rsidR="00FC2F41" w:rsidRPr="00AA4389" w:rsidRDefault="00FC2F41" w:rsidP="00E32BFE">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8D9F126" wp14:editId="3C053352">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0811" w14:textId="77777777" w:rsidR="00FC2F41" w:rsidRPr="00AA4389" w:rsidRDefault="00FC2F41" w:rsidP="00E32BFE">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D9F126" id="_x0000_s1027" type="#_x0000_t202" style="position:absolute;margin-left:1.3pt;margin-top:34.1pt;width:288.35pt;height:17.6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" filled="f" stroked="f">
              <v:textbox style="mso-fit-shape-to-text:t">
                <w:txbxContent>
                  <w:p w14:paraId="4F930811" w14:textId="77777777" w:rsidR="00FC2F41" w:rsidRPr="00AA4389" w:rsidRDefault="00FC2F41" w:rsidP="00E32BFE">
                    <w:r w:rsidRPr="00AA4389">
                      <w:t>www.malatest-intl.com</w:t>
                    </w:r>
                    <w:r w:rsidRPr="00AA4389">
                      <w:tab/>
                    </w:r>
                    <w:r>
                      <w:t xml:space="preserve">Report </w:t>
                    </w:r>
                    <w:proofErr w:type="spellStart"/>
                    <w:r>
                      <w:t>Name</w:t>
                    </w:r>
                    <w:proofErr w:type="spellEnd"/>
                    <w:r>
                      <w:t xml:space="preserve"> + </w:t>
                    </w:r>
                    <w:proofErr w:type="spellStart"/>
                    <w:r>
                      <w:t>Date</w:t>
                    </w:r>
                    <w:proofErr w:type="spellEnd"/>
                  </w:p>
                </w:txbxContent>
              </v:textbox>
            </v:shape>
          </w:pict>
        </mc:Fallback>
      </mc:AlternateContent>
    </w:r>
    <w:r>
      <w:rPr>
        <w:noProof/>
      </w:rPr>
      <w:drawing>
        <wp:inline distT="0" distB="0" distL="0" distR="0" wp14:anchorId="2E8E9593" wp14:editId="2F0CF881">
          <wp:extent cx="6838950" cy="609600"/>
          <wp:effectExtent l="0" t="0" r="0" b="0"/>
          <wp:docPr id="18" name="Picture 18"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rPr>
      <mc:AlternateContent>
        <mc:Choice Requires="wps">
          <w:drawing>
            <wp:anchor distT="0" distB="0" distL="114300" distR="114300" simplePos="0" relativeHeight="251658241" behindDoc="0" locked="0" layoutInCell="1" allowOverlap="1" wp14:anchorId="1FA62703" wp14:editId="44334FC4">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948EB" w14:textId="77777777" w:rsidR="00FC2F41" w:rsidRPr="006E489F" w:rsidRDefault="00FC2F41" w:rsidP="00E32BFE">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62703" id="_x0000_s1028" type="#_x0000_t202" style="position:absolute;margin-left:7.8pt;margin-top:251.65pt;width:520.3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" filled="f" stroked="f">
              <v:textbox>
                <w:txbxContent>
                  <w:p w14:paraId="56A948EB" w14:textId="77777777" w:rsidR="00FC2F41" w:rsidRPr="006E489F" w:rsidRDefault="00FC2F41" w:rsidP="00E32BFE">
                    <w:r w:rsidRPr="006E489F">
                      <w:t>www.malatest-intl.com</w:t>
                    </w:r>
                    <w:r w:rsidRPr="006E489F">
                      <w:tab/>
                      <w:t>info@malatest-intl.com</w:t>
                    </w:r>
                    <w:r w:rsidRPr="006E489F">
                      <w:tab/>
                      <w:t>(04) 212 4566 or 0800 002 577</w:t>
                    </w:r>
                    <w:r w:rsidRPr="006E489F">
                      <w:tab/>
                      <w:t xml:space="preserve">PO </w:t>
                    </w:r>
                    <w:proofErr w:type="spellStart"/>
                    <w:r w:rsidRPr="006E489F">
                      <w:t>Box</w:t>
                    </w:r>
                    <w:proofErr w:type="spellEnd"/>
                    <w:r w:rsidRPr="006E489F">
                      <w:t xml:space="preserve"> 5584, </w:t>
                    </w:r>
                    <w:proofErr w:type="spellStart"/>
                    <w:r w:rsidRPr="006E489F">
                      <w:t>Wellington</w:t>
                    </w:r>
                    <w:proofErr w:type="spellEnd"/>
                    <w:r w:rsidRPr="006E489F">
                      <w:t>, 6145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57C4D" w14:textId="77777777" w:rsidR="00FC2F41" w:rsidRDefault="00FC2F41" w:rsidP="00E32BFE">
    <w:pPr>
      <w:pStyle w:val="Footer"/>
    </w:pPr>
    <w:r>
      <w:rPr>
        <w:noProof/>
      </w:rPr>
      <w:drawing>
        <wp:anchor distT="0" distB="0" distL="114300" distR="114300" simplePos="0" relativeHeight="251658245" behindDoc="0" locked="0" layoutInCell="1" allowOverlap="1" wp14:anchorId="7A4296A3" wp14:editId="6799EC17">
          <wp:simplePos x="0" y="0"/>
          <wp:positionH relativeFrom="page">
            <wp:posOffset>506437</wp:posOffset>
          </wp:positionH>
          <wp:positionV relativeFrom="paragraph">
            <wp:posOffset>-2706370</wp:posOffset>
          </wp:positionV>
          <wp:extent cx="6638027" cy="2792779"/>
          <wp:effectExtent l="0" t="0" r="0" b="7620"/>
          <wp:wrapNone/>
          <wp:docPr id="21" name="Picture 21"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17031862" wp14:editId="6CCB1BE6">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49EC" w14:textId="77777777" w:rsidR="00FC2F41" w:rsidRPr="00F24C38" w:rsidRDefault="00FC2F41" w:rsidP="00E32BFE">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031862" id="_x0000_t202" coordsize="21600,21600" o:spt="202" path="m,l,21600r21600,l21600,xe">
              <v:stroke joinstyle="miter"/>
              <v:path gradientshapeok="t" o:connecttype="rect"/>
            </v:shapetype>
            <v:shape id="_x0000_s1029" type="#_x0000_t202" style="position:absolute;margin-left:10.85pt;margin-top:241.85pt;width:518.05pt;height:24.2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" filled="f" stroked="f">
              <v:textbox style="mso-fit-shape-to-text:t">
                <w:txbxContent>
                  <w:p w14:paraId="375F49EC" w14:textId="77777777" w:rsidR="00FC2F41" w:rsidRPr="00F24C38" w:rsidRDefault="00FC2F41" w:rsidP="00E32BFE">
                    <w:r w:rsidRPr="00F24C38">
                      <w:t>www.malatest-intl.com</w:t>
                    </w:r>
                    <w:r w:rsidRPr="00F24C38">
                      <w:tab/>
                      <w:t>info@malatest-intl.com</w:t>
                    </w:r>
                    <w:r w:rsidRPr="00F24C38">
                      <w:tab/>
                      <w:t>(04) 212 4566 or 0800 002 577</w:t>
                    </w:r>
                    <w:r w:rsidRPr="00F24C38">
                      <w:tab/>
                      <w:t xml:space="preserve">PO </w:t>
                    </w:r>
                    <w:proofErr w:type="spellStart"/>
                    <w:r w:rsidRPr="00F24C38">
                      <w:t>Box</w:t>
                    </w:r>
                    <w:proofErr w:type="spellEnd"/>
                    <w:r w:rsidRPr="00F24C38">
                      <w:t xml:space="preserve"> 5584, </w:t>
                    </w:r>
                    <w:proofErr w:type="spellStart"/>
                    <w:r w:rsidRPr="00F24C38">
                      <w:t>Wellington</w:t>
                    </w:r>
                    <w:proofErr w:type="spellEnd"/>
                    <w:r w:rsidRPr="00F24C38">
                      <w:t>, 6145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7877" w14:textId="4A8A07D7" w:rsidR="00FC2F41" w:rsidRPr="007C396C" w:rsidRDefault="00FC2F41" w:rsidP="00B44299">
    <w:pPr>
      <w:ind w:left="-1276" w:right="-1418" w:firstLine="1418"/>
      <w:rPr>
        <w:sz w:val="20"/>
        <w:szCs w:val="20"/>
      </w:rPr>
    </w:pPr>
    <w:r w:rsidRPr="007C396C">
      <w:rPr>
        <w:noProof/>
        <w:sz w:val="20"/>
        <w:szCs w:val="20"/>
      </w:rPr>
      <w:drawing>
        <wp:anchor distT="0" distB="0" distL="114300" distR="114300" simplePos="0" relativeHeight="251645952" behindDoc="1" locked="0" layoutInCell="1" allowOverlap="1" wp14:anchorId="00FC8E55" wp14:editId="5938DC89">
          <wp:simplePos x="0" y="0"/>
          <wp:positionH relativeFrom="margin">
            <wp:posOffset>-905841</wp:posOffset>
          </wp:positionH>
          <wp:positionV relativeFrom="paragraph">
            <wp:posOffset>-3175</wp:posOffset>
          </wp:positionV>
          <wp:extent cx="5809615" cy="45719"/>
          <wp:effectExtent l="0" t="0" r="0" b="0"/>
          <wp:wrapNone/>
          <wp:docPr id="46"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396C">
      <w:rPr>
        <w:sz w:val="20"/>
        <w:szCs w:val="20"/>
        <w:lang w:val="en-NZ"/>
      </w:rPr>
      <w:ptab w:relativeTo="margin" w:alignment="center" w:leader="none"/>
    </w:r>
    <w:r w:rsidRPr="00391594">
      <w:rPr>
        <w:sz w:val="20"/>
        <w:szCs w:val="20"/>
        <w:lang w:val="en-NZ"/>
      </w:rPr>
      <w:ptab w:relativeTo="indent" w:alignment="left" w:leader="none"/>
    </w:r>
    <w:r w:rsidRPr="00391594">
      <w:rPr>
        <w:sz w:val="20"/>
        <w:szCs w:val="20"/>
        <w:lang w:val="en-NZ"/>
      </w:rPr>
      <w:t>w</w:t>
    </w:r>
    <w:r w:rsidRPr="007C396C">
      <w:rPr>
        <w:sz w:val="20"/>
        <w:szCs w:val="20"/>
        <w:lang w:val="en-NZ"/>
      </w:rPr>
      <w:t xml:space="preserve">ww.malatest-intl.com </w:t>
    </w:r>
    <w:r w:rsidRPr="007C396C">
      <w:rPr>
        <w:sz w:val="20"/>
        <w:szCs w:val="20"/>
        <w:lang w:val="en-NZ"/>
      </w:rPr>
      <w:ptab w:relativeTo="indent" w:alignment="center" w:leader="none"/>
    </w:r>
    <w:r w:rsidR="00B44299">
      <w:rPr>
        <w:sz w:val="20"/>
        <w:szCs w:val="20"/>
        <w:lang w:val="en-NZ"/>
      </w:rPr>
      <w:t xml:space="preserve">               </w:t>
    </w:r>
    <w:r w:rsidRPr="007C396C">
      <w:rPr>
        <w:sz w:val="20"/>
        <w:szCs w:val="20"/>
        <w:lang w:val="en-NZ"/>
      </w:rPr>
      <w:t>Gambling Harm Needs Assessment 2021</w:t>
    </w:r>
    <w:r w:rsidRPr="007C396C">
      <w:rPr>
        <w:sz w:val="20"/>
        <w:szCs w:val="20"/>
        <w:lang w:val="en-NZ"/>
      </w:rPr>
      <w:ptab w:relativeTo="margin" w:alignment="right" w:leader="none"/>
    </w:r>
    <w:r w:rsidRPr="007C396C">
      <w:rPr>
        <w:sz w:val="20"/>
        <w:szCs w:val="20"/>
        <w:lang w:val="en-NZ"/>
      </w:rPr>
      <w:fldChar w:fldCharType="begin"/>
    </w:r>
    <w:r w:rsidRPr="007C396C">
      <w:rPr>
        <w:sz w:val="20"/>
        <w:szCs w:val="20"/>
        <w:lang w:val="en-NZ"/>
      </w:rPr>
      <w:instrText xml:space="preserve"> PAGE   \* MERGEFORMAT </w:instrText>
    </w:r>
    <w:r w:rsidRPr="007C396C">
      <w:rPr>
        <w:sz w:val="20"/>
        <w:szCs w:val="20"/>
        <w:lang w:val="en-NZ"/>
      </w:rPr>
      <w:fldChar w:fldCharType="separate"/>
    </w:r>
    <w:r w:rsidRPr="007C396C">
      <w:rPr>
        <w:noProof/>
        <w:sz w:val="20"/>
        <w:szCs w:val="20"/>
        <w:lang w:val="en-NZ"/>
      </w:rPr>
      <w:t>1</w:t>
    </w:r>
    <w:r w:rsidRPr="007C396C">
      <w:rPr>
        <w:noProof/>
        <w:sz w:val="20"/>
        <w:szCs w:val="20"/>
        <w:lang w:val="en-NZ"/>
      </w:rPr>
      <w:fldChar w:fldCharType="end"/>
    </w:r>
  </w:p>
  <w:p w14:paraId="4AFF4695" w14:textId="77777777" w:rsidR="00FC2F41" w:rsidRDefault="00FC2F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48B10" w14:textId="77777777" w:rsidR="00286D3C" w:rsidRPr="007C396C" w:rsidRDefault="00286D3C" w:rsidP="00B44299">
    <w:pPr>
      <w:ind w:left="-1276" w:right="-1418" w:firstLine="1418"/>
      <w:rPr>
        <w:sz w:val="20"/>
        <w:szCs w:val="20"/>
      </w:rPr>
    </w:pPr>
    <w:r w:rsidRPr="007C396C">
      <w:rPr>
        <w:noProof/>
        <w:sz w:val="20"/>
        <w:szCs w:val="20"/>
      </w:rPr>
      <w:drawing>
        <wp:anchor distT="0" distB="0" distL="114300" distR="114300" simplePos="0" relativeHeight="251682816" behindDoc="1" locked="0" layoutInCell="1" allowOverlap="1" wp14:anchorId="756AFC74" wp14:editId="2463E85A">
          <wp:simplePos x="0" y="0"/>
          <wp:positionH relativeFrom="margin">
            <wp:posOffset>-905841</wp:posOffset>
          </wp:positionH>
          <wp:positionV relativeFrom="paragraph">
            <wp:posOffset>-3175</wp:posOffset>
          </wp:positionV>
          <wp:extent cx="5809615" cy="45719"/>
          <wp:effectExtent l="0" t="0" r="0" b="0"/>
          <wp:wrapNone/>
          <wp:docPr id="47"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396C">
      <w:rPr>
        <w:sz w:val="20"/>
        <w:szCs w:val="20"/>
        <w:lang w:val="en-NZ"/>
      </w:rPr>
      <w:ptab w:relativeTo="margin" w:alignment="center" w:leader="none"/>
    </w:r>
    <w:r w:rsidRPr="00391594">
      <w:rPr>
        <w:sz w:val="20"/>
        <w:szCs w:val="20"/>
        <w:lang w:val="en-NZ"/>
      </w:rPr>
      <w:ptab w:relativeTo="indent" w:alignment="left" w:leader="none"/>
    </w:r>
    <w:r w:rsidRPr="00391594">
      <w:rPr>
        <w:sz w:val="20"/>
        <w:szCs w:val="20"/>
        <w:lang w:val="en-NZ"/>
      </w:rPr>
      <w:t>w</w:t>
    </w:r>
    <w:r w:rsidRPr="007C396C">
      <w:rPr>
        <w:sz w:val="20"/>
        <w:szCs w:val="20"/>
        <w:lang w:val="en-NZ"/>
      </w:rPr>
      <w:t xml:space="preserve">ww.malatest-intl.com </w:t>
    </w:r>
    <w:r w:rsidRPr="007C396C">
      <w:rPr>
        <w:sz w:val="20"/>
        <w:szCs w:val="20"/>
        <w:lang w:val="en-NZ"/>
      </w:rPr>
      <w:ptab w:relativeTo="indent" w:alignment="center" w:leader="none"/>
    </w:r>
    <w:r>
      <w:rPr>
        <w:sz w:val="20"/>
        <w:szCs w:val="20"/>
        <w:lang w:val="en-NZ"/>
      </w:rPr>
      <w:t xml:space="preserve">               </w:t>
    </w:r>
    <w:r w:rsidRPr="007C396C">
      <w:rPr>
        <w:sz w:val="20"/>
        <w:szCs w:val="20"/>
        <w:lang w:val="en-NZ"/>
      </w:rPr>
      <w:t>Gambling Harm Needs Assessment 2021</w:t>
    </w:r>
    <w:r w:rsidRPr="007C396C">
      <w:rPr>
        <w:sz w:val="20"/>
        <w:szCs w:val="20"/>
        <w:lang w:val="en-NZ"/>
      </w:rPr>
      <w:ptab w:relativeTo="margin" w:alignment="right" w:leader="none"/>
    </w:r>
    <w:r w:rsidRPr="007C396C">
      <w:rPr>
        <w:sz w:val="20"/>
        <w:szCs w:val="20"/>
        <w:lang w:val="en-NZ"/>
      </w:rPr>
      <w:fldChar w:fldCharType="begin"/>
    </w:r>
    <w:r w:rsidRPr="007C396C">
      <w:rPr>
        <w:sz w:val="20"/>
        <w:szCs w:val="20"/>
        <w:lang w:val="en-NZ"/>
      </w:rPr>
      <w:instrText xml:space="preserve"> PAGE   \* MERGEFORMAT </w:instrText>
    </w:r>
    <w:r w:rsidRPr="007C396C">
      <w:rPr>
        <w:sz w:val="20"/>
        <w:szCs w:val="20"/>
        <w:lang w:val="en-NZ"/>
      </w:rPr>
      <w:fldChar w:fldCharType="separate"/>
    </w:r>
    <w:r w:rsidRPr="007C396C">
      <w:rPr>
        <w:noProof/>
        <w:sz w:val="20"/>
        <w:szCs w:val="20"/>
        <w:lang w:val="en-NZ"/>
      </w:rPr>
      <w:t>1</w:t>
    </w:r>
    <w:r w:rsidRPr="007C396C">
      <w:rPr>
        <w:noProof/>
        <w:sz w:val="20"/>
        <w:szCs w:val="20"/>
        <w:lang w:val="en-NZ"/>
      </w:rPr>
      <w:fldChar w:fldCharType="end"/>
    </w:r>
  </w:p>
  <w:p w14:paraId="6297D248" w14:textId="77777777" w:rsidR="00286D3C" w:rsidRDefault="00286D3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B057" w14:textId="7E0EAAC5" w:rsidR="00B44299" w:rsidRPr="007C396C" w:rsidRDefault="00B44299" w:rsidP="00B44299">
    <w:pPr>
      <w:ind w:left="-426" w:right="-1418" w:firstLine="1418"/>
      <w:rPr>
        <w:sz w:val="20"/>
        <w:szCs w:val="20"/>
      </w:rPr>
    </w:pPr>
    <w:r w:rsidRPr="007C396C">
      <w:rPr>
        <w:noProof/>
        <w:sz w:val="20"/>
        <w:szCs w:val="20"/>
      </w:rPr>
      <w:drawing>
        <wp:anchor distT="0" distB="0" distL="114300" distR="114300" simplePos="0" relativeHeight="251674624" behindDoc="1" locked="0" layoutInCell="1" allowOverlap="1" wp14:anchorId="5622F703" wp14:editId="380B95BD">
          <wp:simplePos x="0" y="0"/>
          <wp:positionH relativeFrom="margin">
            <wp:posOffset>1963814</wp:posOffset>
          </wp:positionH>
          <wp:positionV relativeFrom="paragraph">
            <wp:posOffset>91418</wp:posOffset>
          </wp:positionV>
          <wp:extent cx="5809615" cy="45719"/>
          <wp:effectExtent l="0" t="0" r="0" b="0"/>
          <wp:wrapNone/>
          <wp:docPr id="49"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396C">
      <w:rPr>
        <w:sz w:val="20"/>
        <w:szCs w:val="20"/>
        <w:lang w:val="en-NZ"/>
      </w:rPr>
      <w:ptab w:relativeTo="margin" w:alignment="center" w:leader="none"/>
    </w:r>
    <w:r w:rsidRPr="00391594">
      <w:rPr>
        <w:sz w:val="20"/>
        <w:szCs w:val="20"/>
        <w:lang w:val="en-NZ"/>
      </w:rPr>
      <w:ptab w:relativeTo="indent" w:alignment="left" w:leader="none"/>
    </w:r>
    <w:r w:rsidR="00AD4A6C">
      <w:rPr>
        <w:sz w:val="20"/>
        <w:szCs w:val="20"/>
        <w:lang w:val="en-NZ"/>
      </w:rPr>
      <w:tab/>
    </w:r>
    <w:r w:rsidR="00AD4A6C">
      <w:rPr>
        <w:sz w:val="20"/>
        <w:szCs w:val="20"/>
        <w:lang w:val="en-NZ"/>
      </w:rPr>
      <w:tab/>
    </w:r>
    <w:r w:rsidR="00AD4A6C">
      <w:rPr>
        <w:sz w:val="20"/>
        <w:szCs w:val="20"/>
        <w:lang w:val="en-NZ"/>
      </w:rPr>
      <w:tab/>
    </w:r>
    <w:r w:rsidR="00AD4A6C">
      <w:rPr>
        <w:sz w:val="20"/>
        <w:szCs w:val="20"/>
        <w:lang w:val="en-NZ"/>
      </w:rPr>
      <w:tab/>
    </w:r>
    <w:r w:rsidR="00AD4A6C">
      <w:rPr>
        <w:sz w:val="20"/>
        <w:szCs w:val="20"/>
        <w:lang w:val="en-NZ"/>
      </w:rPr>
      <w:tab/>
    </w:r>
    <w:r w:rsidR="00AD4A6C">
      <w:rPr>
        <w:sz w:val="20"/>
        <w:szCs w:val="20"/>
        <w:lang w:val="en-NZ"/>
      </w:rPr>
      <w:tab/>
    </w:r>
    <w:r w:rsidRPr="00391594">
      <w:rPr>
        <w:sz w:val="20"/>
        <w:szCs w:val="20"/>
        <w:lang w:val="en-NZ"/>
      </w:rPr>
      <w:t>w</w:t>
    </w:r>
    <w:r w:rsidRPr="007C396C">
      <w:rPr>
        <w:sz w:val="20"/>
        <w:szCs w:val="20"/>
        <w:lang w:val="en-NZ"/>
      </w:rPr>
      <w:t xml:space="preserve">ww.malatest-intl.com </w:t>
    </w:r>
    <w:r w:rsidRPr="007C396C">
      <w:rPr>
        <w:sz w:val="20"/>
        <w:szCs w:val="20"/>
        <w:lang w:val="en-NZ"/>
      </w:rPr>
      <w:ptab w:relativeTo="indent" w:alignment="center" w:leader="none"/>
    </w:r>
    <w:r>
      <w:rPr>
        <w:sz w:val="20"/>
        <w:szCs w:val="20"/>
        <w:lang w:val="en-NZ"/>
      </w:rPr>
      <w:t xml:space="preserve">               </w:t>
    </w:r>
    <w:r w:rsidRPr="007C396C">
      <w:rPr>
        <w:sz w:val="20"/>
        <w:szCs w:val="20"/>
        <w:lang w:val="en-NZ"/>
      </w:rPr>
      <w:t>Gambling Harm Needs Assessment 2021</w:t>
    </w:r>
    <w:r w:rsidR="00AD4A6C">
      <w:rPr>
        <w:sz w:val="20"/>
        <w:szCs w:val="20"/>
        <w:lang w:val="en-NZ"/>
      </w:rPr>
      <w:tab/>
    </w:r>
    <w:r w:rsidR="00AD4A6C">
      <w:rPr>
        <w:sz w:val="20"/>
        <w:szCs w:val="20"/>
        <w:lang w:val="en-NZ"/>
      </w:rPr>
      <w:tab/>
    </w:r>
    <w:r w:rsidR="00AD4A6C">
      <w:rPr>
        <w:sz w:val="20"/>
        <w:szCs w:val="20"/>
        <w:lang w:val="en-NZ"/>
      </w:rPr>
      <w:tab/>
    </w:r>
    <w:r w:rsidR="00AD4A6C" w:rsidRPr="007C396C">
      <w:rPr>
        <w:sz w:val="20"/>
        <w:szCs w:val="20"/>
        <w:lang w:val="en-NZ"/>
      </w:rPr>
      <w:fldChar w:fldCharType="begin"/>
    </w:r>
    <w:r w:rsidR="00AD4A6C" w:rsidRPr="007C396C">
      <w:rPr>
        <w:sz w:val="20"/>
        <w:szCs w:val="20"/>
        <w:lang w:val="en-NZ"/>
      </w:rPr>
      <w:instrText xml:space="preserve"> PAGE   \* MERGEFORMAT </w:instrText>
    </w:r>
    <w:r w:rsidR="00AD4A6C" w:rsidRPr="007C396C">
      <w:rPr>
        <w:sz w:val="20"/>
        <w:szCs w:val="20"/>
        <w:lang w:val="en-NZ"/>
      </w:rPr>
      <w:fldChar w:fldCharType="separate"/>
    </w:r>
    <w:r w:rsidR="00AD4A6C">
      <w:rPr>
        <w:sz w:val="20"/>
        <w:szCs w:val="20"/>
      </w:rPr>
      <w:t>99</w:t>
    </w:r>
    <w:r w:rsidR="00AD4A6C" w:rsidRPr="007C396C">
      <w:rPr>
        <w:noProof/>
        <w:sz w:val="20"/>
        <w:szCs w:val="20"/>
        <w:lang w:val="en-NZ"/>
      </w:rPr>
      <w:fldChar w:fldCharType="end"/>
    </w:r>
    <w:r w:rsidR="00AD4A6C">
      <w:rPr>
        <w:sz w:val="20"/>
        <w:szCs w:val="20"/>
        <w:lang w:val="en-NZ"/>
      </w:rPr>
      <w:tab/>
    </w:r>
    <w:r w:rsidRPr="007C396C">
      <w:rPr>
        <w:sz w:val="20"/>
        <w:szCs w:val="20"/>
        <w:lang w:val="en-NZ"/>
      </w:rPr>
      <w:ptab w:relativeTo="margin" w:alignment="right" w:leader="none"/>
    </w:r>
  </w:p>
  <w:p w14:paraId="7157F370" w14:textId="77777777" w:rsidR="00B44299" w:rsidRDefault="00B442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CFB14" w14:textId="77777777" w:rsidR="00286D3C" w:rsidRPr="007C396C" w:rsidRDefault="00286D3C" w:rsidP="00B44299">
    <w:pPr>
      <w:ind w:left="-426" w:right="-1418" w:firstLine="1418"/>
      <w:rPr>
        <w:sz w:val="20"/>
        <w:szCs w:val="20"/>
      </w:rPr>
    </w:pPr>
    <w:r w:rsidRPr="007C396C">
      <w:rPr>
        <w:noProof/>
        <w:sz w:val="20"/>
        <w:szCs w:val="20"/>
      </w:rPr>
      <w:drawing>
        <wp:anchor distT="0" distB="0" distL="114300" distR="114300" simplePos="0" relativeHeight="251660288" behindDoc="1" locked="0" layoutInCell="1" allowOverlap="1" wp14:anchorId="6F1622C5" wp14:editId="5F04DDB6">
          <wp:simplePos x="0" y="0"/>
          <wp:positionH relativeFrom="margin">
            <wp:posOffset>-905841</wp:posOffset>
          </wp:positionH>
          <wp:positionV relativeFrom="paragraph">
            <wp:posOffset>-3175</wp:posOffset>
          </wp:positionV>
          <wp:extent cx="5809615" cy="45719"/>
          <wp:effectExtent l="0" t="0" r="0" b="0"/>
          <wp:wrapNone/>
          <wp:docPr id="51"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396C">
      <w:rPr>
        <w:sz w:val="20"/>
        <w:szCs w:val="20"/>
        <w:lang w:val="en-NZ"/>
      </w:rPr>
      <w:ptab w:relativeTo="margin" w:alignment="center" w:leader="none"/>
    </w:r>
    <w:r w:rsidRPr="00391594">
      <w:rPr>
        <w:sz w:val="20"/>
        <w:szCs w:val="20"/>
        <w:lang w:val="en-NZ"/>
      </w:rPr>
      <w:ptab w:relativeTo="indent" w:alignment="left" w:leader="none"/>
    </w:r>
    <w:r w:rsidRPr="00391594">
      <w:rPr>
        <w:sz w:val="20"/>
        <w:szCs w:val="20"/>
        <w:lang w:val="en-NZ"/>
      </w:rPr>
      <w:t>w</w:t>
    </w:r>
    <w:r w:rsidRPr="007C396C">
      <w:rPr>
        <w:sz w:val="20"/>
        <w:szCs w:val="20"/>
        <w:lang w:val="en-NZ"/>
      </w:rPr>
      <w:t xml:space="preserve">ww.malatest-intl.com </w:t>
    </w:r>
    <w:r w:rsidRPr="007C396C">
      <w:rPr>
        <w:sz w:val="20"/>
        <w:szCs w:val="20"/>
        <w:lang w:val="en-NZ"/>
      </w:rPr>
      <w:ptab w:relativeTo="indent" w:alignment="center" w:leader="none"/>
    </w:r>
    <w:r>
      <w:rPr>
        <w:sz w:val="20"/>
        <w:szCs w:val="20"/>
        <w:lang w:val="en-NZ"/>
      </w:rPr>
      <w:t xml:space="preserve">               </w:t>
    </w:r>
    <w:r w:rsidRPr="007C396C">
      <w:rPr>
        <w:sz w:val="20"/>
        <w:szCs w:val="20"/>
        <w:lang w:val="en-NZ"/>
      </w:rPr>
      <w:t>Gambling Harm Needs Assessment 2021</w:t>
    </w:r>
    <w:r w:rsidRPr="007C396C">
      <w:rPr>
        <w:sz w:val="20"/>
        <w:szCs w:val="20"/>
        <w:lang w:val="en-NZ"/>
      </w:rPr>
      <w:ptab w:relativeTo="margin" w:alignment="right" w:leader="none"/>
    </w:r>
    <w:r w:rsidRPr="007C396C">
      <w:rPr>
        <w:sz w:val="20"/>
        <w:szCs w:val="20"/>
        <w:lang w:val="en-NZ"/>
      </w:rPr>
      <w:fldChar w:fldCharType="begin"/>
    </w:r>
    <w:r w:rsidRPr="007C396C">
      <w:rPr>
        <w:sz w:val="20"/>
        <w:szCs w:val="20"/>
        <w:lang w:val="en-NZ"/>
      </w:rPr>
      <w:instrText xml:space="preserve"> PAGE   \* MERGEFORMAT </w:instrText>
    </w:r>
    <w:r w:rsidRPr="007C396C">
      <w:rPr>
        <w:sz w:val="20"/>
        <w:szCs w:val="20"/>
        <w:lang w:val="en-NZ"/>
      </w:rPr>
      <w:fldChar w:fldCharType="separate"/>
    </w:r>
    <w:r w:rsidRPr="007C396C">
      <w:rPr>
        <w:noProof/>
        <w:sz w:val="20"/>
        <w:szCs w:val="20"/>
        <w:lang w:val="en-NZ"/>
      </w:rPr>
      <w:t>1</w:t>
    </w:r>
    <w:r w:rsidRPr="007C396C">
      <w:rPr>
        <w:noProof/>
        <w:sz w:val="20"/>
        <w:szCs w:val="20"/>
        <w:lang w:val="en-NZ"/>
      </w:rPr>
      <w:fldChar w:fldCharType="end"/>
    </w:r>
  </w:p>
  <w:p w14:paraId="5768EB42" w14:textId="77777777" w:rsidR="00286D3C" w:rsidRDefault="00286D3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A3A72" w14:textId="3FD27238" w:rsidR="00AD4A6C" w:rsidRPr="007C396C" w:rsidRDefault="00AD4A6C" w:rsidP="00B44299">
    <w:pPr>
      <w:ind w:left="-426" w:right="-1418" w:firstLine="1418"/>
      <w:rPr>
        <w:sz w:val="20"/>
        <w:szCs w:val="20"/>
      </w:rPr>
    </w:pPr>
    <w:r w:rsidRPr="007C396C">
      <w:rPr>
        <w:noProof/>
        <w:sz w:val="20"/>
        <w:szCs w:val="20"/>
      </w:rPr>
      <w:drawing>
        <wp:anchor distT="0" distB="0" distL="114300" distR="114300" simplePos="0" relativeHeight="251668480" behindDoc="1" locked="0" layoutInCell="1" allowOverlap="1" wp14:anchorId="5096E2CE" wp14:editId="6A1A581B">
          <wp:simplePos x="0" y="0"/>
          <wp:positionH relativeFrom="margin">
            <wp:posOffset>-6876</wp:posOffset>
          </wp:positionH>
          <wp:positionV relativeFrom="paragraph">
            <wp:posOffset>41910</wp:posOffset>
          </wp:positionV>
          <wp:extent cx="5809615" cy="45719"/>
          <wp:effectExtent l="0" t="0" r="0" b="0"/>
          <wp:wrapNone/>
          <wp:docPr id="52"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396C">
      <w:rPr>
        <w:sz w:val="20"/>
        <w:szCs w:val="20"/>
        <w:lang w:val="en-NZ"/>
      </w:rPr>
      <w:ptab w:relativeTo="margin" w:alignment="center" w:leader="none"/>
    </w:r>
    <w:r w:rsidRPr="00391594">
      <w:rPr>
        <w:sz w:val="20"/>
        <w:szCs w:val="20"/>
        <w:lang w:val="en-NZ"/>
      </w:rPr>
      <w:ptab w:relativeTo="indent" w:alignment="left" w:leader="none"/>
    </w:r>
    <w:r>
      <w:rPr>
        <w:sz w:val="20"/>
        <w:szCs w:val="20"/>
        <w:lang w:val="en-NZ"/>
      </w:rPr>
      <w:tab/>
    </w:r>
    <w:r w:rsidRPr="00391594">
      <w:rPr>
        <w:sz w:val="20"/>
        <w:szCs w:val="20"/>
        <w:lang w:val="en-NZ"/>
      </w:rPr>
      <w:t>w</w:t>
    </w:r>
    <w:r w:rsidRPr="007C396C">
      <w:rPr>
        <w:sz w:val="20"/>
        <w:szCs w:val="20"/>
        <w:lang w:val="en-NZ"/>
      </w:rPr>
      <w:t xml:space="preserve">ww.malatest-intl.com </w:t>
    </w:r>
    <w:r w:rsidRPr="007C396C">
      <w:rPr>
        <w:sz w:val="20"/>
        <w:szCs w:val="20"/>
        <w:lang w:val="en-NZ"/>
      </w:rPr>
      <w:ptab w:relativeTo="indent" w:alignment="center" w:leader="none"/>
    </w:r>
    <w:r>
      <w:rPr>
        <w:sz w:val="20"/>
        <w:szCs w:val="20"/>
        <w:lang w:val="en-NZ"/>
      </w:rPr>
      <w:t xml:space="preserve">               </w:t>
    </w:r>
    <w:r w:rsidRPr="007C396C">
      <w:rPr>
        <w:sz w:val="20"/>
        <w:szCs w:val="20"/>
        <w:lang w:val="en-NZ"/>
      </w:rPr>
      <w:t>Gambling Harm Needs Assessment 2021</w:t>
    </w:r>
    <w:r w:rsidRPr="007C396C">
      <w:rPr>
        <w:sz w:val="20"/>
        <w:szCs w:val="20"/>
        <w:lang w:val="en-NZ"/>
      </w:rPr>
      <w:ptab w:relativeTo="margin" w:alignment="right" w:leader="none"/>
    </w:r>
    <w:r w:rsidRPr="007C396C">
      <w:rPr>
        <w:sz w:val="20"/>
        <w:szCs w:val="20"/>
        <w:lang w:val="en-NZ"/>
      </w:rPr>
      <w:fldChar w:fldCharType="begin"/>
    </w:r>
    <w:r w:rsidRPr="007C396C">
      <w:rPr>
        <w:sz w:val="20"/>
        <w:szCs w:val="20"/>
        <w:lang w:val="en-NZ"/>
      </w:rPr>
      <w:instrText xml:space="preserve"> PAGE   \* MERGEFORMAT </w:instrText>
    </w:r>
    <w:r w:rsidRPr="007C396C">
      <w:rPr>
        <w:sz w:val="20"/>
        <w:szCs w:val="20"/>
        <w:lang w:val="en-NZ"/>
      </w:rPr>
      <w:fldChar w:fldCharType="separate"/>
    </w:r>
    <w:r w:rsidRPr="007C396C">
      <w:rPr>
        <w:noProof/>
        <w:sz w:val="20"/>
        <w:szCs w:val="20"/>
        <w:lang w:val="en-NZ"/>
      </w:rPr>
      <w:t>1</w:t>
    </w:r>
    <w:r w:rsidRPr="007C396C">
      <w:rPr>
        <w:noProof/>
        <w:sz w:val="20"/>
        <w:szCs w:val="20"/>
        <w:lang w:val="en-NZ"/>
      </w:rPr>
      <w:fldChar w:fldCharType="end"/>
    </w:r>
  </w:p>
  <w:p w14:paraId="0880CF21" w14:textId="77777777" w:rsidR="00AD4A6C" w:rsidRDefault="00AD4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C39EB" w14:textId="77777777" w:rsidR="000024E2" w:rsidRDefault="000024E2" w:rsidP="00BE490C">
      <w:r>
        <w:separator/>
      </w:r>
    </w:p>
    <w:p w14:paraId="1EC6BB33" w14:textId="77777777" w:rsidR="000024E2" w:rsidRDefault="000024E2"/>
  </w:footnote>
  <w:footnote w:type="continuationSeparator" w:id="0">
    <w:p w14:paraId="5E173D58" w14:textId="77777777" w:rsidR="000024E2" w:rsidRDefault="000024E2" w:rsidP="00BE490C">
      <w:r>
        <w:continuationSeparator/>
      </w:r>
    </w:p>
    <w:p w14:paraId="3C993CD9" w14:textId="77777777" w:rsidR="000024E2" w:rsidRDefault="000024E2"/>
  </w:footnote>
  <w:footnote w:type="continuationNotice" w:id="1">
    <w:p w14:paraId="30ECB1C0" w14:textId="77777777" w:rsidR="000024E2" w:rsidRDefault="000024E2">
      <w:pPr>
        <w:spacing w:before="0" w:after="0" w:line="240" w:lineRule="auto"/>
      </w:pPr>
    </w:p>
    <w:p w14:paraId="036BECD1" w14:textId="77777777" w:rsidR="000024E2" w:rsidRDefault="000024E2"/>
  </w:footnote>
  <w:footnote w:id="2">
    <w:p w14:paraId="53902C7F" w14:textId="77777777" w:rsidR="00FC2F41" w:rsidRPr="00A64E86" w:rsidRDefault="00FC2F41" w:rsidP="007B54B6">
      <w:pPr>
        <w:pStyle w:val="FootnoteText"/>
        <w:rPr>
          <w:sz w:val="18"/>
          <w:szCs w:val="18"/>
        </w:rPr>
      </w:pPr>
      <w:r w:rsidRPr="00A64E86">
        <w:rPr>
          <w:rStyle w:val="FootnoteReference"/>
          <w:sz w:val="18"/>
          <w:szCs w:val="18"/>
        </w:rPr>
        <w:footnoteRef/>
      </w:r>
      <w:r w:rsidRPr="00A64E86">
        <w:rPr>
          <w:sz w:val="18"/>
          <w:szCs w:val="18"/>
        </w:rPr>
        <w:t xml:space="preserve"> </w:t>
      </w:r>
      <w:hyperlink r:id="rId1" w:history="1">
        <w:r w:rsidRPr="00A64E86">
          <w:rPr>
            <w:rStyle w:val="Hyperlink"/>
            <w:sz w:val="18"/>
            <w:szCs w:val="18"/>
          </w:rPr>
          <w:t>http://www.health.govt.nz/publication/informing-2009-problem-gambling-needs-assessment-report-ministry-health-0</w:t>
        </w:r>
      </w:hyperlink>
      <w:r w:rsidRPr="00A64E86">
        <w:rPr>
          <w:sz w:val="18"/>
          <w:szCs w:val="18"/>
        </w:rPr>
        <w:t xml:space="preserve"> </w:t>
      </w:r>
    </w:p>
  </w:footnote>
  <w:footnote w:id="3">
    <w:p w14:paraId="5D07F414" w14:textId="77777777" w:rsidR="00FC2F41" w:rsidRPr="00A64E86" w:rsidRDefault="00FC2F41" w:rsidP="007B54B6">
      <w:pPr>
        <w:pStyle w:val="FootnoteText"/>
        <w:rPr>
          <w:sz w:val="18"/>
          <w:szCs w:val="18"/>
        </w:rPr>
      </w:pPr>
      <w:r w:rsidRPr="00A64E86">
        <w:rPr>
          <w:rStyle w:val="FootnoteReference"/>
          <w:sz w:val="18"/>
          <w:szCs w:val="18"/>
        </w:rPr>
        <w:footnoteRef/>
      </w:r>
      <w:r w:rsidRPr="00A64E86">
        <w:rPr>
          <w:sz w:val="18"/>
          <w:szCs w:val="18"/>
        </w:rPr>
        <w:t xml:space="preserve"> </w:t>
      </w:r>
      <w:hyperlink r:id="rId2" w:history="1">
        <w:r w:rsidRPr="00A64E86">
          <w:rPr>
            <w:rStyle w:val="Hyperlink"/>
            <w:sz w:val="18"/>
            <w:szCs w:val="18"/>
          </w:rPr>
          <w:t>http://www.health.govt.nz/system/files/documents/publications/gambling-harm-report-jul2012.pdf</w:t>
        </w:r>
      </w:hyperlink>
      <w:r w:rsidRPr="00A64E86">
        <w:rPr>
          <w:sz w:val="18"/>
          <w:szCs w:val="18"/>
        </w:rPr>
        <w:t xml:space="preserve"> </w:t>
      </w:r>
    </w:p>
  </w:footnote>
  <w:footnote w:id="4">
    <w:p w14:paraId="152B8B58" w14:textId="77777777" w:rsidR="00FC2F41" w:rsidRPr="00F63C50" w:rsidRDefault="00FC2F41" w:rsidP="007B54B6">
      <w:pPr>
        <w:pStyle w:val="FootnoteText"/>
        <w:rPr>
          <w:sz w:val="18"/>
          <w:szCs w:val="18"/>
        </w:rPr>
      </w:pPr>
      <w:r w:rsidRPr="00A64E86">
        <w:rPr>
          <w:rStyle w:val="FootnoteReference"/>
          <w:sz w:val="18"/>
          <w:szCs w:val="18"/>
        </w:rPr>
        <w:footnoteRef/>
      </w:r>
      <w:r w:rsidRPr="00A64E86">
        <w:rPr>
          <w:sz w:val="18"/>
          <w:szCs w:val="18"/>
        </w:rPr>
        <w:t xml:space="preserve"> </w:t>
      </w:r>
      <w:hyperlink r:id="rId3" w:history="1">
        <w:r w:rsidRPr="00A64E86">
          <w:rPr>
            <w:rStyle w:val="Hyperlink"/>
            <w:sz w:val="18"/>
            <w:szCs w:val="18"/>
          </w:rPr>
          <w:t>https://www.health.govt.nz/system/files/documents/publications/informing-2015-gambling-harm-needs-assessmnt-jul15.pdf</w:t>
        </w:r>
      </w:hyperlink>
      <w:r w:rsidRPr="00A64E86">
        <w:rPr>
          <w:sz w:val="18"/>
          <w:szCs w:val="18"/>
        </w:rPr>
        <w:t xml:space="preserve"> </w:t>
      </w:r>
    </w:p>
  </w:footnote>
  <w:footnote w:id="5">
    <w:p w14:paraId="428D6DE9" w14:textId="77777777" w:rsidR="00FC2F41" w:rsidRPr="00A64E86" w:rsidRDefault="00FC2F41" w:rsidP="007B54B6">
      <w:pPr>
        <w:pStyle w:val="FootnoteText"/>
        <w:rPr>
          <w:sz w:val="18"/>
          <w:szCs w:val="18"/>
        </w:rPr>
      </w:pPr>
      <w:r w:rsidRPr="00A64E86">
        <w:rPr>
          <w:rStyle w:val="FootnoteReference"/>
          <w:rFonts w:eastAsiaTheme="majorEastAsia"/>
          <w:sz w:val="18"/>
          <w:szCs w:val="18"/>
        </w:rPr>
        <w:footnoteRef/>
      </w:r>
      <w:r w:rsidRPr="00A64E86">
        <w:rPr>
          <w:sz w:val="18"/>
          <w:szCs w:val="18"/>
        </w:rPr>
        <w:t xml:space="preserve"> </w:t>
      </w:r>
      <w:hyperlink r:id="rId4" w:history="1">
        <w:r w:rsidRPr="00A64E86">
          <w:rPr>
            <w:rStyle w:val="Hyperlink"/>
            <w:sz w:val="18"/>
            <w:szCs w:val="18"/>
          </w:rPr>
          <w:t>https://www.health.govt.nz/publication/gambling-harm-reduction-needs-assessment</w:t>
        </w:r>
      </w:hyperlink>
      <w:r w:rsidRPr="00A64E86">
        <w:rPr>
          <w:sz w:val="18"/>
          <w:szCs w:val="18"/>
        </w:rPr>
        <w:t xml:space="preserve"> </w:t>
      </w:r>
    </w:p>
  </w:footnote>
  <w:footnote w:id="6">
    <w:p w14:paraId="646978BD" w14:textId="5C13F45A" w:rsidR="001F6766" w:rsidRPr="00A64E86" w:rsidRDefault="001F6766">
      <w:pPr>
        <w:pStyle w:val="FootnoteText"/>
        <w:rPr>
          <w:sz w:val="18"/>
          <w:szCs w:val="18"/>
          <w:lang w:val="en-US"/>
        </w:rPr>
      </w:pPr>
      <w:r w:rsidRPr="00A64E86">
        <w:rPr>
          <w:rStyle w:val="FootnoteReference"/>
          <w:sz w:val="18"/>
          <w:szCs w:val="18"/>
        </w:rPr>
        <w:footnoteRef/>
      </w:r>
      <w:r w:rsidRPr="00A64E86">
        <w:rPr>
          <w:sz w:val="18"/>
          <w:szCs w:val="18"/>
        </w:rPr>
        <w:t xml:space="preserve"> </w:t>
      </w:r>
      <w:bookmarkStart w:id="62" w:name="_Hlk72750352"/>
      <w:r w:rsidRPr="00A64E86">
        <w:rPr>
          <w:sz w:val="18"/>
          <w:szCs w:val="18"/>
          <w:lang w:val="en-US"/>
        </w:rPr>
        <w:t xml:space="preserve">Group interviews were conducted on request from participants. </w:t>
      </w:r>
      <w:r w:rsidRPr="00A64E86">
        <w:rPr>
          <w:sz w:val="18"/>
          <w:szCs w:val="18"/>
        </w:rPr>
        <w:t>The synergistic nature of group discussions enabled participants to build on each other’s insights in ways that would be less possible in individual interviews. Group interviews also provoked rationalisation and explicit reasoning and helped to unpack more nuanced understandings of phenomena. Group discussions were facilitated by a senior and experienced team member to ensure inclusive, respectful and safe conversations and to minimise the potential for power dynamics in a group setting.</w:t>
      </w:r>
      <w:bookmarkEnd w:id="62"/>
    </w:p>
  </w:footnote>
  <w:footnote w:id="7">
    <w:p w14:paraId="158BB242" w14:textId="1226F550" w:rsidR="00FC2F41" w:rsidRPr="00A64E86" w:rsidRDefault="00FC2F41" w:rsidP="00873C37">
      <w:pPr>
        <w:pStyle w:val="FootnoteText"/>
        <w:rPr>
          <w:sz w:val="18"/>
          <w:szCs w:val="18"/>
          <w:lang w:val="en-US"/>
        </w:rPr>
      </w:pPr>
      <w:r w:rsidRPr="00A64E86">
        <w:rPr>
          <w:rStyle w:val="FootnoteReference"/>
          <w:sz w:val="18"/>
          <w:szCs w:val="18"/>
        </w:rPr>
        <w:footnoteRef/>
      </w:r>
      <w:r w:rsidRPr="00A64E86">
        <w:rPr>
          <w:sz w:val="18"/>
          <w:szCs w:val="18"/>
        </w:rPr>
        <w:t xml:space="preserve"> The NGS is a longitudinal survey that started in 2012 with an initial randomly selected national sample of 6,251 adults aged 18 years and older. Participants were re-interviewed in 2013, 2014 and 2015. In 2014/15, an additional cohort of 106 moderate-risk/problem gamblers was recruited to boost numbers of participants in those risk categories; these participants were reinterviewed in 2015/16.</w:t>
      </w:r>
    </w:p>
  </w:footnote>
  <w:footnote w:id="8">
    <w:p w14:paraId="1BE00C70" w14:textId="77777777" w:rsidR="00FC2F41" w:rsidRPr="00A64E86" w:rsidRDefault="00FC2F41" w:rsidP="003728A0">
      <w:pPr>
        <w:pStyle w:val="FootnoteText"/>
        <w:rPr>
          <w:color w:val="FF0000"/>
          <w:sz w:val="18"/>
          <w:szCs w:val="18"/>
          <w:lang w:val="en-US"/>
        </w:rPr>
      </w:pPr>
      <w:r w:rsidRPr="00A64E86">
        <w:rPr>
          <w:rStyle w:val="FootnoteReference"/>
          <w:sz w:val="18"/>
          <w:szCs w:val="18"/>
        </w:rPr>
        <w:footnoteRef/>
      </w:r>
      <w:r w:rsidRPr="00A64E86">
        <w:rPr>
          <w:sz w:val="18"/>
          <w:szCs w:val="18"/>
        </w:rPr>
        <w:t xml:space="preserve"> Respondents are asked about participation in different gambling activities either online, at home, or elsewhere. Respondents who answer yes to any of these questions are defined as gamblers. </w:t>
      </w:r>
    </w:p>
  </w:footnote>
  <w:footnote w:id="9">
    <w:p w14:paraId="7AED5A23" w14:textId="15A7FEBC" w:rsidR="00FC2F41" w:rsidRPr="00A64E86" w:rsidRDefault="00FC2F41" w:rsidP="000F60D7">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 xml:space="preserve">The HLS is a biennial survey of New Zealanders aged 15 years and older. The gambling questions are designed to be comparable with earlier surveys and the Gaming and Betting Activities Survey (GBAS) series. Gambling harm is measued using the Problem Gambling Severity Index (PGSI) (see section </w:t>
      </w:r>
      <w:r w:rsidR="00A64E86" w:rsidRPr="00A64E86">
        <w:rPr>
          <w:sz w:val="18"/>
          <w:szCs w:val="18"/>
          <w:lang w:val="en-US"/>
        </w:rPr>
        <w:t>2.2</w:t>
      </w:r>
      <w:r w:rsidRPr="00A64E86">
        <w:rPr>
          <w:sz w:val="18"/>
          <w:szCs w:val="18"/>
          <w:lang w:val="en-US"/>
        </w:rPr>
        <w:t>)</w:t>
      </w:r>
    </w:p>
  </w:footnote>
  <w:footnote w:id="10">
    <w:p w14:paraId="20897594" w14:textId="1358A076" w:rsidR="00DF2AE2" w:rsidRPr="00DF2AE2" w:rsidRDefault="00DF2AE2">
      <w:pPr>
        <w:pStyle w:val="FootnoteText"/>
        <w:rPr>
          <w:lang w:val="en-US"/>
        </w:rPr>
      </w:pPr>
      <w:r>
        <w:rPr>
          <w:rStyle w:val="FootnoteReference"/>
        </w:rPr>
        <w:footnoteRef/>
      </w:r>
      <w:r>
        <w:t xml:space="preserve"> </w:t>
      </w:r>
      <w:hyperlink r:id="rId5" w:history="1">
        <w:r w:rsidRPr="009B3425">
          <w:rPr>
            <w:rStyle w:val="Hyperlink"/>
          </w:rPr>
          <w:t>https://www.legislation.govt.nz/act/public/2020/0028/latest/whole.html</w:t>
        </w:r>
      </w:hyperlink>
      <w:r>
        <w:t xml:space="preserve"> </w:t>
      </w:r>
    </w:p>
  </w:footnote>
  <w:footnote w:id="11">
    <w:p w14:paraId="1767DC79" w14:textId="6C177711" w:rsidR="00FC2F41" w:rsidRPr="001B45E6" w:rsidRDefault="00FC2F41">
      <w:pPr>
        <w:pStyle w:val="FootnoteText"/>
        <w:rPr>
          <w:lang w:val="en-US"/>
        </w:rPr>
      </w:pPr>
      <w:r>
        <w:rPr>
          <w:rStyle w:val="FootnoteReference"/>
        </w:rPr>
        <w:footnoteRef/>
      </w:r>
      <w:r>
        <w:t xml:space="preserve"> </w:t>
      </w:r>
      <w:r>
        <w:rPr>
          <w:lang w:val="en-US"/>
        </w:rPr>
        <w:t>There are two casinos in Queenstown</w:t>
      </w:r>
    </w:p>
  </w:footnote>
  <w:footnote w:id="12">
    <w:p w14:paraId="4F76514D" w14:textId="0869C7FB"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Research has shown that ethnicity remains a significant risk factor when other factors (such as socio-economic deprivation, gender and age) are controlled for (Welte et al, 2004; Ministry of Health 2006).</w:t>
      </w:r>
    </w:p>
  </w:footnote>
  <w:footnote w:id="13">
    <w:p w14:paraId="5FEAF320" w14:textId="77777777" w:rsidR="00FC2F41" w:rsidRPr="00A64E86" w:rsidRDefault="00FC2F41" w:rsidP="00720DCC">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Very low = NZDep 1-2, medium low= NZDep 3-4, medium = NZDep 5-6, medium high = NZDep 7-8, very high = NZDep 9-10.</w:t>
      </w:r>
    </w:p>
  </w:footnote>
  <w:footnote w:id="14">
    <w:p w14:paraId="699202D7" w14:textId="254E737A" w:rsidR="00FC2F41" w:rsidRPr="00A64E86" w:rsidRDefault="00FC2F41" w:rsidP="00292167">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NZ"/>
        </w:rPr>
        <w:t>Online gambler is defined as a respondent who gambled over the internet on New Zealand hosted websites and apps (domestic), or on overseas hosted websites, in the last 12 months.</w:t>
      </w:r>
    </w:p>
  </w:footnote>
  <w:footnote w:id="15">
    <w:p w14:paraId="23F0009B" w14:textId="10469EEC" w:rsidR="00FC2F41" w:rsidRPr="00A64E86" w:rsidRDefault="00FC2F41" w:rsidP="00247EDD">
      <w:pPr>
        <w:pStyle w:val="FootnoteText"/>
        <w:rPr>
          <w:sz w:val="18"/>
          <w:szCs w:val="18"/>
          <w:lang w:val="en-US"/>
        </w:rPr>
      </w:pPr>
      <w:r w:rsidRPr="00A64E86">
        <w:rPr>
          <w:rStyle w:val="FootnoteReference"/>
          <w:sz w:val="18"/>
          <w:szCs w:val="18"/>
        </w:rPr>
        <w:footnoteRef/>
      </w:r>
      <w:r w:rsidRPr="00A64E86">
        <w:rPr>
          <w:sz w:val="18"/>
          <w:szCs w:val="18"/>
        </w:rPr>
        <w:t xml:space="preserve"> It is important to note that findings from the </w:t>
      </w:r>
      <w:r w:rsidRPr="00A64E86">
        <w:rPr>
          <w:sz w:val="18"/>
          <w:szCs w:val="18"/>
          <w:lang w:val="en-US"/>
        </w:rPr>
        <w:t>Te Hiringa Hauora 2020 report are not comparable with the HLS surveys due to different definitions and measures of gambling participation and harm.</w:t>
      </w:r>
    </w:p>
  </w:footnote>
  <w:footnote w:id="16">
    <w:p w14:paraId="55451061" w14:textId="2E1C571C" w:rsidR="00247EDD" w:rsidRPr="00A64E86" w:rsidRDefault="00247EDD" w:rsidP="00247EDD">
      <w:pPr>
        <w:pStyle w:val="pf0"/>
        <w:spacing w:before="0" w:beforeAutospacing="0" w:after="0" w:afterAutospacing="0"/>
        <w:rPr>
          <w:rFonts w:ascii="Calibri" w:hAnsi="Calibri" w:cs="Calibri"/>
          <w:sz w:val="18"/>
          <w:szCs w:val="18"/>
        </w:rPr>
      </w:pPr>
      <w:r w:rsidRPr="00A64E86">
        <w:rPr>
          <w:rStyle w:val="FootnoteReference"/>
          <w:rFonts w:ascii="Calibri" w:hAnsi="Calibri" w:cs="Calibri"/>
          <w:sz w:val="18"/>
          <w:szCs w:val="18"/>
        </w:rPr>
        <w:footnoteRef/>
      </w:r>
      <w:r w:rsidRPr="00A64E86">
        <w:rPr>
          <w:rFonts w:ascii="Calibri" w:hAnsi="Calibri" w:cs="Calibri"/>
          <w:sz w:val="18"/>
          <w:szCs w:val="18"/>
        </w:rPr>
        <w:t xml:space="preserve"> </w:t>
      </w:r>
      <w:hyperlink r:id="rId6" w:history="1">
        <w:r w:rsidRPr="00A64E86">
          <w:rPr>
            <w:rStyle w:val="cf01"/>
            <w:rFonts w:ascii="Calibri" w:hAnsi="Calibri" w:cs="Calibri"/>
            <w:color w:val="0000FF"/>
            <w:u w:val="single"/>
          </w:rPr>
          <w:t>https://www.legislation.govt.nz/act/public/2003/0051/latest/DLM208240.html</w:t>
        </w:r>
      </w:hyperlink>
    </w:p>
  </w:footnote>
  <w:footnote w:id="17">
    <w:p w14:paraId="0461A668" w14:textId="60AB846C" w:rsidR="00D73553" w:rsidRPr="00D73553" w:rsidRDefault="00D73553" w:rsidP="00D73553">
      <w:pPr>
        <w:pStyle w:val="pf0"/>
        <w:spacing w:before="0" w:beforeAutospacing="0" w:after="0" w:afterAutospacing="0"/>
        <w:rPr>
          <w:rFonts w:ascii="Calibri" w:hAnsi="Calibri" w:cs="Calibri"/>
          <w:sz w:val="18"/>
          <w:szCs w:val="18"/>
        </w:rPr>
      </w:pPr>
      <w:r w:rsidRPr="00D73553">
        <w:rPr>
          <w:rStyle w:val="FootnoteReference"/>
          <w:rFonts w:ascii="Calibri" w:hAnsi="Calibri" w:cs="Calibri"/>
          <w:sz w:val="18"/>
          <w:szCs w:val="18"/>
        </w:rPr>
        <w:footnoteRef/>
      </w:r>
      <w:r w:rsidRPr="00D73553">
        <w:rPr>
          <w:rFonts w:ascii="Calibri" w:hAnsi="Calibri" w:cs="Calibri"/>
          <w:sz w:val="18"/>
          <w:szCs w:val="18"/>
        </w:rPr>
        <w:t xml:space="preserve"> </w:t>
      </w:r>
      <w:r>
        <w:rPr>
          <w:rFonts w:ascii="Calibri" w:hAnsi="Calibri" w:cs="Calibri"/>
          <w:sz w:val="18"/>
          <w:szCs w:val="18"/>
        </w:rPr>
        <w:t xml:space="preserve">Expenditure: </w:t>
      </w:r>
      <w:r w:rsidRPr="00D73553">
        <w:rPr>
          <w:rStyle w:val="cf01"/>
          <w:rFonts w:ascii="Calibri" w:hAnsi="Calibri" w:cs="Calibri"/>
        </w:rPr>
        <w:t>also known as "gross profit" or "casino win", means the gross amount wagered by gamblers, less the amount paid out or credited as prizes or dividends. In other words, "expenditure" is the amount lost or spent by players, as well as the gross profit of the gambling operator</w:t>
      </w:r>
      <w:r>
        <w:rPr>
          <w:rStyle w:val="cf01"/>
          <w:rFonts w:ascii="Calibri" w:hAnsi="Calibri" w:cs="Calibri"/>
        </w:rPr>
        <w:t xml:space="preserve"> </w:t>
      </w:r>
      <w:r>
        <w:rPr>
          <w:rFonts w:ascii="Calibri" w:hAnsi="Calibri" w:cs="Calibri"/>
          <w:sz w:val="18"/>
          <w:szCs w:val="18"/>
        </w:rPr>
        <w:t>(Department of Internal Affairs, 2021a).</w:t>
      </w:r>
    </w:p>
  </w:footnote>
  <w:footnote w:id="18">
    <w:p w14:paraId="5C96302E" w14:textId="4994769B" w:rsidR="00D73553" w:rsidRPr="00D73553" w:rsidRDefault="00D73553" w:rsidP="00D73553">
      <w:pPr>
        <w:pStyle w:val="FootnoteText"/>
        <w:rPr>
          <w:sz w:val="18"/>
          <w:szCs w:val="18"/>
          <w:lang w:val="en-US"/>
        </w:rPr>
      </w:pPr>
      <w:r>
        <w:rPr>
          <w:rStyle w:val="FootnoteReference"/>
        </w:rPr>
        <w:footnoteRef/>
      </w:r>
      <w:r>
        <w:t xml:space="preserve"> </w:t>
      </w:r>
      <w:r w:rsidRPr="00C104D1">
        <w:rPr>
          <w:sz w:val="18"/>
          <w:szCs w:val="18"/>
        </w:rPr>
        <w:t xml:space="preserve">Prizes: </w:t>
      </w:r>
      <w:r w:rsidRPr="00D73553">
        <w:rPr>
          <w:sz w:val="18"/>
          <w:szCs w:val="18"/>
        </w:rPr>
        <w:t>A</w:t>
      </w:r>
      <w:r w:rsidRPr="00D73553">
        <w:rPr>
          <w:sz w:val="18"/>
          <w:szCs w:val="18"/>
          <w:lang w:val="en-NZ"/>
        </w:rPr>
        <w:t>lso known as "dividends", means the cash amount, or the cash value of prizes, paid out or credited to players</w:t>
      </w:r>
      <w:r>
        <w:rPr>
          <w:sz w:val="18"/>
          <w:szCs w:val="18"/>
          <w:lang w:val="en-NZ"/>
        </w:rPr>
        <w:t xml:space="preserve"> </w:t>
      </w:r>
      <w:r>
        <w:rPr>
          <w:rFonts w:cs="Calibri"/>
          <w:sz w:val="18"/>
          <w:szCs w:val="18"/>
          <w:lang w:val="en-US" w:eastAsia="en-US"/>
        </w:rPr>
        <w:t>(Department of Internal Affairs, 2021a)</w:t>
      </w:r>
      <w:r w:rsidRPr="00D73553">
        <w:rPr>
          <w:sz w:val="18"/>
          <w:szCs w:val="18"/>
          <w:lang w:val="en-NZ"/>
        </w:rPr>
        <w:t>.</w:t>
      </w:r>
    </w:p>
  </w:footnote>
  <w:footnote w:id="19">
    <w:p w14:paraId="78C0F942" w14:textId="77777777" w:rsidR="00286D3C" w:rsidRDefault="00286D3C"/>
    <w:p w14:paraId="08745B38" w14:textId="77777777" w:rsidR="00FC2F41" w:rsidRPr="00EC2616" w:rsidRDefault="00FC2F41" w:rsidP="00617D11">
      <w:pPr>
        <w:spacing w:before="0" w:after="0" w:line="240" w:lineRule="auto"/>
        <w:rPr>
          <w:sz w:val="2"/>
          <w:szCs w:val="2"/>
        </w:rPr>
      </w:pPr>
    </w:p>
  </w:footnote>
  <w:footnote w:id="20">
    <w:p w14:paraId="2FA4B27A" w14:textId="5E0502DD" w:rsidR="00D73553" w:rsidRPr="00D73553" w:rsidRDefault="00FC2F41" w:rsidP="00D73553">
      <w:pPr>
        <w:pStyle w:val="FootnoteText"/>
        <w:rPr>
          <w:sz w:val="18"/>
          <w:szCs w:val="18"/>
          <w:lang w:val="en-US"/>
        </w:rPr>
      </w:pPr>
      <w:r w:rsidRPr="008C6C8A">
        <w:rPr>
          <w:rStyle w:val="FootnoteReference"/>
          <w:sz w:val="18"/>
          <w:szCs w:val="18"/>
        </w:rPr>
        <w:footnoteRef/>
      </w:r>
      <w:r w:rsidRPr="008C6C8A">
        <w:rPr>
          <w:sz w:val="18"/>
          <w:szCs w:val="18"/>
        </w:rPr>
        <w:t xml:space="preserve"> </w:t>
      </w:r>
      <w:r w:rsidRPr="008C6C8A">
        <w:rPr>
          <w:sz w:val="18"/>
          <w:szCs w:val="18"/>
          <w:lang w:val="en-US"/>
        </w:rPr>
        <w:t xml:space="preserve">Turnover is </w:t>
      </w:r>
      <w:r w:rsidR="00D73553" w:rsidRPr="00D73553">
        <w:rPr>
          <w:sz w:val="18"/>
          <w:szCs w:val="18"/>
          <w:lang w:val="en-NZ"/>
        </w:rPr>
        <w:t>the total (gross) amount wagered by gamblers.  This figure is published by the New Zealand Lotteries Commission and by the New Zealand Racing Board for TAB betting.  It includes a "churn" factor, or re-investment, where the same dollar is counted more than once.  This is particularly relevant for rapid re-investment forms of gambling, like gaming machines or race betting.  For example, if a player has $20 to spend on a gaming machine and plays until the full $20 is lost, it is likely that this $20 will be recorded on the machine's meters as $120 or more of turnover (gross amount wagered).  Turnover is not an indicator of the amount spent by players or of the profit of the operator</w:t>
      </w:r>
      <w:r w:rsidR="00D73553">
        <w:rPr>
          <w:sz w:val="18"/>
          <w:szCs w:val="18"/>
          <w:lang w:val="en-NZ"/>
        </w:rPr>
        <w:t xml:space="preserve"> </w:t>
      </w:r>
      <w:r w:rsidR="00D73553">
        <w:rPr>
          <w:rFonts w:cs="Calibri"/>
          <w:sz w:val="18"/>
          <w:szCs w:val="18"/>
          <w:lang w:val="en-US" w:eastAsia="en-US"/>
        </w:rPr>
        <w:t>(Department of Internal Affairs, 2021a)</w:t>
      </w:r>
      <w:r w:rsidR="00D73553" w:rsidRPr="00D73553">
        <w:rPr>
          <w:sz w:val="18"/>
          <w:szCs w:val="18"/>
          <w:lang w:val="en-NZ"/>
        </w:rPr>
        <w:t>.</w:t>
      </w:r>
    </w:p>
    <w:p w14:paraId="2DEF0027" w14:textId="2038C991" w:rsidR="00FC2F41" w:rsidRPr="00CB5E57" w:rsidRDefault="00FC2F41" w:rsidP="003F6AF1">
      <w:pPr>
        <w:pStyle w:val="FootnoteText"/>
        <w:rPr>
          <w:lang w:val="en-US"/>
        </w:rPr>
      </w:pPr>
    </w:p>
  </w:footnote>
  <w:footnote w:id="21">
    <w:p w14:paraId="5F1B4226" w14:textId="77777777" w:rsidR="000617ED" w:rsidRPr="00D73553" w:rsidRDefault="000617ED" w:rsidP="000617ED">
      <w:pPr>
        <w:pStyle w:val="NormalWeb"/>
        <w:spacing w:before="0" w:beforeAutospacing="0" w:after="0" w:afterAutospacing="0"/>
        <w:rPr>
          <w:rFonts w:ascii="Calibri" w:eastAsia="Times New Roman" w:hAnsi="Calibri" w:cs="Calibri"/>
          <w:sz w:val="18"/>
          <w:szCs w:val="18"/>
          <w:lang w:val="en-US" w:eastAsia="en-US"/>
        </w:rPr>
      </w:pPr>
      <w:r w:rsidRPr="00D73553">
        <w:rPr>
          <w:rStyle w:val="FootnoteReference"/>
          <w:rFonts w:ascii="Calibri" w:hAnsi="Calibri" w:cs="Calibri"/>
          <w:sz w:val="18"/>
          <w:szCs w:val="18"/>
        </w:rPr>
        <w:footnoteRef/>
      </w:r>
      <w:r w:rsidRPr="00D73553">
        <w:rPr>
          <w:rFonts w:ascii="Calibri" w:hAnsi="Calibri" w:cs="Calibri"/>
          <w:sz w:val="18"/>
          <w:szCs w:val="18"/>
        </w:rPr>
        <w:t xml:space="preserve"> </w:t>
      </w:r>
      <w:r w:rsidRPr="00D73553">
        <w:rPr>
          <w:rFonts w:ascii="Calibri" w:eastAsia="Times New Roman" w:hAnsi="Calibri" w:cs="Calibri"/>
          <w:sz w:val="18"/>
          <w:szCs w:val="18"/>
          <w:lang w:val="en-US" w:eastAsia="en-US"/>
        </w:rPr>
        <w:t>It is worth noting that these trends appear quite different when taking into consideration inflation and population adjustments</w:t>
      </w:r>
      <w:r>
        <w:rPr>
          <w:rFonts w:ascii="Calibri" w:eastAsia="Times New Roman" w:hAnsi="Calibri" w:cs="Calibri"/>
          <w:sz w:val="18"/>
          <w:szCs w:val="18"/>
          <w:lang w:val="en-US" w:eastAsia="en-US"/>
        </w:rPr>
        <w:t xml:space="preserve"> (see Department of Internal Affairs, 2021a).</w:t>
      </w:r>
    </w:p>
  </w:footnote>
  <w:footnote w:id="22">
    <w:p w14:paraId="250518F3" w14:textId="7108C506" w:rsidR="00FC2F41" w:rsidRPr="00D7334A" w:rsidRDefault="00FC2F41" w:rsidP="00C104D1">
      <w:pPr>
        <w:pStyle w:val="NormalWeb"/>
        <w:spacing w:before="0" w:beforeAutospacing="0" w:after="0" w:afterAutospacing="0"/>
        <w:rPr>
          <w:sz w:val="18"/>
          <w:szCs w:val="18"/>
          <w:lang w:val="en-US"/>
        </w:rPr>
      </w:pPr>
      <w:r w:rsidRPr="0036093E">
        <w:rPr>
          <w:rStyle w:val="FootnoteReference"/>
          <w:rFonts w:ascii="Calibri" w:hAnsi="Calibri" w:cs="Calibri"/>
          <w:sz w:val="18"/>
          <w:szCs w:val="18"/>
        </w:rPr>
        <w:footnoteRef/>
      </w:r>
      <w:r w:rsidRPr="0036093E">
        <w:rPr>
          <w:rFonts w:ascii="Calibri" w:hAnsi="Calibri" w:cs="Calibri"/>
          <w:sz w:val="18"/>
          <w:szCs w:val="18"/>
        </w:rPr>
        <w:t xml:space="preserve"> Sourced </w:t>
      </w:r>
      <w:r w:rsidR="00F46055" w:rsidRPr="0036093E">
        <w:rPr>
          <w:rFonts w:ascii="Calibri" w:hAnsi="Calibri" w:cs="Calibri"/>
          <w:sz w:val="18"/>
          <w:szCs w:val="18"/>
        </w:rPr>
        <w:t>on 11 May 2021</w:t>
      </w:r>
      <w:r w:rsidRPr="0036093E">
        <w:rPr>
          <w:rFonts w:ascii="Calibri" w:hAnsi="Calibri" w:cs="Calibri"/>
          <w:sz w:val="18"/>
          <w:szCs w:val="18"/>
        </w:rPr>
        <w:t xml:space="preserve">: </w:t>
      </w:r>
      <w:hyperlink r:id="rId7" w:history="1">
        <w:r w:rsidR="00F46055" w:rsidRPr="0036093E">
          <w:rPr>
            <w:rFonts w:ascii="Calibri" w:eastAsia="Times New Roman" w:hAnsi="Calibri" w:cs="Calibri"/>
            <w:color w:val="0000FF"/>
            <w:sz w:val="18"/>
            <w:szCs w:val="18"/>
            <w:u w:val="single"/>
            <w:lang w:val="en-US" w:eastAsia="en-US"/>
          </w:rPr>
          <w:t>https://www.skycityentertainmentgroup.com/media-centre/asxnzx-announcement-launch-of-offshore-skycity-online-gaming-site-090819</w:t>
        </w:r>
      </w:hyperlink>
      <w:r w:rsidR="00F46055" w:rsidRPr="0036093E">
        <w:rPr>
          <w:rFonts w:ascii="Calibri" w:eastAsia="Times New Roman" w:hAnsi="Calibri" w:cs="Calibri"/>
          <w:sz w:val="18"/>
          <w:szCs w:val="18"/>
          <w:lang w:val="en-US" w:eastAsia="en-US"/>
        </w:rPr>
        <w:t xml:space="preserve"> </w:t>
      </w:r>
    </w:p>
  </w:footnote>
  <w:footnote w:id="23">
    <w:p w14:paraId="485A9953" w14:textId="21D0A1ED" w:rsidR="00FC2F41" w:rsidRPr="00D7334A" w:rsidRDefault="00FC2F41">
      <w:pPr>
        <w:pStyle w:val="FootnoteText"/>
        <w:rPr>
          <w:lang w:val="en-US"/>
        </w:rPr>
      </w:pPr>
      <w:r w:rsidRPr="00D7334A">
        <w:rPr>
          <w:rStyle w:val="FootnoteReference"/>
          <w:sz w:val="18"/>
          <w:szCs w:val="18"/>
        </w:rPr>
        <w:footnoteRef/>
      </w:r>
      <w:r w:rsidRPr="00D7334A">
        <w:rPr>
          <w:sz w:val="18"/>
          <w:szCs w:val="18"/>
        </w:rPr>
        <w:t xml:space="preserve"> Sourced from: https://www.skycityentertainmentgroup.com/media-centre/skycity-announces-full-year-results</w:t>
      </w:r>
    </w:p>
  </w:footnote>
  <w:footnote w:id="24">
    <w:p w14:paraId="3828C9FE" w14:textId="6CC68622" w:rsidR="00FC2F41" w:rsidRPr="00021051" w:rsidRDefault="00FC2F41">
      <w:pPr>
        <w:pStyle w:val="FootnoteText"/>
        <w:rPr>
          <w:lang w:val="en-US"/>
        </w:rPr>
      </w:pPr>
      <w:r>
        <w:rPr>
          <w:rStyle w:val="FootnoteReference"/>
        </w:rPr>
        <w:footnoteRef/>
      </w:r>
      <w:r>
        <w:t xml:space="preserve"> Sourced from: </w:t>
      </w:r>
      <w:hyperlink r:id="rId8" w:anchor="!/gambling/gambling-harm/hls-gamblers-pgsi-moderate-risk-and-problem" w:history="1">
        <w:r w:rsidRPr="00FE47BF">
          <w:rPr>
            <w:rStyle w:val="Hyperlink"/>
          </w:rPr>
          <w:t>https://kupe.hpa.org.nz/#!/gambling/gambling-harm/hls-gamblers-pgsi-moderate-risk-and-problem</w:t>
        </w:r>
      </w:hyperlink>
      <w:r>
        <w:t xml:space="preserve"> </w:t>
      </w:r>
    </w:p>
  </w:footnote>
  <w:footnote w:id="25">
    <w:p w14:paraId="46730D7A" w14:textId="509D2DB5" w:rsidR="00FC2F41" w:rsidRPr="00912C47" w:rsidRDefault="00FC2F41" w:rsidP="00912C47">
      <w:pPr>
        <w:pStyle w:val="CommentText"/>
        <w:rPr>
          <w:sz w:val="18"/>
          <w:szCs w:val="18"/>
        </w:rPr>
      </w:pPr>
      <w:r w:rsidRPr="00912C47">
        <w:rPr>
          <w:rStyle w:val="FootnoteReference"/>
          <w:sz w:val="18"/>
          <w:szCs w:val="18"/>
        </w:rPr>
        <w:footnoteRef/>
      </w:r>
      <w:r w:rsidRPr="00912C47">
        <w:rPr>
          <w:sz w:val="18"/>
          <w:szCs w:val="18"/>
        </w:rPr>
        <w:t xml:space="preserve"> </w:t>
      </w:r>
      <w:hyperlink r:id="rId9" w:anchor="!/gambling/gambling-harm/hls-household-level-gambling-harm" w:history="1">
        <w:r w:rsidRPr="00FF38CA">
          <w:rPr>
            <w:rStyle w:val="Hyperlink"/>
            <w:sz w:val="18"/>
            <w:szCs w:val="18"/>
          </w:rPr>
          <w:t>https://kupe.hpa.org.nz/#!/gambling/gambling-harm/hls-household-level-gambling-harm</w:t>
        </w:r>
      </w:hyperlink>
      <w:r>
        <w:rPr>
          <w:sz w:val="18"/>
          <w:szCs w:val="18"/>
        </w:rPr>
        <w:t xml:space="preserve"> </w:t>
      </w:r>
    </w:p>
  </w:footnote>
  <w:footnote w:id="26">
    <w:p w14:paraId="3261A7BF" w14:textId="4BD2CF9E"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Research has shown that ethnicity remains a significant risk factor when other factors (such as socio-economic deprivation, gender and age) are controlled for (Welte et al, 2004; Ministry of Health 2006).</w:t>
      </w:r>
    </w:p>
  </w:footnote>
  <w:footnote w:id="27">
    <w:p w14:paraId="7E6B48D0" w14:textId="5A284871"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 xml:space="preserve">Using </w:t>
      </w:r>
      <w:r w:rsidR="0036093E" w:rsidRPr="00A64E86">
        <w:rPr>
          <w:sz w:val="18"/>
          <w:szCs w:val="18"/>
          <w:lang w:val="en-US"/>
        </w:rPr>
        <w:t xml:space="preserve">NZDEP2013 Index of Deprivation. Sourced from: </w:t>
      </w:r>
      <w:hyperlink r:id="rId10" w:history="1">
        <w:r w:rsidR="001669DE" w:rsidRPr="00A64E86">
          <w:rPr>
            <w:rStyle w:val="Hyperlink"/>
            <w:sz w:val="18"/>
            <w:szCs w:val="18"/>
            <w:lang w:val="en-US"/>
          </w:rPr>
          <w:t>https://www.health.govt.nz/publication/nzdep2013-index-deprivation</w:t>
        </w:r>
      </w:hyperlink>
      <w:r w:rsidR="001669DE" w:rsidRPr="00A64E86">
        <w:rPr>
          <w:sz w:val="18"/>
          <w:szCs w:val="18"/>
          <w:lang w:val="en-US"/>
        </w:rPr>
        <w:t xml:space="preserve"> </w:t>
      </w:r>
    </w:p>
  </w:footnote>
  <w:footnote w:id="28">
    <w:p w14:paraId="3D60C1B4" w14:textId="584138A4"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Existing clients are those</w:t>
      </w:r>
      <w:r w:rsidRPr="00A64E86">
        <w:rPr>
          <w:sz w:val="18"/>
          <w:szCs w:val="18"/>
          <w:shd w:val="clear" w:color="auto" w:fill="FFFFFF"/>
        </w:rPr>
        <w:t xml:space="preserve"> who have accessed a service in a previous year.</w:t>
      </w:r>
    </w:p>
  </w:footnote>
  <w:footnote w:id="29">
    <w:p w14:paraId="796DE811" w14:textId="6B2CFA59"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Other incudes New Zealand European and ethnic groups otherwise not stated.</w:t>
      </w:r>
    </w:p>
  </w:footnote>
  <w:footnote w:id="30">
    <w:p w14:paraId="31AB41EB" w14:textId="6A27BD04"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Including existing and new clients.</w:t>
      </w:r>
    </w:p>
  </w:footnote>
  <w:footnote w:id="31">
    <w:p w14:paraId="04437644" w14:textId="65FF012B"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Follow-up.</w:t>
      </w:r>
    </w:p>
  </w:footnote>
  <w:footnote w:id="32">
    <w:p w14:paraId="3BABA027" w14:textId="5E5E62BE" w:rsidR="00FC2F41" w:rsidRPr="00A64E86" w:rsidRDefault="00FC2F41">
      <w:pPr>
        <w:pStyle w:val="FootnoteText"/>
        <w:rPr>
          <w:sz w:val="18"/>
          <w:szCs w:val="18"/>
          <w:lang w:val="en-US"/>
        </w:rPr>
      </w:pPr>
      <w:r w:rsidRPr="00A64E86">
        <w:rPr>
          <w:rStyle w:val="FootnoteReference"/>
          <w:sz w:val="18"/>
          <w:szCs w:val="18"/>
        </w:rPr>
        <w:footnoteRef/>
      </w:r>
      <w:r w:rsidRPr="00A64E86">
        <w:rPr>
          <w:sz w:val="18"/>
          <w:szCs w:val="18"/>
        </w:rPr>
        <w:t xml:space="preserve"> </w:t>
      </w:r>
      <w:r w:rsidRPr="00A64E86">
        <w:rPr>
          <w:sz w:val="18"/>
          <w:szCs w:val="18"/>
          <w:lang w:val="en-US"/>
        </w:rPr>
        <w:t>Including brief intervention clients.</w:t>
      </w:r>
    </w:p>
  </w:footnote>
  <w:footnote w:id="33">
    <w:p w14:paraId="3FC9FACA" w14:textId="77777777" w:rsidR="00FC2F41" w:rsidRPr="004A18D3" w:rsidRDefault="00FC2F41" w:rsidP="004A18D3">
      <w:pPr>
        <w:pStyle w:val="CommentText"/>
        <w:spacing w:after="0"/>
        <w:rPr>
          <w:sz w:val="18"/>
          <w:szCs w:val="18"/>
        </w:rPr>
      </w:pPr>
      <w:r w:rsidRPr="004A18D3">
        <w:rPr>
          <w:rStyle w:val="FootnoteReference"/>
          <w:sz w:val="18"/>
          <w:szCs w:val="18"/>
        </w:rPr>
        <w:footnoteRef/>
      </w:r>
      <w:r w:rsidRPr="004A18D3">
        <w:rPr>
          <w:sz w:val="18"/>
          <w:szCs w:val="18"/>
        </w:rPr>
        <w:t xml:space="preserve"> https://www.health.govt.nz/our-work/national-telehealth-service</w:t>
      </w:r>
    </w:p>
  </w:footnote>
  <w:footnote w:id="34">
    <w:p w14:paraId="42A6E1A3" w14:textId="77777777" w:rsidR="00FC2F41" w:rsidRPr="004A18D3" w:rsidRDefault="00FC2F41" w:rsidP="004A18D3">
      <w:pPr>
        <w:pStyle w:val="FootnoteText"/>
        <w:rPr>
          <w:sz w:val="18"/>
          <w:szCs w:val="18"/>
          <w:lang w:val="en-US"/>
        </w:rPr>
      </w:pPr>
      <w:r w:rsidRPr="004A18D3">
        <w:rPr>
          <w:rStyle w:val="FootnoteReference"/>
          <w:sz w:val="18"/>
          <w:szCs w:val="18"/>
        </w:rPr>
        <w:footnoteRef/>
      </w:r>
      <w:r w:rsidRPr="004A18D3">
        <w:rPr>
          <w:sz w:val="18"/>
          <w:szCs w:val="18"/>
        </w:rPr>
        <w:t xml:space="preserve"> </w:t>
      </w:r>
      <w:r w:rsidRPr="004A18D3">
        <w:rPr>
          <w:sz w:val="18"/>
          <w:szCs w:val="18"/>
          <w:lang w:val="en-US"/>
        </w:rPr>
        <w:t xml:space="preserve">The Gambling Helpline consists of the general number and four specialist lines (Māori, Pacific, Debt, and Youth Gambling Helplines) </w:t>
      </w:r>
      <w:r w:rsidRPr="004A18D3">
        <w:rPr>
          <w:rFonts w:cs="Calibri"/>
          <w:bCs/>
          <w:sz w:val="18"/>
          <w:szCs w:val="18"/>
          <w:lang w:val="en-US"/>
        </w:rPr>
        <w:t>(Sapere Research Group &amp; Litmus, 2020)</w:t>
      </w:r>
      <w:r w:rsidRPr="004A18D3">
        <w:rPr>
          <w:sz w:val="18"/>
          <w:szCs w:val="18"/>
          <w:lang w:val="en-US"/>
        </w:rPr>
        <w:t>.</w:t>
      </w:r>
    </w:p>
  </w:footnote>
  <w:footnote w:id="35">
    <w:p w14:paraId="23FBFF64" w14:textId="77777777" w:rsidR="00FC2F41" w:rsidRPr="00CD637C" w:rsidRDefault="00FC2F41" w:rsidP="00D705C8">
      <w:pPr>
        <w:pStyle w:val="FootnoteText"/>
        <w:rPr>
          <w:lang w:val="en-US"/>
        </w:rPr>
      </w:pPr>
      <w:r>
        <w:rPr>
          <w:rStyle w:val="FootnoteReference"/>
        </w:rPr>
        <w:footnoteRef/>
      </w:r>
      <w:r>
        <w:t xml:space="preserve"> </w:t>
      </w:r>
      <w:r w:rsidRPr="009D029F">
        <w:t>Strategy to Prevent and Minimise Gambling Harm 2019/20-2021/22</w:t>
      </w:r>
      <w:r>
        <w:t xml:space="preserve"> </w:t>
      </w:r>
      <w:hyperlink r:id="rId11" w:history="1">
        <w:r w:rsidRPr="002E1815">
          <w:rPr>
            <w:rStyle w:val="Hyperlink"/>
          </w:rPr>
          <w:t>https://www.health.govt.nz/publication/strategy-prevent-and-minimise-gambling-harm-2019-20-2021-22</w:t>
        </w:r>
      </w:hyperlink>
      <w:r>
        <w:t xml:space="preserve"> </w:t>
      </w:r>
    </w:p>
  </w:footnote>
  <w:footnote w:id="36">
    <w:p w14:paraId="5C8AC587" w14:textId="77777777" w:rsidR="00FC2F41" w:rsidRPr="001860DB" w:rsidRDefault="00FC2F41" w:rsidP="00AA59D6">
      <w:pPr>
        <w:pStyle w:val="FootnoteText"/>
        <w:rPr>
          <w:lang w:val="en-US"/>
        </w:rPr>
      </w:pPr>
      <w:r>
        <w:rPr>
          <w:rStyle w:val="FootnoteReference"/>
        </w:rPr>
        <w:footnoteRef/>
      </w:r>
      <w:r>
        <w:t xml:space="preserve"> </w:t>
      </w:r>
      <w:r>
        <w:rPr>
          <w:lang w:val="en-US"/>
        </w:rPr>
        <w:t>See appendix 3.</w:t>
      </w:r>
    </w:p>
  </w:footnote>
  <w:footnote w:id="37">
    <w:p w14:paraId="404C4CE6" w14:textId="77777777" w:rsidR="00FC2F41" w:rsidRPr="0057280E" w:rsidRDefault="00FC2F41" w:rsidP="00D705C8">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38">
    <w:p w14:paraId="5597BD98" w14:textId="77777777" w:rsidR="00FC2F41" w:rsidRPr="0057280E" w:rsidRDefault="00FC2F41" w:rsidP="00D151AF">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39">
    <w:p w14:paraId="4B8671AA" w14:textId="77777777" w:rsidR="00FC2F41" w:rsidRPr="0057280E" w:rsidRDefault="00FC2F41" w:rsidP="00067A51">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40">
    <w:p w14:paraId="13C1A588" w14:textId="77777777" w:rsidR="00FC2F41" w:rsidRPr="0057280E" w:rsidRDefault="00FC2F41" w:rsidP="001A774A">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41">
    <w:p w14:paraId="2530B9FD" w14:textId="74F0906C" w:rsidR="00FC2F41" w:rsidRPr="001A5DC2" w:rsidRDefault="00FC2F41">
      <w:pPr>
        <w:pStyle w:val="FootnoteText"/>
        <w:rPr>
          <w:sz w:val="18"/>
          <w:szCs w:val="18"/>
          <w:lang w:val="en-US"/>
        </w:rPr>
      </w:pPr>
      <w:r w:rsidRPr="001A5DC2">
        <w:rPr>
          <w:rStyle w:val="FootnoteReference"/>
          <w:sz w:val="18"/>
          <w:szCs w:val="18"/>
        </w:rPr>
        <w:footnoteRef/>
      </w:r>
      <w:r w:rsidRPr="001A5DC2">
        <w:rPr>
          <w:sz w:val="18"/>
          <w:szCs w:val="18"/>
        </w:rPr>
        <w:t xml:space="preserve"> </w:t>
      </w:r>
      <w:r w:rsidRPr="001A5DC2">
        <w:rPr>
          <w:sz w:val="18"/>
          <w:szCs w:val="18"/>
          <w:lang w:val="en-US"/>
        </w:rPr>
        <w:t>Aside from the Sorted Wh</w:t>
      </w:r>
      <w:r w:rsidRPr="001A5DC2">
        <w:rPr>
          <w:rFonts w:cs="Calibri"/>
          <w:sz w:val="18"/>
          <w:szCs w:val="18"/>
          <w:lang w:val="en-US"/>
        </w:rPr>
        <w:t>ā</w:t>
      </w:r>
      <w:r w:rsidRPr="001A5DC2">
        <w:rPr>
          <w:sz w:val="18"/>
          <w:szCs w:val="18"/>
          <w:lang w:val="en-US"/>
        </w:rPr>
        <w:t xml:space="preserve">nau pilot conducted by Malatest International in 2016 (see </w:t>
      </w:r>
      <w:r w:rsidR="001D5378" w:rsidRPr="001A5DC2">
        <w:rPr>
          <w:sz w:val="18"/>
          <w:szCs w:val="18"/>
          <w:lang w:val="en-US"/>
        </w:rPr>
        <w:t>Sapere Research Group,</w:t>
      </w:r>
      <w:r w:rsidRPr="001A5DC2">
        <w:rPr>
          <w:sz w:val="18"/>
          <w:szCs w:val="18"/>
          <w:lang w:val="en-US"/>
        </w:rPr>
        <w:t xml:space="preserve"> 2018) </w:t>
      </w:r>
    </w:p>
  </w:footnote>
  <w:footnote w:id="42">
    <w:p w14:paraId="6FCA0070" w14:textId="77777777" w:rsidR="00FC2F41" w:rsidRPr="001A5DC2" w:rsidRDefault="00FC2F41" w:rsidP="00401121">
      <w:pPr>
        <w:pStyle w:val="FootnoteText"/>
        <w:rPr>
          <w:sz w:val="18"/>
          <w:szCs w:val="18"/>
          <w:lang w:val="en-US"/>
        </w:rPr>
      </w:pPr>
      <w:r w:rsidRPr="001A5DC2">
        <w:rPr>
          <w:rStyle w:val="FootnoteReference"/>
          <w:sz w:val="18"/>
          <w:szCs w:val="18"/>
        </w:rPr>
        <w:footnoteRef/>
      </w:r>
      <w:r w:rsidRPr="001A5DC2">
        <w:rPr>
          <w:sz w:val="18"/>
          <w:szCs w:val="18"/>
        </w:rPr>
        <w:t xml:space="preserve"> </w:t>
      </w:r>
      <w:r w:rsidRPr="001A5DC2">
        <w:rPr>
          <w:sz w:val="18"/>
          <w:szCs w:val="18"/>
          <w:lang w:val="en-US"/>
        </w:rPr>
        <w:t>Ibid.</w:t>
      </w:r>
    </w:p>
  </w:footnote>
  <w:footnote w:id="43">
    <w:p w14:paraId="30611E86" w14:textId="103CEC1E" w:rsidR="00FC2F41" w:rsidRPr="0057280E" w:rsidRDefault="00FC2F41">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44">
    <w:p w14:paraId="37CB7361" w14:textId="77777777" w:rsidR="00FC2F41" w:rsidRPr="0057280E" w:rsidRDefault="00FC2F41" w:rsidP="00D705C8">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45">
    <w:p w14:paraId="52900780" w14:textId="77777777" w:rsidR="00FC2F41" w:rsidRPr="0057280E" w:rsidRDefault="00FC2F41" w:rsidP="00D705C8">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46">
    <w:p w14:paraId="05DEEB45" w14:textId="77777777" w:rsidR="00FC2F41" w:rsidRPr="0057280E" w:rsidRDefault="00FC2F41" w:rsidP="00D705C8">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Ibid.</w:t>
      </w:r>
    </w:p>
  </w:footnote>
  <w:footnote w:id="47">
    <w:p w14:paraId="74AEB244" w14:textId="77777777" w:rsidR="00FC2F41" w:rsidRPr="00B44299" w:rsidRDefault="00FC2F41" w:rsidP="00F5793F">
      <w:pPr>
        <w:pStyle w:val="FootnoteText"/>
        <w:rPr>
          <w:sz w:val="18"/>
          <w:szCs w:val="18"/>
          <w:lang w:val="en-US"/>
        </w:rPr>
      </w:pPr>
      <w:r w:rsidRPr="00B44299">
        <w:rPr>
          <w:rStyle w:val="FootnoteReference"/>
          <w:sz w:val="18"/>
          <w:szCs w:val="18"/>
        </w:rPr>
        <w:footnoteRef/>
      </w:r>
      <w:r w:rsidRPr="00B44299">
        <w:rPr>
          <w:sz w:val="18"/>
          <w:szCs w:val="18"/>
        </w:rPr>
        <w:t xml:space="preserve"> </w:t>
      </w:r>
      <w:r w:rsidRPr="00B44299">
        <w:rPr>
          <w:sz w:val="18"/>
          <w:szCs w:val="18"/>
          <w:lang w:val="en-US"/>
        </w:rPr>
        <w:t>See appendix 3</w:t>
      </w:r>
    </w:p>
  </w:footnote>
  <w:footnote w:id="48">
    <w:p w14:paraId="430B50A3" w14:textId="44F2C294" w:rsidR="00FC2F41" w:rsidRPr="0057280E" w:rsidRDefault="00FC2F41">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49">
    <w:p w14:paraId="33A5769B" w14:textId="24D8FACD" w:rsidR="00FC2F41" w:rsidRPr="0057280E" w:rsidRDefault="00FC2F41">
      <w:pPr>
        <w:pStyle w:val="FootnoteText"/>
        <w:rPr>
          <w:sz w:val="18"/>
          <w:szCs w:val="18"/>
          <w:lang w:val="en-US"/>
        </w:rPr>
      </w:pPr>
      <w:r w:rsidRPr="0057280E">
        <w:rPr>
          <w:rStyle w:val="FootnoteReference"/>
          <w:sz w:val="18"/>
          <w:szCs w:val="18"/>
        </w:rPr>
        <w:footnoteRef/>
      </w:r>
      <w:r w:rsidRPr="0057280E">
        <w:rPr>
          <w:sz w:val="18"/>
          <w:szCs w:val="18"/>
        </w:rPr>
        <w:t xml:space="preserve"> </w:t>
      </w:r>
      <w:hyperlink r:id="rId12" w:history="1">
        <w:r w:rsidRPr="0057280E">
          <w:rPr>
            <w:rStyle w:val="Hyperlink"/>
            <w:sz w:val="18"/>
            <w:szCs w:val="18"/>
          </w:rPr>
          <w:t>https://www.health.govt.nz/our-work/mental-health-and-addiction/addiction/gambling/gambling-research-and-evaluation/funding-opportunities-gambling-harm-reduction-research-and-evaluation</w:t>
        </w:r>
      </w:hyperlink>
      <w:r w:rsidRPr="0057280E">
        <w:rPr>
          <w:sz w:val="18"/>
          <w:szCs w:val="18"/>
        </w:rPr>
        <w:t xml:space="preserve"> </w:t>
      </w:r>
    </w:p>
  </w:footnote>
  <w:footnote w:id="50">
    <w:p w14:paraId="61A07B1C" w14:textId="77777777" w:rsidR="00FC2F41" w:rsidRPr="0057280E" w:rsidRDefault="00FC2F41" w:rsidP="00D705C8">
      <w:pPr>
        <w:pStyle w:val="FootnoteText"/>
        <w:rPr>
          <w:sz w:val="18"/>
          <w:szCs w:val="18"/>
          <w:lang w:val="en-US"/>
        </w:rPr>
      </w:pPr>
      <w:r w:rsidRPr="0057280E">
        <w:rPr>
          <w:rStyle w:val="FootnoteReference"/>
          <w:sz w:val="18"/>
          <w:szCs w:val="18"/>
        </w:rPr>
        <w:footnoteRef/>
      </w:r>
      <w:r w:rsidRPr="0057280E">
        <w:rPr>
          <w:sz w:val="18"/>
          <w:szCs w:val="18"/>
        </w:rPr>
        <w:t xml:space="preserve"> </w:t>
      </w:r>
      <w:r w:rsidRPr="0057280E">
        <w:rPr>
          <w:sz w:val="18"/>
          <w:szCs w:val="18"/>
          <w:lang w:val="en-US"/>
        </w:rPr>
        <w:t>See appendix 3.</w:t>
      </w:r>
    </w:p>
  </w:footnote>
  <w:footnote w:id="51">
    <w:p w14:paraId="29A6D90D" w14:textId="77777777" w:rsidR="00FC2F41" w:rsidRPr="001B2EE2" w:rsidRDefault="00FC2F41" w:rsidP="00506DEE">
      <w:pPr>
        <w:pStyle w:val="FootnoteText"/>
        <w:rPr>
          <w:lang w:val="en-US"/>
        </w:rPr>
      </w:pPr>
      <w:r w:rsidRPr="00B44299">
        <w:rPr>
          <w:rStyle w:val="FootnoteReference"/>
          <w:sz w:val="18"/>
          <w:szCs w:val="18"/>
        </w:rPr>
        <w:footnoteRef/>
      </w:r>
      <w:r w:rsidRPr="00B44299">
        <w:rPr>
          <w:sz w:val="18"/>
          <w:szCs w:val="18"/>
        </w:rPr>
        <w:t xml:space="preserve"> Response percentages do not add to 100% as respondents were able to select multiple ethnicities.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3A173" w14:textId="77777777" w:rsidR="00FC2F41" w:rsidRDefault="00FC2F41" w:rsidP="00E32BFE">
    <w:pPr>
      <w:pStyle w:val="Header"/>
    </w:pPr>
  </w:p>
  <w:p w14:paraId="697593E3" w14:textId="77777777" w:rsidR="00FC2F41" w:rsidRDefault="00FC2F41" w:rsidP="00E32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CE0F6" w14:textId="77777777" w:rsidR="00FC2F41" w:rsidRDefault="00FC2F41" w:rsidP="00E32BFE">
    <w:pPr>
      <w:pStyle w:val="Header"/>
      <w:ind w:hanging="2127"/>
    </w:pPr>
    <w:r>
      <w:rPr>
        <w:noProof/>
      </w:rPr>
      <w:drawing>
        <wp:inline distT="0" distB="0" distL="0" distR="0" wp14:anchorId="7F87FC73" wp14:editId="15551865">
          <wp:extent cx="4418964" cy="1485265"/>
          <wp:effectExtent l="0" t="0" r="635" b="635"/>
          <wp:docPr id="20"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3932" t="8694" b="23914"/>
                  <a:stretch>
                    <a:fillRect/>
                  </a:stretch>
                </pic:blipFill>
                <pic:spPr>
                  <a:xfrm>
                    <a:off x="0" y="0"/>
                    <a:ext cx="4418964" cy="14852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21570" w14:textId="0F0E77AB" w:rsidR="00FC2F41" w:rsidRDefault="00FC2F41" w:rsidP="00286D3C">
    <w:pPr>
      <w:pStyle w:val="Header"/>
      <w:tabs>
        <w:tab w:val="clear" w:pos="4513"/>
        <w:tab w:val="clear" w:pos="9026"/>
        <w:tab w:val="left" w:pos="9211"/>
      </w:tabs>
    </w:pPr>
    <w:r>
      <w:rPr>
        <w:noProof/>
      </w:rPr>
      <w:drawing>
        <wp:anchor distT="0" distB="0" distL="114300" distR="114300" simplePos="0" relativeHeight="251638784" behindDoc="0" locked="0" layoutInCell="1" allowOverlap="1" wp14:anchorId="7FFCF203" wp14:editId="25DD59D9">
          <wp:simplePos x="0" y="0"/>
          <wp:positionH relativeFrom="rightMargin">
            <wp:posOffset>-1476375</wp:posOffset>
          </wp:positionH>
          <wp:positionV relativeFrom="paragraph">
            <wp:posOffset>199390</wp:posOffset>
          </wp:positionV>
          <wp:extent cx="1566000" cy="525600"/>
          <wp:effectExtent l="0" t="0" r="0" b="8255"/>
          <wp:wrapNone/>
          <wp:docPr id="45" name="Picture 45" descr="C:\Users\Malatest Tim\AppData\Local\Microsoft\Windows\INetCache\Content.Word\Malatest_Primary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test Tim\AppData\Local\Microsoft\Windows\INetCache\Content.Word\Malatest_Primary Logo_RGB.JPG"/>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D3C">
      <w:tab/>
    </w:r>
  </w:p>
  <w:p w14:paraId="310879AD" w14:textId="77777777" w:rsidR="00FC2F41" w:rsidRDefault="00FC2F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A9A16" w14:textId="77777777" w:rsidR="00286D3C" w:rsidRDefault="00286D3C" w:rsidP="00286D3C">
    <w:pPr>
      <w:pStyle w:val="Header"/>
      <w:tabs>
        <w:tab w:val="clear" w:pos="4513"/>
        <w:tab w:val="clear" w:pos="9026"/>
        <w:tab w:val="left" w:pos="9211"/>
      </w:tabs>
    </w:pPr>
    <w:r>
      <w:rPr>
        <w:noProof/>
      </w:rPr>
      <w:drawing>
        <wp:anchor distT="0" distB="0" distL="114300" distR="114300" simplePos="0" relativeHeight="251655168" behindDoc="0" locked="0" layoutInCell="1" allowOverlap="1" wp14:anchorId="3C18BCE5" wp14:editId="1C136127">
          <wp:simplePos x="0" y="0"/>
          <wp:positionH relativeFrom="rightMargin">
            <wp:posOffset>-1476375</wp:posOffset>
          </wp:positionH>
          <wp:positionV relativeFrom="paragraph">
            <wp:posOffset>199390</wp:posOffset>
          </wp:positionV>
          <wp:extent cx="1566000" cy="525600"/>
          <wp:effectExtent l="0" t="0" r="0" b="8255"/>
          <wp:wrapNone/>
          <wp:docPr id="48" name="Picture 48" descr="C:\Users\Malatest Tim\AppData\Local\Microsoft\Windows\INetCache\Content.Word\Malatest_Primary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test Tim\AppData\Local\Microsoft\Windows\INetCache\Content.Word\Malatest_Primary Logo_RGB.JPG"/>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9B62791" w14:textId="77777777" w:rsidR="00286D3C" w:rsidRDefault="00286D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D9D03" w14:textId="77777777" w:rsidR="00286D3C" w:rsidRDefault="00286D3C" w:rsidP="00286D3C">
    <w:pPr>
      <w:pStyle w:val="Header"/>
      <w:tabs>
        <w:tab w:val="clear" w:pos="4513"/>
        <w:tab w:val="clear" w:pos="9026"/>
        <w:tab w:val="left" w:pos="9211"/>
      </w:tabs>
    </w:pPr>
    <w:r>
      <w:rPr>
        <w:noProof/>
      </w:rPr>
      <w:drawing>
        <wp:anchor distT="0" distB="0" distL="114300" distR="114300" simplePos="0" relativeHeight="251665408" behindDoc="0" locked="0" layoutInCell="1" allowOverlap="1" wp14:anchorId="5EB1F17E" wp14:editId="6B8A69A7">
          <wp:simplePos x="0" y="0"/>
          <wp:positionH relativeFrom="rightMargin">
            <wp:posOffset>-1476375</wp:posOffset>
          </wp:positionH>
          <wp:positionV relativeFrom="paragraph">
            <wp:posOffset>199390</wp:posOffset>
          </wp:positionV>
          <wp:extent cx="1566000" cy="525600"/>
          <wp:effectExtent l="0" t="0" r="0" b="8255"/>
          <wp:wrapNone/>
          <wp:docPr id="50" name="Picture 50" descr="C:\Users\Malatest Tim\AppData\Local\Microsoft\Windows\INetCache\Content.Word\Malatest_Primary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test Tim\AppData\Local\Microsoft\Windows\INetCache\Content.Word\Malatest_Primary Logo_RGB.JPG"/>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D4D6F41" w14:textId="77777777" w:rsidR="00286D3C" w:rsidRDefault="00286D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06125"/>
    <w:multiLevelType w:val="multilevel"/>
    <w:tmpl w:val="1486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E7750"/>
    <w:multiLevelType w:val="multilevel"/>
    <w:tmpl w:val="1960D0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8B0E42"/>
    <w:multiLevelType w:val="hybridMultilevel"/>
    <w:tmpl w:val="42BA2970"/>
    <w:lvl w:ilvl="0" w:tplc="DD72F720">
      <w:start w:val="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2E1572C"/>
    <w:multiLevelType w:val="hybridMultilevel"/>
    <w:tmpl w:val="678A93BC"/>
    <w:lvl w:ilvl="0" w:tplc="8F4A87AA">
      <w:start w:val="1"/>
      <w:numFmt w:val="bullet"/>
      <w:pStyle w:val="Bulletpointindented"/>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4C3435"/>
    <w:multiLevelType w:val="hybridMultilevel"/>
    <w:tmpl w:val="0ADE3E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F003F0B"/>
    <w:multiLevelType w:val="hybridMultilevel"/>
    <w:tmpl w:val="0EC4FA56"/>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74F1B62"/>
    <w:multiLevelType w:val="hybridMultilevel"/>
    <w:tmpl w:val="48543978"/>
    <w:lvl w:ilvl="0" w:tplc="B0DEBF6A">
      <w:start w:val="1"/>
      <w:numFmt w:val="decimal"/>
      <w:pStyle w:val="Numberedpara2level1"/>
      <w:lvlText w:val="%1."/>
      <w:lvlJc w:val="left"/>
      <w:pPr>
        <w:tabs>
          <w:tab w:val="num" w:pos="567"/>
        </w:tabs>
        <w:ind w:left="567" w:hanging="567"/>
      </w:pPr>
      <w:rPr>
        <w:rFonts w:hint="default"/>
      </w:rPr>
    </w:lvl>
    <w:lvl w:ilvl="1" w:tplc="E0220D9A">
      <w:start w:val="1"/>
      <w:numFmt w:val="lowerLetter"/>
      <w:pStyle w:val="Numberedpara2level2a"/>
      <w:lvlText w:val="%2)"/>
      <w:lvlJc w:val="left"/>
      <w:pPr>
        <w:ind w:left="924" w:hanging="357"/>
      </w:pPr>
      <w:rPr>
        <w:rFonts w:hint="default"/>
      </w:rPr>
    </w:lvl>
    <w:lvl w:ilvl="2" w:tplc="139811E2">
      <w:start w:val="1"/>
      <w:numFmt w:val="lowerRoman"/>
      <w:pStyle w:val="Numberedpara2level3i"/>
      <w:lvlText w:val="%3)"/>
      <w:lvlJc w:val="left"/>
      <w:pPr>
        <w:ind w:left="1298" w:hanging="374"/>
      </w:pPr>
      <w:rPr>
        <w:rFonts w:hint="default"/>
      </w:rPr>
    </w:lvl>
    <w:lvl w:ilvl="3" w:tplc="755A71F0">
      <w:start w:val="1"/>
      <w:numFmt w:val="decimal"/>
      <w:lvlText w:val="(%4)"/>
      <w:lvlJc w:val="left"/>
      <w:pPr>
        <w:ind w:left="1440" w:hanging="360"/>
      </w:pPr>
      <w:rPr>
        <w:rFonts w:hint="default"/>
      </w:rPr>
    </w:lvl>
    <w:lvl w:ilvl="4" w:tplc="6FB28026">
      <w:start w:val="1"/>
      <w:numFmt w:val="lowerLetter"/>
      <w:lvlText w:val="(%5)"/>
      <w:lvlJc w:val="left"/>
      <w:pPr>
        <w:ind w:left="1800" w:hanging="360"/>
      </w:pPr>
      <w:rPr>
        <w:rFonts w:hint="default"/>
      </w:rPr>
    </w:lvl>
    <w:lvl w:ilvl="5" w:tplc="CA86FEB4">
      <w:start w:val="1"/>
      <w:numFmt w:val="lowerRoman"/>
      <w:lvlText w:val="(%6)"/>
      <w:lvlJc w:val="left"/>
      <w:pPr>
        <w:ind w:left="2160" w:hanging="360"/>
      </w:pPr>
      <w:rPr>
        <w:rFonts w:hint="default"/>
      </w:rPr>
    </w:lvl>
    <w:lvl w:ilvl="6" w:tplc="EAF0BA0E">
      <w:start w:val="1"/>
      <w:numFmt w:val="decimal"/>
      <w:lvlText w:val="%7."/>
      <w:lvlJc w:val="left"/>
      <w:pPr>
        <w:ind w:left="2520" w:hanging="360"/>
      </w:pPr>
      <w:rPr>
        <w:rFonts w:hint="default"/>
      </w:rPr>
    </w:lvl>
    <w:lvl w:ilvl="7" w:tplc="490EF2B2">
      <w:start w:val="1"/>
      <w:numFmt w:val="lowerLetter"/>
      <w:lvlText w:val="%8."/>
      <w:lvlJc w:val="left"/>
      <w:pPr>
        <w:ind w:left="2880" w:hanging="360"/>
      </w:pPr>
      <w:rPr>
        <w:rFonts w:hint="default"/>
      </w:rPr>
    </w:lvl>
    <w:lvl w:ilvl="8" w:tplc="451CDA9C">
      <w:start w:val="1"/>
      <w:numFmt w:val="lowerRoman"/>
      <w:lvlText w:val="%9."/>
      <w:lvlJc w:val="left"/>
      <w:pPr>
        <w:ind w:left="3240" w:hanging="360"/>
      </w:pPr>
      <w:rPr>
        <w:rFonts w:hint="default"/>
      </w:rPr>
    </w:lvl>
  </w:abstractNum>
  <w:abstractNum w:abstractNumId="7" w15:restartNumberingAfterBreak="0">
    <w:nsid w:val="5C0503C5"/>
    <w:multiLevelType w:val="multilevel"/>
    <w:tmpl w:val="B7CC95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3979"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5FD40A31"/>
    <w:multiLevelType w:val="hybridMultilevel"/>
    <w:tmpl w:val="934AFDF0"/>
    <w:lvl w:ilvl="0" w:tplc="B7C8F5FE">
      <w:start w:val="1"/>
      <w:numFmt w:val="bullet"/>
      <w:pStyle w:val="Bullet"/>
      <w:lvlText w:val=""/>
      <w:lvlJc w:val="left"/>
      <w:pPr>
        <w:ind w:left="927" w:hanging="360"/>
      </w:pPr>
      <w:rPr>
        <w:rFonts w:ascii="Symbol" w:hAnsi="Symbol" w:hint="default"/>
        <w:sz w:val="20"/>
      </w:rPr>
    </w:lvl>
    <w:lvl w:ilvl="1" w:tplc="EF6A42BE">
      <w:start w:val="1"/>
      <w:numFmt w:val="bullet"/>
      <w:pStyle w:val="Bulletlevel2"/>
      <w:lvlText w:val="○"/>
      <w:lvlJc w:val="left"/>
      <w:pPr>
        <w:ind w:left="1281" w:hanging="357"/>
      </w:pPr>
      <w:rPr>
        <w:rFonts w:ascii="Courier New" w:hAnsi="Courier New" w:cs="Times New Roman" w:hint="default"/>
        <w:b/>
        <w:i w:val="0"/>
        <w:sz w:val="18"/>
      </w:rPr>
    </w:lvl>
    <w:lvl w:ilvl="2" w:tplc="04AED29E">
      <w:start w:val="1"/>
      <w:numFmt w:val="bullet"/>
      <w:lvlRestart w:val="0"/>
      <w:pStyle w:val="Bulletlevel3"/>
      <w:lvlText w:val="-"/>
      <w:lvlJc w:val="left"/>
      <w:pPr>
        <w:ind w:left="1639" w:hanging="358"/>
      </w:pPr>
      <w:rPr>
        <w:rFonts w:ascii="Arial" w:hAnsi="Arial" w:cs="Times New Roman" w:hint="default"/>
      </w:rPr>
    </w:lvl>
    <w:lvl w:ilvl="3" w:tplc="9C4EEEF2">
      <w:start w:val="1"/>
      <w:numFmt w:val="none"/>
      <w:lvlRestart w:val="0"/>
      <w:suff w:val="nothing"/>
      <w:lvlText w:val=""/>
      <w:lvlJc w:val="left"/>
      <w:pPr>
        <w:ind w:left="1701" w:firstLine="0"/>
      </w:pPr>
    </w:lvl>
    <w:lvl w:ilvl="4" w:tplc="7C68337E">
      <w:start w:val="1"/>
      <w:numFmt w:val="none"/>
      <w:lvlRestart w:val="0"/>
      <w:lvlText w:val=""/>
      <w:lvlJc w:val="left"/>
      <w:pPr>
        <w:tabs>
          <w:tab w:val="num" w:pos="283"/>
        </w:tabs>
        <w:ind w:left="283" w:firstLine="0"/>
      </w:pPr>
    </w:lvl>
    <w:lvl w:ilvl="5" w:tplc="B5366248">
      <w:start w:val="1"/>
      <w:numFmt w:val="none"/>
      <w:lvlRestart w:val="0"/>
      <w:lvlText w:val=""/>
      <w:lvlJc w:val="left"/>
      <w:pPr>
        <w:tabs>
          <w:tab w:val="num" w:pos="283"/>
        </w:tabs>
        <w:ind w:left="283" w:firstLine="0"/>
      </w:pPr>
    </w:lvl>
    <w:lvl w:ilvl="6" w:tplc="D2D485E4">
      <w:start w:val="1"/>
      <w:numFmt w:val="none"/>
      <w:lvlRestart w:val="0"/>
      <w:lvlText w:val=""/>
      <w:lvlJc w:val="left"/>
      <w:pPr>
        <w:tabs>
          <w:tab w:val="num" w:pos="283"/>
        </w:tabs>
        <w:ind w:left="283" w:firstLine="0"/>
      </w:pPr>
    </w:lvl>
    <w:lvl w:ilvl="7" w:tplc="DFD825B4">
      <w:start w:val="1"/>
      <w:numFmt w:val="none"/>
      <w:lvlRestart w:val="0"/>
      <w:lvlText w:val=""/>
      <w:lvlJc w:val="left"/>
      <w:pPr>
        <w:tabs>
          <w:tab w:val="num" w:pos="283"/>
        </w:tabs>
        <w:ind w:left="283" w:firstLine="0"/>
      </w:pPr>
    </w:lvl>
    <w:lvl w:ilvl="8" w:tplc="E2EC1452">
      <w:start w:val="1"/>
      <w:numFmt w:val="none"/>
      <w:lvlRestart w:val="0"/>
      <w:lvlText w:val=""/>
      <w:lvlJc w:val="left"/>
      <w:pPr>
        <w:tabs>
          <w:tab w:val="num" w:pos="283"/>
        </w:tabs>
        <w:ind w:left="283" w:firstLine="0"/>
      </w:pPr>
    </w:lvl>
  </w:abstractNum>
  <w:abstractNum w:abstractNumId="9" w15:restartNumberingAfterBreak="0">
    <w:nsid w:val="656058CF"/>
    <w:multiLevelType w:val="hybridMultilevel"/>
    <w:tmpl w:val="4386D87E"/>
    <w:lvl w:ilvl="0" w:tplc="7D6620D0">
      <w:start w:val="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FF8488E"/>
    <w:multiLevelType w:val="hybridMultilevel"/>
    <w:tmpl w:val="E5AA36BC"/>
    <w:lvl w:ilvl="0" w:tplc="2E9A3476">
      <w:start w:val="1"/>
      <w:numFmt w:val="bullet"/>
      <w:pStyle w:val="Bulleted"/>
      <w:lvlText w:val="●"/>
      <w:lvlJc w:val="left"/>
      <w:pPr>
        <w:ind w:left="720" w:hanging="360"/>
      </w:pPr>
      <w:rPr>
        <w:rFonts w:ascii="Arial" w:hAnsi="Arial" w:hint="default"/>
        <w:color w:val="374E7A"/>
        <w:sz w:val="24"/>
      </w:rPr>
    </w:lvl>
    <w:lvl w:ilvl="1" w:tplc="A296C122">
      <w:start w:val="1"/>
      <w:numFmt w:val="bullet"/>
      <w:lvlText w:val="○"/>
      <w:lvlJc w:val="left"/>
      <w:pPr>
        <w:ind w:left="1440" w:hanging="360"/>
      </w:pPr>
      <w:rPr>
        <w:rFonts w:ascii="Arial" w:hAnsi="Arial" w:hint="default"/>
        <w:b/>
        <w:i w:val="0"/>
        <w:color w:val="374E7A"/>
        <w:sz w:val="24"/>
        <w:u w:color="FFFFFF" w:themeColor="background1"/>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36F409A"/>
    <w:multiLevelType w:val="hybridMultilevel"/>
    <w:tmpl w:val="276A5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59F2F29"/>
    <w:multiLevelType w:val="multilevel"/>
    <w:tmpl w:val="49301FDE"/>
    <w:lvl w:ilvl="0">
      <w:start w:val="1"/>
      <w:numFmt w:val="bullet"/>
      <w:pStyle w:val="UnnumtextBullet1"/>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75F0583F"/>
    <w:multiLevelType w:val="multilevel"/>
    <w:tmpl w:val="84D0C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63124B"/>
    <w:multiLevelType w:val="hybridMultilevel"/>
    <w:tmpl w:val="A97CA7DE"/>
    <w:lvl w:ilvl="0" w:tplc="32AA0EF0">
      <w:start w:val="1"/>
      <w:numFmt w:val="decimal"/>
      <w:pStyle w:val="Numbered"/>
      <w:lvlText w:val="%1)"/>
      <w:lvlJc w:val="left"/>
      <w:pPr>
        <w:ind w:left="0" w:hanging="360"/>
      </w:pPr>
    </w:lvl>
    <w:lvl w:ilvl="1" w:tplc="87426230">
      <w:start w:val="1"/>
      <w:numFmt w:val="decimal"/>
      <w:lvlText w:val="%2."/>
      <w:lvlJc w:val="left"/>
      <w:pPr>
        <w:tabs>
          <w:tab w:val="num" w:pos="1440"/>
        </w:tabs>
        <w:ind w:left="1440" w:hanging="720"/>
      </w:pPr>
    </w:lvl>
    <w:lvl w:ilvl="2" w:tplc="677C595E">
      <w:start w:val="1"/>
      <w:numFmt w:val="decimal"/>
      <w:lvlText w:val="%3."/>
      <w:lvlJc w:val="left"/>
      <w:pPr>
        <w:tabs>
          <w:tab w:val="num" w:pos="2160"/>
        </w:tabs>
        <w:ind w:left="2160" w:hanging="720"/>
      </w:pPr>
    </w:lvl>
    <w:lvl w:ilvl="3" w:tplc="0592F708">
      <w:start w:val="1"/>
      <w:numFmt w:val="decimal"/>
      <w:lvlText w:val="%4."/>
      <w:lvlJc w:val="left"/>
      <w:pPr>
        <w:tabs>
          <w:tab w:val="num" w:pos="2880"/>
        </w:tabs>
        <w:ind w:left="2880" w:hanging="720"/>
      </w:pPr>
    </w:lvl>
    <w:lvl w:ilvl="4" w:tplc="98C4FC6C">
      <w:start w:val="1"/>
      <w:numFmt w:val="decimal"/>
      <w:lvlText w:val="%5."/>
      <w:lvlJc w:val="left"/>
      <w:pPr>
        <w:tabs>
          <w:tab w:val="num" w:pos="3600"/>
        </w:tabs>
        <w:ind w:left="3600" w:hanging="720"/>
      </w:pPr>
    </w:lvl>
    <w:lvl w:ilvl="5" w:tplc="49000126">
      <w:start w:val="1"/>
      <w:numFmt w:val="decimal"/>
      <w:lvlText w:val="%6."/>
      <w:lvlJc w:val="left"/>
      <w:pPr>
        <w:tabs>
          <w:tab w:val="num" w:pos="4320"/>
        </w:tabs>
        <w:ind w:left="4320" w:hanging="720"/>
      </w:pPr>
    </w:lvl>
    <w:lvl w:ilvl="6" w:tplc="4656C538">
      <w:start w:val="1"/>
      <w:numFmt w:val="decimal"/>
      <w:lvlText w:val="%7."/>
      <w:lvlJc w:val="left"/>
      <w:pPr>
        <w:tabs>
          <w:tab w:val="num" w:pos="5040"/>
        </w:tabs>
        <w:ind w:left="5040" w:hanging="720"/>
      </w:pPr>
    </w:lvl>
    <w:lvl w:ilvl="7" w:tplc="9DA68F16">
      <w:start w:val="1"/>
      <w:numFmt w:val="decimal"/>
      <w:lvlText w:val="%8."/>
      <w:lvlJc w:val="left"/>
      <w:pPr>
        <w:tabs>
          <w:tab w:val="num" w:pos="5760"/>
        </w:tabs>
        <w:ind w:left="5760" w:hanging="720"/>
      </w:pPr>
    </w:lvl>
    <w:lvl w:ilvl="8" w:tplc="A9E65B4C">
      <w:start w:val="1"/>
      <w:numFmt w:val="decimal"/>
      <w:lvlText w:val="%9."/>
      <w:lvlJc w:val="left"/>
      <w:pPr>
        <w:tabs>
          <w:tab w:val="num" w:pos="6480"/>
        </w:tabs>
        <w:ind w:left="6480" w:hanging="720"/>
      </w:pPr>
    </w:lvl>
  </w:abstractNum>
  <w:abstractNum w:abstractNumId="15" w15:restartNumberingAfterBreak="0">
    <w:nsid w:val="7C1218D3"/>
    <w:multiLevelType w:val="hybridMultilevel"/>
    <w:tmpl w:val="B224B1E2"/>
    <w:lvl w:ilvl="0" w:tplc="B692A4AA">
      <w:start w:val="1"/>
      <w:numFmt w:val="bullet"/>
      <w:lvlText w:val=""/>
      <w:lvlJc w:val="left"/>
      <w:pPr>
        <w:tabs>
          <w:tab w:val="num" w:pos="284"/>
        </w:tabs>
        <w:ind w:left="284" w:hanging="284"/>
      </w:pPr>
      <w:rPr>
        <w:rFonts w:ascii="Symbol" w:hAnsi="Symbol" w:hint="default"/>
        <w:sz w:val="18"/>
      </w:rPr>
    </w:lvl>
    <w:lvl w:ilvl="1" w:tplc="9654A4B6">
      <w:numFmt w:val="decimal"/>
      <w:lvlText w:val=""/>
      <w:lvlJc w:val="left"/>
    </w:lvl>
    <w:lvl w:ilvl="2" w:tplc="8B4ED20E">
      <w:numFmt w:val="decimal"/>
      <w:lvlText w:val=""/>
      <w:lvlJc w:val="left"/>
    </w:lvl>
    <w:lvl w:ilvl="3" w:tplc="0B5A00F2">
      <w:numFmt w:val="decimal"/>
      <w:lvlText w:val=""/>
      <w:lvlJc w:val="left"/>
    </w:lvl>
    <w:lvl w:ilvl="4" w:tplc="C5CA60D8">
      <w:numFmt w:val="decimal"/>
      <w:lvlText w:val=""/>
      <w:lvlJc w:val="left"/>
    </w:lvl>
    <w:lvl w:ilvl="5" w:tplc="CDACDD96">
      <w:numFmt w:val="decimal"/>
      <w:lvlText w:val=""/>
      <w:lvlJc w:val="left"/>
    </w:lvl>
    <w:lvl w:ilvl="6" w:tplc="836C5772">
      <w:numFmt w:val="decimal"/>
      <w:lvlText w:val=""/>
      <w:lvlJc w:val="left"/>
    </w:lvl>
    <w:lvl w:ilvl="7" w:tplc="243681C0">
      <w:numFmt w:val="decimal"/>
      <w:lvlText w:val=""/>
      <w:lvlJc w:val="left"/>
    </w:lvl>
    <w:lvl w:ilvl="8" w:tplc="2BE09970">
      <w:numFmt w:val="decimal"/>
      <w:lvlText w:val=""/>
      <w:lvlJc w:val="left"/>
    </w:lvl>
  </w:abstractNum>
  <w:num w:numId="1">
    <w:abstractNumId w:val="10"/>
  </w:num>
  <w:num w:numId="2">
    <w:abstractNumId w:val="14"/>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num>
  <w:num w:numId="7">
    <w:abstractNumId w:val="6"/>
  </w:num>
  <w:num w:numId="8">
    <w:abstractNumId w:val="7"/>
  </w:num>
  <w:num w:numId="9">
    <w:abstractNumId w:val="15"/>
  </w:num>
  <w:num w:numId="10">
    <w:abstractNumId w:val="4"/>
  </w:num>
  <w:num w:numId="11">
    <w:abstractNumId w:val="1"/>
  </w:num>
  <w:num w:numId="12">
    <w:abstractNumId w:val="0"/>
  </w:num>
  <w:num w:numId="13">
    <w:abstractNumId w:val="2"/>
  </w:num>
  <w:num w:numId="14">
    <w:abstractNumId w:val="5"/>
  </w:num>
  <w:num w:numId="15">
    <w:abstractNumId w:val="11"/>
  </w:num>
  <w:num w:numId="16">
    <w:abstractNumId w:val="9"/>
  </w:num>
  <w:num w:numId="17">
    <w:abstractNumId w:val="13"/>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0MDYzMDIzNDI3MTBQ0lEKTi0uzszPAymwMKsFAJm+CcEtAAAA"/>
  </w:docVars>
  <w:rsids>
    <w:rsidRoot w:val="00E76D1C"/>
    <w:rsid w:val="0000019E"/>
    <w:rsid w:val="0000021E"/>
    <w:rsid w:val="0000024B"/>
    <w:rsid w:val="00000271"/>
    <w:rsid w:val="000008FC"/>
    <w:rsid w:val="00000972"/>
    <w:rsid w:val="00000AD0"/>
    <w:rsid w:val="00000C23"/>
    <w:rsid w:val="00001234"/>
    <w:rsid w:val="0000134C"/>
    <w:rsid w:val="00001452"/>
    <w:rsid w:val="000017FE"/>
    <w:rsid w:val="00001D88"/>
    <w:rsid w:val="00001FE8"/>
    <w:rsid w:val="00002034"/>
    <w:rsid w:val="000020DC"/>
    <w:rsid w:val="0000236F"/>
    <w:rsid w:val="00002379"/>
    <w:rsid w:val="000024E2"/>
    <w:rsid w:val="00002605"/>
    <w:rsid w:val="00002722"/>
    <w:rsid w:val="000027B9"/>
    <w:rsid w:val="000030A3"/>
    <w:rsid w:val="0000321C"/>
    <w:rsid w:val="000032B1"/>
    <w:rsid w:val="00003330"/>
    <w:rsid w:val="0000372D"/>
    <w:rsid w:val="00003890"/>
    <w:rsid w:val="00003A94"/>
    <w:rsid w:val="00003BF0"/>
    <w:rsid w:val="00003F3C"/>
    <w:rsid w:val="00004066"/>
    <w:rsid w:val="00004115"/>
    <w:rsid w:val="00004142"/>
    <w:rsid w:val="000041F9"/>
    <w:rsid w:val="000046AD"/>
    <w:rsid w:val="000047B3"/>
    <w:rsid w:val="00004977"/>
    <w:rsid w:val="00004B89"/>
    <w:rsid w:val="00004C25"/>
    <w:rsid w:val="000050A4"/>
    <w:rsid w:val="0000530C"/>
    <w:rsid w:val="000053C4"/>
    <w:rsid w:val="000055B6"/>
    <w:rsid w:val="00005789"/>
    <w:rsid w:val="0000580A"/>
    <w:rsid w:val="00005942"/>
    <w:rsid w:val="00005B76"/>
    <w:rsid w:val="00005CB9"/>
    <w:rsid w:val="00005EA1"/>
    <w:rsid w:val="000062FE"/>
    <w:rsid w:val="00006635"/>
    <w:rsid w:val="000070A8"/>
    <w:rsid w:val="00007397"/>
    <w:rsid w:val="00007403"/>
    <w:rsid w:val="00007439"/>
    <w:rsid w:val="000074ED"/>
    <w:rsid w:val="000075A7"/>
    <w:rsid w:val="000078C1"/>
    <w:rsid w:val="00007941"/>
    <w:rsid w:val="00007A9F"/>
    <w:rsid w:val="00007DC4"/>
    <w:rsid w:val="00007F91"/>
    <w:rsid w:val="00010089"/>
    <w:rsid w:val="000105DA"/>
    <w:rsid w:val="000107FE"/>
    <w:rsid w:val="0001082E"/>
    <w:rsid w:val="00010831"/>
    <w:rsid w:val="000108D0"/>
    <w:rsid w:val="00010A87"/>
    <w:rsid w:val="00011046"/>
    <w:rsid w:val="000112AD"/>
    <w:rsid w:val="00011540"/>
    <w:rsid w:val="0001167C"/>
    <w:rsid w:val="000117D5"/>
    <w:rsid w:val="00011A0D"/>
    <w:rsid w:val="00011D6D"/>
    <w:rsid w:val="000120F6"/>
    <w:rsid w:val="00012369"/>
    <w:rsid w:val="00012389"/>
    <w:rsid w:val="00012905"/>
    <w:rsid w:val="00012A52"/>
    <w:rsid w:val="00012E3A"/>
    <w:rsid w:val="00012E9E"/>
    <w:rsid w:val="0001302D"/>
    <w:rsid w:val="00013262"/>
    <w:rsid w:val="000132B1"/>
    <w:rsid w:val="00013535"/>
    <w:rsid w:val="00013C85"/>
    <w:rsid w:val="00013F5A"/>
    <w:rsid w:val="00014121"/>
    <w:rsid w:val="00014357"/>
    <w:rsid w:val="0001445B"/>
    <w:rsid w:val="00014664"/>
    <w:rsid w:val="0001467D"/>
    <w:rsid w:val="00014871"/>
    <w:rsid w:val="00014F45"/>
    <w:rsid w:val="0001531E"/>
    <w:rsid w:val="00015368"/>
    <w:rsid w:val="00015383"/>
    <w:rsid w:val="000155DF"/>
    <w:rsid w:val="00015CE4"/>
    <w:rsid w:val="00015D01"/>
    <w:rsid w:val="00015D21"/>
    <w:rsid w:val="00015E30"/>
    <w:rsid w:val="00015E78"/>
    <w:rsid w:val="000161B3"/>
    <w:rsid w:val="00016856"/>
    <w:rsid w:val="00016881"/>
    <w:rsid w:val="000168A2"/>
    <w:rsid w:val="00016A6E"/>
    <w:rsid w:val="00016AAA"/>
    <w:rsid w:val="00016E60"/>
    <w:rsid w:val="0001717A"/>
    <w:rsid w:val="00017BC9"/>
    <w:rsid w:val="00017DD7"/>
    <w:rsid w:val="00017E75"/>
    <w:rsid w:val="00020000"/>
    <w:rsid w:val="0002001F"/>
    <w:rsid w:val="00020065"/>
    <w:rsid w:val="00020D8F"/>
    <w:rsid w:val="00021051"/>
    <w:rsid w:val="00021143"/>
    <w:rsid w:val="0002162F"/>
    <w:rsid w:val="0002168E"/>
    <w:rsid w:val="00021F2D"/>
    <w:rsid w:val="00022139"/>
    <w:rsid w:val="00022286"/>
    <w:rsid w:val="0002271A"/>
    <w:rsid w:val="00022986"/>
    <w:rsid w:val="000229B8"/>
    <w:rsid w:val="00022AED"/>
    <w:rsid w:val="00022DB6"/>
    <w:rsid w:val="00022E50"/>
    <w:rsid w:val="00023055"/>
    <w:rsid w:val="00023316"/>
    <w:rsid w:val="0002342E"/>
    <w:rsid w:val="0002344F"/>
    <w:rsid w:val="000234C7"/>
    <w:rsid w:val="00023554"/>
    <w:rsid w:val="00023566"/>
    <w:rsid w:val="0002385E"/>
    <w:rsid w:val="00023976"/>
    <w:rsid w:val="00023B82"/>
    <w:rsid w:val="00023D46"/>
    <w:rsid w:val="00023FCD"/>
    <w:rsid w:val="00024004"/>
    <w:rsid w:val="00024087"/>
    <w:rsid w:val="000240C0"/>
    <w:rsid w:val="0002413F"/>
    <w:rsid w:val="000247C6"/>
    <w:rsid w:val="00024FAB"/>
    <w:rsid w:val="0002537B"/>
    <w:rsid w:val="000258E0"/>
    <w:rsid w:val="000259C8"/>
    <w:rsid w:val="000259D6"/>
    <w:rsid w:val="00025A9D"/>
    <w:rsid w:val="00025E26"/>
    <w:rsid w:val="00025E77"/>
    <w:rsid w:val="00025F3C"/>
    <w:rsid w:val="0002622B"/>
    <w:rsid w:val="0002628E"/>
    <w:rsid w:val="0002629E"/>
    <w:rsid w:val="00026508"/>
    <w:rsid w:val="000265C2"/>
    <w:rsid w:val="0002662E"/>
    <w:rsid w:val="0002673D"/>
    <w:rsid w:val="00026798"/>
    <w:rsid w:val="000267D3"/>
    <w:rsid w:val="00026A17"/>
    <w:rsid w:val="00026AE5"/>
    <w:rsid w:val="00026D88"/>
    <w:rsid w:val="000272D8"/>
    <w:rsid w:val="0002731D"/>
    <w:rsid w:val="000276A4"/>
    <w:rsid w:val="00027A85"/>
    <w:rsid w:val="00027BF3"/>
    <w:rsid w:val="00027D00"/>
    <w:rsid w:val="00030017"/>
    <w:rsid w:val="00030018"/>
    <w:rsid w:val="000303E2"/>
    <w:rsid w:val="000305BD"/>
    <w:rsid w:val="0003062B"/>
    <w:rsid w:val="0003078E"/>
    <w:rsid w:val="000307B8"/>
    <w:rsid w:val="000308A1"/>
    <w:rsid w:val="00030903"/>
    <w:rsid w:val="00030D93"/>
    <w:rsid w:val="00030F0C"/>
    <w:rsid w:val="000310CE"/>
    <w:rsid w:val="00031123"/>
    <w:rsid w:val="000314A2"/>
    <w:rsid w:val="000314E9"/>
    <w:rsid w:val="00031630"/>
    <w:rsid w:val="00031C04"/>
    <w:rsid w:val="00031DC2"/>
    <w:rsid w:val="00031E37"/>
    <w:rsid w:val="000320EC"/>
    <w:rsid w:val="000320FA"/>
    <w:rsid w:val="000324EC"/>
    <w:rsid w:val="000325D1"/>
    <w:rsid w:val="000328B2"/>
    <w:rsid w:val="000328D7"/>
    <w:rsid w:val="000328E3"/>
    <w:rsid w:val="00032BF7"/>
    <w:rsid w:val="00032F61"/>
    <w:rsid w:val="00032F66"/>
    <w:rsid w:val="00033064"/>
    <w:rsid w:val="00033091"/>
    <w:rsid w:val="00033A63"/>
    <w:rsid w:val="00033B7E"/>
    <w:rsid w:val="00033D50"/>
    <w:rsid w:val="00033FEE"/>
    <w:rsid w:val="000341DA"/>
    <w:rsid w:val="00034231"/>
    <w:rsid w:val="00034250"/>
    <w:rsid w:val="0003456F"/>
    <w:rsid w:val="0003460C"/>
    <w:rsid w:val="00034765"/>
    <w:rsid w:val="00034971"/>
    <w:rsid w:val="00034CC4"/>
    <w:rsid w:val="00034D0E"/>
    <w:rsid w:val="0003515A"/>
    <w:rsid w:val="00035736"/>
    <w:rsid w:val="0003586E"/>
    <w:rsid w:val="00035899"/>
    <w:rsid w:val="00035AA6"/>
    <w:rsid w:val="00035AB0"/>
    <w:rsid w:val="00035BC7"/>
    <w:rsid w:val="00035BF3"/>
    <w:rsid w:val="00035C4E"/>
    <w:rsid w:val="00035CB8"/>
    <w:rsid w:val="00035D78"/>
    <w:rsid w:val="00035FF9"/>
    <w:rsid w:val="0003605E"/>
    <w:rsid w:val="0003650A"/>
    <w:rsid w:val="00036997"/>
    <w:rsid w:val="00036AF9"/>
    <w:rsid w:val="00036C4F"/>
    <w:rsid w:val="00036D98"/>
    <w:rsid w:val="00037066"/>
    <w:rsid w:val="000371C3"/>
    <w:rsid w:val="00037355"/>
    <w:rsid w:val="000373F0"/>
    <w:rsid w:val="00037497"/>
    <w:rsid w:val="000374E3"/>
    <w:rsid w:val="00037829"/>
    <w:rsid w:val="00037852"/>
    <w:rsid w:val="00037A73"/>
    <w:rsid w:val="00037C60"/>
    <w:rsid w:val="00037E0E"/>
    <w:rsid w:val="0004028C"/>
    <w:rsid w:val="00040294"/>
    <w:rsid w:val="000402B9"/>
    <w:rsid w:val="00040394"/>
    <w:rsid w:val="00040830"/>
    <w:rsid w:val="000408B0"/>
    <w:rsid w:val="000408EB"/>
    <w:rsid w:val="00040947"/>
    <w:rsid w:val="00040AF3"/>
    <w:rsid w:val="00040F10"/>
    <w:rsid w:val="0004110E"/>
    <w:rsid w:val="00041122"/>
    <w:rsid w:val="00041439"/>
    <w:rsid w:val="000418C2"/>
    <w:rsid w:val="000418D5"/>
    <w:rsid w:val="00041A9C"/>
    <w:rsid w:val="00041D30"/>
    <w:rsid w:val="000427B5"/>
    <w:rsid w:val="000429DB"/>
    <w:rsid w:val="000429ED"/>
    <w:rsid w:val="00042ADE"/>
    <w:rsid w:val="00042B5A"/>
    <w:rsid w:val="00042FA0"/>
    <w:rsid w:val="00043135"/>
    <w:rsid w:val="00043AED"/>
    <w:rsid w:val="00043B48"/>
    <w:rsid w:val="00043B6C"/>
    <w:rsid w:val="00043BD5"/>
    <w:rsid w:val="00043E91"/>
    <w:rsid w:val="00044102"/>
    <w:rsid w:val="0004420A"/>
    <w:rsid w:val="000442F5"/>
    <w:rsid w:val="00044415"/>
    <w:rsid w:val="00044488"/>
    <w:rsid w:val="00044776"/>
    <w:rsid w:val="00044A2F"/>
    <w:rsid w:val="00044BD8"/>
    <w:rsid w:val="00044D13"/>
    <w:rsid w:val="00044DE0"/>
    <w:rsid w:val="00044E90"/>
    <w:rsid w:val="0004535E"/>
    <w:rsid w:val="00045413"/>
    <w:rsid w:val="00045471"/>
    <w:rsid w:val="00045564"/>
    <w:rsid w:val="00045BB8"/>
    <w:rsid w:val="00045CCB"/>
    <w:rsid w:val="000464B3"/>
    <w:rsid w:val="000466B0"/>
    <w:rsid w:val="00046A5D"/>
    <w:rsid w:val="00046A88"/>
    <w:rsid w:val="00046D40"/>
    <w:rsid w:val="0004798E"/>
    <w:rsid w:val="00047CAF"/>
    <w:rsid w:val="00047E02"/>
    <w:rsid w:val="00047EB0"/>
    <w:rsid w:val="000501A2"/>
    <w:rsid w:val="000501AB"/>
    <w:rsid w:val="0005032B"/>
    <w:rsid w:val="0005050B"/>
    <w:rsid w:val="00050D2C"/>
    <w:rsid w:val="00050F9B"/>
    <w:rsid w:val="000510B3"/>
    <w:rsid w:val="000511B9"/>
    <w:rsid w:val="0005167C"/>
    <w:rsid w:val="00051821"/>
    <w:rsid w:val="00051D23"/>
    <w:rsid w:val="00051EFA"/>
    <w:rsid w:val="00051F1C"/>
    <w:rsid w:val="00052317"/>
    <w:rsid w:val="00052464"/>
    <w:rsid w:val="00052792"/>
    <w:rsid w:val="000529ED"/>
    <w:rsid w:val="00052A6D"/>
    <w:rsid w:val="00052E65"/>
    <w:rsid w:val="00053109"/>
    <w:rsid w:val="000535E0"/>
    <w:rsid w:val="0005365A"/>
    <w:rsid w:val="00053BD4"/>
    <w:rsid w:val="00054033"/>
    <w:rsid w:val="00054073"/>
    <w:rsid w:val="00054399"/>
    <w:rsid w:val="00054590"/>
    <w:rsid w:val="000547C9"/>
    <w:rsid w:val="000548AE"/>
    <w:rsid w:val="00054A3E"/>
    <w:rsid w:val="00054BC8"/>
    <w:rsid w:val="00054C98"/>
    <w:rsid w:val="00055377"/>
    <w:rsid w:val="000556F6"/>
    <w:rsid w:val="0005576B"/>
    <w:rsid w:val="0005576E"/>
    <w:rsid w:val="0005587A"/>
    <w:rsid w:val="00055BA4"/>
    <w:rsid w:val="00055D19"/>
    <w:rsid w:val="00055D47"/>
    <w:rsid w:val="00055FE0"/>
    <w:rsid w:val="00056512"/>
    <w:rsid w:val="0005670E"/>
    <w:rsid w:val="0005679D"/>
    <w:rsid w:val="0005680D"/>
    <w:rsid w:val="0005683C"/>
    <w:rsid w:val="00056A0C"/>
    <w:rsid w:val="00056CA0"/>
    <w:rsid w:val="00056EBA"/>
    <w:rsid w:val="00057507"/>
    <w:rsid w:val="00057530"/>
    <w:rsid w:val="0005763D"/>
    <w:rsid w:val="00057641"/>
    <w:rsid w:val="00057D3E"/>
    <w:rsid w:val="00057DA0"/>
    <w:rsid w:val="000604B2"/>
    <w:rsid w:val="00060512"/>
    <w:rsid w:val="00060736"/>
    <w:rsid w:val="00060D1D"/>
    <w:rsid w:val="000612EC"/>
    <w:rsid w:val="00061361"/>
    <w:rsid w:val="000617ED"/>
    <w:rsid w:val="00061B30"/>
    <w:rsid w:val="00061C47"/>
    <w:rsid w:val="00061D35"/>
    <w:rsid w:val="000623AB"/>
    <w:rsid w:val="0006275F"/>
    <w:rsid w:val="00062770"/>
    <w:rsid w:val="0006282B"/>
    <w:rsid w:val="00062985"/>
    <w:rsid w:val="00062C33"/>
    <w:rsid w:val="00062E1B"/>
    <w:rsid w:val="00063033"/>
    <w:rsid w:val="000632EF"/>
    <w:rsid w:val="00063460"/>
    <w:rsid w:val="00063488"/>
    <w:rsid w:val="000634FF"/>
    <w:rsid w:val="00063688"/>
    <w:rsid w:val="0006370F"/>
    <w:rsid w:val="00063758"/>
    <w:rsid w:val="00063ADB"/>
    <w:rsid w:val="00063B32"/>
    <w:rsid w:val="00063D2D"/>
    <w:rsid w:val="0006413D"/>
    <w:rsid w:val="00064673"/>
    <w:rsid w:val="000646F6"/>
    <w:rsid w:val="00064825"/>
    <w:rsid w:val="00064863"/>
    <w:rsid w:val="00064B74"/>
    <w:rsid w:val="00064C40"/>
    <w:rsid w:val="00064FA4"/>
    <w:rsid w:val="00065083"/>
    <w:rsid w:val="000650E3"/>
    <w:rsid w:val="00065352"/>
    <w:rsid w:val="0006550D"/>
    <w:rsid w:val="0006553E"/>
    <w:rsid w:val="00065747"/>
    <w:rsid w:val="00065973"/>
    <w:rsid w:val="00065993"/>
    <w:rsid w:val="00065CE2"/>
    <w:rsid w:val="00065F6E"/>
    <w:rsid w:val="00065F8D"/>
    <w:rsid w:val="00066215"/>
    <w:rsid w:val="000666A9"/>
    <w:rsid w:val="00066A46"/>
    <w:rsid w:val="00066B45"/>
    <w:rsid w:val="00066CF4"/>
    <w:rsid w:val="00066D6F"/>
    <w:rsid w:val="00066FFB"/>
    <w:rsid w:val="00067203"/>
    <w:rsid w:val="00067609"/>
    <w:rsid w:val="00067721"/>
    <w:rsid w:val="0006791A"/>
    <w:rsid w:val="00067A51"/>
    <w:rsid w:val="00067A5A"/>
    <w:rsid w:val="00067AE1"/>
    <w:rsid w:val="00067D62"/>
    <w:rsid w:val="00070405"/>
    <w:rsid w:val="0007070C"/>
    <w:rsid w:val="00070872"/>
    <w:rsid w:val="000708AA"/>
    <w:rsid w:val="00070A96"/>
    <w:rsid w:val="00070BDC"/>
    <w:rsid w:val="00070F01"/>
    <w:rsid w:val="00070FD1"/>
    <w:rsid w:val="00070FD4"/>
    <w:rsid w:val="000710FA"/>
    <w:rsid w:val="000711D7"/>
    <w:rsid w:val="00071201"/>
    <w:rsid w:val="00071219"/>
    <w:rsid w:val="0007137B"/>
    <w:rsid w:val="000716A9"/>
    <w:rsid w:val="000716D6"/>
    <w:rsid w:val="000717A7"/>
    <w:rsid w:val="00071A64"/>
    <w:rsid w:val="00071E49"/>
    <w:rsid w:val="00071F58"/>
    <w:rsid w:val="0007245B"/>
    <w:rsid w:val="0007253A"/>
    <w:rsid w:val="000725A5"/>
    <w:rsid w:val="000725BD"/>
    <w:rsid w:val="000729D2"/>
    <w:rsid w:val="00072E44"/>
    <w:rsid w:val="00072FA4"/>
    <w:rsid w:val="00073145"/>
    <w:rsid w:val="000731B4"/>
    <w:rsid w:val="00073306"/>
    <w:rsid w:val="000733A9"/>
    <w:rsid w:val="0007343E"/>
    <w:rsid w:val="00073609"/>
    <w:rsid w:val="00073798"/>
    <w:rsid w:val="00073843"/>
    <w:rsid w:val="00073938"/>
    <w:rsid w:val="00073969"/>
    <w:rsid w:val="000739C7"/>
    <w:rsid w:val="00073AF8"/>
    <w:rsid w:val="00073DD5"/>
    <w:rsid w:val="00073EDE"/>
    <w:rsid w:val="000742CE"/>
    <w:rsid w:val="0007476C"/>
    <w:rsid w:val="00074B31"/>
    <w:rsid w:val="00074D4B"/>
    <w:rsid w:val="0007509D"/>
    <w:rsid w:val="0007517A"/>
    <w:rsid w:val="00075389"/>
    <w:rsid w:val="000753B7"/>
    <w:rsid w:val="00075401"/>
    <w:rsid w:val="000754A5"/>
    <w:rsid w:val="00075521"/>
    <w:rsid w:val="00075630"/>
    <w:rsid w:val="00075932"/>
    <w:rsid w:val="000759F4"/>
    <w:rsid w:val="00075C32"/>
    <w:rsid w:val="0007622E"/>
    <w:rsid w:val="000762A8"/>
    <w:rsid w:val="0007651A"/>
    <w:rsid w:val="000767DB"/>
    <w:rsid w:val="000768B1"/>
    <w:rsid w:val="00076973"/>
    <w:rsid w:val="00076A80"/>
    <w:rsid w:val="0007720E"/>
    <w:rsid w:val="00077B17"/>
    <w:rsid w:val="00077C62"/>
    <w:rsid w:val="00077E22"/>
    <w:rsid w:val="0008009E"/>
    <w:rsid w:val="0008025B"/>
    <w:rsid w:val="00080431"/>
    <w:rsid w:val="00080FAE"/>
    <w:rsid w:val="00080FD2"/>
    <w:rsid w:val="00081AC3"/>
    <w:rsid w:val="00081F74"/>
    <w:rsid w:val="000823AF"/>
    <w:rsid w:val="000824D8"/>
    <w:rsid w:val="0008264A"/>
    <w:rsid w:val="000826EB"/>
    <w:rsid w:val="0008277F"/>
    <w:rsid w:val="0008282E"/>
    <w:rsid w:val="00082941"/>
    <w:rsid w:val="00082AB8"/>
    <w:rsid w:val="0008381B"/>
    <w:rsid w:val="00083A67"/>
    <w:rsid w:val="0008404B"/>
    <w:rsid w:val="000840C3"/>
    <w:rsid w:val="00084352"/>
    <w:rsid w:val="00084431"/>
    <w:rsid w:val="00084593"/>
    <w:rsid w:val="0008475D"/>
    <w:rsid w:val="0008484A"/>
    <w:rsid w:val="000848C2"/>
    <w:rsid w:val="000848FB"/>
    <w:rsid w:val="00084DCF"/>
    <w:rsid w:val="000851AF"/>
    <w:rsid w:val="00085504"/>
    <w:rsid w:val="0008581A"/>
    <w:rsid w:val="00085CC2"/>
    <w:rsid w:val="00085CD8"/>
    <w:rsid w:val="00085F43"/>
    <w:rsid w:val="00086392"/>
    <w:rsid w:val="000866DF"/>
    <w:rsid w:val="00086F47"/>
    <w:rsid w:val="000870CA"/>
    <w:rsid w:val="0008722D"/>
    <w:rsid w:val="000873C4"/>
    <w:rsid w:val="00087549"/>
    <w:rsid w:val="0008790A"/>
    <w:rsid w:val="00087E32"/>
    <w:rsid w:val="00090720"/>
    <w:rsid w:val="00090828"/>
    <w:rsid w:val="00090A60"/>
    <w:rsid w:val="00090E7C"/>
    <w:rsid w:val="00090ED6"/>
    <w:rsid w:val="00091326"/>
    <w:rsid w:val="000919F1"/>
    <w:rsid w:val="00091A49"/>
    <w:rsid w:val="00091FAC"/>
    <w:rsid w:val="00091FE0"/>
    <w:rsid w:val="00092379"/>
    <w:rsid w:val="0009238E"/>
    <w:rsid w:val="00092420"/>
    <w:rsid w:val="00092C08"/>
    <w:rsid w:val="000931D4"/>
    <w:rsid w:val="000932FD"/>
    <w:rsid w:val="00093840"/>
    <w:rsid w:val="00093989"/>
    <w:rsid w:val="00093BEB"/>
    <w:rsid w:val="00093D4C"/>
    <w:rsid w:val="00094256"/>
    <w:rsid w:val="000947D8"/>
    <w:rsid w:val="00094CBD"/>
    <w:rsid w:val="00095580"/>
    <w:rsid w:val="0009569D"/>
    <w:rsid w:val="0009586B"/>
    <w:rsid w:val="0009586D"/>
    <w:rsid w:val="00095AD8"/>
    <w:rsid w:val="00095C63"/>
    <w:rsid w:val="000961B4"/>
    <w:rsid w:val="00096454"/>
    <w:rsid w:val="0009658A"/>
    <w:rsid w:val="00096BE2"/>
    <w:rsid w:val="00096D88"/>
    <w:rsid w:val="00096D91"/>
    <w:rsid w:val="00096F1B"/>
    <w:rsid w:val="00096F59"/>
    <w:rsid w:val="000972B7"/>
    <w:rsid w:val="0009745E"/>
    <w:rsid w:val="0009758F"/>
    <w:rsid w:val="000975E5"/>
    <w:rsid w:val="00097B56"/>
    <w:rsid w:val="00097E80"/>
    <w:rsid w:val="000A03B1"/>
    <w:rsid w:val="000A0426"/>
    <w:rsid w:val="000A054B"/>
    <w:rsid w:val="000A0822"/>
    <w:rsid w:val="000A083E"/>
    <w:rsid w:val="000A0867"/>
    <w:rsid w:val="000A0B9E"/>
    <w:rsid w:val="000A1349"/>
    <w:rsid w:val="000A1443"/>
    <w:rsid w:val="000A1CBE"/>
    <w:rsid w:val="000A1CF1"/>
    <w:rsid w:val="000A1E7D"/>
    <w:rsid w:val="000A1F1B"/>
    <w:rsid w:val="000A1F76"/>
    <w:rsid w:val="000A20D6"/>
    <w:rsid w:val="000A210E"/>
    <w:rsid w:val="000A2247"/>
    <w:rsid w:val="000A2807"/>
    <w:rsid w:val="000A296B"/>
    <w:rsid w:val="000A29EB"/>
    <w:rsid w:val="000A2E4A"/>
    <w:rsid w:val="000A2E9C"/>
    <w:rsid w:val="000A3030"/>
    <w:rsid w:val="000A31EA"/>
    <w:rsid w:val="000A31FF"/>
    <w:rsid w:val="000A3215"/>
    <w:rsid w:val="000A32B4"/>
    <w:rsid w:val="000A3686"/>
    <w:rsid w:val="000A37DA"/>
    <w:rsid w:val="000A386E"/>
    <w:rsid w:val="000A3A22"/>
    <w:rsid w:val="000A3C28"/>
    <w:rsid w:val="000A3F09"/>
    <w:rsid w:val="000A4007"/>
    <w:rsid w:val="000A402C"/>
    <w:rsid w:val="000A409F"/>
    <w:rsid w:val="000A41CF"/>
    <w:rsid w:val="000A4905"/>
    <w:rsid w:val="000A4DD7"/>
    <w:rsid w:val="000A4E00"/>
    <w:rsid w:val="000A4E43"/>
    <w:rsid w:val="000A576F"/>
    <w:rsid w:val="000A58F5"/>
    <w:rsid w:val="000A599E"/>
    <w:rsid w:val="000A59C3"/>
    <w:rsid w:val="000A5AE1"/>
    <w:rsid w:val="000A5B5E"/>
    <w:rsid w:val="000A5C0C"/>
    <w:rsid w:val="000A5E04"/>
    <w:rsid w:val="000A60C2"/>
    <w:rsid w:val="000A61DF"/>
    <w:rsid w:val="000A6413"/>
    <w:rsid w:val="000A687C"/>
    <w:rsid w:val="000A68A3"/>
    <w:rsid w:val="000A6CD2"/>
    <w:rsid w:val="000A6F15"/>
    <w:rsid w:val="000A7535"/>
    <w:rsid w:val="000A75D1"/>
    <w:rsid w:val="000A79B9"/>
    <w:rsid w:val="000A79E2"/>
    <w:rsid w:val="000A7A7F"/>
    <w:rsid w:val="000A7BA8"/>
    <w:rsid w:val="000B0128"/>
    <w:rsid w:val="000B014A"/>
    <w:rsid w:val="000B04C2"/>
    <w:rsid w:val="000B0730"/>
    <w:rsid w:val="000B07F6"/>
    <w:rsid w:val="000B091D"/>
    <w:rsid w:val="000B0B97"/>
    <w:rsid w:val="000B0B98"/>
    <w:rsid w:val="000B0EB5"/>
    <w:rsid w:val="000B1189"/>
    <w:rsid w:val="000B16C4"/>
    <w:rsid w:val="000B18D1"/>
    <w:rsid w:val="000B1EF3"/>
    <w:rsid w:val="000B22E9"/>
    <w:rsid w:val="000B2451"/>
    <w:rsid w:val="000B28C6"/>
    <w:rsid w:val="000B2F72"/>
    <w:rsid w:val="000B3045"/>
    <w:rsid w:val="000B323B"/>
    <w:rsid w:val="000B39B8"/>
    <w:rsid w:val="000B3A6B"/>
    <w:rsid w:val="000B3B21"/>
    <w:rsid w:val="000B3F0D"/>
    <w:rsid w:val="000B3F2A"/>
    <w:rsid w:val="000B4061"/>
    <w:rsid w:val="000B4467"/>
    <w:rsid w:val="000B45DD"/>
    <w:rsid w:val="000B4904"/>
    <w:rsid w:val="000B4E5A"/>
    <w:rsid w:val="000B4FCA"/>
    <w:rsid w:val="000B506F"/>
    <w:rsid w:val="000B57DD"/>
    <w:rsid w:val="000B581E"/>
    <w:rsid w:val="000B58CA"/>
    <w:rsid w:val="000B5BF4"/>
    <w:rsid w:val="000B5C28"/>
    <w:rsid w:val="000B5EA0"/>
    <w:rsid w:val="000B5ED3"/>
    <w:rsid w:val="000B63DA"/>
    <w:rsid w:val="000B63E0"/>
    <w:rsid w:val="000B67B1"/>
    <w:rsid w:val="000B6A8D"/>
    <w:rsid w:val="000B6F1A"/>
    <w:rsid w:val="000B71AF"/>
    <w:rsid w:val="000B71F0"/>
    <w:rsid w:val="000B7397"/>
    <w:rsid w:val="000B74CF"/>
    <w:rsid w:val="000B77C2"/>
    <w:rsid w:val="000B7A03"/>
    <w:rsid w:val="000B7A6E"/>
    <w:rsid w:val="000B7D52"/>
    <w:rsid w:val="000B7DE5"/>
    <w:rsid w:val="000C0075"/>
    <w:rsid w:val="000C00AE"/>
    <w:rsid w:val="000C06D4"/>
    <w:rsid w:val="000C06E8"/>
    <w:rsid w:val="000C0774"/>
    <w:rsid w:val="000C084C"/>
    <w:rsid w:val="000C0872"/>
    <w:rsid w:val="000C0925"/>
    <w:rsid w:val="000C0A0C"/>
    <w:rsid w:val="000C0CCC"/>
    <w:rsid w:val="000C0F11"/>
    <w:rsid w:val="000C1109"/>
    <w:rsid w:val="000C11F1"/>
    <w:rsid w:val="000C1208"/>
    <w:rsid w:val="000C1492"/>
    <w:rsid w:val="000C16CE"/>
    <w:rsid w:val="000C19C5"/>
    <w:rsid w:val="000C1DAB"/>
    <w:rsid w:val="000C1DEA"/>
    <w:rsid w:val="000C2173"/>
    <w:rsid w:val="000C219B"/>
    <w:rsid w:val="000C23F2"/>
    <w:rsid w:val="000C2486"/>
    <w:rsid w:val="000C2734"/>
    <w:rsid w:val="000C28EC"/>
    <w:rsid w:val="000C29C3"/>
    <w:rsid w:val="000C2AE1"/>
    <w:rsid w:val="000C2D64"/>
    <w:rsid w:val="000C3537"/>
    <w:rsid w:val="000C3840"/>
    <w:rsid w:val="000C3E9B"/>
    <w:rsid w:val="000C3F22"/>
    <w:rsid w:val="000C4313"/>
    <w:rsid w:val="000C453D"/>
    <w:rsid w:val="000C463E"/>
    <w:rsid w:val="000C4BD3"/>
    <w:rsid w:val="000C4D68"/>
    <w:rsid w:val="000C4E21"/>
    <w:rsid w:val="000C4F1B"/>
    <w:rsid w:val="000C553F"/>
    <w:rsid w:val="000C57D0"/>
    <w:rsid w:val="000C5AAC"/>
    <w:rsid w:val="000C5B0E"/>
    <w:rsid w:val="000C5CC9"/>
    <w:rsid w:val="000C5ED8"/>
    <w:rsid w:val="000C5F9D"/>
    <w:rsid w:val="000C66B4"/>
    <w:rsid w:val="000C6805"/>
    <w:rsid w:val="000C687F"/>
    <w:rsid w:val="000C69AD"/>
    <w:rsid w:val="000C6ADC"/>
    <w:rsid w:val="000C6AF7"/>
    <w:rsid w:val="000C6CF9"/>
    <w:rsid w:val="000C6E17"/>
    <w:rsid w:val="000C70BD"/>
    <w:rsid w:val="000C7220"/>
    <w:rsid w:val="000C72E0"/>
    <w:rsid w:val="000C790A"/>
    <w:rsid w:val="000C7B66"/>
    <w:rsid w:val="000C7EA0"/>
    <w:rsid w:val="000D000F"/>
    <w:rsid w:val="000D02CC"/>
    <w:rsid w:val="000D0381"/>
    <w:rsid w:val="000D06C7"/>
    <w:rsid w:val="000D06CD"/>
    <w:rsid w:val="000D096E"/>
    <w:rsid w:val="000D0B78"/>
    <w:rsid w:val="000D0D1E"/>
    <w:rsid w:val="000D10F2"/>
    <w:rsid w:val="000D116F"/>
    <w:rsid w:val="000D11D9"/>
    <w:rsid w:val="000D15D2"/>
    <w:rsid w:val="000D19CA"/>
    <w:rsid w:val="000D1C7C"/>
    <w:rsid w:val="000D2101"/>
    <w:rsid w:val="000D2209"/>
    <w:rsid w:val="000D2351"/>
    <w:rsid w:val="000D23D1"/>
    <w:rsid w:val="000D24B2"/>
    <w:rsid w:val="000D2528"/>
    <w:rsid w:val="000D2608"/>
    <w:rsid w:val="000D283C"/>
    <w:rsid w:val="000D296B"/>
    <w:rsid w:val="000D2B8F"/>
    <w:rsid w:val="000D2CFA"/>
    <w:rsid w:val="000D32CA"/>
    <w:rsid w:val="000D333F"/>
    <w:rsid w:val="000D34C2"/>
    <w:rsid w:val="000D354D"/>
    <w:rsid w:val="000D3552"/>
    <w:rsid w:val="000D3570"/>
    <w:rsid w:val="000D3759"/>
    <w:rsid w:val="000D395E"/>
    <w:rsid w:val="000D3CC7"/>
    <w:rsid w:val="000D3ED1"/>
    <w:rsid w:val="000D3F8A"/>
    <w:rsid w:val="000D4195"/>
    <w:rsid w:val="000D49BC"/>
    <w:rsid w:val="000D5197"/>
    <w:rsid w:val="000D55E7"/>
    <w:rsid w:val="000D571F"/>
    <w:rsid w:val="000D5869"/>
    <w:rsid w:val="000D58A1"/>
    <w:rsid w:val="000D5BCC"/>
    <w:rsid w:val="000D5C86"/>
    <w:rsid w:val="000D5D09"/>
    <w:rsid w:val="000D5F14"/>
    <w:rsid w:val="000D60A0"/>
    <w:rsid w:val="000D614E"/>
    <w:rsid w:val="000D61BA"/>
    <w:rsid w:val="000D666F"/>
    <w:rsid w:val="000D66A7"/>
    <w:rsid w:val="000D66AD"/>
    <w:rsid w:val="000D68C2"/>
    <w:rsid w:val="000D6BFE"/>
    <w:rsid w:val="000D6D66"/>
    <w:rsid w:val="000D6FF2"/>
    <w:rsid w:val="000D705A"/>
    <w:rsid w:val="000D71BC"/>
    <w:rsid w:val="000D7277"/>
    <w:rsid w:val="000D74A4"/>
    <w:rsid w:val="000D74D9"/>
    <w:rsid w:val="000D7502"/>
    <w:rsid w:val="000D7C5E"/>
    <w:rsid w:val="000D7E19"/>
    <w:rsid w:val="000E0042"/>
    <w:rsid w:val="000E02E7"/>
    <w:rsid w:val="000E0328"/>
    <w:rsid w:val="000E0547"/>
    <w:rsid w:val="000E055A"/>
    <w:rsid w:val="000E0561"/>
    <w:rsid w:val="000E05BC"/>
    <w:rsid w:val="000E0623"/>
    <w:rsid w:val="000E077C"/>
    <w:rsid w:val="000E086F"/>
    <w:rsid w:val="000E0E10"/>
    <w:rsid w:val="000E0E35"/>
    <w:rsid w:val="000E10A1"/>
    <w:rsid w:val="000E10ED"/>
    <w:rsid w:val="000E1905"/>
    <w:rsid w:val="000E1BD2"/>
    <w:rsid w:val="000E1D8E"/>
    <w:rsid w:val="000E1D95"/>
    <w:rsid w:val="000E2529"/>
    <w:rsid w:val="000E272D"/>
    <w:rsid w:val="000E27A6"/>
    <w:rsid w:val="000E2898"/>
    <w:rsid w:val="000E2CFC"/>
    <w:rsid w:val="000E32DD"/>
    <w:rsid w:val="000E3806"/>
    <w:rsid w:val="000E39B0"/>
    <w:rsid w:val="000E3A8F"/>
    <w:rsid w:val="000E3C64"/>
    <w:rsid w:val="000E43E7"/>
    <w:rsid w:val="000E442B"/>
    <w:rsid w:val="000E4451"/>
    <w:rsid w:val="000E44F1"/>
    <w:rsid w:val="000E45E1"/>
    <w:rsid w:val="000E4980"/>
    <w:rsid w:val="000E4B69"/>
    <w:rsid w:val="000E4BFE"/>
    <w:rsid w:val="000E4C83"/>
    <w:rsid w:val="000E4FD8"/>
    <w:rsid w:val="000E503B"/>
    <w:rsid w:val="000E51BB"/>
    <w:rsid w:val="000E5534"/>
    <w:rsid w:val="000E573C"/>
    <w:rsid w:val="000E58E3"/>
    <w:rsid w:val="000E59CC"/>
    <w:rsid w:val="000E5C2C"/>
    <w:rsid w:val="000E5C75"/>
    <w:rsid w:val="000E6710"/>
    <w:rsid w:val="000E68A0"/>
    <w:rsid w:val="000E6BBB"/>
    <w:rsid w:val="000E6C7F"/>
    <w:rsid w:val="000E6DEE"/>
    <w:rsid w:val="000E7142"/>
    <w:rsid w:val="000E7290"/>
    <w:rsid w:val="000E74FC"/>
    <w:rsid w:val="000E75A4"/>
    <w:rsid w:val="000E787D"/>
    <w:rsid w:val="000E7924"/>
    <w:rsid w:val="000E7C6A"/>
    <w:rsid w:val="000E7DCE"/>
    <w:rsid w:val="000F03C3"/>
    <w:rsid w:val="000F0884"/>
    <w:rsid w:val="000F0B4D"/>
    <w:rsid w:val="000F11EB"/>
    <w:rsid w:val="000F11FE"/>
    <w:rsid w:val="000F12A2"/>
    <w:rsid w:val="000F146F"/>
    <w:rsid w:val="000F17D8"/>
    <w:rsid w:val="000F1A87"/>
    <w:rsid w:val="000F1D14"/>
    <w:rsid w:val="000F1D58"/>
    <w:rsid w:val="000F1E24"/>
    <w:rsid w:val="000F22F6"/>
    <w:rsid w:val="000F2308"/>
    <w:rsid w:val="000F2962"/>
    <w:rsid w:val="000F327D"/>
    <w:rsid w:val="000F3312"/>
    <w:rsid w:val="000F343E"/>
    <w:rsid w:val="000F3B88"/>
    <w:rsid w:val="000F3D89"/>
    <w:rsid w:val="000F4059"/>
    <w:rsid w:val="000F40CE"/>
    <w:rsid w:val="000F475C"/>
    <w:rsid w:val="000F47C2"/>
    <w:rsid w:val="000F4883"/>
    <w:rsid w:val="000F4A78"/>
    <w:rsid w:val="000F50F3"/>
    <w:rsid w:val="000F5458"/>
    <w:rsid w:val="000F55E6"/>
    <w:rsid w:val="000F5AEE"/>
    <w:rsid w:val="000F5C56"/>
    <w:rsid w:val="000F5D2B"/>
    <w:rsid w:val="000F5E84"/>
    <w:rsid w:val="000F6027"/>
    <w:rsid w:val="000F60D1"/>
    <w:rsid w:val="000F60D7"/>
    <w:rsid w:val="000F65A6"/>
    <w:rsid w:val="000F66FC"/>
    <w:rsid w:val="000F6C95"/>
    <w:rsid w:val="000F6E3B"/>
    <w:rsid w:val="000F6FD3"/>
    <w:rsid w:val="000F6FF1"/>
    <w:rsid w:val="000F7127"/>
    <w:rsid w:val="000F71CD"/>
    <w:rsid w:val="000F738E"/>
    <w:rsid w:val="000F79FA"/>
    <w:rsid w:val="000F7B6E"/>
    <w:rsid w:val="00100172"/>
    <w:rsid w:val="0010018C"/>
    <w:rsid w:val="001003F0"/>
    <w:rsid w:val="001004D7"/>
    <w:rsid w:val="00100885"/>
    <w:rsid w:val="00100A7B"/>
    <w:rsid w:val="00100C05"/>
    <w:rsid w:val="00100C74"/>
    <w:rsid w:val="001013FE"/>
    <w:rsid w:val="0010160C"/>
    <w:rsid w:val="0010190B"/>
    <w:rsid w:val="00101B6A"/>
    <w:rsid w:val="00101B8F"/>
    <w:rsid w:val="001022BC"/>
    <w:rsid w:val="00102358"/>
    <w:rsid w:val="001028B5"/>
    <w:rsid w:val="00102B82"/>
    <w:rsid w:val="00102BFC"/>
    <w:rsid w:val="00102E6C"/>
    <w:rsid w:val="00102F49"/>
    <w:rsid w:val="00102FA7"/>
    <w:rsid w:val="0010316A"/>
    <w:rsid w:val="001036A4"/>
    <w:rsid w:val="001038F0"/>
    <w:rsid w:val="00103BCE"/>
    <w:rsid w:val="0010420A"/>
    <w:rsid w:val="001044D1"/>
    <w:rsid w:val="00104816"/>
    <w:rsid w:val="00104861"/>
    <w:rsid w:val="001049F9"/>
    <w:rsid w:val="00104AA1"/>
    <w:rsid w:val="00104B6D"/>
    <w:rsid w:val="00104C01"/>
    <w:rsid w:val="00104DDE"/>
    <w:rsid w:val="00104EC8"/>
    <w:rsid w:val="0010506D"/>
    <w:rsid w:val="001051E4"/>
    <w:rsid w:val="00105385"/>
    <w:rsid w:val="001054C1"/>
    <w:rsid w:val="00105555"/>
    <w:rsid w:val="0010568F"/>
    <w:rsid w:val="001056C4"/>
    <w:rsid w:val="00105FA1"/>
    <w:rsid w:val="001065F6"/>
    <w:rsid w:val="001067D0"/>
    <w:rsid w:val="0010681B"/>
    <w:rsid w:val="001068D4"/>
    <w:rsid w:val="00106DE9"/>
    <w:rsid w:val="00106E89"/>
    <w:rsid w:val="00106FED"/>
    <w:rsid w:val="001071C6"/>
    <w:rsid w:val="0010725D"/>
    <w:rsid w:val="00107523"/>
    <w:rsid w:val="00107544"/>
    <w:rsid w:val="00107678"/>
    <w:rsid w:val="001077AA"/>
    <w:rsid w:val="00107B84"/>
    <w:rsid w:val="00107CA3"/>
    <w:rsid w:val="00107E2E"/>
    <w:rsid w:val="00107E85"/>
    <w:rsid w:val="00107FB8"/>
    <w:rsid w:val="00110041"/>
    <w:rsid w:val="001102B1"/>
    <w:rsid w:val="00110388"/>
    <w:rsid w:val="00110BC8"/>
    <w:rsid w:val="00110E38"/>
    <w:rsid w:val="00110F60"/>
    <w:rsid w:val="00110FDE"/>
    <w:rsid w:val="001112F3"/>
    <w:rsid w:val="00111485"/>
    <w:rsid w:val="0011158B"/>
    <w:rsid w:val="0011177B"/>
    <w:rsid w:val="00111804"/>
    <w:rsid w:val="00111884"/>
    <w:rsid w:val="001119A9"/>
    <w:rsid w:val="00111A90"/>
    <w:rsid w:val="00111B19"/>
    <w:rsid w:val="00111B23"/>
    <w:rsid w:val="001124DF"/>
    <w:rsid w:val="001129D3"/>
    <w:rsid w:val="00112C9C"/>
    <w:rsid w:val="00112D1F"/>
    <w:rsid w:val="00112D22"/>
    <w:rsid w:val="00112D69"/>
    <w:rsid w:val="00112ED8"/>
    <w:rsid w:val="00112F05"/>
    <w:rsid w:val="00113202"/>
    <w:rsid w:val="0011352B"/>
    <w:rsid w:val="001135CB"/>
    <w:rsid w:val="00113817"/>
    <w:rsid w:val="00113A33"/>
    <w:rsid w:val="00113BDE"/>
    <w:rsid w:val="00113C3F"/>
    <w:rsid w:val="00113E7B"/>
    <w:rsid w:val="00113FD8"/>
    <w:rsid w:val="00114096"/>
    <w:rsid w:val="001146EE"/>
    <w:rsid w:val="00114B90"/>
    <w:rsid w:val="00114C8B"/>
    <w:rsid w:val="00114E52"/>
    <w:rsid w:val="00115091"/>
    <w:rsid w:val="00115E48"/>
    <w:rsid w:val="00115EA4"/>
    <w:rsid w:val="001161B6"/>
    <w:rsid w:val="00116481"/>
    <w:rsid w:val="001164D5"/>
    <w:rsid w:val="001164DA"/>
    <w:rsid w:val="00116CCA"/>
    <w:rsid w:val="00116D22"/>
    <w:rsid w:val="001175BC"/>
    <w:rsid w:val="001177B3"/>
    <w:rsid w:val="00117914"/>
    <w:rsid w:val="00117992"/>
    <w:rsid w:val="0012016F"/>
    <w:rsid w:val="0012061D"/>
    <w:rsid w:val="001208C2"/>
    <w:rsid w:val="001208D8"/>
    <w:rsid w:val="00120B5C"/>
    <w:rsid w:val="00120C69"/>
    <w:rsid w:val="00120D68"/>
    <w:rsid w:val="00120D91"/>
    <w:rsid w:val="00120E81"/>
    <w:rsid w:val="00121524"/>
    <w:rsid w:val="001216A3"/>
    <w:rsid w:val="0012174F"/>
    <w:rsid w:val="00121927"/>
    <w:rsid w:val="00121E2D"/>
    <w:rsid w:val="00121E61"/>
    <w:rsid w:val="00122141"/>
    <w:rsid w:val="00122261"/>
    <w:rsid w:val="00122388"/>
    <w:rsid w:val="001226D6"/>
    <w:rsid w:val="001228C1"/>
    <w:rsid w:val="001228EC"/>
    <w:rsid w:val="00122A15"/>
    <w:rsid w:val="00122A74"/>
    <w:rsid w:val="00122B3B"/>
    <w:rsid w:val="00122C22"/>
    <w:rsid w:val="00122C32"/>
    <w:rsid w:val="00122D5E"/>
    <w:rsid w:val="00122DA4"/>
    <w:rsid w:val="00122EC1"/>
    <w:rsid w:val="00122F32"/>
    <w:rsid w:val="0012327F"/>
    <w:rsid w:val="001233A3"/>
    <w:rsid w:val="001235E9"/>
    <w:rsid w:val="001236DF"/>
    <w:rsid w:val="00123A25"/>
    <w:rsid w:val="00123DB4"/>
    <w:rsid w:val="00123ED1"/>
    <w:rsid w:val="0012407E"/>
    <w:rsid w:val="001240FF"/>
    <w:rsid w:val="00124303"/>
    <w:rsid w:val="0012492A"/>
    <w:rsid w:val="00124D46"/>
    <w:rsid w:val="001251FD"/>
    <w:rsid w:val="001252B7"/>
    <w:rsid w:val="00125379"/>
    <w:rsid w:val="00125471"/>
    <w:rsid w:val="00125495"/>
    <w:rsid w:val="00125575"/>
    <w:rsid w:val="001255B6"/>
    <w:rsid w:val="001257BA"/>
    <w:rsid w:val="001258AF"/>
    <w:rsid w:val="001258B3"/>
    <w:rsid w:val="00125ADC"/>
    <w:rsid w:val="00125CAC"/>
    <w:rsid w:val="001260EF"/>
    <w:rsid w:val="001262CA"/>
    <w:rsid w:val="0012637E"/>
    <w:rsid w:val="001263C2"/>
    <w:rsid w:val="00126764"/>
    <w:rsid w:val="001267CC"/>
    <w:rsid w:val="0012689C"/>
    <w:rsid w:val="00126EC4"/>
    <w:rsid w:val="001272F3"/>
    <w:rsid w:val="00127960"/>
    <w:rsid w:val="00127993"/>
    <w:rsid w:val="001279DE"/>
    <w:rsid w:val="00127A84"/>
    <w:rsid w:val="00127C35"/>
    <w:rsid w:val="0013007E"/>
    <w:rsid w:val="00130396"/>
    <w:rsid w:val="001303A1"/>
    <w:rsid w:val="0013060D"/>
    <w:rsid w:val="001306E7"/>
    <w:rsid w:val="00130722"/>
    <w:rsid w:val="0013077B"/>
    <w:rsid w:val="00130835"/>
    <w:rsid w:val="00130CB5"/>
    <w:rsid w:val="00130D91"/>
    <w:rsid w:val="00131307"/>
    <w:rsid w:val="001313DF"/>
    <w:rsid w:val="00131680"/>
    <w:rsid w:val="0013178F"/>
    <w:rsid w:val="00131997"/>
    <w:rsid w:val="00131AB3"/>
    <w:rsid w:val="00131B59"/>
    <w:rsid w:val="00131C20"/>
    <w:rsid w:val="00131E7A"/>
    <w:rsid w:val="00132565"/>
    <w:rsid w:val="0013261C"/>
    <w:rsid w:val="0013263A"/>
    <w:rsid w:val="001328A7"/>
    <w:rsid w:val="00132A1D"/>
    <w:rsid w:val="00132A7D"/>
    <w:rsid w:val="00132B52"/>
    <w:rsid w:val="00132B63"/>
    <w:rsid w:val="00132BA8"/>
    <w:rsid w:val="00132BEC"/>
    <w:rsid w:val="00132C07"/>
    <w:rsid w:val="00132C16"/>
    <w:rsid w:val="00132DF5"/>
    <w:rsid w:val="001330CF"/>
    <w:rsid w:val="0013312F"/>
    <w:rsid w:val="00133258"/>
    <w:rsid w:val="00133405"/>
    <w:rsid w:val="00133503"/>
    <w:rsid w:val="001339EF"/>
    <w:rsid w:val="00133A61"/>
    <w:rsid w:val="00133B0D"/>
    <w:rsid w:val="00133C81"/>
    <w:rsid w:val="00133D70"/>
    <w:rsid w:val="00133EA4"/>
    <w:rsid w:val="00134062"/>
    <w:rsid w:val="001341B2"/>
    <w:rsid w:val="001347AB"/>
    <w:rsid w:val="001348F3"/>
    <w:rsid w:val="00134D5F"/>
    <w:rsid w:val="00134D62"/>
    <w:rsid w:val="00134EC8"/>
    <w:rsid w:val="00135224"/>
    <w:rsid w:val="00135282"/>
    <w:rsid w:val="00135406"/>
    <w:rsid w:val="00135491"/>
    <w:rsid w:val="00135503"/>
    <w:rsid w:val="001356AD"/>
    <w:rsid w:val="00135A14"/>
    <w:rsid w:val="00135AA6"/>
    <w:rsid w:val="00135DF0"/>
    <w:rsid w:val="00135E39"/>
    <w:rsid w:val="00135EC0"/>
    <w:rsid w:val="001360CE"/>
    <w:rsid w:val="001361A3"/>
    <w:rsid w:val="0013621A"/>
    <w:rsid w:val="00136653"/>
    <w:rsid w:val="00136735"/>
    <w:rsid w:val="00136836"/>
    <w:rsid w:val="00136942"/>
    <w:rsid w:val="00136AA6"/>
    <w:rsid w:val="00136F1C"/>
    <w:rsid w:val="001370C4"/>
    <w:rsid w:val="001372DD"/>
    <w:rsid w:val="00137684"/>
    <w:rsid w:val="00137851"/>
    <w:rsid w:val="001379A7"/>
    <w:rsid w:val="00137B1E"/>
    <w:rsid w:val="00137BD6"/>
    <w:rsid w:val="00137E08"/>
    <w:rsid w:val="00137EAC"/>
    <w:rsid w:val="00137F8B"/>
    <w:rsid w:val="001406E1"/>
    <w:rsid w:val="001410F9"/>
    <w:rsid w:val="0014139B"/>
    <w:rsid w:val="00141508"/>
    <w:rsid w:val="001415AD"/>
    <w:rsid w:val="001415F8"/>
    <w:rsid w:val="00141963"/>
    <w:rsid w:val="00141A9B"/>
    <w:rsid w:val="00141C5B"/>
    <w:rsid w:val="00141E96"/>
    <w:rsid w:val="00141EA4"/>
    <w:rsid w:val="0014236A"/>
    <w:rsid w:val="001425CF"/>
    <w:rsid w:val="001427A3"/>
    <w:rsid w:val="00142E35"/>
    <w:rsid w:val="00143084"/>
    <w:rsid w:val="00143376"/>
    <w:rsid w:val="00143A4F"/>
    <w:rsid w:val="00143D0F"/>
    <w:rsid w:val="00143D5E"/>
    <w:rsid w:val="00143DD1"/>
    <w:rsid w:val="001441E0"/>
    <w:rsid w:val="00144408"/>
    <w:rsid w:val="00144435"/>
    <w:rsid w:val="00144623"/>
    <w:rsid w:val="00144673"/>
    <w:rsid w:val="00144EB5"/>
    <w:rsid w:val="0014519F"/>
    <w:rsid w:val="001453E8"/>
    <w:rsid w:val="00145B42"/>
    <w:rsid w:val="00145EA6"/>
    <w:rsid w:val="00145F6A"/>
    <w:rsid w:val="001466EF"/>
    <w:rsid w:val="001467A1"/>
    <w:rsid w:val="00146844"/>
    <w:rsid w:val="001468B5"/>
    <w:rsid w:val="001468DA"/>
    <w:rsid w:val="00146929"/>
    <w:rsid w:val="00146E49"/>
    <w:rsid w:val="0014736F"/>
    <w:rsid w:val="00147740"/>
    <w:rsid w:val="00147975"/>
    <w:rsid w:val="00147A0C"/>
    <w:rsid w:val="00147A83"/>
    <w:rsid w:val="00147B25"/>
    <w:rsid w:val="0015019E"/>
    <w:rsid w:val="00150424"/>
    <w:rsid w:val="00150569"/>
    <w:rsid w:val="00150629"/>
    <w:rsid w:val="001507F3"/>
    <w:rsid w:val="001508D1"/>
    <w:rsid w:val="00150D41"/>
    <w:rsid w:val="00150E13"/>
    <w:rsid w:val="00150F6F"/>
    <w:rsid w:val="00150FF5"/>
    <w:rsid w:val="001510BD"/>
    <w:rsid w:val="00151185"/>
    <w:rsid w:val="001511DF"/>
    <w:rsid w:val="001512A9"/>
    <w:rsid w:val="001512D0"/>
    <w:rsid w:val="00151B73"/>
    <w:rsid w:val="00151C20"/>
    <w:rsid w:val="00151E99"/>
    <w:rsid w:val="00151F49"/>
    <w:rsid w:val="00151FFF"/>
    <w:rsid w:val="00152154"/>
    <w:rsid w:val="00152233"/>
    <w:rsid w:val="00152336"/>
    <w:rsid w:val="001525F9"/>
    <w:rsid w:val="00152B15"/>
    <w:rsid w:val="00152D0F"/>
    <w:rsid w:val="00152F4D"/>
    <w:rsid w:val="00153732"/>
    <w:rsid w:val="00153C90"/>
    <w:rsid w:val="00153D62"/>
    <w:rsid w:val="00153DDD"/>
    <w:rsid w:val="00153EBE"/>
    <w:rsid w:val="00153FBD"/>
    <w:rsid w:val="001540B0"/>
    <w:rsid w:val="00154176"/>
    <w:rsid w:val="00154497"/>
    <w:rsid w:val="001546BC"/>
    <w:rsid w:val="001549E7"/>
    <w:rsid w:val="00154E97"/>
    <w:rsid w:val="001553B0"/>
    <w:rsid w:val="0015545A"/>
    <w:rsid w:val="001558E1"/>
    <w:rsid w:val="00155D49"/>
    <w:rsid w:val="00155E17"/>
    <w:rsid w:val="001560E2"/>
    <w:rsid w:val="001565B0"/>
    <w:rsid w:val="00156682"/>
    <w:rsid w:val="001566AE"/>
    <w:rsid w:val="00156704"/>
    <w:rsid w:val="00156CF3"/>
    <w:rsid w:val="00156E69"/>
    <w:rsid w:val="00156F4E"/>
    <w:rsid w:val="0015770D"/>
    <w:rsid w:val="00157714"/>
    <w:rsid w:val="001577C8"/>
    <w:rsid w:val="0015789B"/>
    <w:rsid w:val="00157A77"/>
    <w:rsid w:val="00157BF8"/>
    <w:rsid w:val="00160A62"/>
    <w:rsid w:val="00160CAA"/>
    <w:rsid w:val="00160D44"/>
    <w:rsid w:val="00160D7F"/>
    <w:rsid w:val="00160F11"/>
    <w:rsid w:val="0016126D"/>
    <w:rsid w:val="00161328"/>
    <w:rsid w:val="001617C1"/>
    <w:rsid w:val="001617E2"/>
    <w:rsid w:val="00161CCE"/>
    <w:rsid w:val="00162107"/>
    <w:rsid w:val="0016212C"/>
    <w:rsid w:val="001625BF"/>
    <w:rsid w:val="00162C43"/>
    <w:rsid w:val="00162C87"/>
    <w:rsid w:val="00162D92"/>
    <w:rsid w:val="00163468"/>
    <w:rsid w:val="0016346D"/>
    <w:rsid w:val="001635E2"/>
    <w:rsid w:val="00163713"/>
    <w:rsid w:val="00163C01"/>
    <w:rsid w:val="00163DF9"/>
    <w:rsid w:val="00164649"/>
    <w:rsid w:val="001647C6"/>
    <w:rsid w:val="001648D5"/>
    <w:rsid w:val="00164A8D"/>
    <w:rsid w:val="00164BE4"/>
    <w:rsid w:val="00164EF9"/>
    <w:rsid w:val="00164F36"/>
    <w:rsid w:val="00164F51"/>
    <w:rsid w:val="001650B9"/>
    <w:rsid w:val="00165444"/>
    <w:rsid w:val="00165467"/>
    <w:rsid w:val="001654E5"/>
    <w:rsid w:val="00165559"/>
    <w:rsid w:val="0016559B"/>
    <w:rsid w:val="00165749"/>
    <w:rsid w:val="0016583F"/>
    <w:rsid w:val="00165E70"/>
    <w:rsid w:val="00165F4B"/>
    <w:rsid w:val="00166173"/>
    <w:rsid w:val="0016621A"/>
    <w:rsid w:val="00166298"/>
    <w:rsid w:val="001662A8"/>
    <w:rsid w:val="00166443"/>
    <w:rsid w:val="00166505"/>
    <w:rsid w:val="0016652D"/>
    <w:rsid w:val="00166637"/>
    <w:rsid w:val="001669DE"/>
    <w:rsid w:val="00166ABB"/>
    <w:rsid w:val="00166C44"/>
    <w:rsid w:val="00167065"/>
    <w:rsid w:val="00167209"/>
    <w:rsid w:val="001676D6"/>
    <w:rsid w:val="00167744"/>
    <w:rsid w:val="00167862"/>
    <w:rsid w:val="001679D3"/>
    <w:rsid w:val="00167BB8"/>
    <w:rsid w:val="00167F02"/>
    <w:rsid w:val="001702F9"/>
    <w:rsid w:val="001708A7"/>
    <w:rsid w:val="00170937"/>
    <w:rsid w:val="00170C0F"/>
    <w:rsid w:val="00170EC7"/>
    <w:rsid w:val="001710EA"/>
    <w:rsid w:val="00171187"/>
    <w:rsid w:val="0017131D"/>
    <w:rsid w:val="0017177A"/>
    <w:rsid w:val="00171879"/>
    <w:rsid w:val="00171AE8"/>
    <w:rsid w:val="00171BBF"/>
    <w:rsid w:val="00171CA2"/>
    <w:rsid w:val="00171D2C"/>
    <w:rsid w:val="00172419"/>
    <w:rsid w:val="0017261D"/>
    <w:rsid w:val="001726C7"/>
    <w:rsid w:val="00172715"/>
    <w:rsid w:val="00172824"/>
    <w:rsid w:val="001728CD"/>
    <w:rsid w:val="00172A71"/>
    <w:rsid w:val="00172B97"/>
    <w:rsid w:val="0017305D"/>
    <w:rsid w:val="00173117"/>
    <w:rsid w:val="001732C9"/>
    <w:rsid w:val="001736B0"/>
    <w:rsid w:val="001737A5"/>
    <w:rsid w:val="001738E7"/>
    <w:rsid w:val="00173AF1"/>
    <w:rsid w:val="00173B28"/>
    <w:rsid w:val="00173EE7"/>
    <w:rsid w:val="00174028"/>
    <w:rsid w:val="00174634"/>
    <w:rsid w:val="001746AB"/>
    <w:rsid w:val="0017474D"/>
    <w:rsid w:val="001748DC"/>
    <w:rsid w:val="00174C11"/>
    <w:rsid w:val="00174D54"/>
    <w:rsid w:val="00174E4A"/>
    <w:rsid w:val="00174EB0"/>
    <w:rsid w:val="00174F3B"/>
    <w:rsid w:val="00175355"/>
    <w:rsid w:val="00175625"/>
    <w:rsid w:val="00175A3A"/>
    <w:rsid w:val="00175BD4"/>
    <w:rsid w:val="00175C1E"/>
    <w:rsid w:val="00175F19"/>
    <w:rsid w:val="00176165"/>
    <w:rsid w:val="00176763"/>
    <w:rsid w:val="001768E6"/>
    <w:rsid w:val="00176A08"/>
    <w:rsid w:val="00176AB8"/>
    <w:rsid w:val="00176D19"/>
    <w:rsid w:val="00176D3B"/>
    <w:rsid w:val="00176DC0"/>
    <w:rsid w:val="00176DC1"/>
    <w:rsid w:val="00176FF5"/>
    <w:rsid w:val="001771E6"/>
    <w:rsid w:val="0017735D"/>
    <w:rsid w:val="001773F5"/>
    <w:rsid w:val="00180365"/>
    <w:rsid w:val="001809F9"/>
    <w:rsid w:val="00180A03"/>
    <w:rsid w:val="00180B2D"/>
    <w:rsid w:val="00180DC7"/>
    <w:rsid w:val="00181476"/>
    <w:rsid w:val="001818EA"/>
    <w:rsid w:val="00181916"/>
    <w:rsid w:val="00181A13"/>
    <w:rsid w:val="00181AC6"/>
    <w:rsid w:val="0018216D"/>
    <w:rsid w:val="001821C6"/>
    <w:rsid w:val="00182A3B"/>
    <w:rsid w:val="00182A59"/>
    <w:rsid w:val="00182A64"/>
    <w:rsid w:val="00182CCF"/>
    <w:rsid w:val="00182FA6"/>
    <w:rsid w:val="00182FF2"/>
    <w:rsid w:val="001831F7"/>
    <w:rsid w:val="0018335A"/>
    <w:rsid w:val="0018336F"/>
    <w:rsid w:val="0018388C"/>
    <w:rsid w:val="00183B18"/>
    <w:rsid w:val="00183DAA"/>
    <w:rsid w:val="00183F2C"/>
    <w:rsid w:val="00183F55"/>
    <w:rsid w:val="001844E9"/>
    <w:rsid w:val="0018452C"/>
    <w:rsid w:val="00184609"/>
    <w:rsid w:val="00184A16"/>
    <w:rsid w:val="00184A86"/>
    <w:rsid w:val="00185294"/>
    <w:rsid w:val="001854E3"/>
    <w:rsid w:val="001855D6"/>
    <w:rsid w:val="00185674"/>
    <w:rsid w:val="00185763"/>
    <w:rsid w:val="0018576D"/>
    <w:rsid w:val="0018591B"/>
    <w:rsid w:val="00185D71"/>
    <w:rsid w:val="00185E16"/>
    <w:rsid w:val="00186621"/>
    <w:rsid w:val="00186729"/>
    <w:rsid w:val="00186888"/>
    <w:rsid w:val="00187019"/>
    <w:rsid w:val="00187235"/>
    <w:rsid w:val="0018732F"/>
    <w:rsid w:val="00187713"/>
    <w:rsid w:val="00187A01"/>
    <w:rsid w:val="00187F82"/>
    <w:rsid w:val="00187FBE"/>
    <w:rsid w:val="001902D1"/>
    <w:rsid w:val="00190323"/>
    <w:rsid w:val="00190586"/>
    <w:rsid w:val="00190A4B"/>
    <w:rsid w:val="00190FD5"/>
    <w:rsid w:val="0019105F"/>
    <w:rsid w:val="00191494"/>
    <w:rsid w:val="001914F8"/>
    <w:rsid w:val="00191778"/>
    <w:rsid w:val="001918FF"/>
    <w:rsid w:val="001919D7"/>
    <w:rsid w:val="00191F46"/>
    <w:rsid w:val="00192224"/>
    <w:rsid w:val="0019277D"/>
    <w:rsid w:val="0019314A"/>
    <w:rsid w:val="0019340A"/>
    <w:rsid w:val="00193413"/>
    <w:rsid w:val="0019377A"/>
    <w:rsid w:val="00193DD5"/>
    <w:rsid w:val="001941B9"/>
    <w:rsid w:val="0019428C"/>
    <w:rsid w:val="00194433"/>
    <w:rsid w:val="00194461"/>
    <w:rsid w:val="00194752"/>
    <w:rsid w:val="00194825"/>
    <w:rsid w:val="001948CB"/>
    <w:rsid w:val="001949F0"/>
    <w:rsid w:val="00194A77"/>
    <w:rsid w:val="001951C6"/>
    <w:rsid w:val="001953A3"/>
    <w:rsid w:val="00195513"/>
    <w:rsid w:val="00195B51"/>
    <w:rsid w:val="00195B73"/>
    <w:rsid w:val="00195C71"/>
    <w:rsid w:val="001960F4"/>
    <w:rsid w:val="001961A0"/>
    <w:rsid w:val="001965CD"/>
    <w:rsid w:val="00196944"/>
    <w:rsid w:val="0019695D"/>
    <w:rsid w:val="00196C0A"/>
    <w:rsid w:val="00196ED6"/>
    <w:rsid w:val="00197681"/>
    <w:rsid w:val="0019772F"/>
    <w:rsid w:val="00197865"/>
    <w:rsid w:val="00197B5E"/>
    <w:rsid w:val="001A0154"/>
    <w:rsid w:val="001A043B"/>
    <w:rsid w:val="001A0647"/>
    <w:rsid w:val="001A073D"/>
    <w:rsid w:val="001A0787"/>
    <w:rsid w:val="001A081A"/>
    <w:rsid w:val="001A0865"/>
    <w:rsid w:val="001A0FEA"/>
    <w:rsid w:val="001A12D0"/>
    <w:rsid w:val="001A16D5"/>
    <w:rsid w:val="001A1836"/>
    <w:rsid w:val="001A189D"/>
    <w:rsid w:val="001A18B3"/>
    <w:rsid w:val="001A21BE"/>
    <w:rsid w:val="001A22B8"/>
    <w:rsid w:val="001A2348"/>
    <w:rsid w:val="001A238F"/>
    <w:rsid w:val="001A244D"/>
    <w:rsid w:val="001A2563"/>
    <w:rsid w:val="001A2602"/>
    <w:rsid w:val="001A2AEC"/>
    <w:rsid w:val="001A2C81"/>
    <w:rsid w:val="001A2E86"/>
    <w:rsid w:val="001A30B8"/>
    <w:rsid w:val="001A3198"/>
    <w:rsid w:val="001A3388"/>
    <w:rsid w:val="001A353F"/>
    <w:rsid w:val="001A3828"/>
    <w:rsid w:val="001A392E"/>
    <w:rsid w:val="001A3B31"/>
    <w:rsid w:val="001A3B9A"/>
    <w:rsid w:val="001A3BEC"/>
    <w:rsid w:val="001A3C8A"/>
    <w:rsid w:val="001A4057"/>
    <w:rsid w:val="001A4B28"/>
    <w:rsid w:val="001A4E31"/>
    <w:rsid w:val="001A4EB0"/>
    <w:rsid w:val="001A5040"/>
    <w:rsid w:val="001A5090"/>
    <w:rsid w:val="001A51D8"/>
    <w:rsid w:val="001A51E1"/>
    <w:rsid w:val="001A5A1F"/>
    <w:rsid w:val="001A5DC2"/>
    <w:rsid w:val="001A5DFA"/>
    <w:rsid w:val="001A5E69"/>
    <w:rsid w:val="001A5E95"/>
    <w:rsid w:val="001A5EEB"/>
    <w:rsid w:val="001A60D0"/>
    <w:rsid w:val="001A68F2"/>
    <w:rsid w:val="001A6D5F"/>
    <w:rsid w:val="001A6E99"/>
    <w:rsid w:val="001A6EFC"/>
    <w:rsid w:val="001A70D8"/>
    <w:rsid w:val="001A7324"/>
    <w:rsid w:val="001A7588"/>
    <w:rsid w:val="001A774A"/>
    <w:rsid w:val="001A7807"/>
    <w:rsid w:val="001A78B4"/>
    <w:rsid w:val="001A79F6"/>
    <w:rsid w:val="001A7A84"/>
    <w:rsid w:val="001A7ACB"/>
    <w:rsid w:val="001A7CFE"/>
    <w:rsid w:val="001A7FC5"/>
    <w:rsid w:val="001A7FF0"/>
    <w:rsid w:val="001B0268"/>
    <w:rsid w:val="001B0336"/>
    <w:rsid w:val="001B071F"/>
    <w:rsid w:val="001B0902"/>
    <w:rsid w:val="001B0D12"/>
    <w:rsid w:val="001B0D8F"/>
    <w:rsid w:val="001B0E30"/>
    <w:rsid w:val="001B105A"/>
    <w:rsid w:val="001B10F1"/>
    <w:rsid w:val="001B114D"/>
    <w:rsid w:val="001B126F"/>
    <w:rsid w:val="001B144E"/>
    <w:rsid w:val="001B1465"/>
    <w:rsid w:val="001B14AE"/>
    <w:rsid w:val="001B1909"/>
    <w:rsid w:val="001B1A1F"/>
    <w:rsid w:val="001B1A8E"/>
    <w:rsid w:val="001B21BB"/>
    <w:rsid w:val="001B232B"/>
    <w:rsid w:val="001B2761"/>
    <w:rsid w:val="001B27B2"/>
    <w:rsid w:val="001B2B07"/>
    <w:rsid w:val="001B2EE2"/>
    <w:rsid w:val="001B2F49"/>
    <w:rsid w:val="001B2F6B"/>
    <w:rsid w:val="001B3216"/>
    <w:rsid w:val="001B3291"/>
    <w:rsid w:val="001B337E"/>
    <w:rsid w:val="001B345F"/>
    <w:rsid w:val="001B34F2"/>
    <w:rsid w:val="001B36E0"/>
    <w:rsid w:val="001B38EA"/>
    <w:rsid w:val="001B3C5D"/>
    <w:rsid w:val="001B3D9D"/>
    <w:rsid w:val="001B424A"/>
    <w:rsid w:val="001B4354"/>
    <w:rsid w:val="001B43FA"/>
    <w:rsid w:val="001B45E6"/>
    <w:rsid w:val="001B4B81"/>
    <w:rsid w:val="001B4BCD"/>
    <w:rsid w:val="001B4C25"/>
    <w:rsid w:val="001B4E5A"/>
    <w:rsid w:val="001B4EC5"/>
    <w:rsid w:val="001B505B"/>
    <w:rsid w:val="001B52DE"/>
    <w:rsid w:val="001B5738"/>
    <w:rsid w:val="001B57B6"/>
    <w:rsid w:val="001B6090"/>
    <w:rsid w:val="001B6185"/>
    <w:rsid w:val="001B6662"/>
    <w:rsid w:val="001B68A5"/>
    <w:rsid w:val="001B6CA6"/>
    <w:rsid w:val="001B6CBB"/>
    <w:rsid w:val="001B6E49"/>
    <w:rsid w:val="001B6FFF"/>
    <w:rsid w:val="001B70F2"/>
    <w:rsid w:val="001B75BF"/>
    <w:rsid w:val="001B7619"/>
    <w:rsid w:val="001B7BCA"/>
    <w:rsid w:val="001B7CEF"/>
    <w:rsid w:val="001B7DCC"/>
    <w:rsid w:val="001B7E1C"/>
    <w:rsid w:val="001C0017"/>
    <w:rsid w:val="001C00B0"/>
    <w:rsid w:val="001C013B"/>
    <w:rsid w:val="001C02B8"/>
    <w:rsid w:val="001C0349"/>
    <w:rsid w:val="001C0508"/>
    <w:rsid w:val="001C0C0B"/>
    <w:rsid w:val="001C0FA5"/>
    <w:rsid w:val="001C1281"/>
    <w:rsid w:val="001C170E"/>
    <w:rsid w:val="001C1756"/>
    <w:rsid w:val="001C18D4"/>
    <w:rsid w:val="001C1AFC"/>
    <w:rsid w:val="001C1B1F"/>
    <w:rsid w:val="001C1BB1"/>
    <w:rsid w:val="001C1DB2"/>
    <w:rsid w:val="001C2149"/>
    <w:rsid w:val="001C2B7A"/>
    <w:rsid w:val="001C2C4C"/>
    <w:rsid w:val="001C2EE9"/>
    <w:rsid w:val="001C3029"/>
    <w:rsid w:val="001C30BC"/>
    <w:rsid w:val="001C3990"/>
    <w:rsid w:val="001C3AFF"/>
    <w:rsid w:val="001C3B49"/>
    <w:rsid w:val="001C3EC8"/>
    <w:rsid w:val="001C4022"/>
    <w:rsid w:val="001C4319"/>
    <w:rsid w:val="001C47DF"/>
    <w:rsid w:val="001C49BA"/>
    <w:rsid w:val="001C4E67"/>
    <w:rsid w:val="001C55A6"/>
    <w:rsid w:val="001C57CC"/>
    <w:rsid w:val="001C5B71"/>
    <w:rsid w:val="001C6962"/>
    <w:rsid w:val="001C6A1F"/>
    <w:rsid w:val="001C6D14"/>
    <w:rsid w:val="001C6EAB"/>
    <w:rsid w:val="001C6F52"/>
    <w:rsid w:val="001C6F96"/>
    <w:rsid w:val="001C72B3"/>
    <w:rsid w:val="001C782A"/>
    <w:rsid w:val="001C786F"/>
    <w:rsid w:val="001C7A09"/>
    <w:rsid w:val="001C7D03"/>
    <w:rsid w:val="001C7E11"/>
    <w:rsid w:val="001C7E27"/>
    <w:rsid w:val="001C7EEB"/>
    <w:rsid w:val="001C7F2F"/>
    <w:rsid w:val="001C7FC5"/>
    <w:rsid w:val="001D0252"/>
    <w:rsid w:val="001D027D"/>
    <w:rsid w:val="001D034F"/>
    <w:rsid w:val="001D062F"/>
    <w:rsid w:val="001D0696"/>
    <w:rsid w:val="001D08B4"/>
    <w:rsid w:val="001D0A2F"/>
    <w:rsid w:val="001D0A4D"/>
    <w:rsid w:val="001D0EA6"/>
    <w:rsid w:val="001D0F70"/>
    <w:rsid w:val="001D106D"/>
    <w:rsid w:val="001D1286"/>
    <w:rsid w:val="001D1292"/>
    <w:rsid w:val="001D1722"/>
    <w:rsid w:val="001D1B52"/>
    <w:rsid w:val="001D1BDD"/>
    <w:rsid w:val="001D1D99"/>
    <w:rsid w:val="001D2125"/>
    <w:rsid w:val="001D2518"/>
    <w:rsid w:val="001D276D"/>
    <w:rsid w:val="001D29EA"/>
    <w:rsid w:val="001D2B4E"/>
    <w:rsid w:val="001D2BAD"/>
    <w:rsid w:val="001D2BE7"/>
    <w:rsid w:val="001D2DA6"/>
    <w:rsid w:val="001D3093"/>
    <w:rsid w:val="001D387E"/>
    <w:rsid w:val="001D3B29"/>
    <w:rsid w:val="001D3C93"/>
    <w:rsid w:val="001D3F88"/>
    <w:rsid w:val="001D3FF5"/>
    <w:rsid w:val="001D40EE"/>
    <w:rsid w:val="001D4232"/>
    <w:rsid w:val="001D4465"/>
    <w:rsid w:val="001D463B"/>
    <w:rsid w:val="001D4D85"/>
    <w:rsid w:val="001D4D9D"/>
    <w:rsid w:val="001D4E55"/>
    <w:rsid w:val="001D534D"/>
    <w:rsid w:val="001D5378"/>
    <w:rsid w:val="001D56ED"/>
    <w:rsid w:val="001D59AB"/>
    <w:rsid w:val="001D59BA"/>
    <w:rsid w:val="001D5ABE"/>
    <w:rsid w:val="001D5B7B"/>
    <w:rsid w:val="001D5CE2"/>
    <w:rsid w:val="001D5DD5"/>
    <w:rsid w:val="001D5E1E"/>
    <w:rsid w:val="001D613E"/>
    <w:rsid w:val="001D61B9"/>
    <w:rsid w:val="001D6378"/>
    <w:rsid w:val="001D69B6"/>
    <w:rsid w:val="001D6A9F"/>
    <w:rsid w:val="001D6B36"/>
    <w:rsid w:val="001D6B4F"/>
    <w:rsid w:val="001D6C75"/>
    <w:rsid w:val="001D71BA"/>
    <w:rsid w:val="001D751D"/>
    <w:rsid w:val="001D7C78"/>
    <w:rsid w:val="001E02E0"/>
    <w:rsid w:val="001E0672"/>
    <w:rsid w:val="001E07F4"/>
    <w:rsid w:val="001E088F"/>
    <w:rsid w:val="001E0ACB"/>
    <w:rsid w:val="001E1066"/>
    <w:rsid w:val="001E10F5"/>
    <w:rsid w:val="001E1473"/>
    <w:rsid w:val="001E14CA"/>
    <w:rsid w:val="001E182B"/>
    <w:rsid w:val="001E19CA"/>
    <w:rsid w:val="001E1C6B"/>
    <w:rsid w:val="001E213B"/>
    <w:rsid w:val="001E2245"/>
    <w:rsid w:val="001E237A"/>
    <w:rsid w:val="001E25D8"/>
    <w:rsid w:val="001E2783"/>
    <w:rsid w:val="001E2C0C"/>
    <w:rsid w:val="001E2E24"/>
    <w:rsid w:val="001E2F2C"/>
    <w:rsid w:val="001E343F"/>
    <w:rsid w:val="001E368E"/>
    <w:rsid w:val="001E36FB"/>
    <w:rsid w:val="001E37B4"/>
    <w:rsid w:val="001E3AD8"/>
    <w:rsid w:val="001E3E09"/>
    <w:rsid w:val="001E3F91"/>
    <w:rsid w:val="001E4100"/>
    <w:rsid w:val="001E4222"/>
    <w:rsid w:val="001E4490"/>
    <w:rsid w:val="001E45DC"/>
    <w:rsid w:val="001E4BF4"/>
    <w:rsid w:val="001E500A"/>
    <w:rsid w:val="001E536A"/>
    <w:rsid w:val="001E57A0"/>
    <w:rsid w:val="001E57B6"/>
    <w:rsid w:val="001E5AF9"/>
    <w:rsid w:val="001E5C4B"/>
    <w:rsid w:val="001E5DA9"/>
    <w:rsid w:val="001E5FF1"/>
    <w:rsid w:val="001E60A7"/>
    <w:rsid w:val="001E640B"/>
    <w:rsid w:val="001E6602"/>
    <w:rsid w:val="001E69AA"/>
    <w:rsid w:val="001E7043"/>
    <w:rsid w:val="001E709E"/>
    <w:rsid w:val="001E70AB"/>
    <w:rsid w:val="001E73F3"/>
    <w:rsid w:val="001E7531"/>
    <w:rsid w:val="001E75F7"/>
    <w:rsid w:val="001E76C4"/>
    <w:rsid w:val="001F049F"/>
    <w:rsid w:val="001F05F7"/>
    <w:rsid w:val="001F084A"/>
    <w:rsid w:val="001F0A5C"/>
    <w:rsid w:val="001F0BD5"/>
    <w:rsid w:val="001F0D19"/>
    <w:rsid w:val="001F0D9F"/>
    <w:rsid w:val="001F10D4"/>
    <w:rsid w:val="001F115A"/>
    <w:rsid w:val="001F1363"/>
    <w:rsid w:val="001F14F9"/>
    <w:rsid w:val="001F1653"/>
    <w:rsid w:val="001F1C4D"/>
    <w:rsid w:val="001F1F47"/>
    <w:rsid w:val="001F227C"/>
    <w:rsid w:val="001F22EB"/>
    <w:rsid w:val="001F25AE"/>
    <w:rsid w:val="001F2907"/>
    <w:rsid w:val="001F2C1E"/>
    <w:rsid w:val="001F2C9C"/>
    <w:rsid w:val="001F3204"/>
    <w:rsid w:val="001F32D6"/>
    <w:rsid w:val="001F3302"/>
    <w:rsid w:val="001F3475"/>
    <w:rsid w:val="001F34AB"/>
    <w:rsid w:val="001F3629"/>
    <w:rsid w:val="001F3A55"/>
    <w:rsid w:val="001F3EC8"/>
    <w:rsid w:val="001F40DE"/>
    <w:rsid w:val="001F42BD"/>
    <w:rsid w:val="001F45F4"/>
    <w:rsid w:val="001F4A40"/>
    <w:rsid w:val="001F4AFB"/>
    <w:rsid w:val="001F4CAF"/>
    <w:rsid w:val="001F4EDC"/>
    <w:rsid w:val="001F5EC1"/>
    <w:rsid w:val="001F6242"/>
    <w:rsid w:val="001F6766"/>
    <w:rsid w:val="001F6D51"/>
    <w:rsid w:val="001F6EBB"/>
    <w:rsid w:val="001F770B"/>
    <w:rsid w:val="001F78F1"/>
    <w:rsid w:val="001F7A08"/>
    <w:rsid w:val="001F7B38"/>
    <w:rsid w:val="001F7E08"/>
    <w:rsid w:val="001F7ECF"/>
    <w:rsid w:val="001F7F3E"/>
    <w:rsid w:val="001F7FA1"/>
    <w:rsid w:val="00200032"/>
    <w:rsid w:val="00200278"/>
    <w:rsid w:val="002003A6"/>
    <w:rsid w:val="002003FB"/>
    <w:rsid w:val="0020047E"/>
    <w:rsid w:val="0020060D"/>
    <w:rsid w:val="00200750"/>
    <w:rsid w:val="002008A5"/>
    <w:rsid w:val="002009AB"/>
    <w:rsid w:val="00200A1D"/>
    <w:rsid w:val="00200C31"/>
    <w:rsid w:val="00200FDD"/>
    <w:rsid w:val="00201171"/>
    <w:rsid w:val="0020137A"/>
    <w:rsid w:val="002013FF"/>
    <w:rsid w:val="002014D6"/>
    <w:rsid w:val="00201562"/>
    <w:rsid w:val="00201887"/>
    <w:rsid w:val="00201AB0"/>
    <w:rsid w:val="00201BBD"/>
    <w:rsid w:val="00201C07"/>
    <w:rsid w:val="00201CE1"/>
    <w:rsid w:val="002021FA"/>
    <w:rsid w:val="00202D81"/>
    <w:rsid w:val="00202D89"/>
    <w:rsid w:val="00202FBB"/>
    <w:rsid w:val="0020319A"/>
    <w:rsid w:val="00203650"/>
    <w:rsid w:val="00203BDE"/>
    <w:rsid w:val="00203CA4"/>
    <w:rsid w:val="00203FF1"/>
    <w:rsid w:val="002040EF"/>
    <w:rsid w:val="00204194"/>
    <w:rsid w:val="002041F6"/>
    <w:rsid w:val="00204380"/>
    <w:rsid w:val="00204C5E"/>
    <w:rsid w:val="00204D1B"/>
    <w:rsid w:val="00204E05"/>
    <w:rsid w:val="00204F65"/>
    <w:rsid w:val="002051B6"/>
    <w:rsid w:val="00205259"/>
    <w:rsid w:val="002054DC"/>
    <w:rsid w:val="00205637"/>
    <w:rsid w:val="0020578F"/>
    <w:rsid w:val="00205834"/>
    <w:rsid w:val="002058B2"/>
    <w:rsid w:val="00205A19"/>
    <w:rsid w:val="00205AF6"/>
    <w:rsid w:val="00205D32"/>
    <w:rsid w:val="00205D6D"/>
    <w:rsid w:val="00205F46"/>
    <w:rsid w:val="0020635C"/>
    <w:rsid w:val="0020652B"/>
    <w:rsid w:val="00206707"/>
    <w:rsid w:val="00206EDB"/>
    <w:rsid w:val="00207085"/>
    <w:rsid w:val="00207395"/>
    <w:rsid w:val="002075CF"/>
    <w:rsid w:val="0020763D"/>
    <w:rsid w:val="0020767D"/>
    <w:rsid w:val="00207684"/>
    <w:rsid w:val="00207B31"/>
    <w:rsid w:val="00207BA6"/>
    <w:rsid w:val="00207D5B"/>
    <w:rsid w:val="00207E7C"/>
    <w:rsid w:val="00207EF8"/>
    <w:rsid w:val="00207F02"/>
    <w:rsid w:val="002101C0"/>
    <w:rsid w:val="0021039F"/>
    <w:rsid w:val="002104BA"/>
    <w:rsid w:val="002104D9"/>
    <w:rsid w:val="002108A5"/>
    <w:rsid w:val="002108C1"/>
    <w:rsid w:val="00210B85"/>
    <w:rsid w:val="00210CCC"/>
    <w:rsid w:val="00210E89"/>
    <w:rsid w:val="0021115D"/>
    <w:rsid w:val="00211376"/>
    <w:rsid w:val="00211410"/>
    <w:rsid w:val="0021185E"/>
    <w:rsid w:val="00211873"/>
    <w:rsid w:val="00211890"/>
    <w:rsid w:val="002119F3"/>
    <w:rsid w:val="00211B31"/>
    <w:rsid w:val="00211E6B"/>
    <w:rsid w:val="00211EF5"/>
    <w:rsid w:val="002120F3"/>
    <w:rsid w:val="00212296"/>
    <w:rsid w:val="002122C8"/>
    <w:rsid w:val="0021240E"/>
    <w:rsid w:val="002125A6"/>
    <w:rsid w:val="00212AA7"/>
    <w:rsid w:val="00212AD5"/>
    <w:rsid w:val="00212D71"/>
    <w:rsid w:val="00212D89"/>
    <w:rsid w:val="00212E5B"/>
    <w:rsid w:val="00212EDD"/>
    <w:rsid w:val="0021322D"/>
    <w:rsid w:val="0021324B"/>
    <w:rsid w:val="0021381F"/>
    <w:rsid w:val="0021390E"/>
    <w:rsid w:val="00213E4E"/>
    <w:rsid w:val="00214D94"/>
    <w:rsid w:val="00214EB7"/>
    <w:rsid w:val="0021526F"/>
    <w:rsid w:val="00215D83"/>
    <w:rsid w:val="00215E88"/>
    <w:rsid w:val="00215EF7"/>
    <w:rsid w:val="00216192"/>
    <w:rsid w:val="002165A8"/>
    <w:rsid w:val="0021680C"/>
    <w:rsid w:val="00216A74"/>
    <w:rsid w:val="00216E7F"/>
    <w:rsid w:val="00216F91"/>
    <w:rsid w:val="002175F0"/>
    <w:rsid w:val="00217990"/>
    <w:rsid w:val="00217C29"/>
    <w:rsid w:val="00217DDE"/>
    <w:rsid w:val="002200BA"/>
    <w:rsid w:val="002201DA"/>
    <w:rsid w:val="00220332"/>
    <w:rsid w:val="002205A7"/>
    <w:rsid w:val="002206DD"/>
    <w:rsid w:val="0022086E"/>
    <w:rsid w:val="00220C88"/>
    <w:rsid w:val="00220CA1"/>
    <w:rsid w:val="00220CDC"/>
    <w:rsid w:val="00220DF9"/>
    <w:rsid w:val="0022118B"/>
    <w:rsid w:val="00221258"/>
    <w:rsid w:val="00221271"/>
    <w:rsid w:val="002213FC"/>
    <w:rsid w:val="002214A8"/>
    <w:rsid w:val="00221950"/>
    <w:rsid w:val="00221A0C"/>
    <w:rsid w:val="00221A3A"/>
    <w:rsid w:val="00221ED0"/>
    <w:rsid w:val="00222153"/>
    <w:rsid w:val="00222169"/>
    <w:rsid w:val="002221C1"/>
    <w:rsid w:val="002224DD"/>
    <w:rsid w:val="0022278D"/>
    <w:rsid w:val="00222A11"/>
    <w:rsid w:val="00222C89"/>
    <w:rsid w:val="0022339A"/>
    <w:rsid w:val="002234E1"/>
    <w:rsid w:val="0022359D"/>
    <w:rsid w:val="00223A9D"/>
    <w:rsid w:val="00224037"/>
    <w:rsid w:val="00224280"/>
    <w:rsid w:val="0022446A"/>
    <w:rsid w:val="00224499"/>
    <w:rsid w:val="00224591"/>
    <w:rsid w:val="002247FD"/>
    <w:rsid w:val="00224DD3"/>
    <w:rsid w:val="0022515C"/>
    <w:rsid w:val="002251FD"/>
    <w:rsid w:val="002252D9"/>
    <w:rsid w:val="00225561"/>
    <w:rsid w:val="002258B8"/>
    <w:rsid w:val="00225963"/>
    <w:rsid w:val="00225A74"/>
    <w:rsid w:val="00225AF6"/>
    <w:rsid w:val="00226036"/>
    <w:rsid w:val="002262D2"/>
    <w:rsid w:val="0022648D"/>
    <w:rsid w:val="002265A1"/>
    <w:rsid w:val="00226AD1"/>
    <w:rsid w:val="00226FE5"/>
    <w:rsid w:val="0022766C"/>
    <w:rsid w:val="002278CC"/>
    <w:rsid w:val="00227E7D"/>
    <w:rsid w:val="00227F61"/>
    <w:rsid w:val="0023043D"/>
    <w:rsid w:val="0023054E"/>
    <w:rsid w:val="00230ABF"/>
    <w:rsid w:val="00230B21"/>
    <w:rsid w:val="00230F77"/>
    <w:rsid w:val="0023119C"/>
    <w:rsid w:val="00231AA8"/>
    <w:rsid w:val="00231C17"/>
    <w:rsid w:val="00231DE8"/>
    <w:rsid w:val="0023202F"/>
    <w:rsid w:val="00232124"/>
    <w:rsid w:val="00232392"/>
    <w:rsid w:val="0023255D"/>
    <w:rsid w:val="0023284A"/>
    <w:rsid w:val="00232B07"/>
    <w:rsid w:val="00232FE2"/>
    <w:rsid w:val="00233666"/>
    <w:rsid w:val="0023375F"/>
    <w:rsid w:val="002337C2"/>
    <w:rsid w:val="002337CF"/>
    <w:rsid w:val="002338EF"/>
    <w:rsid w:val="00233A53"/>
    <w:rsid w:val="00233BAB"/>
    <w:rsid w:val="00233E3D"/>
    <w:rsid w:val="00234242"/>
    <w:rsid w:val="00234253"/>
    <w:rsid w:val="00234295"/>
    <w:rsid w:val="00234405"/>
    <w:rsid w:val="00234418"/>
    <w:rsid w:val="00234463"/>
    <w:rsid w:val="002347AF"/>
    <w:rsid w:val="00234A5E"/>
    <w:rsid w:val="00234A99"/>
    <w:rsid w:val="00234B7E"/>
    <w:rsid w:val="00234BCF"/>
    <w:rsid w:val="00234C34"/>
    <w:rsid w:val="00234DFA"/>
    <w:rsid w:val="00234E30"/>
    <w:rsid w:val="00235500"/>
    <w:rsid w:val="002355DC"/>
    <w:rsid w:val="002359A2"/>
    <w:rsid w:val="00235B1C"/>
    <w:rsid w:val="00236090"/>
    <w:rsid w:val="00236365"/>
    <w:rsid w:val="002365C2"/>
    <w:rsid w:val="00236631"/>
    <w:rsid w:val="0023672E"/>
    <w:rsid w:val="002367A3"/>
    <w:rsid w:val="00236927"/>
    <w:rsid w:val="00236941"/>
    <w:rsid w:val="00236F1F"/>
    <w:rsid w:val="0023721E"/>
    <w:rsid w:val="00237314"/>
    <w:rsid w:val="00237356"/>
    <w:rsid w:val="00237459"/>
    <w:rsid w:val="0023768E"/>
    <w:rsid w:val="00237A6D"/>
    <w:rsid w:val="00237BC8"/>
    <w:rsid w:val="00237E3A"/>
    <w:rsid w:val="002403AF"/>
    <w:rsid w:val="002403E5"/>
    <w:rsid w:val="00240543"/>
    <w:rsid w:val="00240563"/>
    <w:rsid w:val="00240776"/>
    <w:rsid w:val="002408A0"/>
    <w:rsid w:val="00240C0E"/>
    <w:rsid w:val="00240DCE"/>
    <w:rsid w:val="00240EA6"/>
    <w:rsid w:val="00240EA7"/>
    <w:rsid w:val="00240FB1"/>
    <w:rsid w:val="0024115F"/>
    <w:rsid w:val="002414A0"/>
    <w:rsid w:val="0024170E"/>
    <w:rsid w:val="002418BA"/>
    <w:rsid w:val="002419DC"/>
    <w:rsid w:val="00241BAB"/>
    <w:rsid w:val="00241D19"/>
    <w:rsid w:val="00241E5F"/>
    <w:rsid w:val="00242218"/>
    <w:rsid w:val="002425F1"/>
    <w:rsid w:val="00242B04"/>
    <w:rsid w:val="002430DC"/>
    <w:rsid w:val="002434DF"/>
    <w:rsid w:val="002436C3"/>
    <w:rsid w:val="0024374D"/>
    <w:rsid w:val="00243941"/>
    <w:rsid w:val="00243B3C"/>
    <w:rsid w:val="00243D75"/>
    <w:rsid w:val="00243E3C"/>
    <w:rsid w:val="00244011"/>
    <w:rsid w:val="0024422F"/>
    <w:rsid w:val="00244424"/>
    <w:rsid w:val="00244562"/>
    <w:rsid w:val="0024490D"/>
    <w:rsid w:val="00244D9D"/>
    <w:rsid w:val="00244F17"/>
    <w:rsid w:val="00245707"/>
    <w:rsid w:val="00245A9F"/>
    <w:rsid w:val="00245CD2"/>
    <w:rsid w:val="00245DD9"/>
    <w:rsid w:val="00245E2B"/>
    <w:rsid w:val="00245F73"/>
    <w:rsid w:val="002464D8"/>
    <w:rsid w:val="00246643"/>
    <w:rsid w:val="002467F6"/>
    <w:rsid w:val="00246EED"/>
    <w:rsid w:val="00246F91"/>
    <w:rsid w:val="00247014"/>
    <w:rsid w:val="0024729F"/>
    <w:rsid w:val="00247307"/>
    <w:rsid w:val="002475C6"/>
    <w:rsid w:val="0024762A"/>
    <w:rsid w:val="0024778C"/>
    <w:rsid w:val="00247B20"/>
    <w:rsid w:val="00247C1B"/>
    <w:rsid w:val="00247C31"/>
    <w:rsid w:val="00247EDD"/>
    <w:rsid w:val="0025051B"/>
    <w:rsid w:val="00250E3B"/>
    <w:rsid w:val="00250ED6"/>
    <w:rsid w:val="00250F41"/>
    <w:rsid w:val="002510D6"/>
    <w:rsid w:val="00251823"/>
    <w:rsid w:val="002518B2"/>
    <w:rsid w:val="00251D3B"/>
    <w:rsid w:val="00251E30"/>
    <w:rsid w:val="00251F3A"/>
    <w:rsid w:val="0025221E"/>
    <w:rsid w:val="002524E8"/>
    <w:rsid w:val="00252524"/>
    <w:rsid w:val="002525EE"/>
    <w:rsid w:val="002527EB"/>
    <w:rsid w:val="00252830"/>
    <w:rsid w:val="00252BD0"/>
    <w:rsid w:val="00252D70"/>
    <w:rsid w:val="00252F04"/>
    <w:rsid w:val="002530BF"/>
    <w:rsid w:val="00253102"/>
    <w:rsid w:val="002533C5"/>
    <w:rsid w:val="00253499"/>
    <w:rsid w:val="00253800"/>
    <w:rsid w:val="00253BAA"/>
    <w:rsid w:val="00253CC6"/>
    <w:rsid w:val="00253DAA"/>
    <w:rsid w:val="0025411C"/>
    <w:rsid w:val="00254328"/>
    <w:rsid w:val="00254707"/>
    <w:rsid w:val="002547B7"/>
    <w:rsid w:val="00254817"/>
    <w:rsid w:val="00254A21"/>
    <w:rsid w:val="00254CFE"/>
    <w:rsid w:val="00254E8A"/>
    <w:rsid w:val="00254FA3"/>
    <w:rsid w:val="0025510E"/>
    <w:rsid w:val="0025548F"/>
    <w:rsid w:val="00255496"/>
    <w:rsid w:val="00255511"/>
    <w:rsid w:val="00255A6C"/>
    <w:rsid w:val="00255CC8"/>
    <w:rsid w:val="00255D1D"/>
    <w:rsid w:val="00255F7C"/>
    <w:rsid w:val="002560B3"/>
    <w:rsid w:val="00256135"/>
    <w:rsid w:val="0025617A"/>
    <w:rsid w:val="00256510"/>
    <w:rsid w:val="0025667A"/>
    <w:rsid w:val="002567B4"/>
    <w:rsid w:val="00256B27"/>
    <w:rsid w:val="00256B9C"/>
    <w:rsid w:val="00256C5F"/>
    <w:rsid w:val="00256CD7"/>
    <w:rsid w:val="00256CF3"/>
    <w:rsid w:val="00256F1E"/>
    <w:rsid w:val="002572B9"/>
    <w:rsid w:val="002572D6"/>
    <w:rsid w:val="00257454"/>
    <w:rsid w:val="00257ACF"/>
    <w:rsid w:val="00257B39"/>
    <w:rsid w:val="00257D23"/>
    <w:rsid w:val="00260106"/>
    <w:rsid w:val="002602A6"/>
    <w:rsid w:val="002607A8"/>
    <w:rsid w:val="00260947"/>
    <w:rsid w:val="002609BA"/>
    <w:rsid w:val="00260AF3"/>
    <w:rsid w:val="00260B49"/>
    <w:rsid w:val="00260BAD"/>
    <w:rsid w:val="00260D30"/>
    <w:rsid w:val="00260DD7"/>
    <w:rsid w:val="00260E56"/>
    <w:rsid w:val="002616AE"/>
    <w:rsid w:val="002618A4"/>
    <w:rsid w:val="00261982"/>
    <w:rsid w:val="00261ACD"/>
    <w:rsid w:val="00261BB0"/>
    <w:rsid w:val="00261C6B"/>
    <w:rsid w:val="00261EAA"/>
    <w:rsid w:val="00262248"/>
    <w:rsid w:val="002624CB"/>
    <w:rsid w:val="00262999"/>
    <w:rsid w:val="00262A49"/>
    <w:rsid w:val="00262B01"/>
    <w:rsid w:val="00262CC6"/>
    <w:rsid w:val="00263052"/>
    <w:rsid w:val="00263424"/>
    <w:rsid w:val="0026374E"/>
    <w:rsid w:val="00263750"/>
    <w:rsid w:val="002638D2"/>
    <w:rsid w:val="00263A4A"/>
    <w:rsid w:val="00263A67"/>
    <w:rsid w:val="00263BA0"/>
    <w:rsid w:val="00263BAB"/>
    <w:rsid w:val="00263C5F"/>
    <w:rsid w:val="00263DCA"/>
    <w:rsid w:val="00263F51"/>
    <w:rsid w:val="00264022"/>
    <w:rsid w:val="00264342"/>
    <w:rsid w:val="00264496"/>
    <w:rsid w:val="00264E02"/>
    <w:rsid w:val="00264EDD"/>
    <w:rsid w:val="00264F68"/>
    <w:rsid w:val="0026514C"/>
    <w:rsid w:val="00265B5E"/>
    <w:rsid w:val="00265BD6"/>
    <w:rsid w:val="00265FF0"/>
    <w:rsid w:val="00266266"/>
    <w:rsid w:val="00266294"/>
    <w:rsid w:val="002664B0"/>
    <w:rsid w:val="0026650A"/>
    <w:rsid w:val="00266F5A"/>
    <w:rsid w:val="00267352"/>
    <w:rsid w:val="002673C6"/>
    <w:rsid w:val="0026761D"/>
    <w:rsid w:val="00267832"/>
    <w:rsid w:val="00267CF7"/>
    <w:rsid w:val="00267FFD"/>
    <w:rsid w:val="002700AE"/>
    <w:rsid w:val="002700B5"/>
    <w:rsid w:val="00270304"/>
    <w:rsid w:val="00270405"/>
    <w:rsid w:val="00270878"/>
    <w:rsid w:val="00270C6B"/>
    <w:rsid w:val="00270EA3"/>
    <w:rsid w:val="00270ED8"/>
    <w:rsid w:val="00270F9B"/>
    <w:rsid w:val="002714CA"/>
    <w:rsid w:val="002716C2"/>
    <w:rsid w:val="002718F7"/>
    <w:rsid w:val="00271CC5"/>
    <w:rsid w:val="00271F53"/>
    <w:rsid w:val="00271F75"/>
    <w:rsid w:val="00272313"/>
    <w:rsid w:val="00272650"/>
    <w:rsid w:val="00272654"/>
    <w:rsid w:val="00272C2E"/>
    <w:rsid w:val="00272E42"/>
    <w:rsid w:val="00272F30"/>
    <w:rsid w:val="002730A2"/>
    <w:rsid w:val="00273135"/>
    <w:rsid w:val="002731EA"/>
    <w:rsid w:val="002731EB"/>
    <w:rsid w:val="00273363"/>
    <w:rsid w:val="002734A2"/>
    <w:rsid w:val="002735DE"/>
    <w:rsid w:val="002738FA"/>
    <w:rsid w:val="00273AFD"/>
    <w:rsid w:val="00273B2D"/>
    <w:rsid w:val="0027408E"/>
    <w:rsid w:val="002745A9"/>
    <w:rsid w:val="00274B64"/>
    <w:rsid w:val="00274CDE"/>
    <w:rsid w:val="0027507B"/>
    <w:rsid w:val="0027511B"/>
    <w:rsid w:val="002752B3"/>
    <w:rsid w:val="002757FB"/>
    <w:rsid w:val="0027590B"/>
    <w:rsid w:val="00275C41"/>
    <w:rsid w:val="00275F9F"/>
    <w:rsid w:val="0027624F"/>
    <w:rsid w:val="0027638E"/>
    <w:rsid w:val="0027655B"/>
    <w:rsid w:val="002766BB"/>
    <w:rsid w:val="00276B70"/>
    <w:rsid w:val="00276B8A"/>
    <w:rsid w:val="00276C8F"/>
    <w:rsid w:val="0027779D"/>
    <w:rsid w:val="00277C37"/>
    <w:rsid w:val="0028023E"/>
    <w:rsid w:val="00280428"/>
    <w:rsid w:val="002805A5"/>
    <w:rsid w:val="002807FA"/>
    <w:rsid w:val="00280B03"/>
    <w:rsid w:val="00280B9F"/>
    <w:rsid w:val="00281099"/>
    <w:rsid w:val="002810AD"/>
    <w:rsid w:val="0028110E"/>
    <w:rsid w:val="002814F3"/>
    <w:rsid w:val="00281587"/>
    <w:rsid w:val="00281654"/>
    <w:rsid w:val="00281C1B"/>
    <w:rsid w:val="00281E87"/>
    <w:rsid w:val="00281F20"/>
    <w:rsid w:val="00281F5D"/>
    <w:rsid w:val="0028218D"/>
    <w:rsid w:val="002823F0"/>
    <w:rsid w:val="002824E2"/>
    <w:rsid w:val="002824E6"/>
    <w:rsid w:val="00282BAE"/>
    <w:rsid w:val="00282C4D"/>
    <w:rsid w:val="00283034"/>
    <w:rsid w:val="00283060"/>
    <w:rsid w:val="0028309A"/>
    <w:rsid w:val="002831EA"/>
    <w:rsid w:val="00283322"/>
    <w:rsid w:val="00283395"/>
    <w:rsid w:val="0028375F"/>
    <w:rsid w:val="0028384A"/>
    <w:rsid w:val="00283AB2"/>
    <w:rsid w:val="00283D24"/>
    <w:rsid w:val="00283E64"/>
    <w:rsid w:val="00283E6D"/>
    <w:rsid w:val="002842DD"/>
    <w:rsid w:val="002843A0"/>
    <w:rsid w:val="00284572"/>
    <w:rsid w:val="002848C3"/>
    <w:rsid w:val="00284971"/>
    <w:rsid w:val="00284CD0"/>
    <w:rsid w:val="00284D6F"/>
    <w:rsid w:val="00285051"/>
    <w:rsid w:val="002852C1"/>
    <w:rsid w:val="002853ED"/>
    <w:rsid w:val="00285480"/>
    <w:rsid w:val="002856E6"/>
    <w:rsid w:val="00285B98"/>
    <w:rsid w:val="00285C37"/>
    <w:rsid w:val="00285D31"/>
    <w:rsid w:val="00285F43"/>
    <w:rsid w:val="00285F63"/>
    <w:rsid w:val="002861EF"/>
    <w:rsid w:val="00286222"/>
    <w:rsid w:val="002862A0"/>
    <w:rsid w:val="002862CD"/>
    <w:rsid w:val="002864E6"/>
    <w:rsid w:val="00286AE0"/>
    <w:rsid w:val="00286D3C"/>
    <w:rsid w:val="00287290"/>
    <w:rsid w:val="002875E2"/>
    <w:rsid w:val="002875E9"/>
    <w:rsid w:val="0028768B"/>
    <w:rsid w:val="00287CA4"/>
    <w:rsid w:val="00290438"/>
    <w:rsid w:val="0029078F"/>
    <w:rsid w:val="00290BF4"/>
    <w:rsid w:val="00290E13"/>
    <w:rsid w:val="00290E14"/>
    <w:rsid w:val="00290F52"/>
    <w:rsid w:val="002910A7"/>
    <w:rsid w:val="002910BF"/>
    <w:rsid w:val="00291323"/>
    <w:rsid w:val="0029146F"/>
    <w:rsid w:val="002915B6"/>
    <w:rsid w:val="00291CF8"/>
    <w:rsid w:val="00291F06"/>
    <w:rsid w:val="00291FED"/>
    <w:rsid w:val="00292039"/>
    <w:rsid w:val="00292167"/>
    <w:rsid w:val="00292665"/>
    <w:rsid w:val="002926B3"/>
    <w:rsid w:val="002926FF"/>
    <w:rsid w:val="002928F2"/>
    <w:rsid w:val="0029290C"/>
    <w:rsid w:val="00292A6A"/>
    <w:rsid w:val="00292FE6"/>
    <w:rsid w:val="00293106"/>
    <w:rsid w:val="00293131"/>
    <w:rsid w:val="0029320C"/>
    <w:rsid w:val="00293AA5"/>
    <w:rsid w:val="00293D17"/>
    <w:rsid w:val="00294072"/>
    <w:rsid w:val="00294146"/>
    <w:rsid w:val="0029427E"/>
    <w:rsid w:val="0029444C"/>
    <w:rsid w:val="002949C4"/>
    <w:rsid w:val="002949F7"/>
    <w:rsid w:val="00294CAA"/>
    <w:rsid w:val="00294D3E"/>
    <w:rsid w:val="002953A5"/>
    <w:rsid w:val="002953D7"/>
    <w:rsid w:val="00295692"/>
    <w:rsid w:val="00295998"/>
    <w:rsid w:val="00296404"/>
    <w:rsid w:val="002964F9"/>
    <w:rsid w:val="002967FE"/>
    <w:rsid w:val="002971F0"/>
    <w:rsid w:val="002972DF"/>
    <w:rsid w:val="002974E7"/>
    <w:rsid w:val="0029754B"/>
    <w:rsid w:val="00297962"/>
    <w:rsid w:val="00297D77"/>
    <w:rsid w:val="00297F7F"/>
    <w:rsid w:val="00297F84"/>
    <w:rsid w:val="002A0680"/>
    <w:rsid w:val="002A0786"/>
    <w:rsid w:val="002A09C6"/>
    <w:rsid w:val="002A0B16"/>
    <w:rsid w:val="002A0C0F"/>
    <w:rsid w:val="002A1258"/>
    <w:rsid w:val="002A12C0"/>
    <w:rsid w:val="002A1898"/>
    <w:rsid w:val="002A1A18"/>
    <w:rsid w:val="002A1B95"/>
    <w:rsid w:val="002A217D"/>
    <w:rsid w:val="002A22A6"/>
    <w:rsid w:val="002A23C7"/>
    <w:rsid w:val="002A296E"/>
    <w:rsid w:val="002A2A4D"/>
    <w:rsid w:val="002A2D71"/>
    <w:rsid w:val="002A2FB1"/>
    <w:rsid w:val="002A3323"/>
    <w:rsid w:val="002A3860"/>
    <w:rsid w:val="002A38E2"/>
    <w:rsid w:val="002A3978"/>
    <w:rsid w:val="002A3A72"/>
    <w:rsid w:val="002A3BCE"/>
    <w:rsid w:val="002A3EC5"/>
    <w:rsid w:val="002A43D2"/>
    <w:rsid w:val="002A4732"/>
    <w:rsid w:val="002A4B28"/>
    <w:rsid w:val="002A4BAA"/>
    <w:rsid w:val="002A4F24"/>
    <w:rsid w:val="002A4F5B"/>
    <w:rsid w:val="002A51BD"/>
    <w:rsid w:val="002A51CF"/>
    <w:rsid w:val="002A52CA"/>
    <w:rsid w:val="002A5660"/>
    <w:rsid w:val="002A5A32"/>
    <w:rsid w:val="002A5B8C"/>
    <w:rsid w:val="002A5CDE"/>
    <w:rsid w:val="002A5DF4"/>
    <w:rsid w:val="002A6169"/>
    <w:rsid w:val="002A64AF"/>
    <w:rsid w:val="002A663F"/>
    <w:rsid w:val="002A674F"/>
    <w:rsid w:val="002A6764"/>
    <w:rsid w:val="002A6B9B"/>
    <w:rsid w:val="002A6BA5"/>
    <w:rsid w:val="002A6BDB"/>
    <w:rsid w:val="002A6C7E"/>
    <w:rsid w:val="002A6E5F"/>
    <w:rsid w:val="002A7075"/>
    <w:rsid w:val="002A7093"/>
    <w:rsid w:val="002A7462"/>
    <w:rsid w:val="002A7C45"/>
    <w:rsid w:val="002A7D73"/>
    <w:rsid w:val="002A7ECE"/>
    <w:rsid w:val="002A7FDC"/>
    <w:rsid w:val="002B003C"/>
    <w:rsid w:val="002B01EF"/>
    <w:rsid w:val="002B0922"/>
    <w:rsid w:val="002B0954"/>
    <w:rsid w:val="002B0C47"/>
    <w:rsid w:val="002B0CF7"/>
    <w:rsid w:val="002B0F6D"/>
    <w:rsid w:val="002B112D"/>
    <w:rsid w:val="002B1156"/>
    <w:rsid w:val="002B11A9"/>
    <w:rsid w:val="002B1636"/>
    <w:rsid w:val="002B192B"/>
    <w:rsid w:val="002B1B8E"/>
    <w:rsid w:val="002B1C62"/>
    <w:rsid w:val="002B1D93"/>
    <w:rsid w:val="002B1F29"/>
    <w:rsid w:val="002B213E"/>
    <w:rsid w:val="002B21F6"/>
    <w:rsid w:val="002B24E1"/>
    <w:rsid w:val="002B2560"/>
    <w:rsid w:val="002B27E1"/>
    <w:rsid w:val="002B2D44"/>
    <w:rsid w:val="002B32DC"/>
    <w:rsid w:val="002B3318"/>
    <w:rsid w:val="002B35B3"/>
    <w:rsid w:val="002B3B95"/>
    <w:rsid w:val="002B3EFC"/>
    <w:rsid w:val="002B4028"/>
    <w:rsid w:val="002B4244"/>
    <w:rsid w:val="002B46C5"/>
    <w:rsid w:val="002B4839"/>
    <w:rsid w:val="002B4998"/>
    <w:rsid w:val="002B4C7B"/>
    <w:rsid w:val="002B4E18"/>
    <w:rsid w:val="002B4FAA"/>
    <w:rsid w:val="002B52F0"/>
    <w:rsid w:val="002B5562"/>
    <w:rsid w:val="002B57C8"/>
    <w:rsid w:val="002B5A28"/>
    <w:rsid w:val="002B5A6B"/>
    <w:rsid w:val="002B5B7A"/>
    <w:rsid w:val="002B5D26"/>
    <w:rsid w:val="002B5DEB"/>
    <w:rsid w:val="002B60AB"/>
    <w:rsid w:val="002B60BA"/>
    <w:rsid w:val="002B6621"/>
    <w:rsid w:val="002B6CA6"/>
    <w:rsid w:val="002B70A5"/>
    <w:rsid w:val="002B755E"/>
    <w:rsid w:val="002B7561"/>
    <w:rsid w:val="002B7634"/>
    <w:rsid w:val="002B78B6"/>
    <w:rsid w:val="002B7A0B"/>
    <w:rsid w:val="002B7A19"/>
    <w:rsid w:val="002B7E1C"/>
    <w:rsid w:val="002C0178"/>
    <w:rsid w:val="002C0294"/>
    <w:rsid w:val="002C044F"/>
    <w:rsid w:val="002C053D"/>
    <w:rsid w:val="002C077B"/>
    <w:rsid w:val="002C09DC"/>
    <w:rsid w:val="002C0FB4"/>
    <w:rsid w:val="002C132D"/>
    <w:rsid w:val="002C148C"/>
    <w:rsid w:val="002C16F1"/>
    <w:rsid w:val="002C171B"/>
    <w:rsid w:val="002C17F9"/>
    <w:rsid w:val="002C1947"/>
    <w:rsid w:val="002C1AE7"/>
    <w:rsid w:val="002C1B39"/>
    <w:rsid w:val="002C2086"/>
    <w:rsid w:val="002C24C7"/>
    <w:rsid w:val="002C2882"/>
    <w:rsid w:val="002C2916"/>
    <w:rsid w:val="002C2B65"/>
    <w:rsid w:val="002C2D87"/>
    <w:rsid w:val="002C30BC"/>
    <w:rsid w:val="002C3168"/>
    <w:rsid w:val="002C3339"/>
    <w:rsid w:val="002C348C"/>
    <w:rsid w:val="002C3515"/>
    <w:rsid w:val="002C354F"/>
    <w:rsid w:val="002C37D8"/>
    <w:rsid w:val="002C3847"/>
    <w:rsid w:val="002C3992"/>
    <w:rsid w:val="002C39EE"/>
    <w:rsid w:val="002C3BB1"/>
    <w:rsid w:val="002C3E3C"/>
    <w:rsid w:val="002C3EDC"/>
    <w:rsid w:val="002C3F0B"/>
    <w:rsid w:val="002C4091"/>
    <w:rsid w:val="002C430B"/>
    <w:rsid w:val="002C464B"/>
    <w:rsid w:val="002C46A3"/>
    <w:rsid w:val="002C4D2B"/>
    <w:rsid w:val="002C4DB1"/>
    <w:rsid w:val="002C4EFB"/>
    <w:rsid w:val="002C4F5B"/>
    <w:rsid w:val="002C5097"/>
    <w:rsid w:val="002C509F"/>
    <w:rsid w:val="002C51BF"/>
    <w:rsid w:val="002C5B04"/>
    <w:rsid w:val="002C5B1C"/>
    <w:rsid w:val="002C5BCD"/>
    <w:rsid w:val="002C5EAE"/>
    <w:rsid w:val="002C5FE5"/>
    <w:rsid w:val="002C603D"/>
    <w:rsid w:val="002C609B"/>
    <w:rsid w:val="002C64B6"/>
    <w:rsid w:val="002C650F"/>
    <w:rsid w:val="002C6EBD"/>
    <w:rsid w:val="002C7278"/>
    <w:rsid w:val="002C76B3"/>
    <w:rsid w:val="002C790B"/>
    <w:rsid w:val="002C7971"/>
    <w:rsid w:val="002C7ACE"/>
    <w:rsid w:val="002C7B29"/>
    <w:rsid w:val="002C7C33"/>
    <w:rsid w:val="002C7DB4"/>
    <w:rsid w:val="002D0046"/>
    <w:rsid w:val="002D0192"/>
    <w:rsid w:val="002D026B"/>
    <w:rsid w:val="002D083C"/>
    <w:rsid w:val="002D0849"/>
    <w:rsid w:val="002D0861"/>
    <w:rsid w:val="002D08EF"/>
    <w:rsid w:val="002D0972"/>
    <w:rsid w:val="002D0B4A"/>
    <w:rsid w:val="002D0D4B"/>
    <w:rsid w:val="002D0E2E"/>
    <w:rsid w:val="002D1018"/>
    <w:rsid w:val="002D12C5"/>
    <w:rsid w:val="002D156F"/>
    <w:rsid w:val="002D1755"/>
    <w:rsid w:val="002D178A"/>
    <w:rsid w:val="002D1796"/>
    <w:rsid w:val="002D1D6D"/>
    <w:rsid w:val="002D1DFB"/>
    <w:rsid w:val="002D1DFF"/>
    <w:rsid w:val="002D21C3"/>
    <w:rsid w:val="002D2488"/>
    <w:rsid w:val="002D24E6"/>
    <w:rsid w:val="002D2767"/>
    <w:rsid w:val="002D2A1A"/>
    <w:rsid w:val="002D2CAD"/>
    <w:rsid w:val="002D3079"/>
    <w:rsid w:val="002D31F8"/>
    <w:rsid w:val="002D340E"/>
    <w:rsid w:val="002D369B"/>
    <w:rsid w:val="002D3A08"/>
    <w:rsid w:val="002D3A32"/>
    <w:rsid w:val="002D3B84"/>
    <w:rsid w:val="002D3C3A"/>
    <w:rsid w:val="002D3CE1"/>
    <w:rsid w:val="002D41CC"/>
    <w:rsid w:val="002D46AC"/>
    <w:rsid w:val="002D4820"/>
    <w:rsid w:val="002D498B"/>
    <w:rsid w:val="002D4C37"/>
    <w:rsid w:val="002D52F2"/>
    <w:rsid w:val="002D5B56"/>
    <w:rsid w:val="002D5BD1"/>
    <w:rsid w:val="002D614B"/>
    <w:rsid w:val="002D6353"/>
    <w:rsid w:val="002D63CE"/>
    <w:rsid w:val="002D6476"/>
    <w:rsid w:val="002D64DE"/>
    <w:rsid w:val="002D650D"/>
    <w:rsid w:val="002D67CC"/>
    <w:rsid w:val="002D6BDA"/>
    <w:rsid w:val="002D7186"/>
    <w:rsid w:val="002D7274"/>
    <w:rsid w:val="002D784A"/>
    <w:rsid w:val="002D79D5"/>
    <w:rsid w:val="002D79E1"/>
    <w:rsid w:val="002D7A29"/>
    <w:rsid w:val="002D7AB8"/>
    <w:rsid w:val="002D7ED8"/>
    <w:rsid w:val="002D7EED"/>
    <w:rsid w:val="002D7F64"/>
    <w:rsid w:val="002D7FD0"/>
    <w:rsid w:val="002E02C5"/>
    <w:rsid w:val="002E048D"/>
    <w:rsid w:val="002E052B"/>
    <w:rsid w:val="002E0596"/>
    <w:rsid w:val="002E0709"/>
    <w:rsid w:val="002E077D"/>
    <w:rsid w:val="002E0A06"/>
    <w:rsid w:val="002E0B98"/>
    <w:rsid w:val="002E1229"/>
    <w:rsid w:val="002E161D"/>
    <w:rsid w:val="002E1C8A"/>
    <w:rsid w:val="002E1CD8"/>
    <w:rsid w:val="002E1F8A"/>
    <w:rsid w:val="002E23A6"/>
    <w:rsid w:val="002E250E"/>
    <w:rsid w:val="002E2613"/>
    <w:rsid w:val="002E273C"/>
    <w:rsid w:val="002E27C5"/>
    <w:rsid w:val="002E2A64"/>
    <w:rsid w:val="002E2B1E"/>
    <w:rsid w:val="002E2CAE"/>
    <w:rsid w:val="002E2D32"/>
    <w:rsid w:val="002E2D59"/>
    <w:rsid w:val="002E2F12"/>
    <w:rsid w:val="002E2F65"/>
    <w:rsid w:val="002E33E6"/>
    <w:rsid w:val="002E350D"/>
    <w:rsid w:val="002E3A0A"/>
    <w:rsid w:val="002E3ABD"/>
    <w:rsid w:val="002E4024"/>
    <w:rsid w:val="002E4154"/>
    <w:rsid w:val="002E425A"/>
    <w:rsid w:val="002E4338"/>
    <w:rsid w:val="002E455E"/>
    <w:rsid w:val="002E4571"/>
    <w:rsid w:val="002E45E8"/>
    <w:rsid w:val="002E49D6"/>
    <w:rsid w:val="002E4B25"/>
    <w:rsid w:val="002E4BDA"/>
    <w:rsid w:val="002E5094"/>
    <w:rsid w:val="002E5364"/>
    <w:rsid w:val="002E543D"/>
    <w:rsid w:val="002E5471"/>
    <w:rsid w:val="002E585E"/>
    <w:rsid w:val="002E5882"/>
    <w:rsid w:val="002E59CC"/>
    <w:rsid w:val="002E5AF5"/>
    <w:rsid w:val="002E5B99"/>
    <w:rsid w:val="002E5BBB"/>
    <w:rsid w:val="002E5E48"/>
    <w:rsid w:val="002E5EE5"/>
    <w:rsid w:val="002E5F73"/>
    <w:rsid w:val="002E5FE3"/>
    <w:rsid w:val="002E6081"/>
    <w:rsid w:val="002E616E"/>
    <w:rsid w:val="002E61BF"/>
    <w:rsid w:val="002E667A"/>
    <w:rsid w:val="002E669D"/>
    <w:rsid w:val="002E67E7"/>
    <w:rsid w:val="002E6CAD"/>
    <w:rsid w:val="002E7263"/>
    <w:rsid w:val="002E72AE"/>
    <w:rsid w:val="002E7459"/>
    <w:rsid w:val="002E74C5"/>
    <w:rsid w:val="002E7810"/>
    <w:rsid w:val="002E7AF7"/>
    <w:rsid w:val="002E7C24"/>
    <w:rsid w:val="002E7C5D"/>
    <w:rsid w:val="002E7D84"/>
    <w:rsid w:val="002E7DB0"/>
    <w:rsid w:val="002E7DB8"/>
    <w:rsid w:val="002E7EF9"/>
    <w:rsid w:val="002F0116"/>
    <w:rsid w:val="002F06EE"/>
    <w:rsid w:val="002F0D65"/>
    <w:rsid w:val="002F0F25"/>
    <w:rsid w:val="002F108B"/>
    <w:rsid w:val="002F12DA"/>
    <w:rsid w:val="002F1302"/>
    <w:rsid w:val="002F1327"/>
    <w:rsid w:val="002F1405"/>
    <w:rsid w:val="002F1424"/>
    <w:rsid w:val="002F1681"/>
    <w:rsid w:val="002F1795"/>
    <w:rsid w:val="002F1C80"/>
    <w:rsid w:val="002F1CEF"/>
    <w:rsid w:val="002F1D56"/>
    <w:rsid w:val="002F216C"/>
    <w:rsid w:val="002F25BF"/>
    <w:rsid w:val="002F26A7"/>
    <w:rsid w:val="002F26CF"/>
    <w:rsid w:val="002F2C3D"/>
    <w:rsid w:val="002F341F"/>
    <w:rsid w:val="002F346A"/>
    <w:rsid w:val="002F34D7"/>
    <w:rsid w:val="002F36CE"/>
    <w:rsid w:val="002F3765"/>
    <w:rsid w:val="002F378E"/>
    <w:rsid w:val="002F38D5"/>
    <w:rsid w:val="002F3F4F"/>
    <w:rsid w:val="002F4340"/>
    <w:rsid w:val="002F43D9"/>
    <w:rsid w:val="002F4419"/>
    <w:rsid w:val="002F48E0"/>
    <w:rsid w:val="002F4A68"/>
    <w:rsid w:val="002F4C4A"/>
    <w:rsid w:val="002F4F3F"/>
    <w:rsid w:val="002F5137"/>
    <w:rsid w:val="002F55F8"/>
    <w:rsid w:val="002F5800"/>
    <w:rsid w:val="002F5852"/>
    <w:rsid w:val="002F5A66"/>
    <w:rsid w:val="002F5AF9"/>
    <w:rsid w:val="002F5D73"/>
    <w:rsid w:val="002F5E07"/>
    <w:rsid w:val="002F60CF"/>
    <w:rsid w:val="002F60FB"/>
    <w:rsid w:val="002F6A88"/>
    <w:rsid w:val="002F6ED7"/>
    <w:rsid w:val="002F75BD"/>
    <w:rsid w:val="002F7CD5"/>
    <w:rsid w:val="0030012A"/>
    <w:rsid w:val="00300223"/>
    <w:rsid w:val="0030045F"/>
    <w:rsid w:val="003005B0"/>
    <w:rsid w:val="003005B1"/>
    <w:rsid w:val="00300651"/>
    <w:rsid w:val="003006C0"/>
    <w:rsid w:val="00300ABC"/>
    <w:rsid w:val="00300C39"/>
    <w:rsid w:val="00300C75"/>
    <w:rsid w:val="00300D76"/>
    <w:rsid w:val="003010D3"/>
    <w:rsid w:val="003013E0"/>
    <w:rsid w:val="00301454"/>
    <w:rsid w:val="003016C5"/>
    <w:rsid w:val="00301E77"/>
    <w:rsid w:val="00302004"/>
    <w:rsid w:val="00302047"/>
    <w:rsid w:val="0030206E"/>
    <w:rsid w:val="00302191"/>
    <w:rsid w:val="0030243B"/>
    <w:rsid w:val="003024D3"/>
    <w:rsid w:val="00302518"/>
    <w:rsid w:val="00302B40"/>
    <w:rsid w:val="00302F66"/>
    <w:rsid w:val="00302FE8"/>
    <w:rsid w:val="003032A7"/>
    <w:rsid w:val="003032F7"/>
    <w:rsid w:val="003033BD"/>
    <w:rsid w:val="003035F8"/>
    <w:rsid w:val="003038F6"/>
    <w:rsid w:val="00303A09"/>
    <w:rsid w:val="00304475"/>
    <w:rsid w:val="003045E3"/>
    <w:rsid w:val="00304B98"/>
    <w:rsid w:val="00304D0C"/>
    <w:rsid w:val="00304DAD"/>
    <w:rsid w:val="00304FD3"/>
    <w:rsid w:val="00304FDA"/>
    <w:rsid w:val="0030542A"/>
    <w:rsid w:val="003059A9"/>
    <w:rsid w:val="00305E3A"/>
    <w:rsid w:val="00306247"/>
    <w:rsid w:val="003064C8"/>
    <w:rsid w:val="003065D0"/>
    <w:rsid w:val="00306B53"/>
    <w:rsid w:val="00306C44"/>
    <w:rsid w:val="00306E86"/>
    <w:rsid w:val="00306F8C"/>
    <w:rsid w:val="00307903"/>
    <w:rsid w:val="00307C08"/>
    <w:rsid w:val="00307DE5"/>
    <w:rsid w:val="00310377"/>
    <w:rsid w:val="003103C7"/>
    <w:rsid w:val="0031076A"/>
    <w:rsid w:val="00310A53"/>
    <w:rsid w:val="00310D2D"/>
    <w:rsid w:val="00310E69"/>
    <w:rsid w:val="00310F3B"/>
    <w:rsid w:val="00310FBC"/>
    <w:rsid w:val="0031127E"/>
    <w:rsid w:val="00311303"/>
    <w:rsid w:val="003115BB"/>
    <w:rsid w:val="00311691"/>
    <w:rsid w:val="00311882"/>
    <w:rsid w:val="003119DC"/>
    <w:rsid w:val="00311D64"/>
    <w:rsid w:val="00311F73"/>
    <w:rsid w:val="00311FA2"/>
    <w:rsid w:val="0031247C"/>
    <w:rsid w:val="0031263B"/>
    <w:rsid w:val="00312CA0"/>
    <w:rsid w:val="00312EF8"/>
    <w:rsid w:val="003133BA"/>
    <w:rsid w:val="00313A8A"/>
    <w:rsid w:val="00313F3C"/>
    <w:rsid w:val="0031404E"/>
    <w:rsid w:val="003141A9"/>
    <w:rsid w:val="0031431E"/>
    <w:rsid w:val="00314484"/>
    <w:rsid w:val="00314564"/>
    <w:rsid w:val="0031469B"/>
    <w:rsid w:val="00314714"/>
    <w:rsid w:val="00314901"/>
    <w:rsid w:val="00314B29"/>
    <w:rsid w:val="00314C65"/>
    <w:rsid w:val="00314C9D"/>
    <w:rsid w:val="00314D48"/>
    <w:rsid w:val="00314F6F"/>
    <w:rsid w:val="0031588F"/>
    <w:rsid w:val="00315AA8"/>
    <w:rsid w:val="00315B5A"/>
    <w:rsid w:val="00315CE5"/>
    <w:rsid w:val="00315D35"/>
    <w:rsid w:val="00315E61"/>
    <w:rsid w:val="003167F6"/>
    <w:rsid w:val="00316BE7"/>
    <w:rsid w:val="00316DBE"/>
    <w:rsid w:val="00316DF7"/>
    <w:rsid w:val="0031704F"/>
    <w:rsid w:val="003170F3"/>
    <w:rsid w:val="00317114"/>
    <w:rsid w:val="0031716A"/>
    <w:rsid w:val="00317A1A"/>
    <w:rsid w:val="00317DAC"/>
    <w:rsid w:val="00320005"/>
    <w:rsid w:val="0032025E"/>
    <w:rsid w:val="003203E0"/>
    <w:rsid w:val="00320418"/>
    <w:rsid w:val="00320502"/>
    <w:rsid w:val="003206F6"/>
    <w:rsid w:val="00320DFB"/>
    <w:rsid w:val="00320ECC"/>
    <w:rsid w:val="00320FC0"/>
    <w:rsid w:val="00320FE0"/>
    <w:rsid w:val="00321092"/>
    <w:rsid w:val="00321295"/>
    <w:rsid w:val="00321A2D"/>
    <w:rsid w:val="00321B50"/>
    <w:rsid w:val="00321CBA"/>
    <w:rsid w:val="00321F6E"/>
    <w:rsid w:val="00322122"/>
    <w:rsid w:val="003222AA"/>
    <w:rsid w:val="00322898"/>
    <w:rsid w:val="00322B78"/>
    <w:rsid w:val="00322CA3"/>
    <w:rsid w:val="00322E15"/>
    <w:rsid w:val="00323538"/>
    <w:rsid w:val="0032366B"/>
    <w:rsid w:val="003236FD"/>
    <w:rsid w:val="003237A6"/>
    <w:rsid w:val="003238C9"/>
    <w:rsid w:val="00323B42"/>
    <w:rsid w:val="00323C2F"/>
    <w:rsid w:val="00323FCD"/>
    <w:rsid w:val="00324049"/>
    <w:rsid w:val="0032442B"/>
    <w:rsid w:val="00324B5E"/>
    <w:rsid w:val="00324B76"/>
    <w:rsid w:val="00324DDD"/>
    <w:rsid w:val="00324EE7"/>
    <w:rsid w:val="0032511E"/>
    <w:rsid w:val="00325438"/>
    <w:rsid w:val="00325460"/>
    <w:rsid w:val="00325500"/>
    <w:rsid w:val="00325A40"/>
    <w:rsid w:val="003260DE"/>
    <w:rsid w:val="003265D3"/>
    <w:rsid w:val="003266EB"/>
    <w:rsid w:val="0032679A"/>
    <w:rsid w:val="00326A34"/>
    <w:rsid w:val="00326CE6"/>
    <w:rsid w:val="00326E83"/>
    <w:rsid w:val="00327027"/>
    <w:rsid w:val="003272A4"/>
    <w:rsid w:val="003274CD"/>
    <w:rsid w:val="0032785F"/>
    <w:rsid w:val="00327A22"/>
    <w:rsid w:val="00327B5B"/>
    <w:rsid w:val="00327BAD"/>
    <w:rsid w:val="00330590"/>
    <w:rsid w:val="003308F6"/>
    <w:rsid w:val="0033090C"/>
    <w:rsid w:val="00330A19"/>
    <w:rsid w:val="00330B7C"/>
    <w:rsid w:val="00330DA0"/>
    <w:rsid w:val="00330F66"/>
    <w:rsid w:val="00330FDF"/>
    <w:rsid w:val="003313FE"/>
    <w:rsid w:val="00331469"/>
    <w:rsid w:val="003315E9"/>
    <w:rsid w:val="0033190C"/>
    <w:rsid w:val="00331A66"/>
    <w:rsid w:val="003324D6"/>
    <w:rsid w:val="00332681"/>
    <w:rsid w:val="00332968"/>
    <w:rsid w:val="00332AA2"/>
    <w:rsid w:val="00332B32"/>
    <w:rsid w:val="00332C57"/>
    <w:rsid w:val="003332A1"/>
    <w:rsid w:val="003332AA"/>
    <w:rsid w:val="003332F9"/>
    <w:rsid w:val="0033338B"/>
    <w:rsid w:val="00333507"/>
    <w:rsid w:val="00333C8C"/>
    <w:rsid w:val="00333CDA"/>
    <w:rsid w:val="00333F55"/>
    <w:rsid w:val="0033430F"/>
    <w:rsid w:val="00334611"/>
    <w:rsid w:val="00334CB9"/>
    <w:rsid w:val="00334DF9"/>
    <w:rsid w:val="0033526B"/>
    <w:rsid w:val="003355F1"/>
    <w:rsid w:val="00335705"/>
    <w:rsid w:val="003357D0"/>
    <w:rsid w:val="003359E6"/>
    <w:rsid w:val="00335BD9"/>
    <w:rsid w:val="00335DAC"/>
    <w:rsid w:val="00335DB9"/>
    <w:rsid w:val="00335EF1"/>
    <w:rsid w:val="00336163"/>
    <w:rsid w:val="00336568"/>
    <w:rsid w:val="00336C31"/>
    <w:rsid w:val="00336E04"/>
    <w:rsid w:val="00337299"/>
    <w:rsid w:val="0033746A"/>
    <w:rsid w:val="00337631"/>
    <w:rsid w:val="00337806"/>
    <w:rsid w:val="00337D66"/>
    <w:rsid w:val="00337DE5"/>
    <w:rsid w:val="00340243"/>
    <w:rsid w:val="0034041C"/>
    <w:rsid w:val="003404C4"/>
    <w:rsid w:val="00340520"/>
    <w:rsid w:val="00340BF9"/>
    <w:rsid w:val="00340CC4"/>
    <w:rsid w:val="00340F58"/>
    <w:rsid w:val="0034105D"/>
    <w:rsid w:val="00341060"/>
    <w:rsid w:val="0034123A"/>
    <w:rsid w:val="0034127A"/>
    <w:rsid w:val="003413DD"/>
    <w:rsid w:val="003414B3"/>
    <w:rsid w:val="00341599"/>
    <w:rsid w:val="003415B5"/>
    <w:rsid w:val="00341871"/>
    <w:rsid w:val="0034189A"/>
    <w:rsid w:val="003419B5"/>
    <w:rsid w:val="00341D2F"/>
    <w:rsid w:val="00341DE2"/>
    <w:rsid w:val="00341E26"/>
    <w:rsid w:val="003420DC"/>
    <w:rsid w:val="00342238"/>
    <w:rsid w:val="0034259E"/>
    <w:rsid w:val="003426EB"/>
    <w:rsid w:val="00342A63"/>
    <w:rsid w:val="00342E0B"/>
    <w:rsid w:val="003431B9"/>
    <w:rsid w:val="0034349F"/>
    <w:rsid w:val="003434A8"/>
    <w:rsid w:val="003438EB"/>
    <w:rsid w:val="00344020"/>
    <w:rsid w:val="0034417C"/>
    <w:rsid w:val="003442FB"/>
    <w:rsid w:val="00344A88"/>
    <w:rsid w:val="003456E0"/>
    <w:rsid w:val="003457C8"/>
    <w:rsid w:val="0034599E"/>
    <w:rsid w:val="00345AC1"/>
    <w:rsid w:val="00345D97"/>
    <w:rsid w:val="00345F66"/>
    <w:rsid w:val="0034609A"/>
    <w:rsid w:val="003461D5"/>
    <w:rsid w:val="00346256"/>
    <w:rsid w:val="003469D8"/>
    <w:rsid w:val="00346C89"/>
    <w:rsid w:val="00346DDD"/>
    <w:rsid w:val="0034708F"/>
    <w:rsid w:val="00347141"/>
    <w:rsid w:val="003472ED"/>
    <w:rsid w:val="003473E5"/>
    <w:rsid w:val="003475AA"/>
    <w:rsid w:val="00347865"/>
    <w:rsid w:val="003478A3"/>
    <w:rsid w:val="003478A6"/>
    <w:rsid w:val="0034793C"/>
    <w:rsid w:val="003479C9"/>
    <w:rsid w:val="00347BC6"/>
    <w:rsid w:val="00347F5D"/>
    <w:rsid w:val="0035003D"/>
    <w:rsid w:val="003501C9"/>
    <w:rsid w:val="0035024C"/>
    <w:rsid w:val="003502B6"/>
    <w:rsid w:val="00350625"/>
    <w:rsid w:val="0035069D"/>
    <w:rsid w:val="00350773"/>
    <w:rsid w:val="00350835"/>
    <w:rsid w:val="00350BCE"/>
    <w:rsid w:val="00350C19"/>
    <w:rsid w:val="0035119B"/>
    <w:rsid w:val="003513B5"/>
    <w:rsid w:val="00351461"/>
    <w:rsid w:val="0035159E"/>
    <w:rsid w:val="003519BC"/>
    <w:rsid w:val="00351B0A"/>
    <w:rsid w:val="00351B77"/>
    <w:rsid w:val="00351B87"/>
    <w:rsid w:val="00352035"/>
    <w:rsid w:val="003523C2"/>
    <w:rsid w:val="0035249F"/>
    <w:rsid w:val="0035260F"/>
    <w:rsid w:val="00352648"/>
    <w:rsid w:val="003529D3"/>
    <w:rsid w:val="003529F8"/>
    <w:rsid w:val="00352A9C"/>
    <w:rsid w:val="00352B2C"/>
    <w:rsid w:val="00352C89"/>
    <w:rsid w:val="00352D23"/>
    <w:rsid w:val="00352EF4"/>
    <w:rsid w:val="00353168"/>
    <w:rsid w:val="003532EF"/>
    <w:rsid w:val="00353431"/>
    <w:rsid w:val="003535E6"/>
    <w:rsid w:val="00353623"/>
    <w:rsid w:val="00353983"/>
    <w:rsid w:val="00353AB0"/>
    <w:rsid w:val="00353EBC"/>
    <w:rsid w:val="0035438C"/>
    <w:rsid w:val="00354B6A"/>
    <w:rsid w:val="003550EF"/>
    <w:rsid w:val="003555E7"/>
    <w:rsid w:val="00355694"/>
    <w:rsid w:val="0035578C"/>
    <w:rsid w:val="00355817"/>
    <w:rsid w:val="00355876"/>
    <w:rsid w:val="00355B2F"/>
    <w:rsid w:val="00355E34"/>
    <w:rsid w:val="00355EB6"/>
    <w:rsid w:val="00355FC5"/>
    <w:rsid w:val="00356200"/>
    <w:rsid w:val="00356361"/>
    <w:rsid w:val="0035689A"/>
    <w:rsid w:val="00356B38"/>
    <w:rsid w:val="00356C23"/>
    <w:rsid w:val="00356DF9"/>
    <w:rsid w:val="00357033"/>
    <w:rsid w:val="003573D4"/>
    <w:rsid w:val="00357836"/>
    <w:rsid w:val="00357962"/>
    <w:rsid w:val="00357BB1"/>
    <w:rsid w:val="00357FB2"/>
    <w:rsid w:val="003600E9"/>
    <w:rsid w:val="003603CD"/>
    <w:rsid w:val="003606B2"/>
    <w:rsid w:val="0036093E"/>
    <w:rsid w:val="00360969"/>
    <w:rsid w:val="00360B0A"/>
    <w:rsid w:val="00360C0B"/>
    <w:rsid w:val="00360C2A"/>
    <w:rsid w:val="00360D6F"/>
    <w:rsid w:val="00360E81"/>
    <w:rsid w:val="003611BC"/>
    <w:rsid w:val="00361798"/>
    <w:rsid w:val="003617B6"/>
    <w:rsid w:val="00361817"/>
    <w:rsid w:val="00361850"/>
    <w:rsid w:val="003618B0"/>
    <w:rsid w:val="00361A25"/>
    <w:rsid w:val="00361A32"/>
    <w:rsid w:val="003620D8"/>
    <w:rsid w:val="003626F7"/>
    <w:rsid w:val="00362A6E"/>
    <w:rsid w:val="00362A9B"/>
    <w:rsid w:val="00362C63"/>
    <w:rsid w:val="00362D9F"/>
    <w:rsid w:val="00363259"/>
    <w:rsid w:val="00363367"/>
    <w:rsid w:val="003634C7"/>
    <w:rsid w:val="0036355C"/>
    <w:rsid w:val="00363DF2"/>
    <w:rsid w:val="00363FE8"/>
    <w:rsid w:val="00364151"/>
    <w:rsid w:val="00364443"/>
    <w:rsid w:val="0036461A"/>
    <w:rsid w:val="00364809"/>
    <w:rsid w:val="00364A81"/>
    <w:rsid w:val="00364BA1"/>
    <w:rsid w:val="00364C82"/>
    <w:rsid w:val="00364D32"/>
    <w:rsid w:val="00365202"/>
    <w:rsid w:val="00365493"/>
    <w:rsid w:val="00365A91"/>
    <w:rsid w:val="00365AA9"/>
    <w:rsid w:val="00365B5A"/>
    <w:rsid w:val="00365B92"/>
    <w:rsid w:val="00365BCF"/>
    <w:rsid w:val="00365E7F"/>
    <w:rsid w:val="00365FE0"/>
    <w:rsid w:val="00365FEB"/>
    <w:rsid w:val="00366082"/>
    <w:rsid w:val="0036629D"/>
    <w:rsid w:val="003667CC"/>
    <w:rsid w:val="00366826"/>
    <w:rsid w:val="00366857"/>
    <w:rsid w:val="00366D8F"/>
    <w:rsid w:val="00366E03"/>
    <w:rsid w:val="00367293"/>
    <w:rsid w:val="003672C7"/>
    <w:rsid w:val="00367B18"/>
    <w:rsid w:val="00367B77"/>
    <w:rsid w:val="00367DCD"/>
    <w:rsid w:val="003701E7"/>
    <w:rsid w:val="00370539"/>
    <w:rsid w:val="00370617"/>
    <w:rsid w:val="00370C50"/>
    <w:rsid w:val="003710ED"/>
    <w:rsid w:val="00371328"/>
    <w:rsid w:val="00371403"/>
    <w:rsid w:val="00371653"/>
    <w:rsid w:val="00371655"/>
    <w:rsid w:val="003716BD"/>
    <w:rsid w:val="003717D6"/>
    <w:rsid w:val="003717E3"/>
    <w:rsid w:val="00371EF6"/>
    <w:rsid w:val="003723CA"/>
    <w:rsid w:val="00372510"/>
    <w:rsid w:val="00372608"/>
    <w:rsid w:val="003727B9"/>
    <w:rsid w:val="003728A0"/>
    <w:rsid w:val="00372C08"/>
    <w:rsid w:val="003730B1"/>
    <w:rsid w:val="0037329E"/>
    <w:rsid w:val="00373527"/>
    <w:rsid w:val="0037371C"/>
    <w:rsid w:val="00373B1A"/>
    <w:rsid w:val="00373BD7"/>
    <w:rsid w:val="00373C81"/>
    <w:rsid w:val="00373EA2"/>
    <w:rsid w:val="00374006"/>
    <w:rsid w:val="0037410A"/>
    <w:rsid w:val="003746B4"/>
    <w:rsid w:val="00374FA7"/>
    <w:rsid w:val="00375027"/>
    <w:rsid w:val="00375213"/>
    <w:rsid w:val="00375268"/>
    <w:rsid w:val="00375410"/>
    <w:rsid w:val="00375426"/>
    <w:rsid w:val="003754F1"/>
    <w:rsid w:val="00375A44"/>
    <w:rsid w:val="00375B16"/>
    <w:rsid w:val="00375B5D"/>
    <w:rsid w:val="003762BF"/>
    <w:rsid w:val="00376382"/>
    <w:rsid w:val="00376438"/>
    <w:rsid w:val="0037650F"/>
    <w:rsid w:val="00376539"/>
    <w:rsid w:val="0037665C"/>
    <w:rsid w:val="0037666C"/>
    <w:rsid w:val="00376724"/>
    <w:rsid w:val="003767A5"/>
    <w:rsid w:val="00376B52"/>
    <w:rsid w:val="00376E0C"/>
    <w:rsid w:val="0037700B"/>
    <w:rsid w:val="00377141"/>
    <w:rsid w:val="00377174"/>
    <w:rsid w:val="00377214"/>
    <w:rsid w:val="003773FC"/>
    <w:rsid w:val="00377447"/>
    <w:rsid w:val="003777BC"/>
    <w:rsid w:val="00377D32"/>
    <w:rsid w:val="00377EC5"/>
    <w:rsid w:val="00377F2D"/>
    <w:rsid w:val="00377FCA"/>
    <w:rsid w:val="003801AB"/>
    <w:rsid w:val="003801DC"/>
    <w:rsid w:val="00380AAF"/>
    <w:rsid w:val="00380B50"/>
    <w:rsid w:val="00380C08"/>
    <w:rsid w:val="00381005"/>
    <w:rsid w:val="00381042"/>
    <w:rsid w:val="00381123"/>
    <w:rsid w:val="00381188"/>
    <w:rsid w:val="0038119E"/>
    <w:rsid w:val="00381773"/>
    <w:rsid w:val="0038179D"/>
    <w:rsid w:val="0038182C"/>
    <w:rsid w:val="00381AC4"/>
    <w:rsid w:val="00381B4C"/>
    <w:rsid w:val="00381CFE"/>
    <w:rsid w:val="00381EAA"/>
    <w:rsid w:val="00381F61"/>
    <w:rsid w:val="00382087"/>
    <w:rsid w:val="00382176"/>
    <w:rsid w:val="00382329"/>
    <w:rsid w:val="003826D8"/>
    <w:rsid w:val="003829CE"/>
    <w:rsid w:val="00382A61"/>
    <w:rsid w:val="00382CC3"/>
    <w:rsid w:val="003831A6"/>
    <w:rsid w:val="00383357"/>
    <w:rsid w:val="00383504"/>
    <w:rsid w:val="00383B54"/>
    <w:rsid w:val="00383D65"/>
    <w:rsid w:val="00383D87"/>
    <w:rsid w:val="00383FBA"/>
    <w:rsid w:val="00383FC2"/>
    <w:rsid w:val="00384139"/>
    <w:rsid w:val="00384185"/>
    <w:rsid w:val="003841AE"/>
    <w:rsid w:val="0038424A"/>
    <w:rsid w:val="003844E3"/>
    <w:rsid w:val="003844E9"/>
    <w:rsid w:val="0038452B"/>
    <w:rsid w:val="0038455F"/>
    <w:rsid w:val="00384575"/>
    <w:rsid w:val="003847DA"/>
    <w:rsid w:val="003848AE"/>
    <w:rsid w:val="00384AAF"/>
    <w:rsid w:val="00384B4E"/>
    <w:rsid w:val="00385320"/>
    <w:rsid w:val="00385328"/>
    <w:rsid w:val="00385537"/>
    <w:rsid w:val="0038562C"/>
    <w:rsid w:val="003857BB"/>
    <w:rsid w:val="003857FF"/>
    <w:rsid w:val="0038583E"/>
    <w:rsid w:val="00385C4D"/>
    <w:rsid w:val="00385CD1"/>
    <w:rsid w:val="00385D2F"/>
    <w:rsid w:val="00385D50"/>
    <w:rsid w:val="00385DD4"/>
    <w:rsid w:val="00386253"/>
    <w:rsid w:val="00386559"/>
    <w:rsid w:val="0038667B"/>
    <w:rsid w:val="003866BC"/>
    <w:rsid w:val="0038695F"/>
    <w:rsid w:val="00386B06"/>
    <w:rsid w:val="00386B50"/>
    <w:rsid w:val="00386D67"/>
    <w:rsid w:val="00386DCE"/>
    <w:rsid w:val="003871AE"/>
    <w:rsid w:val="0038739E"/>
    <w:rsid w:val="00387411"/>
    <w:rsid w:val="00387A82"/>
    <w:rsid w:val="00387BF6"/>
    <w:rsid w:val="00387D88"/>
    <w:rsid w:val="00387FFE"/>
    <w:rsid w:val="0039024B"/>
    <w:rsid w:val="003904F2"/>
    <w:rsid w:val="0039074A"/>
    <w:rsid w:val="00390925"/>
    <w:rsid w:val="00390A12"/>
    <w:rsid w:val="00390A18"/>
    <w:rsid w:val="003910CD"/>
    <w:rsid w:val="003914FB"/>
    <w:rsid w:val="00391577"/>
    <w:rsid w:val="00391594"/>
    <w:rsid w:val="0039185C"/>
    <w:rsid w:val="003918D2"/>
    <w:rsid w:val="00391978"/>
    <w:rsid w:val="00391A80"/>
    <w:rsid w:val="00391E8E"/>
    <w:rsid w:val="00392483"/>
    <w:rsid w:val="003924B7"/>
    <w:rsid w:val="00392526"/>
    <w:rsid w:val="00392D4A"/>
    <w:rsid w:val="00393303"/>
    <w:rsid w:val="003934E4"/>
    <w:rsid w:val="003935B9"/>
    <w:rsid w:val="0039365F"/>
    <w:rsid w:val="003937BE"/>
    <w:rsid w:val="00393891"/>
    <w:rsid w:val="00393B70"/>
    <w:rsid w:val="00393BBA"/>
    <w:rsid w:val="00393FD5"/>
    <w:rsid w:val="0039405A"/>
    <w:rsid w:val="00394111"/>
    <w:rsid w:val="00394748"/>
    <w:rsid w:val="0039478A"/>
    <w:rsid w:val="00394A60"/>
    <w:rsid w:val="00394ACB"/>
    <w:rsid w:val="00394C2A"/>
    <w:rsid w:val="00394FBA"/>
    <w:rsid w:val="003953A1"/>
    <w:rsid w:val="0039569B"/>
    <w:rsid w:val="0039576F"/>
    <w:rsid w:val="003957FE"/>
    <w:rsid w:val="003958EB"/>
    <w:rsid w:val="00395EA3"/>
    <w:rsid w:val="003962E7"/>
    <w:rsid w:val="003965BB"/>
    <w:rsid w:val="003968A4"/>
    <w:rsid w:val="00396AB2"/>
    <w:rsid w:val="00396BB6"/>
    <w:rsid w:val="00396C26"/>
    <w:rsid w:val="00397148"/>
    <w:rsid w:val="0039718D"/>
    <w:rsid w:val="0039745F"/>
    <w:rsid w:val="00397690"/>
    <w:rsid w:val="003979B9"/>
    <w:rsid w:val="00397B16"/>
    <w:rsid w:val="00397F8B"/>
    <w:rsid w:val="003A00B3"/>
    <w:rsid w:val="003A0C92"/>
    <w:rsid w:val="003A0FAE"/>
    <w:rsid w:val="003A122A"/>
    <w:rsid w:val="003A1257"/>
    <w:rsid w:val="003A13BF"/>
    <w:rsid w:val="003A13D4"/>
    <w:rsid w:val="003A165A"/>
    <w:rsid w:val="003A1679"/>
    <w:rsid w:val="003A18BA"/>
    <w:rsid w:val="003A1B73"/>
    <w:rsid w:val="003A1D5A"/>
    <w:rsid w:val="003A1E62"/>
    <w:rsid w:val="003A1EF7"/>
    <w:rsid w:val="003A1F3A"/>
    <w:rsid w:val="003A1F9C"/>
    <w:rsid w:val="003A1FED"/>
    <w:rsid w:val="003A2062"/>
    <w:rsid w:val="003A214B"/>
    <w:rsid w:val="003A22D5"/>
    <w:rsid w:val="003A2AEF"/>
    <w:rsid w:val="003A2B2E"/>
    <w:rsid w:val="003A2C6A"/>
    <w:rsid w:val="003A313C"/>
    <w:rsid w:val="003A356A"/>
    <w:rsid w:val="003A35E8"/>
    <w:rsid w:val="003A36F0"/>
    <w:rsid w:val="003A38A9"/>
    <w:rsid w:val="003A3C33"/>
    <w:rsid w:val="003A3F23"/>
    <w:rsid w:val="003A3FCE"/>
    <w:rsid w:val="003A44CB"/>
    <w:rsid w:val="003A451D"/>
    <w:rsid w:val="003A45AD"/>
    <w:rsid w:val="003A46EF"/>
    <w:rsid w:val="003A4AF1"/>
    <w:rsid w:val="003A4BCD"/>
    <w:rsid w:val="003A4CE7"/>
    <w:rsid w:val="003A50CD"/>
    <w:rsid w:val="003A52D3"/>
    <w:rsid w:val="003A5482"/>
    <w:rsid w:val="003A5841"/>
    <w:rsid w:val="003A58DC"/>
    <w:rsid w:val="003A5A7B"/>
    <w:rsid w:val="003A5ADF"/>
    <w:rsid w:val="003A5BD7"/>
    <w:rsid w:val="003A60D7"/>
    <w:rsid w:val="003A6AD8"/>
    <w:rsid w:val="003A6F93"/>
    <w:rsid w:val="003A72A6"/>
    <w:rsid w:val="003A734D"/>
    <w:rsid w:val="003A737F"/>
    <w:rsid w:val="003A77A0"/>
    <w:rsid w:val="003A77C6"/>
    <w:rsid w:val="003A7DAB"/>
    <w:rsid w:val="003A7E81"/>
    <w:rsid w:val="003B017D"/>
    <w:rsid w:val="003B0373"/>
    <w:rsid w:val="003B0552"/>
    <w:rsid w:val="003B0C49"/>
    <w:rsid w:val="003B0C61"/>
    <w:rsid w:val="003B0DAE"/>
    <w:rsid w:val="003B11E3"/>
    <w:rsid w:val="003B124F"/>
    <w:rsid w:val="003B1334"/>
    <w:rsid w:val="003B1430"/>
    <w:rsid w:val="003B1D63"/>
    <w:rsid w:val="003B1DEE"/>
    <w:rsid w:val="003B22A9"/>
    <w:rsid w:val="003B234E"/>
    <w:rsid w:val="003B241A"/>
    <w:rsid w:val="003B25B2"/>
    <w:rsid w:val="003B25BA"/>
    <w:rsid w:val="003B26C8"/>
    <w:rsid w:val="003B2963"/>
    <w:rsid w:val="003B2A80"/>
    <w:rsid w:val="003B2B1E"/>
    <w:rsid w:val="003B2B6E"/>
    <w:rsid w:val="003B32DA"/>
    <w:rsid w:val="003B34F6"/>
    <w:rsid w:val="003B35A4"/>
    <w:rsid w:val="003B384C"/>
    <w:rsid w:val="003B3F4F"/>
    <w:rsid w:val="003B4312"/>
    <w:rsid w:val="003B45A1"/>
    <w:rsid w:val="003B45A6"/>
    <w:rsid w:val="003B46D6"/>
    <w:rsid w:val="003B49B5"/>
    <w:rsid w:val="003B4E51"/>
    <w:rsid w:val="003B4F61"/>
    <w:rsid w:val="003B4FE1"/>
    <w:rsid w:val="003B5358"/>
    <w:rsid w:val="003B54A4"/>
    <w:rsid w:val="003B564D"/>
    <w:rsid w:val="003B58CD"/>
    <w:rsid w:val="003B5925"/>
    <w:rsid w:val="003B59C3"/>
    <w:rsid w:val="003B5AB5"/>
    <w:rsid w:val="003B5CE6"/>
    <w:rsid w:val="003B5DF8"/>
    <w:rsid w:val="003B5EBC"/>
    <w:rsid w:val="003B61AC"/>
    <w:rsid w:val="003B61C2"/>
    <w:rsid w:val="003B6218"/>
    <w:rsid w:val="003B62CC"/>
    <w:rsid w:val="003B62DA"/>
    <w:rsid w:val="003B630C"/>
    <w:rsid w:val="003B6436"/>
    <w:rsid w:val="003B64AA"/>
    <w:rsid w:val="003B672A"/>
    <w:rsid w:val="003B6847"/>
    <w:rsid w:val="003B6987"/>
    <w:rsid w:val="003B6D81"/>
    <w:rsid w:val="003B6EC8"/>
    <w:rsid w:val="003B704B"/>
    <w:rsid w:val="003B726D"/>
    <w:rsid w:val="003B747E"/>
    <w:rsid w:val="003B748B"/>
    <w:rsid w:val="003B7598"/>
    <w:rsid w:val="003B76BF"/>
    <w:rsid w:val="003B7BC7"/>
    <w:rsid w:val="003B7DFD"/>
    <w:rsid w:val="003C07B9"/>
    <w:rsid w:val="003C081D"/>
    <w:rsid w:val="003C091B"/>
    <w:rsid w:val="003C09ED"/>
    <w:rsid w:val="003C1122"/>
    <w:rsid w:val="003C1172"/>
    <w:rsid w:val="003C1190"/>
    <w:rsid w:val="003C11F6"/>
    <w:rsid w:val="003C12D8"/>
    <w:rsid w:val="003C1402"/>
    <w:rsid w:val="003C17FA"/>
    <w:rsid w:val="003C18CC"/>
    <w:rsid w:val="003C1A10"/>
    <w:rsid w:val="003C1C2C"/>
    <w:rsid w:val="003C2090"/>
    <w:rsid w:val="003C264C"/>
    <w:rsid w:val="003C2819"/>
    <w:rsid w:val="003C29EB"/>
    <w:rsid w:val="003C2AE7"/>
    <w:rsid w:val="003C2BEB"/>
    <w:rsid w:val="003C361E"/>
    <w:rsid w:val="003C37DB"/>
    <w:rsid w:val="003C380D"/>
    <w:rsid w:val="003C3844"/>
    <w:rsid w:val="003C3C0F"/>
    <w:rsid w:val="003C3E48"/>
    <w:rsid w:val="003C3EC8"/>
    <w:rsid w:val="003C43A4"/>
    <w:rsid w:val="003C4412"/>
    <w:rsid w:val="003C4A3E"/>
    <w:rsid w:val="003C5034"/>
    <w:rsid w:val="003C5156"/>
    <w:rsid w:val="003C523C"/>
    <w:rsid w:val="003C52C6"/>
    <w:rsid w:val="003C54B2"/>
    <w:rsid w:val="003C5521"/>
    <w:rsid w:val="003C55CD"/>
    <w:rsid w:val="003C55D8"/>
    <w:rsid w:val="003C5620"/>
    <w:rsid w:val="003C5732"/>
    <w:rsid w:val="003C5964"/>
    <w:rsid w:val="003C5AAC"/>
    <w:rsid w:val="003C6338"/>
    <w:rsid w:val="003C6452"/>
    <w:rsid w:val="003C69EC"/>
    <w:rsid w:val="003C6B60"/>
    <w:rsid w:val="003C6D12"/>
    <w:rsid w:val="003C6E84"/>
    <w:rsid w:val="003C6F0D"/>
    <w:rsid w:val="003C7513"/>
    <w:rsid w:val="003C7ABB"/>
    <w:rsid w:val="003C7CA8"/>
    <w:rsid w:val="003C7CD0"/>
    <w:rsid w:val="003D0718"/>
    <w:rsid w:val="003D071A"/>
    <w:rsid w:val="003D0ECA"/>
    <w:rsid w:val="003D0F40"/>
    <w:rsid w:val="003D100D"/>
    <w:rsid w:val="003D119A"/>
    <w:rsid w:val="003D1277"/>
    <w:rsid w:val="003D129E"/>
    <w:rsid w:val="003D16A4"/>
    <w:rsid w:val="003D1845"/>
    <w:rsid w:val="003D1B23"/>
    <w:rsid w:val="003D1BBC"/>
    <w:rsid w:val="003D1D91"/>
    <w:rsid w:val="003D2189"/>
    <w:rsid w:val="003D22A1"/>
    <w:rsid w:val="003D2531"/>
    <w:rsid w:val="003D25FF"/>
    <w:rsid w:val="003D2829"/>
    <w:rsid w:val="003D292B"/>
    <w:rsid w:val="003D29E3"/>
    <w:rsid w:val="003D2BCC"/>
    <w:rsid w:val="003D2DD5"/>
    <w:rsid w:val="003D2DDC"/>
    <w:rsid w:val="003D3087"/>
    <w:rsid w:val="003D31A2"/>
    <w:rsid w:val="003D3238"/>
    <w:rsid w:val="003D3796"/>
    <w:rsid w:val="003D38CD"/>
    <w:rsid w:val="003D3DDF"/>
    <w:rsid w:val="003D3FA4"/>
    <w:rsid w:val="003D4063"/>
    <w:rsid w:val="003D41B0"/>
    <w:rsid w:val="003D434A"/>
    <w:rsid w:val="003D4483"/>
    <w:rsid w:val="003D48C1"/>
    <w:rsid w:val="003D4CC4"/>
    <w:rsid w:val="003D4E46"/>
    <w:rsid w:val="003D4ED3"/>
    <w:rsid w:val="003D4EDF"/>
    <w:rsid w:val="003D4EF6"/>
    <w:rsid w:val="003D510F"/>
    <w:rsid w:val="003D5122"/>
    <w:rsid w:val="003D54A1"/>
    <w:rsid w:val="003D5539"/>
    <w:rsid w:val="003D580D"/>
    <w:rsid w:val="003D592E"/>
    <w:rsid w:val="003D5D1A"/>
    <w:rsid w:val="003D5E94"/>
    <w:rsid w:val="003D602A"/>
    <w:rsid w:val="003D6065"/>
    <w:rsid w:val="003D6073"/>
    <w:rsid w:val="003D614D"/>
    <w:rsid w:val="003D66E0"/>
    <w:rsid w:val="003D678B"/>
    <w:rsid w:val="003D67A1"/>
    <w:rsid w:val="003D6A84"/>
    <w:rsid w:val="003D6AA3"/>
    <w:rsid w:val="003D6C24"/>
    <w:rsid w:val="003D6D47"/>
    <w:rsid w:val="003D70BB"/>
    <w:rsid w:val="003D7189"/>
    <w:rsid w:val="003D71A7"/>
    <w:rsid w:val="003D73B4"/>
    <w:rsid w:val="003D741C"/>
    <w:rsid w:val="003D74EA"/>
    <w:rsid w:val="003D79F1"/>
    <w:rsid w:val="003D7A55"/>
    <w:rsid w:val="003D7C2A"/>
    <w:rsid w:val="003D7E89"/>
    <w:rsid w:val="003D7F99"/>
    <w:rsid w:val="003E001D"/>
    <w:rsid w:val="003E0366"/>
    <w:rsid w:val="003E05C0"/>
    <w:rsid w:val="003E06C8"/>
    <w:rsid w:val="003E07DD"/>
    <w:rsid w:val="003E08C7"/>
    <w:rsid w:val="003E0958"/>
    <w:rsid w:val="003E09B4"/>
    <w:rsid w:val="003E0D9D"/>
    <w:rsid w:val="003E0E0B"/>
    <w:rsid w:val="003E0F34"/>
    <w:rsid w:val="003E1110"/>
    <w:rsid w:val="003E119A"/>
    <w:rsid w:val="003E12EC"/>
    <w:rsid w:val="003E1346"/>
    <w:rsid w:val="003E14C4"/>
    <w:rsid w:val="003E2091"/>
    <w:rsid w:val="003E20A2"/>
    <w:rsid w:val="003E2136"/>
    <w:rsid w:val="003E24AC"/>
    <w:rsid w:val="003E27E3"/>
    <w:rsid w:val="003E2B8C"/>
    <w:rsid w:val="003E2D5D"/>
    <w:rsid w:val="003E2DEC"/>
    <w:rsid w:val="003E2E4D"/>
    <w:rsid w:val="003E30FD"/>
    <w:rsid w:val="003E3112"/>
    <w:rsid w:val="003E3331"/>
    <w:rsid w:val="003E36B6"/>
    <w:rsid w:val="003E3EE3"/>
    <w:rsid w:val="003E3F9A"/>
    <w:rsid w:val="003E41AA"/>
    <w:rsid w:val="003E41FC"/>
    <w:rsid w:val="003E446D"/>
    <w:rsid w:val="003E4486"/>
    <w:rsid w:val="003E45E4"/>
    <w:rsid w:val="003E485D"/>
    <w:rsid w:val="003E4892"/>
    <w:rsid w:val="003E52D5"/>
    <w:rsid w:val="003E52D7"/>
    <w:rsid w:val="003E530B"/>
    <w:rsid w:val="003E532D"/>
    <w:rsid w:val="003E56F7"/>
    <w:rsid w:val="003E5862"/>
    <w:rsid w:val="003E5D7D"/>
    <w:rsid w:val="003E5F97"/>
    <w:rsid w:val="003E601A"/>
    <w:rsid w:val="003E61FD"/>
    <w:rsid w:val="003E62AD"/>
    <w:rsid w:val="003E62EF"/>
    <w:rsid w:val="003E6333"/>
    <w:rsid w:val="003E67A7"/>
    <w:rsid w:val="003E67FE"/>
    <w:rsid w:val="003E6AA3"/>
    <w:rsid w:val="003E6CA6"/>
    <w:rsid w:val="003E6F64"/>
    <w:rsid w:val="003E73AD"/>
    <w:rsid w:val="003E73DB"/>
    <w:rsid w:val="003E74BD"/>
    <w:rsid w:val="003E780C"/>
    <w:rsid w:val="003E7867"/>
    <w:rsid w:val="003E793E"/>
    <w:rsid w:val="003E79CD"/>
    <w:rsid w:val="003E7C3D"/>
    <w:rsid w:val="003F0221"/>
    <w:rsid w:val="003F027D"/>
    <w:rsid w:val="003F052A"/>
    <w:rsid w:val="003F0A61"/>
    <w:rsid w:val="003F0D97"/>
    <w:rsid w:val="003F10C9"/>
    <w:rsid w:val="003F1224"/>
    <w:rsid w:val="003F1340"/>
    <w:rsid w:val="003F1746"/>
    <w:rsid w:val="003F188B"/>
    <w:rsid w:val="003F1AE7"/>
    <w:rsid w:val="003F1C66"/>
    <w:rsid w:val="003F1D9C"/>
    <w:rsid w:val="003F1DF7"/>
    <w:rsid w:val="003F2886"/>
    <w:rsid w:val="003F2999"/>
    <w:rsid w:val="003F2A12"/>
    <w:rsid w:val="003F2F6B"/>
    <w:rsid w:val="003F2FC4"/>
    <w:rsid w:val="003F2FF8"/>
    <w:rsid w:val="003F3027"/>
    <w:rsid w:val="003F316B"/>
    <w:rsid w:val="003F3409"/>
    <w:rsid w:val="003F3548"/>
    <w:rsid w:val="003F3766"/>
    <w:rsid w:val="003F3889"/>
    <w:rsid w:val="003F3C63"/>
    <w:rsid w:val="003F3D06"/>
    <w:rsid w:val="003F3E5C"/>
    <w:rsid w:val="003F3FA7"/>
    <w:rsid w:val="003F408C"/>
    <w:rsid w:val="003F41AF"/>
    <w:rsid w:val="003F4E0E"/>
    <w:rsid w:val="003F4F9C"/>
    <w:rsid w:val="003F5019"/>
    <w:rsid w:val="003F52CC"/>
    <w:rsid w:val="003F5400"/>
    <w:rsid w:val="003F5498"/>
    <w:rsid w:val="003F54A7"/>
    <w:rsid w:val="003F563E"/>
    <w:rsid w:val="003F569C"/>
    <w:rsid w:val="003F573D"/>
    <w:rsid w:val="003F5AC5"/>
    <w:rsid w:val="003F5CF5"/>
    <w:rsid w:val="003F61CB"/>
    <w:rsid w:val="003F62C7"/>
    <w:rsid w:val="003F681C"/>
    <w:rsid w:val="003F688E"/>
    <w:rsid w:val="003F6AF1"/>
    <w:rsid w:val="003F6BEA"/>
    <w:rsid w:val="003F7254"/>
    <w:rsid w:val="003F76B9"/>
    <w:rsid w:val="003F771B"/>
    <w:rsid w:val="003F7754"/>
    <w:rsid w:val="003F78CD"/>
    <w:rsid w:val="00400558"/>
    <w:rsid w:val="00400843"/>
    <w:rsid w:val="00400B57"/>
    <w:rsid w:val="00400D1F"/>
    <w:rsid w:val="00400EBE"/>
    <w:rsid w:val="0040100A"/>
    <w:rsid w:val="00401121"/>
    <w:rsid w:val="00401362"/>
    <w:rsid w:val="0040157B"/>
    <w:rsid w:val="004015E1"/>
    <w:rsid w:val="00401697"/>
    <w:rsid w:val="0040189F"/>
    <w:rsid w:val="00401905"/>
    <w:rsid w:val="00401B70"/>
    <w:rsid w:val="00401E8D"/>
    <w:rsid w:val="0040226E"/>
    <w:rsid w:val="00402479"/>
    <w:rsid w:val="00402D9C"/>
    <w:rsid w:val="00402EC0"/>
    <w:rsid w:val="00403242"/>
    <w:rsid w:val="00403500"/>
    <w:rsid w:val="004036D4"/>
    <w:rsid w:val="00403AF1"/>
    <w:rsid w:val="00403FEB"/>
    <w:rsid w:val="004042B1"/>
    <w:rsid w:val="0040432C"/>
    <w:rsid w:val="004045F5"/>
    <w:rsid w:val="00404B03"/>
    <w:rsid w:val="00404DAA"/>
    <w:rsid w:val="00404DC7"/>
    <w:rsid w:val="0040523A"/>
    <w:rsid w:val="004057F4"/>
    <w:rsid w:val="00405A70"/>
    <w:rsid w:val="00405B06"/>
    <w:rsid w:val="00405C37"/>
    <w:rsid w:val="00405E35"/>
    <w:rsid w:val="00406171"/>
    <w:rsid w:val="00406534"/>
    <w:rsid w:val="0040661B"/>
    <w:rsid w:val="00406789"/>
    <w:rsid w:val="004067F9"/>
    <w:rsid w:val="004068EB"/>
    <w:rsid w:val="00406AB7"/>
    <w:rsid w:val="00406D4E"/>
    <w:rsid w:val="00407077"/>
    <w:rsid w:val="00407168"/>
    <w:rsid w:val="00407432"/>
    <w:rsid w:val="00407818"/>
    <w:rsid w:val="00407A4F"/>
    <w:rsid w:val="00407C7D"/>
    <w:rsid w:val="00407E3D"/>
    <w:rsid w:val="00407FB5"/>
    <w:rsid w:val="0041026D"/>
    <w:rsid w:val="0041028C"/>
    <w:rsid w:val="00410336"/>
    <w:rsid w:val="00410821"/>
    <w:rsid w:val="00410A40"/>
    <w:rsid w:val="00410D46"/>
    <w:rsid w:val="00410F79"/>
    <w:rsid w:val="00410FCE"/>
    <w:rsid w:val="00411189"/>
    <w:rsid w:val="00411664"/>
    <w:rsid w:val="00411665"/>
    <w:rsid w:val="004116FE"/>
    <w:rsid w:val="004117CD"/>
    <w:rsid w:val="00411858"/>
    <w:rsid w:val="00411B0B"/>
    <w:rsid w:val="0041206B"/>
    <w:rsid w:val="004120E5"/>
    <w:rsid w:val="004126DB"/>
    <w:rsid w:val="004133AB"/>
    <w:rsid w:val="00413572"/>
    <w:rsid w:val="00413642"/>
    <w:rsid w:val="0041379F"/>
    <w:rsid w:val="0041383E"/>
    <w:rsid w:val="00413C0E"/>
    <w:rsid w:val="00413C4D"/>
    <w:rsid w:val="00413E11"/>
    <w:rsid w:val="00413F77"/>
    <w:rsid w:val="00413F8C"/>
    <w:rsid w:val="00413FFD"/>
    <w:rsid w:val="004140E1"/>
    <w:rsid w:val="00414190"/>
    <w:rsid w:val="004146B8"/>
    <w:rsid w:val="00414A27"/>
    <w:rsid w:val="00414AB9"/>
    <w:rsid w:val="00414B9C"/>
    <w:rsid w:val="00414BDB"/>
    <w:rsid w:val="00414D1F"/>
    <w:rsid w:val="00414FF5"/>
    <w:rsid w:val="0041520E"/>
    <w:rsid w:val="004153A4"/>
    <w:rsid w:val="004157E5"/>
    <w:rsid w:val="00415BED"/>
    <w:rsid w:val="00415C72"/>
    <w:rsid w:val="00415C80"/>
    <w:rsid w:val="00415CDB"/>
    <w:rsid w:val="00415D07"/>
    <w:rsid w:val="00415F83"/>
    <w:rsid w:val="00415FAC"/>
    <w:rsid w:val="00416671"/>
    <w:rsid w:val="00416942"/>
    <w:rsid w:val="00416B9B"/>
    <w:rsid w:val="00416CD4"/>
    <w:rsid w:val="00417108"/>
    <w:rsid w:val="004171C0"/>
    <w:rsid w:val="004172BB"/>
    <w:rsid w:val="004174C2"/>
    <w:rsid w:val="004178A5"/>
    <w:rsid w:val="00417994"/>
    <w:rsid w:val="00417AD5"/>
    <w:rsid w:val="004200FF"/>
    <w:rsid w:val="00420244"/>
    <w:rsid w:val="0042026F"/>
    <w:rsid w:val="0042027F"/>
    <w:rsid w:val="00420B2F"/>
    <w:rsid w:val="00420C48"/>
    <w:rsid w:val="00420D4D"/>
    <w:rsid w:val="00420EEF"/>
    <w:rsid w:val="00420FA6"/>
    <w:rsid w:val="004211A7"/>
    <w:rsid w:val="0042165B"/>
    <w:rsid w:val="0042167F"/>
    <w:rsid w:val="004219B2"/>
    <w:rsid w:val="00421A90"/>
    <w:rsid w:val="00421C7B"/>
    <w:rsid w:val="00421CC9"/>
    <w:rsid w:val="00421DB3"/>
    <w:rsid w:val="004225D3"/>
    <w:rsid w:val="00422600"/>
    <w:rsid w:val="004229AF"/>
    <w:rsid w:val="00422B0E"/>
    <w:rsid w:val="00422B99"/>
    <w:rsid w:val="00422CE3"/>
    <w:rsid w:val="00423042"/>
    <w:rsid w:val="00423065"/>
    <w:rsid w:val="004232CD"/>
    <w:rsid w:val="00423368"/>
    <w:rsid w:val="004233B5"/>
    <w:rsid w:val="0042357D"/>
    <w:rsid w:val="004235A1"/>
    <w:rsid w:val="00423687"/>
    <w:rsid w:val="00423697"/>
    <w:rsid w:val="00423C7D"/>
    <w:rsid w:val="0042413A"/>
    <w:rsid w:val="004247BE"/>
    <w:rsid w:val="00424870"/>
    <w:rsid w:val="004251A5"/>
    <w:rsid w:val="0042550B"/>
    <w:rsid w:val="004255B6"/>
    <w:rsid w:val="004256BB"/>
    <w:rsid w:val="00425D58"/>
    <w:rsid w:val="00426114"/>
    <w:rsid w:val="00426145"/>
    <w:rsid w:val="0042617A"/>
    <w:rsid w:val="0042676A"/>
    <w:rsid w:val="00426D96"/>
    <w:rsid w:val="00426D97"/>
    <w:rsid w:val="0042703B"/>
    <w:rsid w:val="0042718A"/>
    <w:rsid w:val="00427226"/>
    <w:rsid w:val="0042744C"/>
    <w:rsid w:val="00427756"/>
    <w:rsid w:val="00427868"/>
    <w:rsid w:val="004278B0"/>
    <w:rsid w:val="004278C3"/>
    <w:rsid w:val="00427B5F"/>
    <w:rsid w:val="00427F55"/>
    <w:rsid w:val="004300C9"/>
    <w:rsid w:val="00430166"/>
    <w:rsid w:val="004301FB"/>
    <w:rsid w:val="0043029B"/>
    <w:rsid w:val="00430422"/>
    <w:rsid w:val="00430838"/>
    <w:rsid w:val="004308D5"/>
    <w:rsid w:val="00430A59"/>
    <w:rsid w:val="00430A95"/>
    <w:rsid w:val="004311C8"/>
    <w:rsid w:val="00431B9E"/>
    <w:rsid w:val="00431DA6"/>
    <w:rsid w:val="00431EFD"/>
    <w:rsid w:val="004324DA"/>
    <w:rsid w:val="0043282F"/>
    <w:rsid w:val="004329FE"/>
    <w:rsid w:val="00432F3E"/>
    <w:rsid w:val="004330F8"/>
    <w:rsid w:val="0043313B"/>
    <w:rsid w:val="0043326A"/>
    <w:rsid w:val="00433298"/>
    <w:rsid w:val="00433302"/>
    <w:rsid w:val="004336E6"/>
    <w:rsid w:val="004338E9"/>
    <w:rsid w:val="00433AE0"/>
    <w:rsid w:val="00433ED7"/>
    <w:rsid w:val="00433F31"/>
    <w:rsid w:val="004342AB"/>
    <w:rsid w:val="0043438C"/>
    <w:rsid w:val="004344C1"/>
    <w:rsid w:val="00434AB5"/>
    <w:rsid w:val="00434D4D"/>
    <w:rsid w:val="00434E3E"/>
    <w:rsid w:val="00434E87"/>
    <w:rsid w:val="0043595F"/>
    <w:rsid w:val="00435D29"/>
    <w:rsid w:val="00435F20"/>
    <w:rsid w:val="00436014"/>
    <w:rsid w:val="00436029"/>
    <w:rsid w:val="004361C6"/>
    <w:rsid w:val="004362AB"/>
    <w:rsid w:val="00436336"/>
    <w:rsid w:val="004363E7"/>
    <w:rsid w:val="00436505"/>
    <w:rsid w:val="00436961"/>
    <w:rsid w:val="004369DC"/>
    <w:rsid w:val="00436D00"/>
    <w:rsid w:val="00436FBF"/>
    <w:rsid w:val="004370B1"/>
    <w:rsid w:val="0043728E"/>
    <w:rsid w:val="00437343"/>
    <w:rsid w:val="00437500"/>
    <w:rsid w:val="00437540"/>
    <w:rsid w:val="004378A3"/>
    <w:rsid w:val="004379A7"/>
    <w:rsid w:val="00437B54"/>
    <w:rsid w:val="00440006"/>
    <w:rsid w:val="00440015"/>
    <w:rsid w:val="00440119"/>
    <w:rsid w:val="0044037E"/>
    <w:rsid w:val="004403EF"/>
    <w:rsid w:val="00440583"/>
    <w:rsid w:val="004405D0"/>
    <w:rsid w:val="00440639"/>
    <w:rsid w:val="0044099F"/>
    <w:rsid w:val="00440C28"/>
    <w:rsid w:val="00440C7F"/>
    <w:rsid w:val="0044105B"/>
    <w:rsid w:val="004413D4"/>
    <w:rsid w:val="00441615"/>
    <w:rsid w:val="004418AF"/>
    <w:rsid w:val="004419C5"/>
    <w:rsid w:val="00441CC8"/>
    <w:rsid w:val="00441F9E"/>
    <w:rsid w:val="00442445"/>
    <w:rsid w:val="0044248A"/>
    <w:rsid w:val="0044281E"/>
    <w:rsid w:val="004429A3"/>
    <w:rsid w:val="00442A51"/>
    <w:rsid w:val="00442C09"/>
    <w:rsid w:val="00442D32"/>
    <w:rsid w:val="00442DEC"/>
    <w:rsid w:val="00442E33"/>
    <w:rsid w:val="00443077"/>
    <w:rsid w:val="004430ED"/>
    <w:rsid w:val="0044317F"/>
    <w:rsid w:val="004431DE"/>
    <w:rsid w:val="00443269"/>
    <w:rsid w:val="004433EF"/>
    <w:rsid w:val="00443751"/>
    <w:rsid w:val="00443A04"/>
    <w:rsid w:val="00443A08"/>
    <w:rsid w:val="00443B54"/>
    <w:rsid w:val="00443E64"/>
    <w:rsid w:val="00443F78"/>
    <w:rsid w:val="0044407A"/>
    <w:rsid w:val="0044411B"/>
    <w:rsid w:val="00444179"/>
    <w:rsid w:val="00444274"/>
    <w:rsid w:val="004444A5"/>
    <w:rsid w:val="00444530"/>
    <w:rsid w:val="00444B73"/>
    <w:rsid w:val="00444D57"/>
    <w:rsid w:val="00444DE4"/>
    <w:rsid w:val="00444F8B"/>
    <w:rsid w:val="00444FB6"/>
    <w:rsid w:val="00444FDB"/>
    <w:rsid w:val="00445340"/>
    <w:rsid w:val="00445688"/>
    <w:rsid w:val="00445814"/>
    <w:rsid w:val="004463F8"/>
    <w:rsid w:val="00446765"/>
    <w:rsid w:val="0044697F"/>
    <w:rsid w:val="00446E50"/>
    <w:rsid w:val="0044705E"/>
    <w:rsid w:val="004472C1"/>
    <w:rsid w:val="004476BE"/>
    <w:rsid w:val="00447864"/>
    <w:rsid w:val="00450009"/>
    <w:rsid w:val="00450514"/>
    <w:rsid w:val="0045057B"/>
    <w:rsid w:val="0045079D"/>
    <w:rsid w:val="00450B15"/>
    <w:rsid w:val="00450CA4"/>
    <w:rsid w:val="00450CB2"/>
    <w:rsid w:val="00450EE0"/>
    <w:rsid w:val="00450EE9"/>
    <w:rsid w:val="0045104A"/>
    <w:rsid w:val="0045105D"/>
    <w:rsid w:val="00451099"/>
    <w:rsid w:val="004511FD"/>
    <w:rsid w:val="00451777"/>
    <w:rsid w:val="004517E5"/>
    <w:rsid w:val="00451841"/>
    <w:rsid w:val="00451991"/>
    <w:rsid w:val="00451CD4"/>
    <w:rsid w:val="00451DB0"/>
    <w:rsid w:val="004527BA"/>
    <w:rsid w:val="00452A19"/>
    <w:rsid w:val="00453148"/>
    <w:rsid w:val="004534A3"/>
    <w:rsid w:val="0045386E"/>
    <w:rsid w:val="00453AB7"/>
    <w:rsid w:val="00453AF6"/>
    <w:rsid w:val="00453B6E"/>
    <w:rsid w:val="00453C32"/>
    <w:rsid w:val="00453F3A"/>
    <w:rsid w:val="0045403A"/>
    <w:rsid w:val="004540B4"/>
    <w:rsid w:val="0045424B"/>
    <w:rsid w:val="00454416"/>
    <w:rsid w:val="004545CF"/>
    <w:rsid w:val="004547B1"/>
    <w:rsid w:val="004548D9"/>
    <w:rsid w:val="004549D7"/>
    <w:rsid w:val="00454A8C"/>
    <w:rsid w:val="00454B94"/>
    <w:rsid w:val="00454FD3"/>
    <w:rsid w:val="004551FE"/>
    <w:rsid w:val="00455460"/>
    <w:rsid w:val="00455807"/>
    <w:rsid w:val="00455904"/>
    <w:rsid w:val="00455B7A"/>
    <w:rsid w:val="00456088"/>
    <w:rsid w:val="00456115"/>
    <w:rsid w:val="00456135"/>
    <w:rsid w:val="004563ED"/>
    <w:rsid w:val="00456537"/>
    <w:rsid w:val="00456600"/>
    <w:rsid w:val="0045695B"/>
    <w:rsid w:val="00456963"/>
    <w:rsid w:val="00456AB7"/>
    <w:rsid w:val="00456C7A"/>
    <w:rsid w:val="00456D31"/>
    <w:rsid w:val="00456ED4"/>
    <w:rsid w:val="0045703E"/>
    <w:rsid w:val="004570CD"/>
    <w:rsid w:val="0045751F"/>
    <w:rsid w:val="00457846"/>
    <w:rsid w:val="00457942"/>
    <w:rsid w:val="00457C80"/>
    <w:rsid w:val="00457D81"/>
    <w:rsid w:val="00457FD1"/>
    <w:rsid w:val="00460067"/>
    <w:rsid w:val="00460121"/>
    <w:rsid w:val="004601D5"/>
    <w:rsid w:val="004603D4"/>
    <w:rsid w:val="00460500"/>
    <w:rsid w:val="00460504"/>
    <w:rsid w:val="0046063E"/>
    <w:rsid w:val="00460658"/>
    <w:rsid w:val="0046075D"/>
    <w:rsid w:val="00460985"/>
    <w:rsid w:val="00460A8E"/>
    <w:rsid w:val="00460EA3"/>
    <w:rsid w:val="00460F22"/>
    <w:rsid w:val="00460F25"/>
    <w:rsid w:val="00460F63"/>
    <w:rsid w:val="00461135"/>
    <w:rsid w:val="00461251"/>
    <w:rsid w:val="004612A9"/>
    <w:rsid w:val="004618C0"/>
    <w:rsid w:val="0046193E"/>
    <w:rsid w:val="00461DBD"/>
    <w:rsid w:val="00461E3D"/>
    <w:rsid w:val="00461E86"/>
    <w:rsid w:val="00461EB3"/>
    <w:rsid w:val="0046262C"/>
    <w:rsid w:val="00462853"/>
    <w:rsid w:val="00462A3C"/>
    <w:rsid w:val="00462B45"/>
    <w:rsid w:val="00462B8E"/>
    <w:rsid w:val="00462BDA"/>
    <w:rsid w:val="004631F9"/>
    <w:rsid w:val="00463413"/>
    <w:rsid w:val="0046354A"/>
    <w:rsid w:val="004637E5"/>
    <w:rsid w:val="00463E1E"/>
    <w:rsid w:val="0046402E"/>
    <w:rsid w:val="00464103"/>
    <w:rsid w:val="004646F4"/>
    <w:rsid w:val="00464759"/>
    <w:rsid w:val="0046485B"/>
    <w:rsid w:val="004648AF"/>
    <w:rsid w:val="00464CA0"/>
    <w:rsid w:val="00464F2A"/>
    <w:rsid w:val="0046504F"/>
    <w:rsid w:val="00465063"/>
    <w:rsid w:val="0046521A"/>
    <w:rsid w:val="00465A99"/>
    <w:rsid w:val="00465AB1"/>
    <w:rsid w:val="00465B9B"/>
    <w:rsid w:val="00465C56"/>
    <w:rsid w:val="00465D9A"/>
    <w:rsid w:val="0046613D"/>
    <w:rsid w:val="004662B0"/>
    <w:rsid w:val="00466418"/>
    <w:rsid w:val="0046649D"/>
    <w:rsid w:val="00466634"/>
    <w:rsid w:val="0046666B"/>
    <w:rsid w:val="004670BE"/>
    <w:rsid w:val="00467CC9"/>
    <w:rsid w:val="00467D50"/>
    <w:rsid w:val="00467E45"/>
    <w:rsid w:val="004703C1"/>
    <w:rsid w:val="004704B1"/>
    <w:rsid w:val="00470520"/>
    <w:rsid w:val="0047057B"/>
    <w:rsid w:val="004707A5"/>
    <w:rsid w:val="0047081F"/>
    <w:rsid w:val="004708B5"/>
    <w:rsid w:val="00470BFB"/>
    <w:rsid w:val="00470FC7"/>
    <w:rsid w:val="004711A2"/>
    <w:rsid w:val="00471472"/>
    <w:rsid w:val="004718D9"/>
    <w:rsid w:val="004718E1"/>
    <w:rsid w:val="00471AA4"/>
    <w:rsid w:val="00471C09"/>
    <w:rsid w:val="00471C12"/>
    <w:rsid w:val="00471E89"/>
    <w:rsid w:val="00471F5C"/>
    <w:rsid w:val="0047214C"/>
    <w:rsid w:val="0047226F"/>
    <w:rsid w:val="00472275"/>
    <w:rsid w:val="004724EA"/>
    <w:rsid w:val="00472774"/>
    <w:rsid w:val="004727CC"/>
    <w:rsid w:val="004728D1"/>
    <w:rsid w:val="00472B05"/>
    <w:rsid w:val="00472D4D"/>
    <w:rsid w:val="00472DB6"/>
    <w:rsid w:val="00472E2F"/>
    <w:rsid w:val="00472ECB"/>
    <w:rsid w:val="00473007"/>
    <w:rsid w:val="0047300F"/>
    <w:rsid w:val="00473653"/>
    <w:rsid w:val="004736D6"/>
    <w:rsid w:val="00473748"/>
    <w:rsid w:val="004737DF"/>
    <w:rsid w:val="004739D2"/>
    <w:rsid w:val="00473AAE"/>
    <w:rsid w:val="00473B5D"/>
    <w:rsid w:val="00473C3A"/>
    <w:rsid w:val="00473CA0"/>
    <w:rsid w:val="00473DBF"/>
    <w:rsid w:val="004740C6"/>
    <w:rsid w:val="0047414B"/>
    <w:rsid w:val="004744FB"/>
    <w:rsid w:val="00474786"/>
    <w:rsid w:val="00474A2B"/>
    <w:rsid w:val="00474D38"/>
    <w:rsid w:val="00474F73"/>
    <w:rsid w:val="0047532F"/>
    <w:rsid w:val="004754A9"/>
    <w:rsid w:val="00475C6A"/>
    <w:rsid w:val="00475DDD"/>
    <w:rsid w:val="00475E8A"/>
    <w:rsid w:val="00475E94"/>
    <w:rsid w:val="00475EDF"/>
    <w:rsid w:val="00475F67"/>
    <w:rsid w:val="00476A49"/>
    <w:rsid w:val="00476D3D"/>
    <w:rsid w:val="00476EBA"/>
    <w:rsid w:val="004771ED"/>
    <w:rsid w:val="0047722C"/>
    <w:rsid w:val="0047740F"/>
    <w:rsid w:val="0047756E"/>
    <w:rsid w:val="00477A41"/>
    <w:rsid w:val="00477B14"/>
    <w:rsid w:val="00480192"/>
    <w:rsid w:val="004801D6"/>
    <w:rsid w:val="00480384"/>
    <w:rsid w:val="00480B01"/>
    <w:rsid w:val="00480C0B"/>
    <w:rsid w:val="00480E1F"/>
    <w:rsid w:val="004810B4"/>
    <w:rsid w:val="004812AC"/>
    <w:rsid w:val="00481316"/>
    <w:rsid w:val="00481425"/>
    <w:rsid w:val="00481BC9"/>
    <w:rsid w:val="0048207B"/>
    <w:rsid w:val="004824FD"/>
    <w:rsid w:val="00482FB5"/>
    <w:rsid w:val="0048316B"/>
    <w:rsid w:val="00483177"/>
    <w:rsid w:val="00483289"/>
    <w:rsid w:val="0048331E"/>
    <w:rsid w:val="00483344"/>
    <w:rsid w:val="00483398"/>
    <w:rsid w:val="004834B8"/>
    <w:rsid w:val="0048368A"/>
    <w:rsid w:val="00483B9C"/>
    <w:rsid w:val="00483E58"/>
    <w:rsid w:val="00484025"/>
    <w:rsid w:val="00484032"/>
    <w:rsid w:val="00484758"/>
    <w:rsid w:val="00484806"/>
    <w:rsid w:val="00484990"/>
    <w:rsid w:val="00484BF1"/>
    <w:rsid w:val="00484DB9"/>
    <w:rsid w:val="004850E5"/>
    <w:rsid w:val="00485523"/>
    <w:rsid w:val="00485838"/>
    <w:rsid w:val="004858F6"/>
    <w:rsid w:val="004859B6"/>
    <w:rsid w:val="004859BD"/>
    <w:rsid w:val="004859C2"/>
    <w:rsid w:val="00485BD5"/>
    <w:rsid w:val="00486136"/>
    <w:rsid w:val="004861AF"/>
    <w:rsid w:val="00486461"/>
    <w:rsid w:val="0048660C"/>
    <w:rsid w:val="0048693E"/>
    <w:rsid w:val="00486AB9"/>
    <w:rsid w:val="00486B02"/>
    <w:rsid w:val="00486F2B"/>
    <w:rsid w:val="004871DA"/>
    <w:rsid w:val="004874D9"/>
    <w:rsid w:val="0048780D"/>
    <w:rsid w:val="00487891"/>
    <w:rsid w:val="00487BD8"/>
    <w:rsid w:val="004900FA"/>
    <w:rsid w:val="004901BC"/>
    <w:rsid w:val="004909CA"/>
    <w:rsid w:val="00490A9A"/>
    <w:rsid w:val="00490BAD"/>
    <w:rsid w:val="00490C24"/>
    <w:rsid w:val="00491152"/>
    <w:rsid w:val="0049115E"/>
    <w:rsid w:val="00491624"/>
    <w:rsid w:val="00491766"/>
    <w:rsid w:val="004917F0"/>
    <w:rsid w:val="004918DD"/>
    <w:rsid w:val="00491926"/>
    <w:rsid w:val="00491B25"/>
    <w:rsid w:val="00491BBA"/>
    <w:rsid w:val="00491D73"/>
    <w:rsid w:val="00491D93"/>
    <w:rsid w:val="00491E4B"/>
    <w:rsid w:val="00491EF0"/>
    <w:rsid w:val="004921D3"/>
    <w:rsid w:val="00492333"/>
    <w:rsid w:val="004924A5"/>
    <w:rsid w:val="00492641"/>
    <w:rsid w:val="004927E5"/>
    <w:rsid w:val="004931BE"/>
    <w:rsid w:val="00493984"/>
    <w:rsid w:val="00493AF2"/>
    <w:rsid w:val="00493D81"/>
    <w:rsid w:val="00493FA6"/>
    <w:rsid w:val="00494170"/>
    <w:rsid w:val="0049427B"/>
    <w:rsid w:val="004945A3"/>
    <w:rsid w:val="00494742"/>
    <w:rsid w:val="004948D4"/>
    <w:rsid w:val="004949E3"/>
    <w:rsid w:val="00494C85"/>
    <w:rsid w:val="004955F4"/>
    <w:rsid w:val="0049570C"/>
    <w:rsid w:val="0049590D"/>
    <w:rsid w:val="00495D91"/>
    <w:rsid w:val="004962FC"/>
    <w:rsid w:val="004963A4"/>
    <w:rsid w:val="004964C4"/>
    <w:rsid w:val="0049653F"/>
    <w:rsid w:val="00496989"/>
    <w:rsid w:val="004969CA"/>
    <w:rsid w:val="00496B24"/>
    <w:rsid w:val="0049727E"/>
    <w:rsid w:val="0049742A"/>
    <w:rsid w:val="0049761B"/>
    <w:rsid w:val="00497786"/>
    <w:rsid w:val="004977EA"/>
    <w:rsid w:val="00497EEB"/>
    <w:rsid w:val="00497F09"/>
    <w:rsid w:val="00497F23"/>
    <w:rsid w:val="00497F9A"/>
    <w:rsid w:val="004A01A5"/>
    <w:rsid w:val="004A0455"/>
    <w:rsid w:val="004A0467"/>
    <w:rsid w:val="004A0807"/>
    <w:rsid w:val="004A095C"/>
    <w:rsid w:val="004A11AD"/>
    <w:rsid w:val="004A13C1"/>
    <w:rsid w:val="004A13E4"/>
    <w:rsid w:val="004A16C3"/>
    <w:rsid w:val="004A18D3"/>
    <w:rsid w:val="004A1909"/>
    <w:rsid w:val="004A1A73"/>
    <w:rsid w:val="004A1B7E"/>
    <w:rsid w:val="004A2373"/>
    <w:rsid w:val="004A271E"/>
    <w:rsid w:val="004A2934"/>
    <w:rsid w:val="004A2BC1"/>
    <w:rsid w:val="004A349F"/>
    <w:rsid w:val="004A35BF"/>
    <w:rsid w:val="004A3A49"/>
    <w:rsid w:val="004A3E1D"/>
    <w:rsid w:val="004A3EF7"/>
    <w:rsid w:val="004A3F4D"/>
    <w:rsid w:val="004A42B3"/>
    <w:rsid w:val="004A4A32"/>
    <w:rsid w:val="004A4C27"/>
    <w:rsid w:val="004A4FEA"/>
    <w:rsid w:val="004A5098"/>
    <w:rsid w:val="004A5155"/>
    <w:rsid w:val="004A5288"/>
    <w:rsid w:val="004A52AE"/>
    <w:rsid w:val="004A6160"/>
    <w:rsid w:val="004A6273"/>
    <w:rsid w:val="004A6464"/>
    <w:rsid w:val="004A6492"/>
    <w:rsid w:val="004A661B"/>
    <w:rsid w:val="004A6704"/>
    <w:rsid w:val="004A6C4B"/>
    <w:rsid w:val="004A704E"/>
    <w:rsid w:val="004A706E"/>
    <w:rsid w:val="004A7118"/>
    <w:rsid w:val="004A76B2"/>
    <w:rsid w:val="004A7A6A"/>
    <w:rsid w:val="004A7D57"/>
    <w:rsid w:val="004A7E7E"/>
    <w:rsid w:val="004B0034"/>
    <w:rsid w:val="004B0208"/>
    <w:rsid w:val="004B020A"/>
    <w:rsid w:val="004B0775"/>
    <w:rsid w:val="004B092B"/>
    <w:rsid w:val="004B0A1C"/>
    <w:rsid w:val="004B0B72"/>
    <w:rsid w:val="004B0DF7"/>
    <w:rsid w:val="004B18BA"/>
    <w:rsid w:val="004B1AD2"/>
    <w:rsid w:val="004B2254"/>
    <w:rsid w:val="004B2386"/>
    <w:rsid w:val="004B23E0"/>
    <w:rsid w:val="004B25B8"/>
    <w:rsid w:val="004B25E3"/>
    <w:rsid w:val="004B26CC"/>
    <w:rsid w:val="004B26DB"/>
    <w:rsid w:val="004B290F"/>
    <w:rsid w:val="004B2BB2"/>
    <w:rsid w:val="004B2DB6"/>
    <w:rsid w:val="004B3139"/>
    <w:rsid w:val="004B3146"/>
    <w:rsid w:val="004B41EB"/>
    <w:rsid w:val="004B43A6"/>
    <w:rsid w:val="004B48D8"/>
    <w:rsid w:val="004B4CF9"/>
    <w:rsid w:val="004B5014"/>
    <w:rsid w:val="004B51E7"/>
    <w:rsid w:val="004B5367"/>
    <w:rsid w:val="004B5A21"/>
    <w:rsid w:val="004B5BD5"/>
    <w:rsid w:val="004B5D5F"/>
    <w:rsid w:val="004B5E7A"/>
    <w:rsid w:val="004B60FF"/>
    <w:rsid w:val="004B6181"/>
    <w:rsid w:val="004B63E3"/>
    <w:rsid w:val="004B6A85"/>
    <w:rsid w:val="004B6CFC"/>
    <w:rsid w:val="004B6FAE"/>
    <w:rsid w:val="004B71E7"/>
    <w:rsid w:val="004B720E"/>
    <w:rsid w:val="004B7229"/>
    <w:rsid w:val="004B7465"/>
    <w:rsid w:val="004B77CB"/>
    <w:rsid w:val="004B7A21"/>
    <w:rsid w:val="004B7CF4"/>
    <w:rsid w:val="004B7D0A"/>
    <w:rsid w:val="004B7D93"/>
    <w:rsid w:val="004B7DD7"/>
    <w:rsid w:val="004B7EA2"/>
    <w:rsid w:val="004C0229"/>
    <w:rsid w:val="004C031B"/>
    <w:rsid w:val="004C0381"/>
    <w:rsid w:val="004C052C"/>
    <w:rsid w:val="004C0804"/>
    <w:rsid w:val="004C0B6B"/>
    <w:rsid w:val="004C107E"/>
    <w:rsid w:val="004C10A0"/>
    <w:rsid w:val="004C1448"/>
    <w:rsid w:val="004C1525"/>
    <w:rsid w:val="004C1752"/>
    <w:rsid w:val="004C1D5F"/>
    <w:rsid w:val="004C1F6B"/>
    <w:rsid w:val="004C27CC"/>
    <w:rsid w:val="004C282C"/>
    <w:rsid w:val="004C2935"/>
    <w:rsid w:val="004C2AA0"/>
    <w:rsid w:val="004C2B2A"/>
    <w:rsid w:val="004C300A"/>
    <w:rsid w:val="004C3AFD"/>
    <w:rsid w:val="004C3D79"/>
    <w:rsid w:val="004C3D87"/>
    <w:rsid w:val="004C3DC9"/>
    <w:rsid w:val="004C4624"/>
    <w:rsid w:val="004C4634"/>
    <w:rsid w:val="004C467B"/>
    <w:rsid w:val="004C47E7"/>
    <w:rsid w:val="004C4BAC"/>
    <w:rsid w:val="004C4CDC"/>
    <w:rsid w:val="004C502B"/>
    <w:rsid w:val="004C5239"/>
    <w:rsid w:val="004C5436"/>
    <w:rsid w:val="004C59D7"/>
    <w:rsid w:val="004C5FCF"/>
    <w:rsid w:val="004C61AD"/>
    <w:rsid w:val="004C6643"/>
    <w:rsid w:val="004C6891"/>
    <w:rsid w:val="004C6A48"/>
    <w:rsid w:val="004C6CE9"/>
    <w:rsid w:val="004C6F43"/>
    <w:rsid w:val="004C76FA"/>
    <w:rsid w:val="004C7713"/>
    <w:rsid w:val="004C7B84"/>
    <w:rsid w:val="004C7DC2"/>
    <w:rsid w:val="004D0196"/>
    <w:rsid w:val="004D0786"/>
    <w:rsid w:val="004D08EF"/>
    <w:rsid w:val="004D0BD9"/>
    <w:rsid w:val="004D0DED"/>
    <w:rsid w:val="004D0FBB"/>
    <w:rsid w:val="004D10C5"/>
    <w:rsid w:val="004D12B9"/>
    <w:rsid w:val="004D130B"/>
    <w:rsid w:val="004D14E4"/>
    <w:rsid w:val="004D1528"/>
    <w:rsid w:val="004D15F8"/>
    <w:rsid w:val="004D1648"/>
    <w:rsid w:val="004D175A"/>
    <w:rsid w:val="004D1A5C"/>
    <w:rsid w:val="004D1A7B"/>
    <w:rsid w:val="004D1AAC"/>
    <w:rsid w:val="004D1EC3"/>
    <w:rsid w:val="004D2000"/>
    <w:rsid w:val="004D2373"/>
    <w:rsid w:val="004D2839"/>
    <w:rsid w:val="004D3607"/>
    <w:rsid w:val="004D36D3"/>
    <w:rsid w:val="004D3F5A"/>
    <w:rsid w:val="004D3F95"/>
    <w:rsid w:val="004D402C"/>
    <w:rsid w:val="004D419E"/>
    <w:rsid w:val="004D463F"/>
    <w:rsid w:val="004D496A"/>
    <w:rsid w:val="004D4A04"/>
    <w:rsid w:val="004D4A31"/>
    <w:rsid w:val="004D4AAD"/>
    <w:rsid w:val="004D4AE7"/>
    <w:rsid w:val="004D4B35"/>
    <w:rsid w:val="004D4DCA"/>
    <w:rsid w:val="004D4F4B"/>
    <w:rsid w:val="004D53CB"/>
    <w:rsid w:val="004D5401"/>
    <w:rsid w:val="004D555A"/>
    <w:rsid w:val="004D5905"/>
    <w:rsid w:val="004D5964"/>
    <w:rsid w:val="004D5F06"/>
    <w:rsid w:val="004D618C"/>
    <w:rsid w:val="004D6508"/>
    <w:rsid w:val="004D6A7A"/>
    <w:rsid w:val="004D6BA7"/>
    <w:rsid w:val="004D6BF4"/>
    <w:rsid w:val="004D6DEF"/>
    <w:rsid w:val="004D7270"/>
    <w:rsid w:val="004D765C"/>
    <w:rsid w:val="004D7E14"/>
    <w:rsid w:val="004D7FC7"/>
    <w:rsid w:val="004E05A0"/>
    <w:rsid w:val="004E069C"/>
    <w:rsid w:val="004E0A0B"/>
    <w:rsid w:val="004E0B1B"/>
    <w:rsid w:val="004E0E0D"/>
    <w:rsid w:val="004E11E6"/>
    <w:rsid w:val="004E11FB"/>
    <w:rsid w:val="004E1262"/>
    <w:rsid w:val="004E1855"/>
    <w:rsid w:val="004E1973"/>
    <w:rsid w:val="004E1EE0"/>
    <w:rsid w:val="004E20A1"/>
    <w:rsid w:val="004E2234"/>
    <w:rsid w:val="004E23A2"/>
    <w:rsid w:val="004E249F"/>
    <w:rsid w:val="004E264D"/>
    <w:rsid w:val="004E264E"/>
    <w:rsid w:val="004E2682"/>
    <w:rsid w:val="004E28F6"/>
    <w:rsid w:val="004E2911"/>
    <w:rsid w:val="004E29FC"/>
    <w:rsid w:val="004E2C34"/>
    <w:rsid w:val="004E2CDB"/>
    <w:rsid w:val="004E2DBC"/>
    <w:rsid w:val="004E33AC"/>
    <w:rsid w:val="004E345B"/>
    <w:rsid w:val="004E36DD"/>
    <w:rsid w:val="004E3738"/>
    <w:rsid w:val="004E3DA2"/>
    <w:rsid w:val="004E4090"/>
    <w:rsid w:val="004E41B6"/>
    <w:rsid w:val="004E4523"/>
    <w:rsid w:val="004E46EA"/>
    <w:rsid w:val="004E4A79"/>
    <w:rsid w:val="004E4BD9"/>
    <w:rsid w:val="004E4E13"/>
    <w:rsid w:val="004E4E6E"/>
    <w:rsid w:val="004E5000"/>
    <w:rsid w:val="004E53CF"/>
    <w:rsid w:val="004E5556"/>
    <w:rsid w:val="004E58B3"/>
    <w:rsid w:val="004E59E1"/>
    <w:rsid w:val="004E59F6"/>
    <w:rsid w:val="004E5A30"/>
    <w:rsid w:val="004E5C3A"/>
    <w:rsid w:val="004E5D8B"/>
    <w:rsid w:val="004E6936"/>
    <w:rsid w:val="004E6F11"/>
    <w:rsid w:val="004E6F70"/>
    <w:rsid w:val="004E701C"/>
    <w:rsid w:val="004E7199"/>
    <w:rsid w:val="004E7286"/>
    <w:rsid w:val="004E7292"/>
    <w:rsid w:val="004E744B"/>
    <w:rsid w:val="004E76E3"/>
    <w:rsid w:val="004E76F2"/>
    <w:rsid w:val="004E780C"/>
    <w:rsid w:val="004E796F"/>
    <w:rsid w:val="004E79C0"/>
    <w:rsid w:val="004E79D5"/>
    <w:rsid w:val="004E7BE7"/>
    <w:rsid w:val="004E7ED2"/>
    <w:rsid w:val="004F03C0"/>
    <w:rsid w:val="004F0452"/>
    <w:rsid w:val="004F0546"/>
    <w:rsid w:val="004F0789"/>
    <w:rsid w:val="004F09EE"/>
    <w:rsid w:val="004F0A0F"/>
    <w:rsid w:val="004F11A0"/>
    <w:rsid w:val="004F14BC"/>
    <w:rsid w:val="004F1568"/>
    <w:rsid w:val="004F1C5C"/>
    <w:rsid w:val="004F20F6"/>
    <w:rsid w:val="004F215B"/>
    <w:rsid w:val="004F2295"/>
    <w:rsid w:val="004F22F4"/>
    <w:rsid w:val="004F24B2"/>
    <w:rsid w:val="004F25B3"/>
    <w:rsid w:val="004F27CD"/>
    <w:rsid w:val="004F28B4"/>
    <w:rsid w:val="004F29A2"/>
    <w:rsid w:val="004F2B54"/>
    <w:rsid w:val="004F2B9D"/>
    <w:rsid w:val="004F2B9F"/>
    <w:rsid w:val="004F2D6A"/>
    <w:rsid w:val="004F3B22"/>
    <w:rsid w:val="004F3BB1"/>
    <w:rsid w:val="004F3BF9"/>
    <w:rsid w:val="004F3C6E"/>
    <w:rsid w:val="004F3D6F"/>
    <w:rsid w:val="004F40BC"/>
    <w:rsid w:val="004F4256"/>
    <w:rsid w:val="004F4332"/>
    <w:rsid w:val="004F44A0"/>
    <w:rsid w:val="004F4B1F"/>
    <w:rsid w:val="004F4D6C"/>
    <w:rsid w:val="004F4EA6"/>
    <w:rsid w:val="004F4F0B"/>
    <w:rsid w:val="004F508E"/>
    <w:rsid w:val="004F519C"/>
    <w:rsid w:val="004F545D"/>
    <w:rsid w:val="004F5554"/>
    <w:rsid w:val="004F581D"/>
    <w:rsid w:val="004F59BA"/>
    <w:rsid w:val="004F5AF8"/>
    <w:rsid w:val="004F5D19"/>
    <w:rsid w:val="004F5D3E"/>
    <w:rsid w:val="004F5E2A"/>
    <w:rsid w:val="004F615D"/>
    <w:rsid w:val="004F630A"/>
    <w:rsid w:val="004F6321"/>
    <w:rsid w:val="004F6322"/>
    <w:rsid w:val="004F668A"/>
    <w:rsid w:val="004F69B8"/>
    <w:rsid w:val="004F6B97"/>
    <w:rsid w:val="004F6BEB"/>
    <w:rsid w:val="004F6E3A"/>
    <w:rsid w:val="004F70DC"/>
    <w:rsid w:val="004F7D23"/>
    <w:rsid w:val="0050049F"/>
    <w:rsid w:val="005007AB"/>
    <w:rsid w:val="0050084E"/>
    <w:rsid w:val="00500955"/>
    <w:rsid w:val="00500FCC"/>
    <w:rsid w:val="005015F3"/>
    <w:rsid w:val="00501703"/>
    <w:rsid w:val="00501729"/>
    <w:rsid w:val="0050175B"/>
    <w:rsid w:val="00501926"/>
    <w:rsid w:val="00501AA5"/>
    <w:rsid w:val="0050209A"/>
    <w:rsid w:val="0050261F"/>
    <w:rsid w:val="005026F2"/>
    <w:rsid w:val="005027E3"/>
    <w:rsid w:val="00502D03"/>
    <w:rsid w:val="005035B7"/>
    <w:rsid w:val="00503624"/>
    <w:rsid w:val="00503690"/>
    <w:rsid w:val="0050382E"/>
    <w:rsid w:val="00503A8E"/>
    <w:rsid w:val="00503CD3"/>
    <w:rsid w:val="00503FAD"/>
    <w:rsid w:val="005040D4"/>
    <w:rsid w:val="00504120"/>
    <w:rsid w:val="0050415A"/>
    <w:rsid w:val="005041AD"/>
    <w:rsid w:val="005043E0"/>
    <w:rsid w:val="005044C9"/>
    <w:rsid w:val="0050457E"/>
    <w:rsid w:val="005046E3"/>
    <w:rsid w:val="00504B7F"/>
    <w:rsid w:val="005050C6"/>
    <w:rsid w:val="00505359"/>
    <w:rsid w:val="00505534"/>
    <w:rsid w:val="005056EC"/>
    <w:rsid w:val="00505767"/>
    <w:rsid w:val="0050581E"/>
    <w:rsid w:val="00505858"/>
    <w:rsid w:val="00505A79"/>
    <w:rsid w:val="00505C25"/>
    <w:rsid w:val="00505DFA"/>
    <w:rsid w:val="00506027"/>
    <w:rsid w:val="00506078"/>
    <w:rsid w:val="005060E6"/>
    <w:rsid w:val="00506350"/>
    <w:rsid w:val="005067EA"/>
    <w:rsid w:val="00506984"/>
    <w:rsid w:val="005069D4"/>
    <w:rsid w:val="00506A6E"/>
    <w:rsid w:val="00506AD8"/>
    <w:rsid w:val="00506DEE"/>
    <w:rsid w:val="00507009"/>
    <w:rsid w:val="00507232"/>
    <w:rsid w:val="00507982"/>
    <w:rsid w:val="00507E33"/>
    <w:rsid w:val="00507E71"/>
    <w:rsid w:val="0051003F"/>
    <w:rsid w:val="005102F7"/>
    <w:rsid w:val="00510319"/>
    <w:rsid w:val="005106E2"/>
    <w:rsid w:val="005107B3"/>
    <w:rsid w:val="005107F8"/>
    <w:rsid w:val="00511050"/>
    <w:rsid w:val="005111A7"/>
    <w:rsid w:val="005111C6"/>
    <w:rsid w:val="005116EC"/>
    <w:rsid w:val="00511720"/>
    <w:rsid w:val="005117BF"/>
    <w:rsid w:val="00511BBE"/>
    <w:rsid w:val="005120FC"/>
    <w:rsid w:val="0051282B"/>
    <w:rsid w:val="00512BD2"/>
    <w:rsid w:val="00512C3B"/>
    <w:rsid w:val="005132AD"/>
    <w:rsid w:val="00513313"/>
    <w:rsid w:val="00513488"/>
    <w:rsid w:val="005134CB"/>
    <w:rsid w:val="00513714"/>
    <w:rsid w:val="00513734"/>
    <w:rsid w:val="00513C17"/>
    <w:rsid w:val="00513CB5"/>
    <w:rsid w:val="005142E8"/>
    <w:rsid w:val="005143D1"/>
    <w:rsid w:val="0051476B"/>
    <w:rsid w:val="005148D4"/>
    <w:rsid w:val="00514912"/>
    <w:rsid w:val="00514968"/>
    <w:rsid w:val="00514984"/>
    <w:rsid w:val="00514A09"/>
    <w:rsid w:val="00514AA2"/>
    <w:rsid w:val="00514AE8"/>
    <w:rsid w:val="00514E4C"/>
    <w:rsid w:val="0051503C"/>
    <w:rsid w:val="0051515B"/>
    <w:rsid w:val="00515718"/>
    <w:rsid w:val="00515BBD"/>
    <w:rsid w:val="00515C61"/>
    <w:rsid w:val="00515F00"/>
    <w:rsid w:val="005168AC"/>
    <w:rsid w:val="00516B56"/>
    <w:rsid w:val="00516D3B"/>
    <w:rsid w:val="00517018"/>
    <w:rsid w:val="005170DB"/>
    <w:rsid w:val="005178F3"/>
    <w:rsid w:val="00517980"/>
    <w:rsid w:val="00517D56"/>
    <w:rsid w:val="005201A6"/>
    <w:rsid w:val="00520576"/>
    <w:rsid w:val="00520636"/>
    <w:rsid w:val="00520E10"/>
    <w:rsid w:val="00520F96"/>
    <w:rsid w:val="00520FF4"/>
    <w:rsid w:val="005210B1"/>
    <w:rsid w:val="00521383"/>
    <w:rsid w:val="00521786"/>
    <w:rsid w:val="005217E5"/>
    <w:rsid w:val="00521AA8"/>
    <w:rsid w:val="00521B20"/>
    <w:rsid w:val="00521BEA"/>
    <w:rsid w:val="00521D83"/>
    <w:rsid w:val="00521F2E"/>
    <w:rsid w:val="00521FAC"/>
    <w:rsid w:val="00522029"/>
    <w:rsid w:val="0052206E"/>
    <w:rsid w:val="0052208A"/>
    <w:rsid w:val="00522161"/>
    <w:rsid w:val="00522365"/>
    <w:rsid w:val="0052237C"/>
    <w:rsid w:val="00522474"/>
    <w:rsid w:val="0052249A"/>
    <w:rsid w:val="005229D2"/>
    <w:rsid w:val="00522F33"/>
    <w:rsid w:val="00522F58"/>
    <w:rsid w:val="00522F5A"/>
    <w:rsid w:val="0052301E"/>
    <w:rsid w:val="0052358D"/>
    <w:rsid w:val="005235B1"/>
    <w:rsid w:val="00523971"/>
    <w:rsid w:val="00523BC3"/>
    <w:rsid w:val="00523CD8"/>
    <w:rsid w:val="00523FC5"/>
    <w:rsid w:val="00524182"/>
    <w:rsid w:val="005246DD"/>
    <w:rsid w:val="005248CC"/>
    <w:rsid w:val="005249A0"/>
    <w:rsid w:val="00524FDE"/>
    <w:rsid w:val="005252C3"/>
    <w:rsid w:val="0052566A"/>
    <w:rsid w:val="00525992"/>
    <w:rsid w:val="00525ABE"/>
    <w:rsid w:val="00525CB5"/>
    <w:rsid w:val="005262BC"/>
    <w:rsid w:val="0052640D"/>
    <w:rsid w:val="0052646D"/>
    <w:rsid w:val="0052667D"/>
    <w:rsid w:val="00526807"/>
    <w:rsid w:val="00526943"/>
    <w:rsid w:val="00526BB4"/>
    <w:rsid w:val="00526C5C"/>
    <w:rsid w:val="00526D2C"/>
    <w:rsid w:val="00527077"/>
    <w:rsid w:val="0052707F"/>
    <w:rsid w:val="0052708A"/>
    <w:rsid w:val="00527141"/>
    <w:rsid w:val="00527361"/>
    <w:rsid w:val="0052748D"/>
    <w:rsid w:val="0052786F"/>
    <w:rsid w:val="005278BF"/>
    <w:rsid w:val="00527AA8"/>
    <w:rsid w:val="00527B27"/>
    <w:rsid w:val="00530674"/>
    <w:rsid w:val="0053084F"/>
    <w:rsid w:val="00530AC0"/>
    <w:rsid w:val="00530E97"/>
    <w:rsid w:val="00530F3E"/>
    <w:rsid w:val="0053113D"/>
    <w:rsid w:val="00531325"/>
    <w:rsid w:val="005314D4"/>
    <w:rsid w:val="00531554"/>
    <w:rsid w:val="00531582"/>
    <w:rsid w:val="0053172F"/>
    <w:rsid w:val="00531833"/>
    <w:rsid w:val="00531A66"/>
    <w:rsid w:val="00531D81"/>
    <w:rsid w:val="00532078"/>
    <w:rsid w:val="0053223A"/>
    <w:rsid w:val="005326AA"/>
    <w:rsid w:val="005329B2"/>
    <w:rsid w:val="00532C83"/>
    <w:rsid w:val="00532CC1"/>
    <w:rsid w:val="00532E03"/>
    <w:rsid w:val="00532F48"/>
    <w:rsid w:val="00532F78"/>
    <w:rsid w:val="00533069"/>
    <w:rsid w:val="00533496"/>
    <w:rsid w:val="005335FB"/>
    <w:rsid w:val="00533763"/>
    <w:rsid w:val="00533D3F"/>
    <w:rsid w:val="00533F51"/>
    <w:rsid w:val="00534069"/>
    <w:rsid w:val="00534355"/>
    <w:rsid w:val="005349B6"/>
    <w:rsid w:val="005349E8"/>
    <w:rsid w:val="00534BA0"/>
    <w:rsid w:val="00534DAC"/>
    <w:rsid w:val="00534F66"/>
    <w:rsid w:val="005354D2"/>
    <w:rsid w:val="00535517"/>
    <w:rsid w:val="005355A2"/>
    <w:rsid w:val="005355B8"/>
    <w:rsid w:val="00535767"/>
    <w:rsid w:val="00535912"/>
    <w:rsid w:val="00535A60"/>
    <w:rsid w:val="00535AAD"/>
    <w:rsid w:val="0053652B"/>
    <w:rsid w:val="0053693C"/>
    <w:rsid w:val="00536D45"/>
    <w:rsid w:val="00536D91"/>
    <w:rsid w:val="00536EBE"/>
    <w:rsid w:val="00536F8F"/>
    <w:rsid w:val="00537098"/>
    <w:rsid w:val="005370DC"/>
    <w:rsid w:val="00537C20"/>
    <w:rsid w:val="00537D9D"/>
    <w:rsid w:val="00537E5B"/>
    <w:rsid w:val="00537E68"/>
    <w:rsid w:val="00537FDD"/>
    <w:rsid w:val="0054007C"/>
    <w:rsid w:val="00540197"/>
    <w:rsid w:val="005401D4"/>
    <w:rsid w:val="005405CD"/>
    <w:rsid w:val="005406FC"/>
    <w:rsid w:val="005408C7"/>
    <w:rsid w:val="00540E59"/>
    <w:rsid w:val="005412A2"/>
    <w:rsid w:val="00541307"/>
    <w:rsid w:val="0054133A"/>
    <w:rsid w:val="00541482"/>
    <w:rsid w:val="0054155C"/>
    <w:rsid w:val="00541FA3"/>
    <w:rsid w:val="005424AE"/>
    <w:rsid w:val="005424B5"/>
    <w:rsid w:val="005425E6"/>
    <w:rsid w:val="00542612"/>
    <w:rsid w:val="00542660"/>
    <w:rsid w:val="0054281C"/>
    <w:rsid w:val="00542A65"/>
    <w:rsid w:val="00542AB8"/>
    <w:rsid w:val="0054303D"/>
    <w:rsid w:val="00543054"/>
    <w:rsid w:val="005434A8"/>
    <w:rsid w:val="00543B5A"/>
    <w:rsid w:val="00543D3F"/>
    <w:rsid w:val="005440F0"/>
    <w:rsid w:val="00544455"/>
    <w:rsid w:val="00544727"/>
    <w:rsid w:val="00544963"/>
    <w:rsid w:val="00544B7D"/>
    <w:rsid w:val="00544D09"/>
    <w:rsid w:val="00545850"/>
    <w:rsid w:val="0054593F"/>
    <w:rsid w:val="00545A01"/>
    <w:rsid w:val="00545A5E"/>
    <w:rsid w:val="0054632E"/>
    <w:rsid w:val="00546397"/>
    <w:rsid w:val="005464EF"/>
    <w:rsid w:val="005466CA"/>
    <w:rsid w:val="00546CB7"/>
    <w:rsid w:val="005470E9"/>
    <w:rsid w:val="005473EA"/>
    <w:rsid w:val="00547C68"/>
    <w:rsid w:val="00547DF4"/>
    <w:rsid w:val="00547E49"/>
    <w:rsid w:val="00550284"/>
    <w:rsid w:val="0055050B"/>
    <w:rsid w:val="0055058F"/>
    <w:rsid w:val="005506CC"/>
    <w:rsid w:val="0055086F"/>
    <w:rsid w:val="00550876"/>
    <w:rsid w:val="005508A7"/>
    <w:rsid w:val="00550BB3"/>
    <w:rsid w:val="00550C18"/>
    <w:rsid w:val="00550C2C"/>
    <w:rsid w:val="00550FA7"/>
    <w:rsid w:val="005510E9"/>
    <w:rsid w:val="005511D6"/>
    <w:rsid w:val="0055143A"/>
    <w:rsid w:val="0055143F"/>
    <w:rsid w:val="0055165D"/>
    <w:rsid w:val="00551BCC"/>
    <w:rsid w:val="00551C45"/>
    <w:rsid w:val="00551C56"/>
    <w:rsid w:val="00551CE3"/>
    <w:rsid w:val="00551D2C"/>
    <w:rsid w:val="00551E7E"/>
    <w:rsid w:val="00552058"/>
    <w:rsid w:val="005526C5"/>
    <w:rsid w:val="0055288E"/>
    <w:rsid w:val="005528C0"/>
    <w:rsid w:val="00552CA4"/>
    <w:rsid w:val="00552E23"/>
    <w:rsid w:val="00553135"/>
    <w:rsid w:val="00553284"/>
    <w:rsid w:val="005535FF"/>
    <w:rsid w:val="00554175"/>
    <w:rsid w:val="005542D0"/>
    <w:rsid w:val="005542D2"/>
    <w:rsid w:val="0055432B"/>
    <w:rsid w:val="00554913"/>
    <w:rsid w:val="00554C9C"/>
    <w:rsid w:val="005552E6"/>
    <w:rsid w:val="0055544E"/>
    <w:rsid w:val="00555BB5"/>
    <w:rsid w:val="00555CB0"/>
    <w:rsid w:val="005565B4"/>
    <w:rsid w:val="005565B6"/>
    <w:rsid w:val="0055686D"/>
    <w:rsid w:val="0055687D"/>
    <w:rsid w:val="005568D0"/>
    <w:rsid w:val="005568DC"/>
    <w:rsid w:val="00556BA5"/>
    <w:rsid w:val="00556BFF"/>
    <w:rsid w:val="00556E3A"/>
    <w:rsid w:val="00557195"/>
    <w:rsid w:val="00557394"/>
    <w:rsid w:val="005575CB"/>
    <w:rsid w:val="005578F9"/>
    <w:rsid w:val="00557ABC"/>
    <w:rsid w:val="0056037B"/>
    <w:rsid w:val="005603FF"/>
    <w:rsid w:val="00560472"/>
    <w:rsid w:val="005605E7"/>
    <w:rsid w:val="005606A7"/>
    <w:rsid w:val="00560B21"/>
    <w:rsid w:val="00560BDC"/>
    <w:rsid w:val="00560C46"/>
    <w:rsid w:val="00561110"/>
    <w:rsid w:val="00561214"/>
    <w:rsid w:val="00561735"/>
    <w:rsid w:val="00561863"/>
    <w:rsid w:val="00561E7D"/>
    <w:rsid w:val="00562367"/>
    <w:rsid w:val="00562620"/>
    <w:rsid w:val="00562862"/>
    <w:rsid w:val="00562928"/>
    <w:rsid w:val="00562998"/>
    <w:rsid w:val="00562B87"/>
    <w:rsid w:val="00562BD7"/>
    <w:rsid w:val="00562FED"/>
    <w:rsid w:val="005632EB"/>
    <w:rsid w:val="0056346C"/>
    <w:rsid w:val="00563654"/>
    <w:rsid w:val="0056378C"/>
    <w:rsid w:val="00563A74"/>
    <w:rsid w:val="00563ADB"/>
    <w:rsid w:val="00563E01"/>
    <w:rsid w:val="00563E56"/>
    <w:rsid w:val="0056419A"/>
    <w:rsid w:val="0056427B"/>
    <w:rsid w:val="00564431"/>
    <w:rsid w:val="0056456C"/>
    <w:rsid w:val="00564590"/>
    <w:rsid w:val="00564BCB"/>
    <w:rsid w:val="00564C78"/>
    <w:rsid w:val="00564CB1"/>
    <w:rsid w:val="00564EDD"/>
    <w:rsid w:val="0056501F"/>
    <w:rsid w:val="005651D5"/>
    <w:rsid w:val="0056529C"/>
    <w:rsid w:val="0056541C"/>
    <w:rsid w:val="005655F7"/>
    <w:rsid w:val="00566287"/>
    <w:rsid w:val="005663D2"/>
    <w:rsid w:val="005663E5"/>
    <w:rsid w:val="00566A69"/>
    <w:rsid w:val="00566AB8"/>
    <w:rsid w:val="00566B49"/>
    <w:rsid w:val="00566BE4"/>
    <w:rsid w:val="00566F51"/>
    <w:rsid w:val="005672D8"/>
    <w:rsid w:val="005675A4"/>
    <w:rsid w:val="0056787A"/>
    <w:rsid w:val="005679A7"/>
    <w:rsid w:val="0057015B"/>
    <w:rsid w:val="005702F0"/>
    <w:rsid w:val="0057041D"/>
    <w:rsid w:val="00570BBB"/>
    <w:rsid w:val="00570D0F"/>
    <w:rsid w:val="00571256"/>
    <w:rsid w:val="005718B9"/>
    <w:rsid w:val="00571AA6"/>
    <w:rsid w:val="00571AEC"/>
    <w:rsid w:val="00571B33"/>
    <w:rsid w:val="00572162"/>
    <w:rsid w:val="00572524"/>
    <w:rsid w:val="005725CB"/>
    <w:rsid w:val="00572791"/>
    <w:rsid w:val="0057280E"/>
    <w:rsid w:val="00572BBB"/>
    <w:rsid w:val="00572FB2"/>
    <w:rsid w:val="0057322C"/>
    <w:rsid w:val="00573297"/>
    <w:rsid w:val="005734FC"/>
    <w:rsid w:val="00573661"/>
    <w:rsid w:val="00573AA0"/>
    <w:rsid w:val="00573D71"/>
    <w:rsid w:val="00573E16"/>
    <w:rsid w:val="00574660"/>
    <w:rsid w:val="005746A4"/>
    <w:rsid w:val="005746A8"/>
    <w:rsid w:val="0057476A"/>
    <w:rsid w:val="005749FF"/>
    <w:rsid w:val="00574A3C"/>
    <w:rsid w:val="00574C02"/>
    <w:rsid w:val="00574DA2"/>
    <w:rsid w:val="00574DEE"/>
    <w:rsid w:val="00574F9E"/>
    <w:rsid w:val="005751AC"/>
    <w:rsid w:val="00575265"/>
    <w:rsid w:val="005752AE"/>
    <w:rsid w:val="005754A2"/>
    <w:rsid w:val="00575A2C"/>
    <w:rsid w:val="00575B5C"/>
    <w:rsid w:val="00575D3C"/>
    <w:rsid w:val="00575EE2"/>
    <w:rsid w:val="0057636F"/>
    <w:rsid w:val="005763AC"/>
    <w:rsid w:val="00576715"/>
    <w:rsid w:val="00576AEB"/>
    <w:rsid w:val="00576B07"/>
    <w:rsid w:val="00577291"/>
    <w:rsid w:val="005772E4"/>
    <w:rsid w:val="00577365"/>
    <w:rsid w:val="005774FF"/>
    <w:rsid w:val="00577AF2"/>
    <w:rsid w:val="00577B51"/>
    <w:rsid w:val="00577F55"/>
    <w:rsid w:val="00580062"/>
    <w:rsid w:val="005804BD"/>
    <w:rsid w:val="00580625"/>
    <w:rsid w:val="005809E5"/>
    <w:rsid w:val="00580B12"/>
    <w:rsid w:val="00580B30"/>
    <w:rsid w:val="00580D2B"/>
    <w:rsid w:val="0058113E"/>
    <w:rsid w:val="005816F1"/>
    <w:rsid w:val="00581713"/>
    <w:rsid w:val="0058175F"/>
    <w:rsid w:val="00581939"/>
    <w:rsid w:val="00581C0D"/>
    <w:rsid w:val="00581C48"/>
    <w:rsid w:val="00582117"/>
    <w:rsid w:val="0058211D"/>
    <w:rsid w:val="005822FC"/>
    <w:rsid w:val="00582345"/>
    <w:rsid w:val="0058261A"/>
    <w:rsid w:val="00582727"/>
    <w:rsid w:val="0058276D"/>
    <w:rsid w:val="005828D1"/>
    <w:rsid w:val="00582C17"/>
    <w:rsid w:val="00582D4A"/>
    <w:rsid w:val="00582E83"/>
    <w:rsid w:val="00582F3D"/>
    <w:rsid w:val="00583211"/>
    <w:rsid w:val="005832DF"/>
    <w:rsid w:val="0058331B"/>
    <w:rsid w:val="00583513"/>
    <w:rsid w:val="0058354D"/>
    <w:rsid w:val="005838D9"/>
    <w:rsid w:val="00583A2E"/>
    <w:rsid w:val="00583EAA"/>
    <w:rsid w:val="00584245"/>
    <w:rsid w:val="00584503"/>
    <w:rsid w:val="0058458E"/>
    <w:rsid w:val="005845A5"/>
    <w:rsid w:val="00584750"/>
    <w:rsid w:val="005849FD"/>
    <w:rsid w:val="00584A46"/>
    <w:rsid w:val="00584BD4"/>
    <w:rsid w:val="00584C29"/>
    <w:rsid w:val="00584FC0"/>
    <w:rsid w:val="00585036"/>
    <w:rsid w:val="00585488"/>
    <w:rsid w:val="005856C0"/>
    <w:rsid w:val="00585D3B"/>
    <w:rsid w:val="00585E16"/>
    <w:rsid w:val="00586562"/>
    <w:rsid w:val="005868DB"/>
    <w:rsid w:val="00586999"/>
    <w:rsid w:val="00586A67"/>
    <w:rsid w:val="00586B24"/>
    <w:rsid w:val="00586D82"/>
    <w:rsid w:val="00586D8B"/>
    <w:rsid w:val="005876F6"/>
    <w:rsid w:val="00587B55"/>
    <w:rsid w:val="00587E75"/>
    <w:rsid w:val="00590292"/>
    <w:rsid w:val="0059055E"/>
    <w:rsid w:val="00590572"/>
    <w:rsid w:val="005907A6"/>
    <w:rsid w:val="00590831"/>
    <w:rsid w:val="005908F9"/>
    <w:rsid w:val="00590941"/>
    <w:rsid w:val="005909DB"/>
    <w:rsid w:val="00590D6A"/>
    <w:rsid w:val="00590EE8"/>
    <w:rsid w:val="00591224"/>
    <w:rsid w:val="00591323"/>
    <w:rsid w:val="005913FF"/>
    <w:rsid w:val="005914B4"/>
    <w:rsid w:val="005915B1"/>
    <w:rsid w:val="005917E8"/>
    <w:rsid w:val="00591C46"/>
    <w:rsid w:val="00591CA4"/>
    <w:rsid w:val="005920F1"/>
    <w:rsid w:val="0059258C"/>
    <w:rsid w:val="0059269E"/>
    <w:rsid w:val="00592A1E"/>
    <w:rsid w:val="00592C6A"/>
    <w:rsid w:val="00592ED6"/>
    <w:rsid w:val="00593263"/>
    <w:rsid w:val="005934C3"/>
    <w:rsid w:val="005939B8"/>
    <w:rsid w:val="00593A62"/>
    <w:rsid w:val="00593C1B"/>
    <w:rsid w:val="00593E8B"/>
    <w:rsid w:val="00593EC7"/>
    <w:rsid w:val="00593F0D"/>
    <w:rsid w:val="005940E1"/>
    <w:rsid w:val="00594387"/>
    <w:rsid w:val="005943DC"/>
    <w:rsid w:val="005945C0"/>
    <w:rsid w:val="0059462B"/>
    <w:rsid w:val="005946D0"/>
    <w:rsid w:val="00594DCD"/>
    <w:rsid w:val="00594E48"/>
    <w:rsid w:val="00594FA5"/>
    <w:rsid w:val="00595357"/>
    <w:rsid w:val="0059571C"/>
    <w:rsid w:val="00595809"/>
    <w:rsid w:val="00595C4E"/>
    <w:rsid w:val="00595DF8"/>
    <w:rsid w:val="00595E59"/>
    <w:rsid w:val="00596009"/>
    <w:rsid w:val="005960D0"/>
    <w:rsid w:val="00596130"/>
    <w:rsid w:val="005961C6"/>
    <w:rsid w:val="005962A3"/>
    <w:rsid w:val="00596318"/>
    <w:rsid w:val="005963B4"/>
    <w:rsid w:val="005965B1"/>
    <w:rsid w:val="005967F6"/>
    <w:rsid w:val="00596815"/>
    <w:rsid w:val="005968D8"/>
    <w:rsid w:val="00596CA9"/>
    <w:rsid w:val="00597455"/>
    <w:rsid w:val="005975C1"/>
    <w:rsid w:val="00597883"/>
    <w:rsid w:val="00597999"/>
    <w:rsid w:val="005979A5"/>
    <w:rsid w:val="00597A07"/>
    <w:rsid w:val="00597A1C"/>
    <w:rsid w:val="00597D4C"/>
    <w:rsid w:val="00597F18"/>
    <w:rsid w:val="005A0077"/>
    <w:rsid w:val="005A010C"/>
    <w:rsid w:val="005A01F7"/>
    <w:rsid w:val="005A02F2"/>
    <w:rsid w:val="005A0304"/>
    <w:rsid w:val="005A05D4"/>
    <w:rsid w:val="005A0903"/>
    <w:rsid w:val="005A1076"/>
    <w:rsid w:val="005A10B0"/>
    <w:rsid w:val="005A10FC"/>
    <w:rsid w:val="005A122C"/>
    <w:rsid w:val="005A16F9"/>
    <w:rsid w:val="005A1CE2"/>
    <w:rsid w:val="005A1DF4"/>
    <w:rsid w:val="005A22A0"/>
    <w:rsid w:val="005A2472"/>
    <w:rsid w:val="005A24D2"/>
    <w:rsid w:val="005A24E5"/>
    <w:rsid w:val="005A254D"/>
    <w:rsid w:val="005A287C"/>
    <w:rsid w:val="005A29A5"/>
    <w:rsid w:val="005A29F5"/>
    <w:rsid w:val="005A2C0B"/>
    <w:rsid w:val="005A2D1A"/>
    <w:rsid w:val="005A2DA6"/>
    <w:rsid w:val="005A2E5C"/>
    <w:rsid w:val="005A316C"/>
    <w:rsid w:val="005A33A6"/>
    <w:rsid w:val="005A38D6"/>
    <w:rsid w:val="005A3B5E"/>
    <w:rsid w:val="005A3D50"/>
    <w:rsid w:val="005A3D74"/>
    <w:rsid w:val="005A3E77"/>
    <w:rsid w:val="005A4307"/>
    <w:rsid w:val="005A430E"/>
    <w:rsid w:val="005A435F"/>
    <w:rsid w:val="005A43BB"/>
    <w:rsid w:val="005A4A45"/>
    <w:rsid w:val="005A4B18"/>
    <w:rsid w:val="005A4BE8"/>
    <w:rsid w:val="005A4DFE"/>
    <w:rsid w:val="005A5486"/>
    <w:rsid w:val="005A54F3"/>
    <w:rsid w:val="005A555C"/>
    <w:rsid w:val="005A603A"/>
    <w:rsid w:val="005A6142"/>
    <w:rsid w:val="005A6292"/>
    <w:rsid w:val="005A644E"/>
    <w:rsid w:val="005A6BB4"/>
    <w:rsid w:val="005A6C20"/>
    <w:rsid w:val="005A6D6E"/>
    <w:rsid w:val="005A6D7C"/>
    <w:rsid w:val="005A6FAA"/>
    <w:rsid w:val="005A6FB8"/>
    <w:rsid w:val="005A7260"/>
    <w:rsid w:val="005A7294"/>
    <w:rsid w:val="005A72BB"/>
    <w:rsid w:val="005A7513"/>
    <w:rsid w:val="005A7736"/>
    <w:rsid w:val="005A78C6"/>
    <w:rsid w:val="005A7FEF"/>
    <w:rsid w:val="005B0007"/>
    <w:rsid w:val="005B040A"/>
    <w:rsid w:val="005B0BC9"/>
    <w:rsid w:val="005B0EDE"/>
    <w:rsid w:val="005B1152"/>
    <w:rsid w:val="005B12BF"/>
    <w:rsid w:val="005B14B6"/>
    <w:rsid w:val="005B190F"/>
    <w:rsid w:val="005B1A0E"/>
    <w:rsid w:val="005B1CEA"/>
    <w:rsid w:val="005B1D7D"/>
    <w:rsid w:val="005B1DFA"/>
    <w:rsid w:val="005B1F86"/>
    <w:rsid w:val="005B2143"/>
    <w:rsid w:val="005B2772"/>
    <w:rsid w:val="005B2907"/>
    <w:rsid w:val="005B2936"/>
    <w:rsid w:val="005B293A"/>
    <w:rsid w:val="005B2AE6"/>
    <w:rsid w:val="005B2B1B"/>
    <w:rsid w:val="005B2E78"/>
    <w:rsid w:val="005B2EFD"/>
    <w:rsid w:val="005B3015"/>
    <w:rsid w:val="005B3045"/>
    <w:rsid w:val="005B306C"/>
    <w:rsid w:val="005B3130"/>
    <w:rsid w:val="005B331E"/>
    <w:rsid w:val="005B34E8"/>
    <w:rsid w:val="005B34FB"/>
    <w:rsid w:val="005B3ABF"/>
    <w:rsid w:val="005B3B45"/>
    <w:rsid w:val="005B3C4F"/>
    <w:rsid w:val="005B3EC4"/>
    <w:rsid w:val="005B41D6"/>
    <w:rsid w:val="005B4744"/>
    <w:rsid w:val="005B4C90"/>
    <w:rsid w:val="005B4CAA"/>
    <w:rsid w:val="005B511C"/>
    <w:rsid w:val="005B51B6"/>
    <w:rsid w:val="005B5212"/>
    <w:rsid w:val="005B5418"/>
    <w:rsid w:val="005B54CE"/>
    <w:rsid w:val="005B5999"/>
    <w:rsid w:val="005B5BF2"/>
    <w:rsid w:val="005B5F3C"/>
    <w:rsid w:val="005B6083"/>
    <w:rsid w:val="005B6345"/>
    <w:rsid w:val="005B6639"/>
    <w:rsid w:val="005B680B"/>
    <w:rsid w:val="005B6863"/>
    <w:rsid w:val="005B69E4"/>
    <w:rsid w:val="005B6CE1"/>
    <w:rsid w:val="005B6DDD"/>
    <w:rsid w:val="005B71A0"/>
    <w:rsid w:val="005B7453"/>
    <w:rsid w:val="005B77D0"/>
    <w:rsid w:val="005B7B6D"/>
    <w:rsid w:val="005B7F68"/>
    <w:rsid w:val="005B7F70"/>
    <w:rsid w:val="005C0514"/>
    <w:rsid w:val="005C05AA"/>
    <w:rsid w:val="005C0BA9"/>
    <w:rsid w:val="005C0C89"/>
    <w:rsid w:val="005C0D84"/>
    <w:rsid w:val="005C1100"/>
    <w:rsid w:val="005C1267"/>
    <w:rsid w:val="005C135F"/>
    <w:rsid w:val="005C1395"/>
    <w:rsid w:val="005C1468"/>
    <w:rsid w:val="005C1823"/>
    <w:rsid w:val="005C1903"/>
    <w:rsid w:val="005C1A0C"/>
    <w:rsid w:val="005C1AA9"/>
    <w:rsid w:val="005C1B05"/>
    <w:rsid w:val="005C1C7C"/>
    <w:rsid w:val="005C1DBB"/>
    <w:rsid w:val="005C1EF9"/>
    <w:rsid w:val="005C247C"/>
    <w:rsid w:val="005C2652"/>
    <w:rsid w:val="005C2D8E"/>
    <w:rsid w:val="005C2E3A"/>
    <w:rsid w:val="005C2E40"/>
    <w:rsid w:val="005C3DE3"/>
    <w:rsid w:val="005C3FCF"/>
    <w:rsid w:val="005C40A4"/>
    <w:rsid w:val="005C427E"/>
    <w:rsid w:val="005C4761"/>
    <w:rsid w:val="005C47FD"/>
    <w:rsid w:val="005C4952"/>
    <w:rsid w:val="005C4BA7"/>
    <w:rsid w:val="005C5506"/>
    <w:rsid w:val="005C5524"/>
    <w:rsid w:val="005C55E9"/>
    <w:rsid w:val="005C584A"/>
    <w:rsid w:val="005C58B9"/>
    <w:rsid w:val="005C592C"/>
    <w:rsid w:val="005C5B23"/>
    <w:rsid w:val="005C5CCE"/>
    <w:rsid w:val="005C5F17"/>
    <w:rsid w:val="005C5FB9"/>
    <w:rsid w:val="005C62E3"/>
    <w:rsid w:val="005C6310"/>
    <w:rsid w:val="005C638E"/>
    <w:rsid w:val="005C65F5"/>
    <w:rsid w:val="005C6704"/>
    <w:rsid w:val="005C6BFD"/>
    <w:rsid w:val="005C6CBD"/>
    <w:rsid w:val="005C6DA4"/>
    <w:rsid w:val="005C70F8"/>
    <w:rsid w:val="005C71B6"/>
    <w:rsid w:val="005C73C5"/>
    <w:rsid w:val="005C7447"/>
    <w:rsid w:val="005C74F7"/>
    <w:rsid w:val="005C76F1"/>
    <w:rsid w:val="005D0154"/>
    <w:rsid w:val="005D0231"/>
    <w:rsid w:val="005D0303"/>
    <w:rsid w:val="005D031E"/>
    <w:rsid w:val="005D03F6"/>
    <w:rsid w:val="005D0440"/>
    <w:rsid w:val="005D04A0"/>
    <w:rsid w:val="005D0713"/>
    <w:rsid w:val="005D0B56"/>
    <w:rsid w:val="005D0ECB"/>
    <w:rsid w:val="005D142D"/>
    <w:rsid w:val="005D1510"/>
    <w:rsid w:val="005D17C8"/>
    <w:rsid w:val="005D1BD6"/>
    <w:rsid w:val="005D1BFE"/>
    <w:rsid w:val="005D1C11"/>
    <w:rsid w:val="005D1D20"/>
    <w:rsid w:val="005D1FE5"/>
    <w:rsid w:val="005D2081"/>
    <w:rsid w:val="005D2395"/>
    <w:rsid w:val="005D260F"/>
    <w:rsid w:val="005D2CB6"/>
    <w:rsid w:val="005D37C8"/>
    <w:rsid w:val="005D38D2"/>
    <w:rsid w:val="005D3CAD"/>
    <w:rsid w:val="005D3D4C"/>
    <w:rsid w:val="005D3F2C"/>
    <w:rsid w:val="005D3FEF"/>
    <w:rsid w:val="005D443B"/>
    <w:rsid w:val="005D443E"/>
    <w:rsid w:val="005D4553"/>
    <w:rsid w:val="005D47E0"/>
    <w:rsid w:val="005D4C00"/>
    <w:rsid w:val="005D4D3E"/>
    <w:rsid w:val="005D4F5A"/>
    <w:rsid w:val="005D5010"/>
    <w:rsid w:val="005D5168"/>
    <w:rsid w:val="005D530A"/>
    <w:rsid w:val="005D5473"/>
    <w:rsid w:val="005D56F1"/>
    <w:rsid w:val="005D574F"/>
    <w:rsid w:val="005D58D3"/>
    <w:rsid w:val="005D599D"/>
    <w:rsid w:val="005D5A16"/>
    <w:rsid w:val="005D5B44"/>
    <w:rsid w:val="005D5EDD"/>
    <w:rsid w:val="005D5F8B"/>
    <w:rsid w:val="005D5FFC"/>
    <w:rsid w:val="005D64AA"/>
    <w:rsid w:val="005D6579"/>
    <w:rsid w:val="005D6947"/>
    <w:rsid w:val="005D69B3"/>
    <w:rsid w:val="005D6AE8"/>
    <w:rsid w:val="005D6C0D"/>
    <w:rsid w:val="005D6E29"/>
    <w:rsid w:val="005D72ED"/>
    <w:rsid w:val="005D7305"/>
    <w:rsid w:val="005D73AF"/>
    <w:rsid w:val="005D785A"/>
    <w:rsid w:val="005E02AA"/>
    <w:rsid w:val="005E0C22"/>
    <w:rsid w:val="005E1A0C"/>
    <w:rsid w:val="005E1DE8"/>
    <w:rsid w:val="005E1F71"/>
    <w:rsid w:val="005E2013"/>
    <w:rsid w:val="005E20C9"/>
    <w:rsid w:val="005E2161"/>
    <w:rsid w:val="005E234C"/>
    <w:rsid w:val="005E29B9"/>
    <w:rsid w:val="005E2AB7"/>
    <w:rsid w:val="005E2CC8"/>
    <w:rsid w:val="005E2CC9"/>
    <w:rsid w:val="005E3052"/>
    <w:rsid w:val="005E31E9"/>
    <w:rsid w:val="005E3269"/>
    <w:rsid w:val="005E342C"/>
    <w:rsid w:val="005E37C6"/>
    <w:rsid w:val="005E3BF7"/>
    <w:rsid w:val="005E3C2B"/>
    <w:rsid w:val="005E43A8"/>
    <w:rsid w:val="005E4611"/>
    <w:rsid w:val="005E4693"/>
    <w:rsid w:val="005E471E"/>
    <w:rsid w:val="005E4A12"/>
    <w:rsid w:val="005E4B03"/>
    <w:rsid w:val="005E4C6B"/>
    <w:rsid w:val="005E4DB8"/>
    <w:rsid w:val="005E4E20"/>
    <w:rsid w:val="005E50E3"/>
    <w:rsid w:val="005E580B"/>
    <w:rsid w:val="005E59B9"/>
    <w:rsid w:val="005E5A68"/>
    <w:rsid w:val="005E5E10"/>
    <w:rsid w:val="005E5EB6"/>
    <w:rsid w:val="005E665A"/>
    <w:rsid w:val="005E678F"/>
    <w:rsid w:val="005E6D25"/>
    <w:rsid w:val="005E6E09"/>
    <w:rsid w:val="005E6F13"/>
    <w:rsid w:val="005E6F28"/>
    <w:rsid w:val="005E6FCD"/>
    <w:rsid w:val="005E706C"/>
    <w:rsid w:val="005E7212"/>
    <w:rsid w:val="005E7673"/>
    <w:rsid w:val="005E776D"/>
    <w:rsid w:val="005E7985"/>
    <w:rsid w:val="005E7C7B"/>
    <w:rsid w:val="005E7E37"/>
    <w:rsid w:val="005E7E57"/>
    <w:rsid w:val="005F025B"/>
    <w:rsid w:val="005F0764"/>
    <w:rsid w:val="005F0982"/>
    <w:rsid w:val="005F0C1A"/>
    <w:rsid w:val="005F0D6C"/>
    <w:rsid w:val="005F16D9"/>
    <w:rsid w:val="005F1924"/>
    <w:rsid w:val="005F1AC2"/>
    <w:rsid w:val="005F1B0B"/>
    <w:rsid w:val="005F1B78"/>
    <w:rsid w:val="005F231F"/>
    <w:rsid w:val="005F232E"/>
    <w:rsid w:val="005F2715"/>
    <w:rsid w:val="005F2903"/>
    <w:rsid w:val="005F2CAE"/>
    <w:rsid w:val="005F2CF7"/>
    <w:rsid w:val="005F2EF3"/>
    <w:rsid w:val="005F3022"/>
    <w:rsid w:val="005F30CA"/>
    <w:rsid w:val="005F324D"/>
    <w:rsid w:val="005F33A9"/>
    <w:rsid w:val="005F37EC"/>
    <w:rsid w:val="005F3847"/>
    <w:rsid w:val="005F3C00"/>
    <w:rsid w:val="005F3C31"/>
    <w:rsid w:val="005F3FC2"/>
    <w:rsid w:val="005F429B"/>
    <w:rsid w:val="005F4634"/>
    <w:rsid w:val="005F46D1"/>
    <w:rsid w:val="005F4749"/>
    <w:rsid w:val="005F481C"/>
    <w:rsid w:val="005F4AD1"/>
    <w:rsid w:val="005F4E2E"/>
    <w:rsid w:val="005F5099"/>
    <w:rsid w:val="005F53E2"/>
    <w:rsid w:val="005F5566"/>
    <w:rsid w:val="005F56DA"/>
    <w:rsid w:val="005F577D"/>
    <w:rsid w:val="005F584E"/>
    <w:rsid w:val="005F6AF0"/>
    <w:rsid w:val="005F6D3B"/>
    <w:rsid w:val="005F6ED8"/>
    <w:rsid w:val="005F7446"/>
    <w:rsid w:val="005F7834"/>
    <w:rsid w:val="005F7914"/>
    <w:rsid w:val="005F7942"/>
    <w:rsid w:val="005F79D3"/>
    <w:rsid w:val="005F7BF4"/>
    <w:rsid w:val="005F7D02"/>
    <w:rsid w:val="005F7F93"/>
    <w:rsid w:val="00600331"/>
    <w:rsid w:val="0060070A"/>
    <w:rsid w:val="0060082A"/>
    <w:rsid w:val="00600CE3"/>
    <w:rsid w:val="00600FEA"/>
    <w:rsid w:val="0060100C"/>
    <w:rsid w:val="006012AC"/>
    <w:rsid w:val="0060162A"/>
    <w:rsid w:val="006019F4"/>
    <w:rsid w:val="00601C4E"/>
    <w:rsid w:val="00602013"/>
    <w:rsid w:val="006021CA"/>
    <w:rsid w:val="006022E7"/>
    <w:rsid w:val="006024DD"/>
    <w:rsid w:val="00602596"/>
    <w:rsid w:val="00602DB9"/>
    <w:rsid w:val="00602DD0"/>
    <w:rsid w:val="00602F3D"/>
    <w:rsid w:val="00603118"/>
    <w:rsid w:val="0060312D"/>
    <w:rsid w:val="0060316D"/>
    <w:rsid w:val="00603267"/>
    <w:rsid w:val="0060334A"/>
    <w:rsid w:val="00603406"/>
    <w:rsid w:val="00603658"/>
    <w:rsid w:val="00603731"/>
    <w:rsid w:val="00603758"/>
    <w:rsid w:val="006038E2"/>
    <w:rsid w:val="00603918"/>
    <w:rsid w:val="00603A4C"/>
    <w:rsid w:val="00603BD8"/>
    <w:rsid w:val="00603CA3"/>
    <w:rsid w:val="00603F32"/>
    <w:rsid w:val="00604392"/>
    <w:rsid w:val="00604404"/>
    <w:rsid w:val="00604450"/>
    <w:rsid w:val="00604C4B"/>
    <w:rsid w:val="00604D81"/>
    <w:rsid w:val="00604E8C"/>
    <w:rsid w:val="006050C2"/>
    <w:rsid w:val="00605272"/>
    <w:rsid w:val="00605296"/>
    <w:rsid w:val="006055F6"/>
    <w:rsid w:val="0060592A"/>
    <w:rsid w:val="006059E1"/>
    <w:rsid w:val="00605AEA"/>
    <w:rsid w:val="00605B84"/>
    <w:rsid w:val="00605BD0"/>
    <w:rsid w:val="00605CD1"/>
    <w:rsid w:val="00605EFC"/>
    <w:rsid w:val="00605F3B"/>
    <w:rsid w:val="00605F61"/>
    <w:rsid w:val="006064D8"/>
    <w:rsid w:val="006065EA"/>
    <w:rsid w:val="00606630"/>
    <w:rsid w:val="006066D4"/>
    <w:rsid w:val="00606AF4"/>
    <w:rsid w:val="00606D67"/>
    <w:rsid w:val="00606E5D"/>
    <w:rsid w:val="00606FD3"/>
    <w:rsid w:val="00607083"/>
    <w:rsid w:val="006073A2"/>
    <w:rsid w:val="0060752C"/>
    <w:rsid w:val="00607802"/>
    <w:rsid w:val="00607CBD"/>
    <w:rsid w:val="00607EDB"/>
    <w:rsid w:val="00607FD7"/>
    <w:rsid w:val="00607FE1"/>
    <w:rsid w:val="00610143"/>
    <w:rsid w:val="006105D1"/>
    <w:rsid w:val="0061062D"/>
    <w:rsid w:val="006106A3"/>
    <w:rsid w:val="00610841"/>
    <w:rsid w:val="00610B0B"/>
    <w:rsid w:val="00610CF4"/>
    <w:rsid w:val="00610E47"/>
    <w:rsid w:val="0061130F"/>
    <w:rsid w:val="006113D5"/>
    <w:rsid w:val="00611ACD"/>
    <w:rsid w:val="00611B45"/>
    <w:rsid w:val="00611CE0"/>
    <w:rsid w:val="00611FDE"/>
    <w:rsid w:val="00612032"/>
    <w:rsid w:val="0061226E"/>
    <w:rsid w:val="0061232B"/>
    <w:rsid w:val="00612414"/>
    <w:rsid w:val="0061241A"/>
    <w:rsid w:val="006124A2"/>
    <w:rsid w:val="00612B0C"/>
    <w:rsid w:val="00612BC8"/>
    <w:rsid w:val="00612D2A"/>
    <w:rsid w:val="00612EA6"/>
    <w:rsid w:val="0061361F"/>
    <w:rsid w:val="00613A1D"/>
    <w:rsid w:val="00613C21"/>
    <w:rsid w:val="00613D6A"/>
    <w:rsid w:val="0061400E"/>
    <w:rsid w:val="00614349"/>
    <w:rsid w:val="0061475A"/>
    <w:rsid w:val="00614778"/>
    <w:rsid w:val="00614A39"/>
    <w:rsid w:val="00614EAA"/>
    <w:rsid w:val="0061502D"/>
    <w:rsid w:val="006153EB"/>
    <w:rsid w:val="006154B7"/>
    <w:rsid w:val="0061554B"/>
    <w:rsid w:val="00615699"/>
    <w:rsid w:val="006159FD"/>
    <w:rsid w:val="00615AD3"/>
    <w:rsid w:val="00616139"/>
    <w:rsid w:val="006168BC"/>
    <w:rsid w:val="006168D9"/>
    <w:rsid w:val="00616EE4"/>
    <w:rsid w:val="00617160"/>
    <w:rsid w:val="006176D8"/>
    <w:rsid w:val="006179F4"/>
    <w:rsid w:val="00617D11"/>
    <w:rsid w:val="00617D9F"/>
    <w:rsid w:val="00617F33"/>
    <w:rsid w:val="006200E5"/>
    <w:rsid w:val="006203D0"/>
    <w:rsid w:val="00620428"/>
    <w:rsid w:val="006208BF"/>
    <w:rsid w:val="006209A9"/>
    <w:rsid w:val="00620C27"/>
    <w:rsid w:val="00620CE1"/>
    <w:rsid w:val="0062114A"/>
    <w:rsid w:val="006213DE"/>
    <w:rsid w:val="0062158F"/>
    <w:rsid w:val="006218D9"/>
    <w:rsid w:val="00621C1B"/>
    <w:rsid w:val="00621D0A"/>
    <w:rsid w:val="006220FF"/>
    <w:rsid w:val="00622721"/>
    <w:rsid w:val="0062273A"/>
    <w:rsid w:val="006227B1"/>
    <w:rsid w:val="006227FB"/>
    <w:rsid w:val="0062299C"/>
    <w:rsid w:val="00622BF3"/>
    <w:rsid w:val="00622C66"/>
    <w:rsid w:val="00622DBC"/>
    <w:rsid w:val="0062330F"/>
    <w:rsid w:val="0062348A"/>
    <w:rsid w:val="00623B5A"/>
    <w:rsid w:val="00623CB0"/>
    <w:rsid w:val="00623DDF"/>
    <w:rsid w:val="00624131"/>
    <w:rsid w:val="0062427F"/>
    <w:rsid w:val="006245EC"/>
    <w:rsid w:val="0062478C"/>
    <w:rsid w:val="006247FF"/>
    <w:rsid w:val="00624BE9"/>
    <w:rsid w:val="00624D72"/>
    <w:rsid w:val="00624ED9"/>
    <w:rsid w:val="00624F63"/>
    <w:rsid w:val="00625196"/>
    <w:rsid w:val="006252FC"/>
    <w:rsid w:val="006254FA"/>
    <w:rsid w:val="00625964"/>
    <w:rsid w:val="00625A04"/>
    <w:rsid w:val="00625CFA"/>
    <w:rsid w:val="00625F9D"/>
    <w:rsid w:val="00626322"/>
    <w:rsid w:val="00627136"/>
    <w:rsid w:val="0062742C"/>
    <w:rsid w:val="006275DA"/>
    <w:rsid w:val="006277A6"/>
    <w:rsid w:val="006278ED"/>
    <w:rsid w:val="00627B17"/>
    <w:rsid w:val="00627EDC"/>
    <w:rsid w:val="00630144"/>
    <w:rsid w:val="0063021F"/>
    <w:rsid w:val="006303EC"/>
    <w:rsid w:val="006304A1"/>
    <w:rsid w:val="00630593"/>
    <w:rsid w:val="006306BC"/>
    <w:rsid w:val="00630853"/>
    <w:rsid w:val="00630962"/>
    <w:rsid w:val="00630A79"/>
    <w:rsid w:val="00630C47"/>
    <w:rsid w:val="00630F2A"/>
    <w:rsid w:val="0063113C"/>
    <w:rsid w:val="00631257"/>
    <w:rsid w:val="00631455"/>
    <w:rsid w:val="00631462"/>
    <w:rsid w:val="006314B9"/>
    <w:rsid w:val="00631590"/>
    <w:rsid w:val="00631B77"/>
    <w:rsid w:val="00631B9C"/>
    <w:rsid w:val="0063213D"/>
    <w:rsid w:val="006322A9"/>
    <w:rsid w:val="006322ED"/>
    <w:rsid w:val="00632CBA"/>
    <w:rsid w:val="00632D79"/>
    <w:rsid w:val="0063316A"/>
    <w:rsid w:val="00633256"/>
    <w:rsid w:val="00633392"/>
    <w:rsid w:val="0063345D"/>
    <w:rsid w:val="006335D2"/>
    <w:rsid w:val="00633921"/>
    <w:rsid w:val="00633AFC"/>
    <w:rsid w:val="00633E0B"/>
    <w:rsid w:val="006344C2"/>
    <w:rsid w:val="00634789"/>
    <w:rsid w:val="00634A19"/>
    <w:rsid w:val="00634D6A"/>
    <w:rsid w:val="00635161"/>
    <w:rsid w:val="006351CD"/>
    <w:rsid w:val="00635362"/>
    <w:rsid w:val="00635391"/>
    <w:rsid w:val="00635434"/>
    <w:rsid w:val="00635834"/>
    <w:rsid w:val="00635876"/>
    <w:rsid w:val="006358F8"/>
    <w:rsid w:val="006359C6"/>
    <w:rsid w:val="006359F5"/>
    <w:rsid w:val="00635C26"/>
    <w:rsid w:val="00635E93"/>
    <w:rsid w:val="0063609A"/>
    <w:rsid w:val="00636258"/>
    <w:rsid w:val="00636347"/>
    <w:rsid w:val="00636453"/>
    <w:rsid w:val="0063660A"/>
    <w:rsid w:val="00636723"/>
    <w:rsid w:val="00636A4D"/>
    <w:rsid w:val="00636BF2"/>
    <w:rsid w:val="00636CB8"/>
    <w:rsid w:val="00636FC3"/>
    <w:rsid w:val="00637120"/>
    <w:rsid w:val="006374DA"/>
    <w:rsid w:val="00637BB6"/>
    <w:rsid w:val="00637BD0"/>
    <w:rsid w:val="00637C2C"/>
    <w:rsid w:val="00637C39"/>
    <w:rsid w:val="00640014"/>
    <w:rsid w:val="006403F0"/>
    <w:rsid w:val="006407A0"/>
    <w:rsid w:val="006407C9"/>
    <w:rsid w:val="0064091D"/>
    <w:rsid w:val="00640996"/>
    <w:rsid w:val="00640A59"/>
    <w:rsid w:val="00640A7D"/>
    <w:rsid w:val="00640CAF"/>
    <w:rsid w:val="00641048"/>
    <w:rsid w:val="0064114F"/>
    <w:rsid w:val="00641156"/>
    <w:rsid w:val="0064119B"/>
    <w:rsid w:val="00641341"/>
    <w:rsid w:val="00641519"/>
    <w:rsid w:val="0064153B"/>
    <w:rsid w:val="00641552"/>
    <w:rsid w:val="006417FF"/>
    <w:rsid w:val="00641C92"/>
    <w:rsid w:val="00641F1A"/>
    <w:rsid w:val="00641F35"/>
    <w:rsid w:val="0064217B"/>
    <w:rsid w:val="006424AC"/>
    <w:rsid w:val="0064267E"/>
    <w:rsid w:val="006428BA"/>
    <w:rsid w:val="00642AF8"/>
    <w:rsid w:val="00642B76"/>
    <w:rsid w:val="00642CD7"/>
    <w:rsid w:val="00642D17"/>
    <w:rsid w:val="00642EBB"/>
    <w:rsid w:val="00643172"/>
    <w:rsid w:val="00643264"/>
    <w:rsid w:val="0064334B"/>
    <w:rsid w:val="00643595"/>
    <w:rsid w:val="0064366B"/>
    <w:rsid w:val="0064368B"/>
    <w:rsid w:val="006437FA"/>
    <w:rsid w:val="00643A0F"/>
    <w:rsid w:val="00643A7F"/>
    <w:rsid w:val="00643AF2"/>
    <w:rsid w:val="00643B51"/>
    <w:rsid w:val="0064445D"/>
    <w:rsid w:val="0064449A"/>
    <w:rsid w:val="00644664"/>
    <w:rsid w:val="00644981"/>
    <w:rsid w:val="00644CA1"/>
    <w:rsid w:val="00645034"/>
    <w:rsid w:val="00645216"/>
    <w:rsid w:val="006454C5"/>
    <w:rsid w:val="006454D4"/>
    <w:rsid w:val="00645D30"/>
    <w:rsid w:val="00645DE6"/>
    <w:rsid w:val="0064606E"/>
    <w:rsid w:val="00646151"/>
    <w:rsid w:val="00646234"/>
    <w:rsid w:val="006466E6"/>
    <w:rsid w:val="00646734"/>
    <w:rsid w:val="00646DCF"/>
    <w:rsid w:val="00646EB3"/>
    <w:rsid w:val="00647034"/>
    <w:rsid w:val="0064746D"/>
    <w:rsid w:val="006475C2"/>
    <w:rsid w:val="00647A66"/>
    <w:rsid w:val="00647BC4"/>
    <w:rsid w:val="00647C2F"/>
    <w:rsid w:val="00647CCF"/>
    <w:rsid w:val="00650019"/>
    <w:rsid w:val="006505BC"/>
    <w:rsid w:val="00650753"/>
    <w:rsid w:val="006507BF"/>
    <w:rsid w:val="00650BC2"/>
    <w:rsid w:val="00651043"/>
    <w:rsid w:val="00651052"/>
    <w:rsid w:val="0065166F"/>
    <w:rsid w:val="00651ABE"/>
    <w:rsid w:val="00651E3E"/>
    <w:rsid w:val="00651F82"/>
    <w:rsid w:val="006520C3"/>
    <w:rsid w:val="0065218A"/>
    <w:rsid w:val="00652212"/>
    <w:rsid w:val="0065232F"/>
    <w:rsid w:val="006524C6"/>
    <w:rsid w:val="00652DD0"/>
    <w:rsid w:val="00652E4B"/>
    <w:rsid w:val="006530E8"/>
    <w:rsid w:val="0065331D"/>
    <w:rsid w:val="006533C1"/>
    <w:rsid w:val="006536A0"/>
    <w:rsid w:val="0065381F"/>
    <w:rsid w:val="00653AED"/>
    <w:rsid w:val="00653DFB"/>
    <w:rsid w:val="00653EC9"/>
    <w:rsid w:val="006540EA"/>
    <w:rsid w:val="00654598"/>
    <w:rsid w:val="00654684"/>
    <w:rsid w:val="0065499E"/>
    <w:rsid w:val="00654AD8"/>
    <w:rsid w:val="00654F9C"/>
    <w:rsid w:val="006550E9"/>
    <w:rsid w:val="006554CC"/>
    <w:rsid w:val="006554E2"/>
    <w:rsid w:val="0065590F"/>
    <w:rsid w:val="00655C68"/>
    <w:rsid w:val="00655C93"/>
    <w:rsid w:val="00655D22"/>
    <w:rsid w:val="00655D50"/>
    <w:rsid w:val="00655D82"/>
    <w:rsid w:val="00655FF7"/>
    <w:rsid w:val="0065619D"/>
    <w:rsid w:val="006561DA"/>
    <w:rsid w:val="006566D6"/>
    <w:rsid w:val="0065679C"/>
    <w:rsid w:val="00656A20"/>
    <w:rsid w:val="00656C55"/>
    <w:rsid w:val="00656D69"/>
    <w:rsid w:val="006573B7"/>
    <w:rsid w:val="00657554"/>
    <w:rsid w:val="006575B4"/>
    <w:rsid w:val="00657871"/>
    <w:rsid w:val="00657ACA"/>
    <w:rsid w:val="00657DC9"/>
    <w:rsid w:val="00657E03"/>
    <w:rsid w:val="00657EB5"/>
    <w:rsid w:val="00657F5C"/>
    <w:rsid w:val="0066006C"/>
    <w:rsid w:val="006600D0"/>
    <w:rsid w:val="00660219"/>
    <w:rsid w:val="006606CF"/>
    <w:rsid w:val="006607AB"/>
    <w:rsid w:val="00660903"/>
    <w:rsid w:val="00660AA4"/>
    <w:rsid w:val="00660C61"/>
    <w:rsid w:val="00660CF8"/>
    <w:rsid w:val="006610D7"/>
    <w:rsid w:val="0066138C"/>
    <w:rsid w:val="006614F8"/>
    <w:rsid w:val="006617AA"/>
    <w:rsid w:val="0066183D"/>
    <w:rsid w:val="00661A92"/>
    <w:rsid w:val="00661BFE"/>
    <w:rsid w:val="00661C74"/>
    <w:rsid w:val="00661DEF"/>
    <w:rsid w:val="006623C9"/>
    <w:rsid w:val="006632E4"/>
    <w:rsid w:val="00663359"/>
    <w:rsid w:val="00663503"/>
    <w:rsid w:val="00663854"/>
    <w:rsid w:val="00663AD9"/>
    <w:rsid w:val="00663B92"/>
    <w:rsid w:val="00663DF7"/>
    <w:rsid w:val="00663F0D"/>
    <w:rsid w:val="00663F76"/>
    <w:rsid w:val="0066418A"/>
    <w:rsid w:val="00664319"/>
    <w:rsid w:val="006645DD"/>
    <w:rsid w:val="006648D7"/>
    <w:rsid w:val="00664907"/>
    <w:rsid w:val="00664B08"/>
    <w:rsid w:val="00664B8B"/>
    <w:rsid w:val="00664D95"/>
    <w:rsid w:val="00664F46"/>
    <w:rsid w:val="00665096"/>
    <w:rsid w:val="00665530"/>
    <w:rsid w:val="0066565A"/>
    <w:rsid w:val="00665669"/>
    <w:rsid w:val="00665678"/>
    <w:rsid w:val="006656A5"/>
    <w:rsid w:val="006656E9"/>
    <w:rsid w:val="0066570D"/>
    <w:rsid w:val="00666013"/>
    <w:rsid w:val="006660AE"/>
    <w:rsid w:val="006669D1"/>
    <w:rsid w:val="00666BB2"/>
    <w:rsid w:val="00666EC2"/>
    <w:rsid w:val="00666F8E"/>
    <w:rsid w:val="00667362"/>
    <w:rsid w:val="0066744E"/>
    <w:rsid w:val="00667C2A"/>
    <w:rsid w:val="00667C7B"/>
    <w:rsid w:val="00667CE4"/>
    <w:rsid w:val="00667D32"/>
    <w:rsid w:val="00667DE4"/>
    <w:rsid w:val="006700DF"/>
    <w:rsid w:val="00670194"/>
    <w:rsid w:val="006702C7"/>
    <w:rsid w:val="00670314"/>
    <w:rsid w:val="006704A7"/>
    <w:rsid w:val="00670688"/>
    <w:rsid w:val="006708CF"/>
    <w:rsid w:val="00670E61"/>
    <w:rsid w:val="00670EDF"/>
    <w:rsid w:val="00670FF9"/>
    <w:rsid w:val="00671060"/>
    <w:rsid w:val="00671233"/>
    <w:rsid w:val="006712E8"/>
    <w:rsid w:val="00671386"/>
    <w:rsid w:val="0067188C"/>
    <w:rsid w:val="00671A76"/>
    <w:rsid w:val="00671B09"/>
    <w:rsid w:val="0067244C"/>
    <w:rsid w:val="0067253E"/>
    <w:rsid w:val="006725D4"/>
    <w:rsid w:val="006726D8"/>
    <w:rsid w:val="00672A98"/>
    <w:rsid w:val="00672BC9"/>
    <w:rsid w:val="00673297"/>
    <w:rsid w:val="006736A4"/>
    <w:rsid w:val="00673D32"/>
    <w:rsid w:val="006740E5"/>
    <w:rsid w:val="006740F5"/>
    <w:rsid w:val="006742E9"/>
    <w:rsid w:val="00674389"/>
    <w:rsid w:val="006744A6"/>
    <w:rsid w:val="00674843"/>
    <w:rsid w:val="0067495C"/>
    <w:rsid w:val="00674B87"/>
    <w:rsid w:val="00674C55"/>
    <w:rsid w:val="00674C89"/>
    <w:rsid w:val="00674DA0"/>
    <w:rsid w:val="00674E0F"/>
    <w:rsid w:val="006753A6"/>
    <w:rsid w:val="006753D8"/>
    <w:rsid w:val="00675593"/>
    <w:rsid w:val="00675701"/>
    <w:rsid w:val="006758E2"/>
    <w:rsid w:val="00675EE6"/>
    <w:rsid w:val="006760C7"/>
    <w:rsid w:val="006760FB"/>
    <w:rsid w:val="006766FC"/>
    <w:rsid w:val="00676867"/>
    <w:rsid w:val="00676943"/>
    <w:rsid w:val="00676BFB"/>
    <w:rsid w:val="00676D7A"/>
    <w:rsid w:val="00676F01"/>
    <w:rsid w:val="00676F7A"/>
    <w:rsid w:val="00677350"/>
    <w:rsid w:val="00677366"/>
    <w:rsid w:val="00677386"/>
    <w:rsid w:val="006777F8"/>
    <w:rsid w:val="0067783B"/>
    <w:rsid w:val="00677A8C"/>
    <w:rsid w:val="00677D20"/>
    <w:rsid w:val="00680086"/>
    <w:rsid w:val="0068075D"/>
    <w:rsid w:val="0068082D"/>
    <w:rsid w:val="00680C04"/>
    <w:rsid w:val="00680F85"/>
    <w:rsid w:val="0068121D"/>
    <w:rsid w:val="00681433"/>
    <w:rsid w:val="00681494"/>
    <w:rsid w:val="0068197C"/>
    <w:rsid w:val="00682240"/>
    <w:rsid w:val="00682273"/>
    <w:rsid w:val="00682314"/>
    <w:rsid w:val="00682732"/>
    <w:rsid w:val="006832C5"/>
    <w:rsid w:val="006834AD"/>
    <w:rsid w:val="00683635"/>
    <w:rsid w:val="006839AC"/>
    <w:rsid w:val="00683C5A"/>
    <w:rsid w:val="00683F8D"/>
    <w:rsid w:val="00684368"/>
    <w:rsid w:val="00684644"/>
    <w:rsid w:val="006846FE"/>
    <w:rsid w:val="00684A75"/>
    <w:rsid w:val="00684E20"/>
    <w:rsid w:val="00685BF0"/>
    <w:rsid w:val="00685EBB"/>
    <w:rsid w:val="00685F12"/>
    <w:rsid w:val="006861A0"/>
    <w:rsid w:val="00686466"/>
    <w:rsid w:val="006864A1"/>
    <w:rsid w:val="006864F2"/>
    <w:rsid w:val="00686A20"/>
    <w:rsid w:val="00686B10"/>
    <w:rsid w:val="00686C43"/>
    <w:rsid w:val="00686D31"/>
    <w:rsid w:val="00686F51"/>
    <w:rsid w:val="00687325"/>
    <w:rsid w:val="006873A0"/>
    <w:rsid w:val="0068759F"/>
    <w:rsid w:val="006878DD"/>
    <w:rsid w:val="00687A5C"/>
    <w:rsid w:val="00687DF7"/>
    <w:rsid w:val="00687F54"/>
    <w:rsid w:val="00690022"/>
    <w:rsid w:val="00690036"/>
    <w:rsid w:val="00690085"/>
    <w:rsid w:val="0069012E"/>
    <w:rsid w:val="006901F7"/>
    <w:rsid w:val="00690302"/>
    <w:rsid w:val="00690633"/>
    <w:rsid w:val="00690833"/>
    <w:rsid w:val="00690848"/>
    <w:rsid w:val="006908B3"/>
    <w:rsid w:val="00690942"/>
    <w:rsid w:val="00690B43"/>
    <w:rsid w:val="00690BA1"/>
    <w:rsid w:val="00690CA7"/>
    <w:rsid w:val="00690CB3"/>
    <w:rsid w:val="00690DF8"/>
    <w:rsid w:val="00691370"/>
    <w:rsid w:val="00691473"/>
    <w:rsid w:val="006916A9"/>
    <w:rsid w:val="00691862"/>
    <w:rsid w:val="00691F42"/>
    <w:rsid w:val="00691F6D"/>
    <w:rsid w:val="006920CA"/>
    <w:rsid w:val="00692115"/>
    <w:rsid w:val="00692256"/>
    <w:rsid w:val="00692270"/>
    <w:rsid w:val="00692341"/>
    <w:rsid w:val="0069243B"/>
    <w:rsid w:val="00692444"/>
    <w:rsid w:val="0069294E"/>
    <w:rsid w:val="00692C5A"/>
    <w:rsid w:val="00692CD8"/>
    <w:rsid w:val="00692D1C"/>
    <w:rsid w:val="00692F9A"/>
    <w:rsid w:val="006930F6"/>
    <w:rsid w:val="00693B5F"/>
    <w:rsid w:val="00693C6D"/>
    <w:rsid w:val="00693E65"/>
    <w:rsid w:val="00693EF1"/>
    <w:rsid w:val="00693FEB"/>
    <w:rsid w:val="00694505"/>
    <w:rsid w:val="006947CC"/>
    <w:rsid w:val="00694AA7"/>
    <w:rsid w:val="00694BF7"/>
    <w:rsid w:val="00694CFB"/>
    <w:rsid w:val="00694F0A"/>
    <w:rsid w:val="00695365"/>
    <w:rsid w:val="00695433"/>
    <w:rsid w:val="0069543E"/>
    <w:rsid w:val="00695751"/>
    <w:rsid w:val="00695BE5"/>
    <w:rsid w:val="00695E9B"/>
    <w:rsid w:val="00695EF4"/>
    <w:rsid w:val="00695EFD"/>
    <w:rsid w:val="00696311"/>
    <w:rsid w:val="00696655"/>
    <w:rsid w:val="00696833"/>
    <w:rsid w:val="006969EF"/>
    <w:rsid w:val="00696D61"/>
    <w:rsid w:val="00696F6A"/>
    <w:rsid w:val="006971F8"/>
    <w:rsid w:val="00697BB4"/>
    <w:rsid w:val="00697C4F"/>
    <w:rsid w:val="00697DF1"/>
    <w:rsid w:val="006A01BA"/>
    <w:rsid w:val="006A01D8"/>
    <w:rsid w:val="006A0343"/>
    <w:rsid w:val="006A0858"/>
    <w:rsid w:val="006A0E47"/>
    <w:rsid w:val="006A0EE4"/>
    <w:rsid w:val="006A0F75"/>
    <w:rsid w:val="006A10D5"/>
    <w:rsid w:val="006A1E24"/>
    <w:rsid w:val="006A21ED"/>
    <w:rsid w:val="006A2205"/>
    <w:rsid w:val="006A23D1"/>
    <w:rsid w:val="006A283B"/>
    <w:rsid w:val="006A2902"/>
    <w:rsid w:val="006A2C29"/>
    <w:rsid w:val="006A2C9A"/>
    <w:rsid w:val="006A2D80"/>
    <w:rsid w:val="006A2E39"/>
    <w:rsid w:val="006A2ECC"/>
    <w:rsid w:val="006A3218"/>
    <w:rsid w:val="006A329D"/>
    <w:rsid w:val="006A32C1"/>
    <w:rsid w:val="006A34FA"/>
    <w:rsid w:val="006A3647"/>
    <w:rsid w:val="006A3737"/>
    <w:rsid w:val="006A3884"/>
    <w:rsid w:val="006A3950"/>
    <w:rsid w:val="006A3A79"/>
    <w:rsid w:val="006A41C3"/>
    <w:rsid w:val="006A41CF"/>
    <w:rsid w:val="006A41E1"/>
    <w:rsid w:val="006A43C3"/>
    <w:rsid w:val="006A450E"/>
    <w:rsid w:val="006A48C0"/>
    <w:rsid w:val="006A4AA4"/>
    <w:rsid w:val="006A4D46"/>
    <w:rsid w:val="006A4EBF"/>
    <w:rsid w:val="006A512F"/>
    <w:rsid w:val="006A56EE"/>
    <w:rsid w:val="006A5767"/>
    <w:rsid w:val="006A585B"/>
    <w:rsid w:val="006A5E20"/>
    <w:rsid w:val="006A611A"/>
    <w:rsid w:val="006A615B"/>
    <w:rsid w:val="006A6197"/>
    <w:rsid w:val="006A6703"/>
    <w:rsid w:val="006A6713"/>
    <w:rsid w:val="006A678D"/>
    <w:rsid w:val="006A6EF9"/>
    <w:rsid w:val="006A731E"/>
    <w:rsid w:val="006A75DF"/>
    <w:rsid w:val="006A78F0"/>
    <w:rsid w:val="006A7916"/>
    <w:rsid w:val="006A79E2"/>
    <w:rsid w:val="006A7A27"/>
    <w:rsid w:val="006B0127"/>
    <w:rsid w:val="006B0433"/>
    <w:rsid w:val="006B0674"/>
    <w:rsid w:val="006B06BE"/>
    <w:rsid w:val="006B08C4"/>
    <w:rsid w:val="006B0AFB"/>
    <w:rsid w:val="006B0AFE"/>
    <w:rsid w:val="006B0C44"/>
    <w:rsid w:val="006B0E7E"/>
    <w:rsid w:val="006B0ECA"/>
    <w:rsid w:val="006B107F"/>
    <w:rsid w:val="006B1593"/>
    <w:rsid w:val="006B1769"/>
    <w:rsid w:val="006B1A85"/>
    <w:rsid w:val="006B2236"/>
    <w:rsid w:val="006B2700"/>
    <w:rsid w:val="006B2B7C"/>
    <w:rsid w:val="006B2B87"/>
    <w:rsid w:val="006B2C3D"/>
    <w:rsid w:val="006B2D06"/>
    <w:rsid w:val="006B2D3B"/>
    <w:rsid w:val="006B302D"/>
    <w:rsid w:val="006B34E1"/>
    <w:rsid w:val="006B34F4"/>
    <w:rsid w:val="006B3797"/>
    <w:rsid w:val="006B397E"/>
    <w:rsid w:val="006B3A8B"/>
    <w:rsid w:val="006B4402"/>
    <w:rsid w:val="006B450D"/>
    <w:rsid w:val="006B4836"/>
    <w:rsid w:val="006B4A9C"/>
    <w:rsid w:val="006B4C08"/>
    <w:rsid w:val="006B4D0F"/>
    <w:rsid w:val="006B4F56"/>
    <w:rsid w:val="006B503B"/>
    <w:rsid w:val="006B53F3"/>
    <w:rsid w:val="006B5807"/>
    <w:rsid w:val="006B5956"/>
    <w:rsid w:val="006B59FA"/>
    <w:rsid w:val="006B5D68"/>
    <w:rsid w:val="006B5F26"/>
    <w:rsid w:val="006B6385"/>
    <w:rsid w:val="006B644A"/>
    <w:rsid w:val="006B6899"/>
    <w:rsid w:val="006B6D6A"/>
    <w:rsid w:val="006B704C"/>
    <w:rsid w:val="006B71DA"/>
    <w:rsid w:val="006B7250"/>
    <w:rsid w:val="006B73BC"/>
    <w:rsid w:val="006B7C58"/>
    <w:rsid w:val="006B7E8B"/>
    <w:rsid w:val="006B7EE3"/>
    <w:rsid w:val="006C03CF"/>
    <w:rsid w:val="006C04BC"/>
    <w:rsid w:val="006C09D9"/>
    <w:rsid w:val="006C09E4"/>
    <w:rsid w:val="006C0CF5"/>
    <w:rsid w:val="006C0E52"/>
    <w:rsid w:val="006C0ECE"/>
    <w:rsid w:val="006C0FF4"/>
    <w:rsid w:val="006C11AB"/>
    <w:rsid w:val="006C1543"/>
    <w:rsid w:val="006C1544"/>
    <w:rsid w:val="006C1D8D"/>
    <w:rsid w:val="006C1E2D"/>
    <w:rsid w:val="006C1F99"/>
    <w:rsid w:val="006C23B6"/>
    <w:rsid w:val="006C25A5"/>
    <w:rsid w:val="006C2829"/>
    <w:rsid w:val="006C28DD"/>
    <w:rsid w:val="006C2C3D"/>
    <w:rsid w:val="006C2D1F"/>
    <w:rsid w:val="006C2DC0"/>
    <w:rsid w:val="006C3608"/>
    <w:rsid w:val="006C3854"/>
    <w:rsid w:val="006C3891"/>
    <w:rsid w:val="006C38A9"/>
    <w:rsid w:val="006C38BA"/>
    <w:rsid w:val="006C38C8"/>
    <w:rsid w:val="006C39B5"/>
    <w:rsid w:val="006C3B30"/>
    <w:rsid w:val="006C3CD3"/>
    <w:rsid w:val="006C427A"/>
    <w:rsid w:val="006C44A8"/>
    <w:rsid w:val="006C4685"/>
    <w:rsid w:val="006C4734"/>
    <w:rsid w:val="006C4A08"/>
    <w:rsid w:val="006C4E51"/>
    <w:rsid w:val="006C4EA3"/>
    <w:rsid w:val="006C50C2"/>
    <w:rsid w:val="006C524D"/>
    <w:rsid w:val="006C54B8"/>
    <w:rsid w:val="006C5963"/>
    <w:rsid w:val="006C5BD3"/>
    <w:rsid w:val="006C5F6E"/>
    <w:rsid w:val="006C64F6"/>
    <w:rsid w:val="006C67B4"/>
    <w:rsid w:val="006C6A4A"/>
    <w:rsid w:val="006C6A89"/>
    <w:rsid w:val="006C6B78"/>
    <w:rsid w:val="006C6BA8"/>
    <w:rsid w:val="006C6D46"/>
    <w:rsid w:val="006C6DDE"/>
    <w:rsid w:val="006C7188"/>
    <w:rsid w:val="006C740B"/>
    <w:rsid w:val="006C745C"/>
    <w:rsid w:val="006C74DF"/>
    <w:rsid w:val="006C7687"/>
    <w:rsid w:val="006C7997"/>
    <w:rsid w:val="006C7DEE"/>
    <w:rsid w:val="006C7F6F"/>
    <w:rsid w:val="006D0048"/>
    <w:rsid w:val="006D02C8"/>
    <w:rsid w:val="006D0663"/>
    <w:rsid w:val="006D0E0A"/>
    <w:rsid w:val="006D0E85"/>
    <w:rsid w:val="006D0F2A"/>
    <w:rsid w:val="006D0F59"/>
    <w:rsid w:val="006D0F84"/>
    <w:rsid w:val="006D126B"/>
    <w:rsid w:val="006D130D"/>
    <w:rsid w:val="006D13D5"/>
    <w:rsid w:val="006D16B8"/>
    <w:rsid w:val="006D1859"/>
    <w:rsid w:val="006D1B39"/>
    <w:rsid w:val="006D1D3B"/>
    <w:rsid w:val="006D2164"/>
    <w:rsid w:val="006D2314"/>
    <w:rsid w:val="006D2635"/>
    <w:rsid w:val="006D2D30"/>
    <w:rsid w:val="006D2ED5"/>
    <w:rsid w:val="006D2F2D"/>
    <w:rsid w:val="006D2F77"/>
    <w:rsid w:val="006D332B"/>
    <w:rsid w:val="006D33A8"/>
    <w:rsid w:val="006D3446"/>
    <w:rsid w:val="006D3A47"/>
    <w:rsid w:val="006D3BFA"/>
    <w:rsid w:val="006D3C94"/>
    <w:rsid w:val="006D3E3B"/>
    <w:rsid w:val="006D4034"/>
    <w:rsid w:val="006D40C9"/>
    <w:rsid w:val="006D417C"/>
    <w:rsid w:val="006D49A5"/>
    <w:rsid w:val="006D4A30"/>
    <w:rsid w:val="006D4B90"/>
    <w:rsid w:val="006D4D13"/>
    <w:rsid w:val="006D4E52"/>
    <w:rsid w:val="006D4F18"/>
    <w:rsid w:val="006D511A"/>
    <w:rsid w:val="006D54D2"/>
    <w:rsid w:val="006D54FC"/>
    <w:rsid w:val="006D5539"/>
    <w:rsid w:val="006D5562"/>
    <w:rsid w:val="006D5756"/>
    <w:rsid w:val="006D587C"/>
    <w:rsid w:val="006D5AD7"/>
    <w:rsid w:val="006D5CDE"/>
    <w:rsid w:val="006D5E72"/>
    <w:rsid w:val="006D60A9"/>
    <w:rsid w:val="006D6105"/>
    <w:rsid w:val="006D62B4"/>
    <w:rsid w:val="006D62BE"/>
    <w:rsid w:val="006D6630"/>
    <w:rsid w:val="006D67C4"/>
    <w:rsid w:val="006D67E3"/>
    <w:rsid w:val="006D68DC"/>
    <w:rsid w:val="006D6B05"/>
    <w:rsid w:val="006D6C0E"/>
    <w:rsid w:val="006D6D7F"/>
    <w:rsid w:val="006D6DEC"/>
    <w:rsid w:val="006D6FF4"/>
    <w:rsid w:val="006D7172"/>
    <w:rsid w:val="006D7227"/>
    <w:rsid w:val="006D72E0"/>
    <w:rsid w:val="006D7750"/>
    <w:rsid w:val="006D7C3E"/>
    <w:rsid w:val="006E01F5"/>
    <w:rsid w:val="006E0382"/>
    <w:rsid w:val="006E04A3"/>
    <w:rsid w:val="006E0630"/>
    <w:rsid w:val="006E068E"/>
    <w:rsid w:val="006E0886"/>
    <w:rsid w:val="006E0A79"/>
    <w:rsid w:val="006E0AAA"/>
    <w:rsid w:val="006E10BA"/>
    <w:rsid w:val="006E135D"/>
    <w:rsid w:val="006E1506"/>
    <w:rsid w:val="006E174E"/>
    <w:rsid w:val="006E1969"/>
    <w:rsid w:val="006E1A7B"/>
    <w:rsid w:val="006E1A93"/>
    <w:rsid w:val="006E1B59"/>
    <w:rsid w:val="006E1CA4"/>
    <w:rsid w:val="006E1D3B"/>
    <w:rsid w:val="006E1D5B"/>
    <w:rsid w:val="006E1F52"/>
    <w:rsid w:val="006E1FFB"/>
    <w:rsid w:val="006E2172"/>
    <w:rsid w:val="006E2193"/>
    <w:rsid w:val="006E21B1"/>
    <w:rsid w:val="006E24F9"/>
    <w:rsid w:val="006E261D"/>
    <w:rsid w:val="006E296E"/>
    <w:rsid w:val="006E298B"/>
    <w:rsid w:val="006E29FE"/>
    <w:rsid w:val="006E2E86"/>
    <w:rsid w:val="006E30D7"/>
    <w:rsid w:val="006E333A"/>
    <w:rsid w:val="006E38E5"/>
    <w:rsid w:val="006E3A58"/>
    <w:rsid w:val="006E3DFB"/>
    <w:rsid w:val="006E3F09"/>
    <w:rsid w:val="006E42A1"/>
    <w:rsid w:val="006E42C1"/>
    <w:rsid w:val="006E434C"/>
    <w:rsid w:val="006E4412"/>
    <w:rsid w:val="006E44A5"/>
    <w:rsid w:val="006E44D1"/>
    <w:rsid w:val="006E46EC"/>
    <w:rsid w:val="006E47E2"/>
    <w:rsid w:val="006E4ABC"/>
    <w:rsid w:val="006E5071"/>
    <w:rsid w:val="006E5649"/>
    <w:rsid w:val="006E5658"/>
    <w:rsid w:val="006E56C9"/>
    <w:rsid w:val="006E5947"/>
    <w:rsid w:val="006E5D4A"/>
    <w:rsid w:val="006E5D67"/>
    <w:rsid w:val="006E635E"/>
    <w:rsid w:val="006E6375"/>
    <w:rsid w:val="006E6570"/>
    <w:rsid w:val="006E68AB"/>
    <w:rsid w:val="006E6A22"/>
    <w:rsid w:val="006E6D06"/>
    <w:rsid w:val="006E6DA5"/>
    <w:rsid w:val="006E6FA9"/>
    <w:rsid w:val="006E6FD0"/>
    <w:rsid w:val="006E7010"/>
    <w:rsid w:val="006E71F4"/>
    <w:rsid w:val="006E7251"/>
    <w:rsid w:val="006E76C2"/>
    <w:rsid w:val="006E78A1"/>
    <w:rsid w:val="006E7EEE"/>
    <w:rsid w:val="006E7EF1"/>
    <w:rsid w:val="006F003D"/>
    <w:rsid w:val="006F0163"/>
    <w:rsid w:val="006F0537"/>
    <w:rsid w:val="006F061D"/>
    <w:rsid w:val="006F06BB"/>
    <w:rsid w:val="006F0C1C"/>
    <w:rsid w:val="006F0E0D"/>
    <w:rsid w:val="006F11CF"/>
    <w:rsid w:val="006F1300"/>
    <w:rsid w:val="006F1695"/>
    <w:rsid w:val="006F19D4"/>
    <w:rsid w:val="006F1CDE"/>
    <w:rsid w:val="006F205C"/>
    <w:rsid w:val="006F2220"/>
    <w:rsid w:val="006F259D"/>
    <w:rsid w:val="006F2CFF"/>
    <w:rsid w:val="006F2F97"/>
    <w:rsid w:val="006F33AF"/>
    <w:rsid w:val="006F3728"/>
    <w:rsid w:val="006F37C1"/>
    <w:rsid w:val="006F3856"/>
    <w:rsid w:val="006F3A98"/>
    <w:rsid w:val="006F3C24"/>
    <w:rsid w:val="006F4001"/>
    <w:rsid w:val="006F413A"/>
    <w:rsid w:val="006F4AE3"/>
    <w:rsid w:val="006F4ED8"/>
    <w:rsid w:val="006F53CE"/>
    <w:rsid w:val="006F53FF"/>
    <w:rsid w:val="006F5452"/>
    <w:rsid w:val="006F55E7"/>
    <w:rsid w:val="006F56FF"/>
    <w:rsid w:val="006F5AE0"/>
    <w:rsid w:val="006F5CB5"/>
    <w:rsid w:val="006F6180"/>
    <w:rsid w:val="006F62E8"/>
    <w:rsid w:val="006F6366"/>
    <w:rsid w:val="006F6C20"/>
    <w:rsid w:val="006F6E20"/>
    <w:rsid w:val="006F70D3"/>
    <w:rsid w:val="006F70E2"/>
    <w:rsid w:val="006F7387"/>
    <w:rsid w:val="006F7414"/>
    <w:rsid w:val="006F7470"/>
    <w:rsid w:val="006F76AD"/>
    <w:rsid w:val="006F78F5"/>
    <w:rsid w:val="006F7976"/>
    <w:rsid w:val="006F7992"/>
    <w:rsid w:val="006F7D77"/>
    <w:rsid w:val="006F7E8B"/>
    <w:rsid w:val="007002BA"/>
    <w:rsid w:val="007003B7"/>
    <w:rsid w:val="007003D9"/>
    <w:rsid w:val="00700639"/>
    <w:rsid w:val="00700761"/>
    <w:rsid w:val="007007A6"/>
    <w:rsid w:val="007008CC"/>
    <w:rsid w:val="007008E3"/>
    <w:rsid w:val="00700BB3"/>
    <w:rsid w:val="00700CDF"/>
    <w:rsid w:val="00701250"/>
    <w:rsid w:val="00701286"/>
    <w:rsid w:val="007012A2"/>
    <w:rsid w:val="007012CD"/>
    <w:rsid w:val="007016A2"/>
    <w:rsid w:val="00701ED6"/>
    <w:rsid w:val="00702376"/>
    <w:rsid w:val="0070238D"/>
    <w:rsid w:val="0070249C"/>
    <w:rsid w:val="007024A8"/>
    <w:rsid w:val="00702849"/>
    <w:rsid w:val="00702868"/>
    <w:rsid w:val="00702CE1"/>
    <w:rsid w:val="00702E52"/>
    <w:rsid w:val="00702EC9"/>
    <w:rsid w:val="007032E5"/>
    <w:rsid w:val="007034E0"/>
    <w:rsid w:val="0070358B"/>
    <w:rsid w:val="0070387D"/>
    <w:rsid w:val="0070428A"/>
    <w:rsid w:val="00704581"/>
    <w:rsid w:val="00704B53"/>
    <w:rsid w:val="00704BAC"/>
    <w:rsid w:val="00704C88"/>
    <w:rsid w:val="0070549A"/>
    <w:rsid w:val="0070580E"/>
    <w:rsid w:val="00705868"/>
    <w:rsid w:val="007058ED"/>
    <w:rsid w:val="00705957"/>
    <w:rsid w:val="00705F35"/>
    <w:rsid w:val="0070601A"/>
    <w:rsid w:val="00706042"/>
    <w:rsid w:val="007063BD"/>
    <w:rsid w:val="00706A85"/>
    <w:rsid w:val="00706B2E"/>
    <w:rsid w:val="00706B9F"/>
    <w:rsid w:val="00706BFA"/>
    <w:rsid w:val="00706D54"/>
    <w:rsid w:val="00706D9D"/>
    <w:rsid w:val="00706FAD"/>
    <w:rsid w:val="0070734B"/>
    <w:rsid w:val="00707388"/>
    <w:rsid w:val="007076DF"/>
    <w:rsid w:val="007079DB"/>
    <w:rsid w:val="00707B90"/>
    <w:rsid w:val="00707C25"/>
    <w:rsid w:val="00707FD3"/>
    <w:rsid w:val="007105C4"/>
    <w:rsid w:val="00710AD0"/>
    <w:rsid w:val="00710D3C"/>
    <w:rsid w:val="00710E90"/>
    <w:rsid w:val="00710FCB"/>
    <w:rsid w:val="00711107"/>
    <w:rsid w:val="0071159E"/>
    <w:rsid w:val="00711945"/>
    <w:rsid w:val="00711A67"/>
    <w:rsid w:val="00711B40"/>
    <w:rsid w:val="00711CD7"/>
    <w:rsid w:val="00712588"/>
    <w:rsid w:val="0071269D"/>
    <w:rsid w:val="007126B0"/>
    <w:rsid w:val="0071272A"/>
    <w:rsid w:val="00712A5F"/>
    <w:rsid w:val="00712C2A"/>
    <w:rsid w:val="00712F35"/>
    <w:rsid w:val="00713225"/>
    <w:rsid w:val="007132D2"/>
    <w:rsid w:val="007138E1"/>
    <w:rsid w:val="00713B98"/>
    <w:rsid w:val="00713BA1"/>
    <w:rsid w:val="00713D54"/>
    <w:rsid w:val="007141E8"/>
    <w:rsid w:val="00714948"/>
    <w:rsid w:val="00714A1A"/>
    <w:rsid w:val="00714B1A"/>
    <w:rsid w:val="00714BFD"/>
    <w:rsid w:val="00714D89"/>
    <w:rsid w:val="00714DB9"/>
    <w:rsid w:val="00714DBE"/>
    <w:rsid w:val="00714E06"/>
    <w:rsid w:val="007153E6"/>
    <w:rsid w:val="00715501"/>
    <w:rsid w:val="00715506"/>
    <w:rsid w:val="007155E3"/>
    <w:rsid w:val="00715759"/>
    <w:rsid w:val="007159B8"/>
    <w:rsid w:val="00715AA6"/>
    <w:rsid w:val="00715F47"/>
    <w:rsid w:val="007160B3"/>
    <w:rsid w:val="0071637D"/>
    <w:rsid w:val="00716424"/>
    <w:rsid w:val="00716A96"/>
    <w:rsid w:val="00716BD4"/>
    <w:rsid w:val="00716FEE"/>
    <w:rsid w:val="00717204"/>
    <w:rsid w:val="00717460"/>
    <w:rsid w:val="00717765"/>
    <w:rsid w:val="0071793F"/>
    <w:rsid w:val="00717D2C"/>
    <w:rsid w:val="00717E41"/>
    <w:rsid w:val="00720070"/>
    <w:rsid w:val="007200CF"/>
    <w:rsid w:val="007200EE"/>
    <w:rsid w:val="00720303"/>
    <w:rsid w:val="007204A0"/>
    <w:rsid w:val="00720632"/>
    <w:rsid w:val="00720783"/>
    <w:rsid w:val="00720885"/>
    <w:rsid w:val="007209D6"/>
    <w:rsid w:val="00720D5D"/>
    <w:rsid w:val="00720DCC"/>
    <w:rsid w:val="00720EEF"/>
    <w:rsid w:val="00721292"/>
    <w:rsid w:val="00721305"/>
    <w:rsid w:val="0072196B"/>
    <w:rsid w:val="00721B09"/>
    <w:rsid w:val="00721CAA"/>
    <w:rsid w:val="0072205F"/>
    <w:rsid w:val="007221B6"/>
    <w:rsid w:val="007221E8"/>
    <w:rsid w:val="0072244C"/>
    <w:rsid w:val="0072282D"/>
    <w:rsid w:val="00722DB2"/>
    <w:rsid w:val="00723095"/>
    <w:rsid w:val="007231E8"/>
    <w:rsid w:val="00723223"/>
    <w:rsid w:val="00723316"/>
    <w:rsid w:val="007235F6"/>
    <w:rsid w:val="007239F5"/>
    <w:rsid w:val="007242B1"/>
    <w:rsid w:val="0072452E"/>
    <w:rsid w:val="007249A9"/>
    <w:rsid w:val="00724A44"/>
    <w:rsid w:val="00724F27"/>
    <w:rsid w:val="007250D7"/>
    <w:rsid w:val="00725338"/>
    <w:rsid w:val="0072548E"/>
    <w:rsid w:val="007254F4"/>
    <w:rsid w:val="007258F0"/>
    <w:rsid w:val="00725CED"/>
    <w:rsid w:val="00725E31"/>
    <w:rsid w:val="00725F31"/>
    <w:rsid w:val="007261EB"/>
    <w:rsid w:val="00726488"/>
    <w:rsid w:val="0072654B"/>
    <w:rsid w:val="00726622"/>
    <w:rsid w:val="0072675E"/>
    <w:rsid w:val="007269E0"/>
    <w:rsid w:val="007273C6"/>
    <w:rsid w:val="007275B6"/>
    <w:rsid w:val="00727846"/>
    <w:rsid w:val="00727B7F"/>
    <w:rsid w:val="00727CBE"/>
    <w:rsid w:val="00727DC9"/>
    <w:rsid w:val="00730012"/>
    <w:rsid w:val="00730406"/>
    <w:rsid w:val="00730411"/>
    <w:rsid w:val="007307D6"/>
    <w:rsid w:val="0073098C"/>
    <w:rsid w:val="00730A70"/>
    <w:rsid w:val="00730ADD"/>
    <w:rsid w:val="00730D4A"/>
    <w:rsid w:val="00730D9F"/>
    <w:rsid w:val="00730E31"/>
    <w:rsid w:val="00730FA8"/>
    <w:rsid w:val="0073146A"/>
    <w:rsid w:val="00731973"/>
    <w:rsid w:val="007319A9"/>
    <w:rsid w:val="00731EA2"/>
    <w:rsid w:val="00732269"/>
    <w:rsid w:val="0073238E"/>
    <w:rsid w:val="0073248E"/>
    <w:rsid w:val="007324AD"/>
    <w:rsid w:val="007327D7"/>
    <w:rsid w:val="00732897"/>
    <w:rsid w:val="00732915"/>
    <w:rsid w:val="00732C53"/>
    <w:rsid w:val="00732EBA"/>
    <w:rsid w:val="007330A2"/>
    <w:rsid w:val="007331DD"/>
    <w:rsid w:val="00733313"/>
    <w:rsid w:val="00734162"/>
    <w:rsid w:val="007341DE"/>
    <w:rsid w:val="007342A3"/>
    <w:rsid w:val="007343CC"/>
    <w:rsid w:val="00734549"/>
    <w:rsid w:val="00734A87"/>
    <w:rsid w:val="00734AC2"/>
    <w:rsid w:val="00735613"/>
    <w:rsid w:val="00735719"/>
    <w:rsid w:val="007357BE"/>
    <w:rsid w:val="00735A86"/>
    <w:rsid w:val="00735B41"/>
    <w:rsid w:val="00735DD9"/>
    <w:rsid w:val="007363C0"/>
    <w:rsid w:val="007364AD"/>
    <w:rsid w:val="007364BC"/>
    <w:rsid w:val="0073657C"/>
    <w:rsid w:val="007365CF"/>
    <w:rsid w:val="007366AF"/>
    <w:rsid w:val="00736C4F"/>
    <w:rsid w:val="00736E9F"/>
    <w:rsid w:val="00736FC8"/>
    <w:rsid w:val="007371C7"/>
    <w:rsid w:val="007372A7"/>
    <w:rsid w:val="0073731F"/>
    <w:rsid w:val="0073742A"/>
    <w:rsid w:val="00737430"/>
    <w:rsid w:val="0073783A"/>
    <w:rsid w:val="00737940"/>
    <w:rsid w:val="0073796E"/>
    <w:rsid w:val="00737AF3"/>
    <w:rsid w:val="0074035A"/>
    <w:rsid w:val="00740365"/>
    <w:rsid w:val="0074064A"/>
    <w:rsid w:val="007406F0"/>
    <w:rsid w:val="00740858"/>
    <w:rsid w:val="00740A27"/>
    <w:rsid w:val="00740D86"/>
    <w:rsid w:val="00740E32"/>
    <w:rsid w:val="0074122B"/>
    <w:rsid w:val="0074178F"/>
    <w:rsid w:val="007417DD"/>
    <w:rsid w:val="007417E2"/>
    <w:rsid w:val="00741A4A"/>
    <w:rsid w:val="00741B73"/>
    <w:rsid w:val="00741BC4"/>
    <w:rsid w:val="00741ECE"/>
    <w:rsid w:val="00741FF2"/>
    <w:rsid w:val="00742234"/>
    <w:rsid w:val="00742307"/>
    <w:rsid w:val="00742770"/>
    <w:rsid w:val="007428CB"/>
    <w:rsid w:val="007428E8"/>
    <w:rsid w:val="00742973"/>
    <w:rsid w:val="00742C09"/>
    <w:rsid w:val="0074314A"/>
    <w:rsid w:val="00743240"/>
    <w:rsid w:val="00743428"/>
    <w:rsid w:val="007438BA"/>
    <w:rsid w:val="0074392B"/>
    <w:rsid w:val="00743C90"/>
    <w:rsid w:val="00743F1C"/>
    <w:rsid w:val="00743F6D"/>
    <w:rsid w:val="007441AB"/>
    <w:rsid w:val="007441CA"/>
    <w:rsid w:val="00744335"/>
    <w:rsid w:val="007443C4"/>
    <w:rsid w:val="007444F8"/>
    <w:rsid w:val="007446A0"/>
    <w:rsid w:val="0074499D"/>
    <w:rsid w:val="00744B4E"/>
    <w:rsid w:val="00744C59"/>
    <w:rsid w:val="00744DFA"/>
    <w:rsid w:val="00744E62"/>
    <w:rsid w:val="00744ED3"/>
    <w:rsid w:val="00745065"/>
    <w:rsid w:val="00745268"/>
    <w:rsid w:val="007452C1"/>
    <w:rsid w:val="007452EC"/>
    <w:rsid w:val="00745454"/>
    <w:rsid w:val="00745F07"/>
    <w:rsid w:val="00745F88"/>
    <w:rsid w:val="00745F9F"/>
    <w:rsid w:val="00746138"/>
    <w:rsid w:val="007462BB"/>
    <w:rsid w:val="00746326"/>
    <w:rsid w:val="00746A01"/>
    <w:rsid w:val="00746DA2"/>
    <w:rsid w:val="0074713A"/>
    <w:rsid w:val="00747357"/>
    <w:rsid w:val="007474A7"/>
    <w:rsid w:val="0074758B"/>
    <w:rsid w:val="00747613"/>
    <w:rsid w:val="0074761D"/>
    <w:rsid w:val="007476E0"/>
    <w:rsid w:val="00747783"/>
    <w:rsid w:val="007478B5"/>
    <w:rsid w:val="007479C7"/>
    <w:rsid w:val="00747B6B"/>
    <w:rsid w:val="00747BCB"/>
    <w:rsid w:val="00747C56"/>
    <w:rsid w:val="00747D81"/>
    <w:rsid w:val="00747FCA"/>
    <w:rsid w:val="00750344"/>
    <w:rsid w:val="0075035A"/>
    <w:rsid w:val="00750BA4"/>
    <w:rsid w:val="00750D34"/>
    <w:rsid w:val="00750EC9"/>
    <w:rsid w:val="00750EF2"/>
    <w:rsid w:val="00751224"/>
    <w:rsid w:val="00751280"/>
    <w:rsid w:val="00751528"/>
    <w:rsid w:val="0075189E"/>
    <w:rsid w:val="00751C25"/>
    <w:rsid w:val="00751D18"/>
    <w:rsid w:val="00752180"/>
    <w:rsid w:val="00752393"/>
    <w:rsid w:val="007523C5"/>
    <w:rsid w:val="00752475"/>
    <w:rsid w:val="00752A52"/>
    <w:rsid w:val="00752B79"/>
    <w:rsid w:val="00752D1D"/>
    <w:rsid w:val="00752DA5"/>
    <w:rsid w:val="007533CF"/>
    <w:rsid w:val="0075354A"/>
    <w:rsid w:val="007536C5"/>
    <w:rsid w:val="00753B34"/>
    <w:rsid w:val="00753F96"/>
    <w:rsid w:val="00753FAD"/>
    <w:rsid w:val="00754115"/>
    <w:rsid w:val="00754290"/>
    <w:rsid w:val="0075497C"/>
    <w:rsid w:val="00754ABE"/>
    <w:rsid w:val="00754DDB"/>
    <w:rsid w:val="0075523B"/>
    <w:rsid w:val="00755247"/>
    <w:rsid w:val="00755253"/>
    <w:rsid w:val="007553F9"/>
    <w:rsid w:val="007556F5"/>
    <w:rsid w:val="00755724"/>
    <w:rsid w:val="00755919"/>
    <w:rsid w:val="00755E39"/>
    <w:rsid w:val="007561F0"/>
    <w:rsid w:val="00756304"/>
    <w:rsid w:val="007563F0"/>
    <w:rsid w:val="00756606"/>
    <w:rsid w:val="0075698D"/>
    <w:rsid w:val="00756A56"/>
    <w:rsid w:val="00756ACF"/>
    <w:rsid w:val="00756B8D"/>
    <w:rsid w:val="00756BA2"/>
    <w:rsid w:val="00756C10"/>
    <w:rsid w:val="00756C6A"/>
    <w:rsid w:val="00756E9B"/>
    <w:rsid w:val="0075700D"/>
    <w:rsid w:val="007570BB"/>
    <w:rsid w:val="00757146"/>
    <w:rsid w:val="007571A4"/>
    <w:rsid w:val="00757ADB"/>
    <w:rsid w:val="00757B63"/>
    <w:rsid w:val="007601C8"/>
    <w:rsid w:val="007601E3"/>
    <w:rsid w:val="007602E3"/>
    <w:rsid w:val="00760307"/>
    <w:rsid w:val="00760481"/>
    <w:rsid w:val="0076069E"/>
    <w:rsid w:val="00760AF0"/>
    <w:rsid w:val="0076110E"/>
    <w:rsid w:val="00761217"/>
    <w:rsid w:val="00761781"/>
    <w:rsid w:val="00761986"/>
    <w:rsid w:val="00761C6D"/>
    <w:rsid w:val="00761E1C"/>
    <w:rsid w:val="00761F1C"/>
    <w:rsid w:val="007620E8"/>
    <w:rsid w:val="0076246A"/>
    <w:rsid w:val="0076261D"/>
    <w:rsid w:val="00762674"/>
    <w:rsid w:val="007626BC"/>
    <w:rsid w:val="00762B22"/>
    <w:rsid w:val="00762BB0"/>
    <w:rsid w:val="00762D6A"/>
    <w:rsid w:val="007630E7"/>
    <w:rsid w:val="0076314B"/>
    <w:rsid w:val="0076324A"/>
    <w:rsid w:val="007632F6"/>
    <w:rsid w:val="0076369B"/>
    <w:rsid w:val="007637C9"/>
    <w:rsid w:val="00763C02"/>
    <w:rsid w:val="00763C5F"/>
    <w:rsid w:val="00763F36"/>
    <w:rsid w:val="00764062"/>
    <w:rsid w:val="007640D7"/>
    <w:rsid w:val="00764135"/>
    <w:rsid w:val="00764156"/>
    <w:rsid w:val="007642FF"/>
    <w:rsid w:val="0076453C"/>
    <w:rsid w:val="0076455E"/>
    <w:rsid w:val="0076456E"/>
    <w:rsid w:val="007648AF"/>
    <w:rsid w:val="007648D8"/>
    <w:rsid w:val="007649C7"/>
    <w:rsid w:val="00764AD2"/>
    <w:rsid w:val="00764B6C"/>
    <w:rsid w:val="00764BE2"/>
    <w:rsid w:val="00764D6A"/>
    <w:rsid w:val="007650AD"/>
    <w:rsid w:val="007650E2"/>
    <w:rsid w:val="007652B8"/>
    <w:rsid w:val="007653EB"/>
    <w:rsid w:val="00765830"/>
    <w:rsid w:val="00765940"/>
    <w:rsid w:val="00765947"/>
    <w:rsid w:val="0076595E"/>
    <w:rsid w:val="007659EA"/>
    <w:rsid w:val="00765AD0"/>
    <w:rsid w:val="00765B0C"/>
    <w:rsid w:val="00765B9E"/>
    <w:rsid w:val="00765E68"/>
    <w:rsid w:val="00765E78"/>
    <w:rsid w:val="00765FCA"/>
    <w:rsid w:val="0076638A"/>
    <w:rsid w:val="0076650B"/>
    <w:rsid w:val="0076667A"/>
    <w:rsid w:val="00766985"/>
    <w:rsid w:val="00766FA0"/>
    <w:rsid w:val="00767006"/>
    <w:rsid w:val="0076705D"/>
    <w:rsid w:val="007671F4"/>
    <w:rsid w:val="007673F4"/>
    <w:rsid w:val="007676F2"/>
    <w:rsid w:val="007679C7"/>
    <w:rsid w:val="00767ADB"/>
    <w:rsid w:val="00767FDE"/>
    <w:rsid w:val="00770099"/>
    <w:rsid w:val="00770270"/>
    <w:rsid w:val="00770329"/>
    <w:rsid w:val="0077057A"/>
    <w:rsid w:val="00770B1C"/>
    <w:rsid w:val="00770F74"/>
    <w:rsid w:val="00771175"/>
    <w:rsid w:val="00771384"/>
    <w:rsid w:val="007714B8"/>
    <w:rsid w:val="007715D7"/>
    <w:rsid w:val="00771A26"/>
    <w:rsid w:val="00771CB7"/>
    <w:rsid w:val="00772027"/>
    <w:rsid w:val="007720E4"/>
    <w:rsid w:val="0077212A"/>
    <w:rsid w:val="007724DD"/>
    <w:rsid w:val="007724E7"/>
    <w:rsid w:val="00772ADB"/>
    <w:rsid w:val="00773126"/>
    <w:rsid w:val="007733D6"/>
    <w:rsid w:val="007735FD"/>
    <w:rsid w:val="0077372E"/>
    <w:rsid w:val="00774011"/>
    <w:rsid w:val="00774295"/>
    <w:rsid w:val="007745C7"/>
    <w:rsid w:val="00774806"/>
    <w:rsid w:val="00774BE8"/>
    <w:rsid w:val="00774CC3"/>
    <w:rsid w:val="00774CF8"/>
    <w:rsid w:val="00774E62"/>
    <w:rsid w:val="0077517E"/>
    <w:rsid w:val="00775300"/>
    <w:rsid w:val="00775751"/>
    <w:rsid w:val="007757EB"/>
    <w:rsid w:val="007758C9"/>
    <w:rsid w:val="007759DF"/>
    <w:rsid w:val="00775A79"/>
    <w:rsid w:val="00775AAC"/>
    <w:rsid w:val="00775B30"/>
    <w:rsid w:val="00775BB8"/>
    <w:rsid w:val="007761AC"/>
    <w:rsid w:val="00776207"/>
    <w:rsid w:val="00776367"/>
    <w:rsid w:val="0077667C"/>
    <w:rsid w:val="007768F1"/>
    <w:rsid w:val="007768F8"/>
    <w:rsid w:val="00776B1A"/>
    <w:rsid w:val="00776BB2"/>
    <w:rsid w:val="00776D43"/>
    <w:rsid w:val="00776DF2"/>
    <w:rsid w:val="007772DF"/>
    <w:rsid w:val="0077754C"/>
    <w:rsid w:val="007776E5"/>
    <w:rsid w:val="00777832"/>
    <w:rsid w:val="007779BD"/>
    <w:rsid w:val="00777E5E"/>
    <w:rsid w:val="00780271"/>
    <w:rsid w:val="00780796"/>
    <w:rsid w:val="00780C64"/>
    <w:rsid w:val="00781461"/>
    <w:rsid w:val="0078148A"/>
    <w:rsid w:val="007814F9"/>
    <w:rsid w:val="0078173A"/>
    <w:rsid w:val="0078174C"/>
    <w:rsid w:val="0078174D"/>
    <w:rsid w:val="00781A11"/>
    <w:rsid w:val="00781C73"/>
    <w:rsid w:val="00781CCA"/>
    <w:rsid w:val="00781E91"/>
    <w:rsid w:val="00781F62"/>
    <w:rsid w:val="0078261C"/>
    <w:rsid w:val="00782B75"/>
    <w:rsid w:val="00782D62"/>
    <w:rsid w:val="00782FE5"/>
    <w:rsid w:val="0078329B"/>
    <w:rsid w:val="007833BF"/>
    <w:rsid w:val="00783469"/>
    <w:rsid w:val="00783869"/>
    <w:rsid w:val="00783C4E"/>
    <w:rsid w:val="00783C8B"/>
    <w:rsid w:val="00783D2A"/>
    <w:rsid w:val="00783D9C"/>
    <w:rsid w:val="00783E09"/>
    <w:rsid w:val="00784694"/>
    <w:rsid w:val="00784A9D"/>
    <w:rsid w:val="00784B86"/>
    <w:rsid w:val="00784E21"/>
    <w:rsid w:val="00784E2C"/>
    <w:rsid w:val="00784E46"/>
    <w:rsid w:val="00784E63"/>
    <w:rsid w:val="007852C3"/>
    <w:rsid w:val="007852DF"/>
    <w:rsid w:val="007853A7"/>
    <w:rsid w:val="00785601"/>
    <w:rsid w:val="00785675"/>
    <w:rsid w:val="007856C7"/>
    <w:rsid w:val="00785783"/>
    <w:rsid w:val="00785891"/>
    <w:rsid w:val="00785965"/>
    <w:rsid w:val="00785FDE"/>
    <w:rsid w:val="00786058"/>
    <w:rsid w:val="007861C1"/>
    <w:rsid w:val="007867AB"/>
    <w:rsid w:val="00786982"/>
    <w:rsid w:val="00786A2B"/>
    <w:rsid w:val="00786C69"/>
    <w:rsid w:val="0078730B"/>
    <w:rsid w:val="00787349"/>
    <w:rsid w:val="007875CA"/>
    <w:rsid w:val="007875E9"/>
    <w:rsid w:val="007876B9"/>
    <w:rsid w:val="007878C4"/>
    <w:rsid w:val="00787915"/>
    <w:rsid w:val="00787C15"/>
    <w:rsid w:val="00787D44"/>
    <w:rsid w:val="00790058"/>
    <w:rsid w:val="007907F0"/>
    <w:rsid w:val="007908B5"/>
    <w:rsid w:val="00790E3A"/>
    <w:rsid w:val="00790F42"/>
    <w:rsid w:val="0079104D"/>
    <w:rsid w:val="00791311"/>
    <w:rsid w:val="007917E4"/>
    <w:rsid w:val="007917EF"/>
    <w:rsid w:val="007918D4"/>
    <w:rsid w:val="00791912"/>
    <w:rsid w:val="007919B8"/>
    <w:rsid w:val="00791BA6"/>
    <w:rsid w:val="00791BC0"/>
    <w:rsid w:val="00791E92"/>
    <w:rsid w:val="00791EBA"/>
    <w:rsid w:val="00792944"/>
    <w:rsid w:val="007929D4"/>
    <w:rsid w:val="00792C8C"/>
    <w:rsid w:val="00792E43"/>
    <w:rsid w:val="00793861"/>
    <w:rsid w:val="007939E2"/>
    <w:rsid w:val="00793CFB"/>
    <w:rsid w:val="00793F34"/>
    <w:rsid w:val="00793FC8"/>
    <w:rsid w:val="0079470E"/>
    <w:rsid w:val="00794C90"/>
    <w:rsid w:val="00794F95"/>
    <w:rsid w:val="0079529C"/>
    <w:rsid w:val="007953F2"/>
    <w:rsid w:val="0079556D"/>
    <w:rsid w:val="007956A9"/>
    <w:rsid w:val="00796012"/>
    <w:rsid w:val="007963F6"/>
    <w:rsid w:val="00796843"/>
    <w:rsid w:val="00796893"/>
    <w:rsid w:val="007968FA"/>
    <w:rsid w:val="007969F8"/>
    <w:rsid w:val="00797412"/>
    <w:rsid w:val="00797738"/>
    <w:rsid w:val="00797A30"/>
    <w:rsid w:val="00797ADF"/>
    <w:rsid w:val="00797E97"/>
    <w:rsid w:val="007A001D"/>
    <w:rsid w:val="007A01D1"/>
    <w:rsid w:val="007A021C"/>
    <w:rsid w:val="007A0269"/>
    <w:rsid w:val="007A0286"/>
    <w:rsid w:val="007A0CDC"/>
    <w:rsid w:val="007A0F8A"/>
    <w:rsid w:val="007A177E"/>
    <w:rsid w:val="007A1853"/>
    <w:rsid w:val="007A1D20"/>
    <w:rsid w:val="007A1F37"/>
    <w:rsid w:val="007A24DE"/>
    <w:rsid w:val="007A2733"/>
    <w:rsid w:val="007A27A9"/>
    <w:rsid w:val="007A2956"/>
    <w:rsid w:val="007A2AED"/>
    <w:rsid w:val="007A2CFD"/>
    <w:rsid w:val="007A3938"/>
    <w:rsid w:val="007A3962"/>
    <w:rsid w:val="007A3A60"/>
    <w:rsid w:val="007A3BB2"/>
    <w:rsid w:val="007A3BE4"/>
    <w:rsid w:val="007A3E9C"/>
    <w:rsid w:val="007A4000"/>
    <w:rsid w:val="007A43E1"/>
    <w:rsid w:val="007A449D"/>
    <w:rsid w:val="007A44F5"/>
    <w:rsid w:val="007A4899"/>
    <w:rsid w:val="007A48C2"/>
    <w:rsid w:val="007A499B"/>
    <w:rsid w:val="007A50B1"/>
    <w:rsid w:val="007A5738"/>
    <w:rsid w:val="007A578A"/>
    <w:rsid w:val="007A5AD8"/>
    <w:rsid w:val="007A5D18"/>
    <w:rsid w:val="007A5F13"/>
    <w:rsid w:val="007A5FDC"/>
    <w:rsid w:val="007A635E"/>
    <w:rsid w:val="007A687F"/>
    <w:rsid w:val="007A692F"/>
    <w:rsid w:val="007A699B"/>
    <w:rsid w:val="007A6B09"/>
    <w:rsid w:val="007A720F"/>
    <w:rsid w:val="007A746A"/>
    <w:rsid w:val="007A75DA"/>
    <w:rsid w:val="007A761D"/>
    <w:rsid w:val="007A7901"/>
    <w:rsid w:val="007A7AE5"/>
    <w:rsid w:val="007A7B33"/>
    <w:rsid w:val="007A7BBB"/>
    <w:rsid w:val="007A7C1F"/>
    <w:rsid w:val="007A7C36"/>
    <w:rsid w:val="007B0454"/>
    <w:rsid w:val="007B04AA"/>
    <w:rsid w:val="007B04D7"/>
    <w:rsid w:val="007B05F0"/>
    <w:rsid w:val="007B0647"/>
    <w:rsid w:val="007B06D1"/>
    <w:rsid w:val="007B091E"/>
    <w:rsid w:val="007B0A4A"/>
    <w:rsid w:val="007B0B24"/>
    <w:rsid w:val="007B0C5E"/>
    <w:rsid w:val="007B0FB0"/>
    <w:rsid w:val="007B1068"/>
    <w:rsid w:val="007B12BF"/>
    <w:rsid w:val="007B1302"/>
    <w:rsid w:val="007B15A6"/>
    <w:rsid w:val="007B15BD"/>
    <w:rsid w:val="007B15F2"/>
    <w:rsid w:val="007B1AA1"/>
    <w:rsid w:val="007B1B48"/>
    <w:rsid w:val="007B1E1B"/>
    <w:rsid w:val="007B1E87"/>
    <w:rsid w:val="007B2015"/>
    <w:rsid w:val="007B238D"/>
    <w:rsid w:val="007B2858"/>
    <w:rsid w:val="007B2C09"/>
    <w:rsid w:val="007B2CC1"/>
    <w:rsid w:val="007B2CF4"/>
    <w:rsid w:val="007B2F1E"/>
    <w:rsid w:val="007B3270"/>
    <w:rsid w:val="007B3276"/>
    <w:rsid w:val="007B3333"/>
    <w:rsid w:val="007B33E7"/>
    <w:rsid w:val="007B372A"/>
    <w:rsid w:val="007B388C"/>
    <w:rsid w:val="007B3978"/>
    <w:rsid w:val="007B3C07"/>
    <w:rsid w:val="007B4220"/>
    <w:rsid w:val="007B4308"/>
    <w:rsid w:val="007B4524"/>
    <w:rsid w:val="007B4597"/>
    <w:rsid w:val="007B471D"/>
    <w:rsid w:val="007B47ED"/>
    <w:rsid w:val="007B4922"/>
    <w:rsid w:val="007B49F1"/>
    <w:rsid w:val="007B4C0D"/>
    <w:rsid w:val="007B4C7A"/>
    <w:rsid w:val="007B4F76"/>
    <w:rsid w:val="007B50C6"/>
    <w:rsid w:val="007B54B6"/>
    <w:rsid w:val="007B54E3"/>
    <w:rsid w:val="007B5CA5"/>
    <w:rsid w:val="007B5D2C"/>
    <w:rsid w:val="007B5E73"/>
    <w:rsid w:val="007B5F10"/>
    <w:rsid w:val="007B5F94"/>
    <w:rsid w:val="007B602C"/>
    <w:rsid w:val="007B6205"/>
    <w:rsid w:val="007B662B"/>
    <w:rsid w:val="007B66A8"/>
    <w:rsid w:val="007B68AA"/>
    <w:rsid w:val="007B68AC"/>
    <w:rsid w:val="007B6B35"/>
    <w:rsid w:val="007B7077"/>
    <w:rsid w:val="007B745A"/>
    <w:rsid w:val="007B747E"/>
    <w:rsid w:val="007B771F"/>
    <w:rsid w:val="007B79D5"/>
    <w:rsid w:val="007B7C45"/>
    <w:rsid w:val="007B7CEE"/>
    <w:rsid w:val="007B7DFD"/>
    <w:rsid w:val="007C0692"/>
    <w:rsid w:val="007C0BF3"/>
    <w:rsid w:val="007C0DB4"/>
    <w:rsid w:val="007C0EA8"/>
    <w:rsid w:val="007C0F6B"/>
    <w:rsid w:val="007C0FE3"/>
    <w:rsid w:val="007C12C6"/>
    <w:rsid w:val="007C15EE"/>
    <w:rsid w:val="007C17B0"/>
    <w:rsid w:val="007C1C0B"/>
    <w:rsid w:val="007C1C70"/>
    <w:rsid w:val="007C1CEA"/>
    <w:rsid w:val="007C1DE2"/>
    <w:rsid w:val="007C1EEB"/>
    <w:rsid w:val="007C25FE"/>
    <w:rsid w:val="007C2659"/>
    <w:rsid w:val="007C275F"/>
    <w:rsid w:val="007C2761"/>
    <w:rsid w:val="007C27B9"/>
    <w:rsid w:val="007C27ED"/>
    <w:rsid w:val="007C2ECD"/>
    <w:rsid w:val="007C343C"/>
    <w:rsid w:val="007C35CF"/>
    <w:rsid w:val="007C3896"/>
    <w:rsid w:val="007C396C"/>
    <w:rsid w:val="007C3A97"/>
    <w:rsid w:val="007C3BFC"/>
    <w:rsid w:val="007C3C4A"/>
    <w:rsid w:val="007C3D55"/>
    <w:rsid w:val="007C3FC8"/>
    <w:rsid w:val="007C3FEE"/>
    <w:rsid w:val="007C403E"/>
    <w:rsid w:val="007C4166"/>
    <w:rsid w:val="007C45F1"/>
    <w:rsid w:val="007C4692"/>
    <w:rsid w:val="007C46BF"/>
    <w:rsid w:val="007C46DD"/>
    <w:rsid w:val="007C49E7"/>
    <w:rsid w:val="007C4A2E"/>
    <w:rsid w:val="007C4C6C"/>
    <w:rsid w:val="007C4EF4"/>
    <w:rsid w:val="007C4F0F"/>
    <w:rsid w:val="007C53D5"/>
    <w:rsid w:val="007C58DA"/>
    <w:rsid w:val="007C5CD8"/>
    <w:rsid w:val="007C5DB4"/>
    <w:rsid w:val="007C61A6"/>
    <w:rsid w:val="007C61AE"/>
    <w:rsid w:val="007C69B7"/>
    <w:rsid w:val="007C6A1B"/>
    <w:rsid w:val="007C6CDC"/>
    <w:rsid w:val="007C6DC3"/>
    <w:rsid w:val="007C6E42"/>
    <w:rsid w:val="007C72BC"/>
    <w:rsid w:val="007C744F"/>
    <w:rsid w:val="007C7B14"/>
    <w:rsid w:val="007C7B65"/>
    <w:rsid w:val="007C7CA1"/>
    <w:rsid w:val="007C7EDC"/>
    <w:rsid w:val="007C7F57"/>
    <w:rsid w:val="007D01D2"/>
    <w:rsid w:val="007D042C"/>
    <w:rsid w:val="007D0A7C"/>
    <w:rsid w:val="007D0F85"/>
    <w:rsid w:val="007D0F88"/>
    <w:rsid w:val="007D1028"/>
    <w:rsid w:val="007D1183"/>
    <w:rsid w:val="007D12B1"/>
    <w:rsid w:val="007D130E"/>
    <w:rsid w:val="007D139D"/>
    <w:rsid w:val="007D1508"/>
    <w:rsid w:val="007D1600"/>
    <w:rsid w:val="007D18C6"/>
    <w:rsid w:val="007D18FF"/>
    <w:rsid w:val="007D1A21"/>
    <w:rsid w:val="007D1B9F"/>
    <w:rsid w:val="007D1D90"/>
    <w:rsid w:val="007D1FC9"/>
    <w:rsid w:val="007D2016"/>
    <w:rsid w:val="007D216B"/>
    <w:rsid w:val="007D217A"/>
    <w:rsid w:val="007D21A2"/>
    <w:rsid w:val="007D2416"/>
    <w:rsid w:val="007D25E8"/>
    <w:rsid w:val="007D2639"/>
    <w:rsid w:val="007D2861"/>
    <w:rsid w:val="007D2FF3"/>
    <w:rsid w:val="007D306A"/>
    <w:rsid w:val="007D310E"/>
    <w:rsid w:val="007D3189"/>
    <w:rsid w:val="007D3256"/>
    <w:rsid w:val="007D351E"/>
    <w:rsid w:val="007D36C0"/>
    <w:rsid w:val="007D3734"/>
    <w:rsid w:val="007D3887"/>
    <w:rsid w:val="007D3C79"/>
    <w:rsid w:val="007D4064"/>
    <w:rsid w:val="007D443F"/>
    <w:rsid w:val="007D4570"/>
    <w:rsid w:val="007D4B26"/>
    <w:rsid w:val="007D4D49"/>
    <w:rsid w:val="007D526A"/>
    <w:rsid w:val="007D57E3"/>
    <w:rsid w:val="007D5890"/>
    <w:rsid w:val="007D5D00"/>
    <w:rsid w:val="007D5E5F"/>
    <w:rsid w:val="007D5E6B"/>
    <w:rsid w:val="007D607A"/>
    <w:rsid w:val="007D6264"/>
    <w:rsid w:val="007D6430"/>
    <w:rsid w:val="007D64D9"/>
    <w:rsid w:val="007D689A"/>
    <w:rsid w:val="007D6BFE"/>
    <w:rsid w:val="007D7037"/>
    <w:rsid w:val="007D7249"/>
    <w:rsid w:val="007D7313"/>
    <w:rsid w:val="007D7634"/>
    <w:rsid w:val="007D7771"/>
    <w:rsid w:val="007D7804"/>
    <w:rsid w:val="007D78DA"/>
    <w:rsid w:val="007D7A9E"/>
    <w:rsid w:val="007D7B79"/>
    <w:rsid w:val="007E0408"/>
    <w:rsid w:val="007E04B1"/>
    <w:rsid w:val="007E0503"/>
    <w:rsid w:val="007E0677"/>
    <w:rsid w:val="007E08F2"/>
    <w:rsid w:val="007E1151"/>
    <w:rsid w:val="007E1218"/>
    <w:rsid w:val="007E15DD"/>
    <w:rsid w:val="007E168C"/>
    <w:rsid w:val="007E172D"/>
    <w:rsid w:val="007E175D"/>
    <w:rsid w:val="007E18E6"/>
    <w:rsid w:val="007E1CAE"/>
    <w:rsid w:val="007E1D28"/>
    <w:rsid w:val="007E1E86"/>
    <w:rsid w:val="007E2169"/>
    <w:rsid w:val="007E257A"/>
    <w:rsid w:val="007E259B"/>
    <w:rsid w:val="007E270C"/>
    <w:rsid w:val="007E2A92"/>
    <w:rsid w:val="007E2B3A"/>
    <w:rsid w:val="007E2FF1"/>
    <w:rsid w:val="007E34EC"/>
    <w:rsid w:val="007E391B"/>
    <w:rsid w:val="007E3AE9"/>
    <w:rsid w:val="007E3B2B"/>
    <w:rsid w:val="007E3BC7"/>
    <w:rsid w:val="007E3FA5"/>
    <w:rsid w:val="007E3FD2"/>
    <w:rsid w:val="007E40BA"/>
    <w:rsid w:val="007E42AD"/>
    <w:rsid w:val="007E4F49"/>
    <w:rsid w:val="007E5092"/>
    <w:rsid w:val="007E54AD"/>
    <w:rsid w:val="007E553F"/>
    <w:rsid w:val="007E5982"/>
    <w:rsid w:val="007E5B54"/>
    <w:rsid w:val="007E5EEF"/>
    <w:rsid w:val="007E6270"/>
    <w:rsid w:val="007E64E8"/>
    <w:rsid w:val="007E68DE"/>
    <w:rsid w:val="007E6CEE"/>
    <w:rsid w:val="007E6CF0"/>
    <w:rsid w:val="007E6FB5"/>
    <w:rsid w:val="007E6FC5"/>
    <w:rsid w:val="007E740B"/>
    <w:rsid w:val="007E7597"/>
    <w:rsid w:val="007E76DF"/>
    <w:rsid w:val="007E7725"/>
    <w:rsid w:val="007E7A42"/>
    <w:rsid w:val="007E7E0D"/>
    <w:rsid w:val="007F04B1"/>
    <w:rsid w:val="007F0542"/>
    <w:rsid w:val="007F062D"/>
    <w:rsid w:val="007F08FD"/>
    <w:rsid w:val="007F0A3E"/>
    <w:rsid w:val="007F0C34"/>
    <w:rsid w:val="007F11E2"/>
    <w:rsid w:val="007F12D0"/>
    <w:rsid w:val="007F1429"/>
    <w:rsid w:val="007F1455"/>
    <w:rsid w:val="007F1EF7"/>
    <w:rsid w:val="007F2133"/>
    <w:rsid w:val="007F2250"/>
    <w:rsid w:val="007F22DD"/>
    <w:rsid w:val="007F23D3"/>
    <w:rsid w:val="007F24AD"/>
    <w:rsid w:val="007F2759"/>
    <w:rsid w:val="007F2B91"/>
    <w:rsid w:val="007F2BA5"/>
    <w:rsid w:val="007F2D36"/>
    <w:rsid w:val="007F2D7F"/>
    <w:rsid w:val="007F314A"/>
    <w:rsid w:val="007F3171"/>
    <w:rsid w:val="007F33E0"/>
    <w:rsid w:val="007F3569"/>
    <w:rsid w:val="007F3896"/>
    <w:rsid w:val="007F38A1"/>
    <w:rsid w:val="007F39FC"/>
    <w:rsid w:val="007F3B1D"/>
    <w:rsid w:val="007F3E5F"/>
    <w:rsid w:val="007F41DB"/>
    <w:rsid w:val="007F421D"/>
    <w:rsid w:val="007F428F"/>
    <w:rsid w:val="007F42D3"/>
    <w:rsid w:val="007F4555"/>
    <w:rsid w:val="007F4565"/>
    <w:rsid w:val="007F484F"/>
    <w:rsid w:val="007F4A60"/>
    <w:rsid w:val="007F4CEE"/>
    <w:rsid w:val="007F4D2C"/>
    <w:rsid w:val="007F4EF8"/>
    <w:rsid w:val="007F5022"/>
    <w:rsid w:val="007F523C"/>
    <w:rsid w:val="007F56BF"/>
    <w:rsid w:val="007F56E1"/>
    <w:rsid w:val="007F5A53"/>
    <w:rsid w:val="007F5AF5"/>
    <w:rsid w:val="007F5B34"/>
    <w:rsid w:val="007F5CF1"/>
    <w:rsid w:val="007F622C"/>
    <w:rsid w:val="007F648A"/>
    <w:rsid w:val="007F6523"/>
    <w:rsid w:val="007F6ACE"/>
    <w:rsid w:val="007F6AE5"/>
    <w:rsid w:val="007F6E76"/>
    <w:rsid w:val="007F6F30"/>
    <w:rsid w:val="007F6FE0"/>
    <w:rsid w:val="007F75CF"/>
    <w:rsid w:val="007F7798"/>
    <w:rsid w:val="007F7954"/>
    <w:rsid w:val="007F7AF0"/>
    <w:rsid w:val="007F7C52"/>
    <w:rsid w:val="0080006E"/>
    <w:rsid w:val="008003FA"/>
    <w:rsid w:val="0080043D"/>
    <w:rsid w:val="008007F2"/>
    <w:rsid w:val="00800D86"/>
    <w:rsid w:val="00800F44"/>
    <w:rsid w:val="00801566"/>
    <w:rsid w:val="0080183D"/>
    <w:rsid w:val="00801A1A"/>
    <w:rsid w:val="00801CEA"/>
    <w:rsid w:val="00801F42"/>
    <w:rsid w:val="00802066"/>
    <w:rsid w:val="00802113"/>
    <w:rsid w:val="0080220B"/>
    <w:rsid w:val="0080227D"/>
    <w:rsid w:val="00802751"/>
    <w:rsid w:val="0080278A"/>
    <w:rsid w:val="00802844"/>
    <w:rsid w:val="00802871"/>
    <w:rsid w:val="0080289F"/>
    <w:rsid w:val="00802951"/>
    <w:rsid w:val="00802E4B"/>
    <w:rsid w:val="008030E1"/>
    <w:rsid w:val="00803119"/>
    <w:rsid w:val="0080338C"/>
    <w:rsid w:val="0080346C"/>
    <w:rsid w:val="00803E9F"/>
    <w:rsid w:val="00803F5B"/>
    <w:rsid w:val="008040F3"/>
    <w:rsid w:val="008041E3"/>
    <w:rsid w:val="00804230"/>
    <w:rsid w:val="008043BA"/>
    <w:rsid w:val="0080464D"/>
    <w:rsid w:val="00804F06"/>
    <w:rsid w:val="00804F6F"/>
    <w:rsid w:val="0080526F"/>
    <w:rsid w:val="008053E3"/>
    <w:rsid w:val="0080574C"/>
    <w:rsid w:val="00805822"/>
    <w:rsid w:val="00805ACD"/>
    <w:rsid w:val="00805BC8"/>
    <w:rsid w:val="00805CFA"/>
    <w:rsid w:val="00805E9A"/>
    <w:rsid w:val="00806135"/>
    <w:rsid w:val="00806536"/>
    <w:rsid w:val="00806873"/>
    <w:rsid w:val="00806892"/>
    <w:rsid w:val="00806931"/>
    <w:rsid w:val="0080694F"/>
    <w:rsid w:val="008069EF"/>
    <w:rsid w:val="00806D72"/>
    <w:rsid w:val="00806FEC"/>
    <w:rsid w:val="00807143"/>
    <w:rsid w:val="00807EFD"/>
    <w:rsid w:val="00810253"/>
    <w:rsid w:val="00810587"/>
    <w:rsid w:val="00810800"/>
    <w:rsid w:val="008109A6"/>
    <w:rsid w:val="00810B10"/>
    <w:rsid w:val="00810C5B"/>
    <w:rsid w:val="00810DB1"/>
    <w:rsid w:val="00810F1D"/>
    <w:rsid w:val="00810FA8"/>
    <w:rsid w:val="0081124F"/>
    <w:rsid w:val="00811270"/>
    <w:rsid w:val="008114D4"/>
    <w:rsid w:val="00811597"/>
    <w:rsid w:val="008116B6"/>
    <w:rsid w:val="00811775"/>
    <w:rsid w:val="00811F57"/>
    <w:rsid w:val="00811F64"/>
    <w:rsid w:val="00812277"/>
    <w:rsid w:val="00812321"/>
    <w:rsid w:val="008125BC"/>
    <w:rsid w:val="00812AC5"/>
    <w:rsid w:val="00813353"/>
    <w:rsid w:val="00813592"/>
    <w:rsid w:val="0081363D"/>
    <w:rsid w:val="008138A0"/>
    <w:rsid w:val="008139B3"/>
    <w:rsid w:val="00813FC6"/>
    <w:rsid w:val="0081446E"/>
    <w:rsid w:val="008145BF"/>
    <w:rsid w:val="00814A6F"/>
    <w:rsid w:val="00814C5D"/>
    <w:rsid w:val="00814FA9"/>
    <w:rsid w:val="008156B7"/>
    <w:rsid w:val="00815BAF"/>
    <w:rsid w:val="00815FFE"/>
    <w:rsid w:val="00816017"/>
    <w:rsid w:val="00816476"/>
    <w:rsid w:val="008164FD"/>
    <w:rsid w:val="00816723"/>
    <w:rsid w:val="00816879"/>
    <w:rsid w:val="00816E39"/>
    <w:rsid w:val="00817096"/>
    <w:rsid w:val="0081711A"/>
    <w:rsid w:val="00817288"/>
    <w:rsid w:val="008174B1"/>
    <w:rsid w:val="00817512"/>
    <w:rsid w:val="008175AA"/>
    <w:rsid w:val="0081779B"/>
    <w:rsid w:val="00817D35"/>
    <w:rsid w:val="00820021"/>
    <w:rsid w:val="00820174"/>
    <w:rsid w:val="008201DF"/>
    <w:rsid w:val="00820A23"/>
    <w:rsid w:val="008212A1"/>
    <w:rsid w:val="008212FB"/>
    <w:rsid w:val="00821413"/>
    <w:rsid w:val="008217AC"/>
    <w:rsid w:val="00821A2D"/>
    <w:rsid w:val="00821E44"/>
    <w:rsid w:val="00821F49"/>
    <w:rsid w:val="00822169"/>
    <w:rsid w:val="00822223"/>
    <w:rsid w:val="00822789"/>
    <w:rsid w:val="008228E9"/>
    <w:rsid w:val="008228EB"/>
    <w:rsid w:val="00822BAF"/>
    <w:rsid w:val="00822D53"/>
    <w:rsid w:val="00822F45"/>
    <w:rsid w:val="0082315A"/>
    <w:rsid w:val="0082362E"/>
    <w:rsid w:val="0082366D"/>
    <w:rsid w:val="008236A2"/>
    <w:rsid w:val="008236AA"/>
    <w:rsid w:val="008241C6"/>
    <w:rsid w:val="00824412"/>
    <w:rsid w:val="0082491B"/>
    <w:rsid w:val="00824A7D"/>
    <w:rsid w:val="00824D7E"/>
    <w:rsid w:val="00825363"/>
    <w:rsid w:val="00825CD2"/>
    <w:rsid w:val="0082618B"/>
    <w:rsid w:val="00826202"/>
    <w:rsid w:val="0082645E"/>
    <w:rsid w:val="008267C9"/>
    <w:rsid w:val="008268F6"/>
    <w:rsid w:val="00826906"/>
    <w:rsid w:val="00826F4F"/>
    <w:rsid w:val="00827216"/>
    <w:rsid w:val="0082773E"/>
    <w:rsid w:val="008278B3"/>
    <w:rsid w:val="00827933"/>
    <w:rsid w:val="00827AC4"/>
    <w:rsid w:val="00827E95"/>
    <w:rsid w:val="00827F5E"/>
    <w:rsid w:val="00830258"/>
    <w:rsid w:val="00830571"/>
    <w:rsid w:val="008305C0"/>
    <w:rsid w:val="0083074E"/>
    <w:rsid w:val="00830E05"/>
    <w:rsid w:val="00830F99"/>
    <w:rsid w:val="00830FD0"/>
    <w:rsid w:val="00831074"/>
    <w:rsid w:val="0083107F"/>
    <w:rsid w:val="0083156B"/>
    <w:rsid w:val="00831890"/>
    <w:rsid w:val="00831911"/>
    <w:rsid w:val="008319D9"/>
    <w:rsid w:val="00831AD4"/>
    <w:rsid w:val="00831EE6"/>
    <w:rsid w:val="00831FCA"/>
    <w:rsid w:val="008323FA"/>
    <w:rsid w:val="008324B2"/>
    <w:rsid w:val="00832642"/>
    <w:rsid w:val="008327F4"/>
    <w:rsid w:val="0083289F"/>
    <w:rsid w:val="00832FF6"/>
    <w:rsid w:val="00833543"/>
    <w:rsid w:val="008339ED"/>
    <w:rsid w:val="00833DDA"/>
    <w:rsid w:val="00833EC8"/>
    <w:rsid w:val="00834134"/>
    <w:rsid w:val="008348B4"/>
    <w:rsid w:val="0083498E"/>
    <w:rsid w:val="00834A59"/>
    <w:rsid w:val="00834A7B"/>
    <w:rsid w:val="00834FFB"/>
    <w:rsid w:val="008351C2"/>
    <w:rsid w:val="00835223"/>
    <w:rsid w:val="008352AA"/>
    <w:rsid w:val="0083554E"/>
    <w:rsid w:val="008355C0"/>
    <w:rsid w:val="00835A08"/>
    <w:rsid w:val="00835E09"/>
    <w:rsid w:val="008361BD"/>
    <w:rsid w:val="008361D5"/>
    <w:rsid w:val="0083629F"/>
    <w:rsid w:val="008365BF"/>
    <w:rsid w:val="008365F1"/>
    <w:rsid w:val="0083677C"/>
    <w:rsid w:val="00836842"/>
    <w:rsid w:val="00836B19"/>
    <w:rsid w:val="00836C32"/>
    <w:rsid w:val="0083744B"/>
    <w:rsid w:val="00837666"/>
    <w:rsid w:val="0083792E"/>
    <w:rsid w:val="00837EFC"/>
    <w:rsid w:val="00840615"/>
    <w:rsid w:val="00840678"/>
    <w:rsid w:val="0084083F"/>
    <w:rsid w:val="00840D1C"/>
    <w:rsid w:val="008410B5"/>
    <w:rsid w:val="00841250"/>
    <w:rsid w:val="00841303"/>
    <w:rsid w:val="008413D0"/>
    <w:rsid w:val="00841567"/>
    <w:rsid w:val="0084169A"/>
    <w:rsid w:val="00841B7B"/>
    <w:rsid w:val="00841D1D"/>
    <w:rsid w:val="00841E97"/>
    <w:rsid w:val="00841F9A"/>
    <w:rsid w:val="0084209D"/>
    <w:rsid w:val="00842144"/>
    <w:rsid w:val="00842311"/>
    <w:rsid w:val="008426D8"/>
    <w:rsid w:val="00842955"/>
    <w:rsid w:val="0084296F"/>
    <w:rsid w:val="00842972"/>
    <w:rsid w:val="00842CB2"/>
    <w:rsid w:val="00842D92"/>
    <w:rsid w:val="00842DF9"/>
    <w:rsid w:val="00842F13"/>
    <w:rsid w:val="00843070"/>
    <w:rsid w:val="008430C7"/>
    <w:rsid w:val="00843174"/>
    <w:rsid w:val="0084343F"/>
    <w:rsid w:val="00843604"/>
    <w:rsid w:val="00843718"/>
    <w:rsid w:val="008437DA"/>
    <w:rsid w:val="00843C0C"/>
    <w:rsid w:val="00843C28"/>
    <w:rsid w:val="008442F8"/>
    <w:rsid w:val="0084464C"/>
    <w:rsid w:val="008446BD"/>
    <w:rsid w:val="00844743"/>
    <w:rsid w:val="008447F9"/>
    <w:rsid w:val="008448B7"/>
    <w:rsid w:val="00844A2C"/>
    <w:rsid w:val="00844CED"/>
    <w:rsid w:val="00844E4B"/>
    <w:rsid w:val="00844EFD"/>
    <w:rsid w:val="00845155"/>
    <w:rsid w:val="008451B5"/>
    <w:rsid w:val="00845250"/>
    <w:rsid w:val="00845328"/>
    <w:rsid w:val="008453C2"/>
    <w:rsid w:val="00845943"/>
    <w:rsid w:val="00845A9C"/>
    <w:rsid w:val="00845B56"/>
    <w:rsid w:val="00845C89"/>
    <w:rsid w:val="00845F6E"/>
    <w:rsid w:val="00846358"/>
    <w:rsid w:val="008466FF"/>
    <w:rsid w:val="00846783"/>
    <w:rsid w:val="00846AE8"/>
    <w:rsid w:val="00846B11"/>
    <w:rsid w:val="00846BF1"/>
    <w:rsid w:val="00847655"/>
    <w:rsid w:val="0084765C"/>
    <w:rsid w:val="00847716"/>
    <w:rsid w:val="00847C1F"/>
    <w:rsid w:val="00847C7F"/>
    <w:rsid w:val="00847F5C"/>
    <w:rsid w:val="00847F63"/>
    <w:rsid w:val="008502F5"/>
    <w:rsid w:val="00850426"/>
    <w:rsid w:val="0085048B"/>
    <w:rsid w:val="00850743"/>
    <w:rsid w:val="008507EE"/>
    <w:rsid w:val="008508D2"/>
    <w:rsid w:val="008509DE"/>
    <w:rsid w:val="00850DFF"/>
    <w:rsid w:val="0085110D"/>
    <w:rsid w:val="0085111D"/>
    <w:rsid w:val="00851173"/>
    <w:rsid w:val="008516F6"/>
    <w:rsid w:val="00851895"/>
    <w:rsid w:val="00851C60"/>
    <w:rsid w:val="00851E68"/>
    <w:rsid w:val="00851FF3"/>
    <w:rsid w:val="00852216"/>
    <w:rsid w:val="00852239"/>
    <w:rsid w:val="008523B4"/>
    <w:rsid w:val="008523BD"/>
    <w:rsid w:val="0085250B"/>
    <w:rsid w:val="0085262E"/>
    <w:rsid w:val="008528DC"/>
    <w:rsid w:val="00852987"/>
    <w:rsid w:val="00852D25"/>
    <w:rsid w:val="00852E19"/>
    <w:rsid w:val="00852E5C"/>
    <w:rsid w:val="0085322D"/>
    <w:rsid w:val="00853395"/>
    <w:rsid w:val="008533B4"/>
    <w:rsid w:val="00853528"/>
    <w:rsid w:val="0085385E"/>
    <w:rsid w:val="00853932"/>
    <w:rsid w:val="008539A5"/>
    <w:rsid w:val="00853B35"/>
    <w:rsid w:val="00853BDC"/>
    <w:rsid w:val="00853EFC"/>
    <w:rsid w:val="008546F4"/>
    <w:rsid w:val="00854846"/>
    <w:rsid w:val="008548BB"/>
    <w:rsid w:val="008549E4"/>
    <w:rsid w:val="00854DEA"/>
    <w:rsid w:val="00854E37"/>
    <w:rsid w:val="00854EA8"/>
    <w:rsid w:val="0085507B"/>
    <w:rsid w:val="00855304"/>
    <w:rsid w:val="00855340"/>
    <w:rsid w:val="008554EE"/>
    <w:rsid w:val="00855ABF"/>
    <w:rsid w:val="00855D64"/>
    <w:rsid w:val="00855E8B"/>
    <w:rsid w:val="008560B0"/>
    <w:rsid w:val="00856502"/>
    <w:rsid w:val="00856755"/>
    <w:rsid w:val="00856758"/>
    <w:rsid w:val="0085685B"/>
    <w:rsid w:val="008568EE"/>
    <w:rsid w:val="00856D34"/>
    <w:rsid w:val="008570C6"/>
    <w:rsid w:val="008572E6"/>
    <w:rsid w:val="008575FE"/>
    <w:rsid w:val="00857646"/>
    <w:rsid w:val="00857709"/>
    <w:rsid w:val="00857747"/>
    <w:rsid w:val="00857B1F"/>
    <w:rsid w:val="00857E63"/>
    <w:rsid w:val="00857F35"/>
    <w:rsid w:val="008600DD"/>
    <w:rsid w:val="00860299"/>
    <w:rsid w:val="0086059B"/>
    <w:rsid w:val="00860875"/>
    <w:rsid w:val="008609A6"/>
    <w:rsid w:val="00860BE2"/>
    <w:rsid w:val="00860D7E"/>
    <w:rsid w:val="00860E35"/>
    <w:rsid w:val="00860E86"/>
    <w:rsid w:val="00860EAA"/>
    <w:rsid w:val="00860FEE"/>
    <w:rsid w:val="008614BB"/>
    <w:rsid w:val="00861515"/>
    <w:rsid w:val="00861A4A"/>
    <w:rsid w:val="00861C14"/>
    <w:rsid w:val="00861D72"/>
    <w:rsid w:val="00861DA0"/>
    <w:rsid w:val="00861EB1"/>
    <w:rsid w:val="00861FCB"/>
    <w:rsid w:val="008622A8"/>
    <w:rsid w:val="0086249D"/>
    <w:rsid w:val="00862953"/>
    <w:rsid w:val="008629D3"/>
    <w:rsid w:val="00862EE4"/>
    <w:rsid w:val="00862FDA"/>
    <w:rsid w:val="00862FE6"/>
    <w:rsid w:val="00863154"/>
    <w:rsid w:val="00863190"/>
    <w:rsid w:val="0086354F"/>
    <w:rsid w:val="00863699"/>
    <w:rsid w:val="00863C5B"/>
    <w:rsid w:val="00863E7D"/>
    <w:rsid w:val="00863EE2"/>
    <w:rsid w:val="00863EE6"/>
    <w:rsid w:val="00864148"/>
    <w:rsid w:val="008641D6"/>
    <w:rsid w:val="008642D0"/>
    <w:rsid w:val="008647BE"/>
    <w:rsid w:val="00864D40"/>
    <w:rsid w:val="00864ECC"/>
    <w:rsid w:val="00865165"/>
    <w:rsid w:val="008652C1"/>
    <w:rsid w:val="008652E5"/>
    <w:rsid w:val="008659D7"/>
    <w:rsid w:val="0086602F"/>
    <w:rsid w:val="00866140"/>
    <w:rsid w:val="008662B5"/>
    <w:rsid w:val="008664A0"/>
    <w:rsid w:val="008664EB"/>
    <w:rsid w:val="0086653F"/>
    <w:rsid w:val="0086658C"/>
    <w:rsid w:val="00866594"/>
    <w:rsid w:val="008665C2"/>
    <w:rsid w:val="0086665B"/>
    <w:rsid w:val="008667C1"/>
    <w:rsid w:val="00866814"/>
    <w:rsid w:val="00866C72"/>
    <w:rsid w:val="00866D9D"/>
    <w:rsid w:val="00866EF9"/>
    <w:rsid w:val="00867234"/>
    <w:rsid w:val="0086735A"/>
    <w:rsid w:val="00867448"/>
    <w:rsid w:val="00867528"/>
    <w:rsid w:val="008678CF"/>
    <w:rsid w:val="00867922"/>
    <w:rsid w:val="00870067"/>
    <w:rsid w:val="00870191"/>
    <w:rsid w:val="00870532"/>
    <w:rsid w:val="008705C0"/>
    <w:rsid w:val="0087086F"/>
    <w:rsid w:val="0087097D"/>
    <w:rsid w:val="00871026"/>
    <w:rsid w:val="00871097"/>
    <w:rsid w:val="00871418"/>
    <w:rsid w:val="008715BE"/>
    <w:rsid w:val="00871801"/>
    <w:rsid w:val="00871D3F"/>
    <w:rsid w:val="00871F7D"/>
    <w:rsid w:val="00872073"/>
    <w:rsid w:val="008724F1"/>
    <w:rsid w:val="008729C0"/>
    <w:rsid w:val="00872B72"/>
    <w:rsid w:val="00872BBF"/>
    <w:rsid w:val="00872C73"/>
    <w:rsid w:val="00873098"/>
    <w:rsid w:val="0087341A"/>
    <w:rsid w:val="00873826"/>
    <w:rsid w:val="00873B7B"/>
    <w:rsid w:val="00873C37"/>
    <w:rsid w:val="00873CDE"/>
    <w:rsid w:val="00873DE2"/>
    <w:rsid w:val="00873FED"/>
    <w:rsid w:val="0087421B"/>
    <w:rsid w:val="0087431D"/>
    <w:rsid w:val="0087466D"/>
    <w:rsid w:val="008749B0"/>
    <w:rsid w:val="00874A19"/>
    <w:rsid w:val="00874D71"/>
    <w:rsid w:val="00874FC3"/>
    <w:rsid w:val="00874FC6"/>
    <w:rsid w:val="00874FC8"/>
    <w:rsid w:val="00875841"/>
    <w:rsid w:val="008758A8"/>
    <w:rsid w:val="008758AE"/>
    <w:rsid w:val="00875B74"/>
    <w:rsid w:val="00876435"/>
    <w:rsid w:val="0087651C"/>
    <w:rsid w:val="00876564"/>
    <w:rsid w:val="008766E2"/>
    <w:rsid w:val="0087690E"/>
    <w:rsid w:val="0087698C"/>
    <w:rsid w:val="008769F0"/>
    <w:rsid w:val="00876A7B"/>
    <w:rsid w:val="008774D4"/>
    <w:rsid w:val="00877656"/>
    <w:rsid w:val="008776D8"/>
    <w:rsid w:val="008778EA"/>
    <w:rsid w:val="00877BAA"/>
    <w:rsid w:val="00877E16"/>
    <w:rsid w:val="00877E6A"/>
    <w:rsid w:val="00877E77"/>
    <w:rsid w:val="00880447"/>
    <w:rsid w:val="008804EA"/>
    <w:rsid w:val="0088097B"/>
    <w:rsid w:val="00880B1D"/>
    <w:rsid w:val="0088131C"/>
    <w:rsid w:val="00881499"/>
    <w:rsid w:val="00881A56"/>
    <w:rsid w:val="00882014"/>
    <w:rsid w:val="008820A7"/>
    <w:rsid w:val="00882129"/>
    <w:rsid w:val="0088253E"/>
    <w:rsid w:val="00882649"/>
    <w:rsid w:val="00882886"/>
    <w:rsid w:val="00882E17"/>
    <w:rsid w:val="00883090"/>
    <w:rsid w:val="0088311B"/>
    <w:rsid w:val="008834FE"/>
    <w:rsid w:val="00883663"/>
    <w:rsid w:val="008839B2"/>
    <w:rsid w:val="00883B97"/>
    <w:rsid w:val="00883B9A"/>
    <w:rsid w:val="00883BE3"/>
    <w:rsid w:val="00884162"/>
    <w:rsid w:val="008841AE"/>
    <w:rsid w:val="008843CE"/>
    <w:rsid w:val="0088492F"/>
    <w:rsid w:val="00884A9B"/>
    <w:rsid w:val="00884AC1"/>
    <w:rsid w:val="00884B5E"/>
    <w:rsid w:val="00884B71"/>
    <w:rsid w:val="00885225"/>
    <w:rsid w:val="008853A1"/>
    <w:rsid w:val="0088549D"/>
    <w:rsid w:val="0088583E"/>
    <w:rsid w:val="00885BF7"/>
    <w:rsid w:val="00885C31"/>
    <w:rsid w:val="00885F89"/>
    <w:rsid w:val="0088600E"/>
    <w:rsid w:val="008861BF"/>
    <w:rsid w:val="008861EA"/>
    <w:rsid w:val="00886E5C"/>
    <w:rsid w:val="00886F72"/>
    <w:rsid w:val="00886FC7"/>
    <w:rsid w:val="008870C2"/>
    <w:rsid w:val="00887173"/>
    <w:rsid w:val="008876F9"/>
    <w:rsid w:val="0088781F"/>
    <w:rsid w:val="00887B45"/>
    <w:rsid w:val="00887E9A"/>
    <w:rsid w:val="00887F5A"/>
    <w:rsid w:val="00887F5F"/>
    <w:rsid w:val="00890066"/>
    <w:rsid w:val="00890197"/>
    <w:rsid w:val="0089029C"/>
    <w:rsid w:val="0089039E"/>
    <w:rsid w:val="008904FF"/>
    <w:rsid w:val="0089058C"/>
    <w:rsid w:val="00890971"/>
    <w:rsid w:val="008909D4"/>
    <w:rsid w:val="00890C64"/>
    <w:rsid w:val="0089123B"/>
    <w:rsid w:val="00891272"/>
    <w:rsid w:val="0089132B"/>
    <w:rsid w:val="0089158D"/>
    <w:rsid w:val="00891C8D"/>
    <w:rsid w:val="008922E4"/>
    <w:rsid w:val="00892446"/>
    <w:rsid w:val="00892522"/>
    <w:rsid w:val="00892604"/>
    <w:rsid w:val="0089273F"/>
    <w:rsid w:val="008927A2"/>
    <w:rsid w:val="00892AB0"/>
    <w:rsid w:val="00892BE5"/>
    <w:rsid w:val="00892D4D"/>
    <w:rsid w:val="0089382D"/>
    <w:rsid w:val="008938B0"/>
    <w:rsid w:val="0089396D"/>
    <w:rsid w:val="00893C70"/>
    <w:rsid w:val="00893CCB"/>
    <w:rsid w:val="00893D68"/>
    <w:rsid w:val="00893DB7"/>
    <w:rsid w:val="0089432C"/>
    <w:rsid w:val="00894828"/>
    <w:rsid w:val="00894919"/>
    <w:rsid w:val="00894A54"/>
    <w:rsid w:val="00894A9C"/>
    <w:rsid w:val="0089511B"/>
    <w:rsid w:val="008951D8"/>
    <w:rsid w:val="00895889"/>
    <w:rsid w:val="00895BCB"/>
    <w:rsid w:val="00895CB2"/>
    <w:rsid w:val="00895DFA"/>
    <w:rsid w:val="008965B3"/>
    <w:rsid w:val="008966BC"/>
    <w:rsid w:val="00896A2B"/>
    <w:rsid w:val="00896B53"/>
    <w:rsid w:val="00896D5C"/>
    <w:rsid w:val="00896FE5"/>
    <w:rsid w:val="0089732A"/>
    <w:rsid w:val="00897330"/>
    <w:rsid w:val="00897497"/>
    <w:rsid w:val="0089769F"/>
    <w:rsid w:val="00897B3E"/>
    <w:rsid w:val="00897C11"/>
    <w:rsid w:val="00897FC0"/>
    <w:rsid w:val="008A0018"/>
    <w:rsid w:val="008A02AB"/>
    <w:rsid w:val="008A06E3"/>
    <w:rsid w:val="008A092C"/>
    <w:rsid w:val="008A0F0C"/>
    <w:rsid w:val="008A128C"/>
    <w:rsid w:val="008A1712"/>
    <w:rsid w:val="008A17AD"/>
    <w:rsid w:val="008A1A0E"/>
    <w:rsid w:val="008A1CE5"/>
    <w:rsid w:val="008A1D65"/>
    <w:rsid w:val="008A1DD0"/>
    <w:rsid w:val="008A1E19"/>
    <w:rsid w:val="008A1E97"/>
    <w:rsid w:val="008A207E"/>
    <w:rsid w:val="008A2188"/>
    <w:rsid w:val="008A222A"/>
    <w:rsid w:val="008A247E"/>
    <w:rsid w:val="008A2567"/>
    <w:rsid w:val="008A2781"/>
    <w:rsid w:val="008A284A"/>
    <w:rsid w:val="008A2A71"/>
    <w:rsid w:val="008A2A75"/>
    <w:rsid w:val="008A2ABC"/>
    <w:rsid w:val="008A2E08"/>
    <w:rsid w:val="008A2E67"/>
    <w:rsid w:val="008A2F92"/>
    <w:rsid w:val="008A3085"/>
    <w:rsid w:val="008A32F5"/>
    <w:rsid w:val="008A38FF"/>
    <w:rsid w:val="008A3A00"/>
    <w:rsid w:val="008A3B48"/>
    <w:rsid w:val="008A3C30"/>
    <w:rsid w:val="008A3EC4"/>
    <w:rsid w:val="008A40F1"/>
    <w:rsid w:val="008A4138"/>
    <w:rsid w:val="008A4147"/>
    <w:rsid w:val="008A415F"/>
    <w:rsid w:val="008A42EB"/>
    <w:rsid w:val="008A441F"/>
    <w:rsid w:val="008A45B9"/>
    <w:rsid w:val="008A463B"/>
    <w:rsid w:val="008A4AE5"/>
    <w:rsid w:val="008A4C00"/>
    <w:rsid w:val="008A4F41"/>
    <w:rsid w:val="008A53D6"/>
    <w:rsid w:val="008A5608"/>
    <w:rsid w:val="008A596B"/>
    <w:rsid w:val="008A5B57"/>
    <w:rsid w:val="008A5BBE"/>
    <w:rsid w:val="008A5ECE"/>
    <w:rsid w:val="008A5F05"/>
    <w:rsid w:val="008A6678"/>
    <w:rsid w:val="008A68A2"/>
    <w:rsid w:val="008A69E1"/>
    <w:rsid w:val="008A6AD5"/>
    <w:rsid w:val="008A6AFF"/>
    <w:rsid w:val="008A6B8B"/>
    <w:rsid w:val="008A6C94"/>
    <w:rsid w:val="008A7740"/>
    <w:rsid w:val="008A78C2"/>
    <w:rsid w:val="008A7C8A"/>
    <w:rsid w:val="008A7CD2"/>
    <w:rsid w:val="008B031E"/>
    <w:rsid w:val="008B03B4"/>
    <w:rsid w:val="008B04D6"/>
    <w:rsid w:val="008B068F"/>
    <w:rsid w:val="008B0A57"/>
    <w:rsid w:val="008B0B97"/>
    <w:rsid w:val="008B0DBB"/>
    <w:rsid w:val="008B0EA5"/>
    <w:rsid w:val="008B1033"/>
    <w:rsid w:val="008B19D6"/>
    <w:rsid w:val="008B1B7A"/>
    <w:rsid w:val="008B2134"/>
    <w:rsid w:val="008B216A"/>
    <w:rsid w:val="008B24E4"/>
    <w:rsid w:val="008B2CF6"/>
    <w:rsid w:val="008B2F8C"/>
    <w:rsid w:val="008B32E4"/>
    <w:rsid w:val="008B32EB"/>
    <w:rsid w:val="008B332F"/>
    <w:rsid w:val="008B34C7"/>
    <w:rsid w:val="008B3658"/>
    <w:rsid w:val="008B3862"/>
    <w:rsid w:val="008B38DB"/>
    <w:rsid w:val="008B3B65"/>
    <w:rsid w:val="008B3C03"/>
    <w:rsid w:val="008B3F18"/>
    <w:rsid w:val="008B3F54"/>
    <w:rsid w:val="008B41A3"/>
    <w:rsid w:val="008B427F"/>
    <w:rsid w:val="008B43DC"/>
    <w:rsid w:val="008B43F0"/>
    <w:rsid w:val="008B4523"/>
    <w:rsid w:val="008B4D33"/>
    <w:rsid w:val="008B50A1"/>
    <w:rsid w:val="008B50AA"/>
    <w:rsid w:val="008B5389"/>
    <w:rsid w:val="008B544E"/>
    <w:rsid w:val="008B5572"/>
    <w:rsid w:val="008B559E"/>
    <w:rsid w:val="008B571D"/>
    <w:rsid w:val="008B5795"/>
    <w:rsid w:val="008B5C94"/>
    <w:rsid w:val="008B5D0F"/>
    <w:rsid w:val="008B5D63"/>
    <w:rsid w:val="008B5E33"/>
    <w:rsid w:val="008B5F5B"/>
    <w:rsid w:val="008B600D"/>
    <w:rsid w:val="008B61D9"/>
    <w:rsid w:val="008B6466"/>
    <w:rsid w:val="008B6537"/>
    <w:rsid w:val="008B6563"/>
    <w:rsid w:val="008B6822"/>
    <w:rsid w:val="008B6CE9"/>
    <w:rsid w:val="008B6E6F"/>
    <w:rsid w:val="008B6E7C"/>
    <w:rsid w:val="008B6ED8"/>
    <w:rsid w:val="008B6EFD"/>
    <w:rsid w:val="008B70B5"/>
    <w:rsid w:val="008B725E"/>
    <w:rsid w:val="008B74CA"/>
    <w:rsid w:val="008B74DB"/>
    <w:rsid w:val="008B7767"/>
    <w:rsid w:val="008B7773"/>
    <w:rsid w:val="008B78F1"/>
    <w:rsid w:val="008B7BDF"/>
    <w:rsid w:val="008B7EA6"/>
    <w:rsid w:val="008B7F7E"/>
    <w:rsid w:val="008B7FDA"/>
    <w:rsid w:val="008C0434"/>
    <w:rsid w:val="008C04F4"/>
    <w:rsid w:val="008C0501"/>
    <w:rsid w:val="008C082C"/>
    <w:rsid w:val="008C0DC0"/>
    <w:rsid w:val="008C0DFD"/>
    <w:rsid w:val="008C11A8"/>
    <w:rsid w:val="008C1496"/>
    <w:rsid w:val="008C1530"/>
    <w:rsid w:val="008C1593"/>
    <w:rsid w:val="008C1631"/>
    <w:rsid w:val="008C1685"/>
    <w:rsid w:val="008C170A"/>
    <w:rsid w:val="008C1A85"/>
    <w:rsid w:val="008C2032"/>
    <w:rsid w:val="008C22F2"/>
    <w:rsid w:val="008C2437"/>
    <w:rsid w:val="008C2754"/>
    <w:rsid w:val="008C2A29"/>
    <w:rsid w:val="008C2AA2"/>
    <w:rsid w:val="008C2AC8"/>
    <w:rsid w:val="008C2AD2"/>
    <w:rsid w:val="008C2C49"/>
    <w:rsid w:val="008C2DDE"/>
    <w:rsid w:val="008C3213"/>
    <w:rsid w:val="008C32F2"/>
    <w:rsid w:val="008C340A"/>
    <w:rsid w:val="008C3554"/>
    <w:rsid w:val="008C360B"/>
    <w:rsid w:val="008C374A"/>
    <w:rsid w:val="008C3B8A"/>
    <w:rsid w:val="008C3E5F"/>
    <w:rsid w:val="008C418C"/>
    <w:rsid w:val="008C4547"/>
    <w:rsid w:val="008C45E2"/>
    <w:rsid w:val="008C4ADA"/>
    <w:rsid w:val="008C4BE6"/>
    <w:rsid w:val="008C4F65"/>
    <w:rsid w:val="008C4FCF"/>
    <w:rsid w:val="008C5246"/>
    <w:rsid w:val="008C55F5"/>
    <w:rsid w:val="008C5666"/>
    <w:rsid w:val="008C56A4"/>
    <w:rsid w:val="008C5709"/>
    <w:rsid w:val="008C5823"/>
    <w:rsid w:val="008C58D9"/>
    <w:rsid w:val="008C5B32"/>
    <w:rsid w:val="008C5C5F"/>
    <w:rsid w:val="008C66A3"/>
    <w:rsid w:val="008C69CD"/>
    <w:rsid w:val="008C6C8A"/>
    <w:rsid w:val="008C6DCB"/>
    <w:rsid w:val="008C703D"/>
    <w:rsid w:val="008C7141"/>
    <w:rsid w:val="008C72EE"/>
    <w:rsid w:val="008C72F7"/>
    <w:rsid w:val="008C74B3"/>
    <w:rsid w:val="008C74EF"/>
    <w:rsid w:val="008C7518"/>
    <w:rsid w:val="008C7955"/>
    <w:rsid w:val="008C7A82"/>
    <w:rsid w:val="008D0028"/>
    <w:rsid w:val="008D02A7"/>
    <w:rsid w:val="008D0698"/>
    <w:rsid w:val="008D0F3E"/>
    <w:rsid w:val="008D0FC6"/>
    <w:rsid w:val="008D10A9"/>
    <w:rsid w:val="008D1333"/>
    <w:rsid w:val="008D1341"/>
    <w:rsid w:val="008D1404"/>
    <w:rsid w:val="008D18DB"/>
    <w:rsid w:val="008D1B81"/>
    <w:rsid w:val="008D1CBF"/>
    <w:rsid w:val="008D1E8B"/>
    <w:rsid w:val="008D1F33"/>
    <w:rsid w:val="008D231A"/>
    <w:rsid w:val="008D243C"/>
    <w:rsid w:val="008D24E5"/>
    <w:rsid w:val="008D268F"/>
    <w:rsid w:val="008D274F"/>
    <w:rsid w:val="008D27C0"/>
    <w:rsid w:val="008D28B8"/>
    <w:rsid w:val="008D29D3"/>
    <w:rsid w:val="008D3204"/>
    <w:rsid w:val="008D371F"/>
    <w:rsid w:val="008D3CCA"/>
    <w:rsid w:val="008D4147"/>
    <w:rsid w:val="008D4524"/>
    <w:rsid w:val="008D48EF"/>
    <w:rsid w:val="008D4BB9"/>
    <w:rsid w:val="008D4D4F"/>
    <w:rsid w:val="008D4E99"/>
    <w:rsid w:val="008D504B"/>
    <w:rsid w:val="008D51D3"/>
    <w:rsid w:val="008D522F"/>
    <w:rsid w:val="008D54C0"/>
    <w:rsid w:val="008D561F"/>
    <w:rsid w:val="008D592C"/>
    <w:rsid w:val="008D5A70"/>
    <w:rsid w:val="008D5C08"/>
    <w:rsid w:val="008D5E26"/>
    <w:rsid w:val="008D6127"/>
    <w:rsid w:val="008D6133"/>
    <w:rsid w:val="008D6158"/>
    <w:rsid w:val="008D656B"/>
    <w:rsid w:val="008D6606"/>
    <w:rsid w:val="008D68F8"/>
    <w:rsid w:val="008D6D70"/>
    <w:rsid w:val="008D7431"/>
    <w:rsid w:val="008D77B3"/>
    <w:rsid w:val="008D7CB4"/>
    <w:rsid w:val="008D7EF3"/>
    <w:rsid w:val="008E0594"/>
    <w:rsid w:val="008E0924"/>
    <w:rsid w:val="008E0BD5"/>
    <w:rsid w:val="008E0D60"/>
    <w:rsid w:val="008E0D69"/>
    <w:rsid w:val="008E0D92"/>
    <w:rsid w:val="008E1311"/>
    <w:rsid w:val="008E152D"/>
    <w:rsid w:val="008E153E"/>
    <w:rsid w:val="008E15F0"/>
    <w:rsid w:val="008E1758"/>
    <w:rsid w:val="008E195E"/>
    <w:rsid w:val="008E19AA"/>
    <w:rsid w:val="008E1A01"/>
    <w:rsid w:val="008E1AAB"/>
    <w:rsid w:val="008E1CC0"/>
    <w:rsid w:val="008E24C5"/>
    <w:rsid w:val="008E255C"/>
    <w:rsid w:val="008E2721"/>
    <w:rsid w:val="008E2829"/>
    <w:rsid w:val="008E2D2F"/>
    <w:rsid w:val="008E2FA2"/>
    <w:rsid w:val="008E31E9"/>
    <w:rsid w:val="008E3274"/>
    <w:rsid w:val="008E352D"/>
    <w:rsid w:val="008E3666"/>
    <w:rsid w:val="008E3EB6"/>
    <w:rsid w:val="008E4098"/>
    <w:rsid w:val="008E4102"/>
    <w:rsid w:val="008E421A"/>
    <w:rsid w:val="008E4B43"/>
    <w:rsid w:val="008E4BDA"/>
    <w:rsid w:val="008E4BDD"/>
    <w:rsid w:val="008E4E0A"/>
    <w:rsid w:val="008E4E0F"/>
    <w:rsid w:val="008E4F5B"/>
    <w:rsid w:val="008E5000"/>
    <w:rsid w:val="008E519A"/>
    <w:rsid w:val="008E55AA"/>
    <w:rsid w:val="008E58C5"/>
    <w:rsid w:val="008E59E7"/>
    <w:rsid w:val="008E5A59"/>
    <w:rsid w:val="008E5FB5"/>
    <w:rsid w:val="008E5FB6"/>
    <w:rsid w:val="008E6BAB"/>
    <w:rsid w:val="008E6BE6"/>
    <w:rsid w:val="008E6D8D"/>
    <w:rsid w:val="008E7570"/>
    <w:rsid w:val="008E7955"/>
    <w:rsid w:val="008E7962"/>
    <w:rsid w:val="008E7B72"/>
    <w:rsid w:val="008E7B8D"/>
    <w:rsid w:val="008E7C35"/>
    <w:rsid w:val="008F0123"/>
    <w:rsid w:val="008F0152"/>
    <w:rsid w:val="008F02B3"/>
    <w:rsid w:val="008F032B"/>
    <w:rsid w:val="008F0611"/>
    <w:rsid w:val="008F07A7"/>
    <w:rsid w:val="008F07A8"/>
    <w:rsid w:val="008F0A36"/>
    <w:rsid w:val="008F0AD7"/>
    <w:rsid w:val="008F0ADC"/>
    <w:rsid w:val="008F0D94"/>
    <w:rsid w:val="008F0DDE"/>
    <w:rsid w:val="008F0EED"/>
    <w:rsid w:val="008F11EA"/>
    <w:rsid w:val="008F15E7"/>
    <w:rsid w:val="008F185F"/>
    <w:rsid w:val="008F1C0F"/>
    <w:rsid w:val="008F1F3B"/>
    <w:rsid w:val="008F1F43"/>
    <w:rsid w:val="008F1F82"/>
    <w:rsid w:val="008F1FB5"/>
    <w:rsid w:val="008F1FC5"/>
    <w:rsid w:val="008F223A"/>
    <w:rsid w:val="008F247B"/>
    <w:rsid w:val="008F256A"/>
    <w:rsid w:val="008F2572"/>
    <w:rsid w:val="008F28F3"/>
    <w:rsid w:val="008F2BBB"/>
    <w:rsid w:val="008F2BCC"/>
    <w:rsid w:val="008F2C4B"/>
    <w:rsid w:val="008F2FA2"/>
    <w:rsid w:val="008F3326"/>
    <w:rsid w:val="008F3412"/>
    <w:rsid w:val="008F39F7"/>
    <w:rsid w:val="008F3C1D"/>
    <w:rsid w:val="008F3DAF"/>
    <w:rsid w:val="008F3F4C"/>
    <w:rsid w:val="008F45ED"/>
    <w:rsid w:val="008F48E4"/>
    <w:rsid w:val="008F4BDC"/>
    <w:rsid w:val="008F4DFD"/>
    <w:rsid w:val="008F511C"/>
    <w:rsid w:val="008F524D"/>
    <w:rsid w:val="008F5253"/>
    <w:rsid w:val="008F56B4"/>
    <w:rsid w:val="008F582F"/>
    <w:rsid w:val="008F5AB4"/>
    <w:rsid w:val="008F5EEE"/>
    <w:rsid w:val="008F604F"/>
    <w:rsid w:val="008F622E"/>
    <w:rsid w:val="008F6DDA"/>
    <w:rsid w:val="008F6E2E"/>
    <w:rsid w:val="008F73D6"/>
    <w:rsid w:val="008F75FF"/>
    <w:rsid w:val="008F76CB"/>
    <w:rsid w:val="008F77E9"/>
    <w:rsid w:val="008F77FC"/>
    <w:rsid w:val="008F7B55"/>
    <w:rsid w:val="008F7DD0"/>
    <w:rsid w:val="008F7EF9"/>
    <w:rsid w:val="008F7F0B"/>
    <w:rsid w:val="008F7F68"/>
    <w:rsid w:val="00900069"/>
    <w:rsid w:val="0090018E"/>
    <w:rsid w:val="00900265"/>
    <w:rsid w:val="0090057B"/>
    <w:rsid w:val="00900666"/>
    <w:rsid w:val="0090073F"/>
    <w:rsid w:val="0090083E"/>
    <w:rsid w:val="00900CAE"/>
    <w:rsid w:val="00900F97"/>
    <w:rsid w:val="009012D4"/>
    <w:rsid w:val="0090157E"/>
    <w:rsid w:val="009015D3"/>
    <w:rsid w:val="00901C2A"/>
    <w:rsid w:val="00901C66"/>
    <w:rsid w:val="00901F39"/>
    <w:rsid w:val="00902222"/>
    <w:rsid w:val="00902436"/>
    <w:rsid w:val="0090260F"/>
    <w:rsid w:val="00902742"/>
    <w:rsid w:val="00902981"/>
    <w:rsid w:val="00902C59"/>
    <w:rsid w:val="00902CB7"/>
    <w:rsid w:val="00902E12"/>
    <w:rsid w:val="00902E8A"/>
    <w:rsid w:val="00902F1B"/>
    <w:rsid w:val="00903126"/>
    <w:rsid w:val="009032C3"/>
    <w:rsid w:val="00903332"/>
    <w:rsid w:val="0090333F"/>
    <w:rsid w:val="009036CF"/>
    <w:rsid w:val="00903768"/>
    <w:rsid w:val="0090399E"/>
    <w:rsid w:val="009040A2"/>
    <w:rsid w:val="009041B3"/>
    <w:rsid w:val="0090429A"/>
    <w:rsid w:val="00904452"/>
    <w:rsid w:val="0090459E"/>
    <w:rsid w:val="00904CC1"/>
    <w:rsid w:val="00904DF0"/>
    <w:rsid w:val="00904E17"/>
    <w:rsid w:val="00904F1A"/>
    <w:rsid w:val="00905011"/>
    <w:rsid w:val="009050FE"/>
    <w:rsid w:val="009055B8"/>
    <w:rsid w:val="00905A5D"/>
    <w:rsid w:val="00905DC2"/>
    <w:rsid w:val="00905F32"/>
    <w:rsid w:val="00905FD9"/>
    <w:rsid w:val="009061BB"/>
    <w:rsid w:val="009063F2"/>
    <w:rsid w:val="00906927"/>
    <w:rsid w:val="00906B9C"/>
    <w:rsid w:val="00906F74"/>
    <w:rsid w:val="00907046"/>
    <w:rsid w:val="009070FC"/>
    <w:rsid w:val="0090729E"/>
    <w:rsid w:val="00907425"/>
    <w:rsid w:val="00907530"/>
    <w:rsid w:val="009076F3"/>
    <w:rsid w:val="0090784F"/>
    <w:rsid w:val="009079BE"/>
    <w:rsid w:val="00910028"/>
    <w:rsid w:val="0091083B"/>
    <w:rsid w:val="009108C2"/>
    <w:rsid w:val="00910945"/>
    <w:rsid w:val="00910956"/>
    <w:rsid w:val="00910961"/>
    <w:rsid w:val="009109E1"/>
    <w:rsid w:val="00910CB3"/>
    <w:rsid w:val="00910DEF"/>
    <w:rsid w:val="00911232"/>
    <w:rsid w:val="0091160F"/>
    <w:rsid w:val="0091163A"/>
    <w:rsid w:val="00911667"/>
    <w:rsid w:val="00911704"/>
    <w:rsid w:val="00911BBB"/>
    <w:rsid w:val="009121D4"/>
    <w:rsid w:val="0091257F"/>
    <w:rsid w:val="00912614"/>
    <w:rsid w:val="009127DF"/>
    <w:rsid w:val="009127EE"/>
    <w:rsid w:val="00912C47"/>
    <w:rsid w:val="00912D8F"/>
    <w:rsid w:val="009130B6"/>
    <w:rsid w:val="009131FC"/>
    <w:rsid w:val="009133CF"/>
    <w:rsid w:val="009136AE"/>
    <w:rsid w:val="009138EB"/>
    <w:rsid w:val="00913A30"/>
    <w:rsid w:val="00913AEC"/>
    <w:rsid w:val="00913FB7"/>
    <w:rsid w:val="00914097"/>
    <w:rsid w:val="009142A7"/>
    <w:rsid w:val="00914622"/>
    <w:rsid w:val="009146BE"/>
    <w:rsid w:val="009147BE"/>
    <w:rsid w:val="00914845"/>
    <w:rsid w:val="00914AFE"/>
    <w:rsid w:val="00914B90"/>
    <w:rsid w:val="00914E41"/>
    <w:rsid w:val="0091547E"/>
    <w:rsid w:val="00915A1E"/>
    <w:rsid w:val="00915BFD"/>
    <w:rsid w:val="00915FA8"/>
    <w:rsid w:val="00916488"/>
    <w:rsid w:val="009164FA"/>
    <w:rsid w:val="00916707"/>
    <w:rsid w:val="009169EF"/>
    <w:rsid w:val="00916AAD"/>
    <w:rsid w:val="00916D1E"/>
    <w:rsid w:val="00916D38"/>
    <w:rsid w:val="00916DD5"/>
    <w:rsid w:val="0091754A"/>
    <w:rsid w:val="0091769C"/>
    <w:rsid w:val="0091774F"/>
    <w:rsid w:val="0091780F"/>
    <w:rsid w:val="0091798D"/>
    <w:rsid w:val="00917B66"/>
    <w:rsid w:val="00917C1D"/>
    <w:rsid w:val="00917DBB"/>
    <w:rsid w:val="00917E1A"/>
    <w:rsid w:val="00917F0A"/>
    <w:rsid w:val="009205EC"/>
    <w:rsid w:val="009207C5"/>
    <w:rsid w:val="00920D9B"/>
    <w:rsid w:val="0092101C"/>
    <w:rsid w:val="0092117E"/>
    <w:rsid w:val="009211EE"/>
    <w:rsid w:val="009213CD"/>
    <w:rsid w:val="00921495"/>
    <w:rsid w:val="009216B1"/>
    <w:rsid w:val="00921861"/>
    <w:rsid w:val="0092196D"/>
    <w:rsid w:val="00921BDF"/>
    <w:rsid w:val="00922093"/>
    <w:rsid w:val="009220E2"/>
    <w:rsid w:val="009222B9"/>
    <w:rsid w:val="009222D7"/>
    <w:rsid w:val="009224D5"/>
    <w:rsid w:val="0092256C"/>
    <w:rsid w:val="009226EF"/>
    <w:rsid w:val="00922756"/>
    <w:rsid w:val="00922A10"/>
    <w:rsid w:val="00922C3E"/>
    <w:rsid w:val="00922C77"/>
    <w:rsid w:val="00922E91"/>
    <w:rsid w:val="00923027"/>
    <w:rsid w:val="00923143"/>
    <w:rsid w:val="00923A35"/>
    <w:rsid w:val="00923A46"/>
    <w:rsid w:val="00923A6D"/>
    <w:rsid w:val="00923A80"/>
    <w:rsid w:val="00923D4E"/>
    <w:rsid w:val="00923DCC"/>
    <w:rsid w:val="00924318"/>
    <w:rsid w:val="00924468"/>
    <w:rsid w:val="0092483C"/>
    <w:rsid w:val="00924A62"/>
    <w:rsid w:val="00924EE0"/>
    <w:rsid w:val="00924FB4"/>
    <w:rsid w:val="00925AF5"/>
    <w:rsid w:val="00925BB2"/>
    <w:rsid w:val="00925CAB"/>
    <w:rsid w:val="00925CBB"/>
    <w:rsid w:val="009265B4"/>
    <w:rsid w:val="0092668D"/>
    <w:rsid w:val="0092685F"/>
    <w:rsid w:val="00926B43"/>
    <w:rsid w:val="00926D3D"/>
    <w:rsid w:val="00926F88"/>
    <w:rsid w:val="0092726F"/>
    <w:rsid w:val="00927629"/>
    <w:rsid w:val="009302EC"/>
    <w:rsid w:val="0093040D"/>
    <w:rsid w:val="0093061C"/>
    <w:rsid w:val="0093092D"/>
    <w:rsid w:val="00930AB1"/>
    <w:rsid w:val="00930C44"/>
    <w:rsid w:val="00930DB6"/>
    <w:rsid w:val="0093147A"/>
    <w:rsid w:val="00931556"/>
    <w:rsid w:val="009316AE"/>
    <w:rsid w:val="009316C5"/>
    <w:rsid w:val="0093179E"/>
    <w:rsid w:val="00931DB0"/>
    <w:rsid w:val="00931EBE"/>
    <w:rsid w:val="00931EDF"/>
    <w:rsid w:val="00931F15"/>
    <w:rsid w:val="0093204C"/>
    <w:rsid w:val="00932382"/>
    <w:rsid w:val="00932387"/>
    <w:rsid w:val="0093249A"/>
    <w:rsid w:val="00932947"/>
    <w:rsid w:val="009329CF"/>
    <w:rsid w:val="00932FEC"/>
    <w:rsid w:val="00933049"/>
    <w:rsid w:val="009331EE"/>
    <w:rsid w:val="00933321"/>
    <w:rsid w:val="009333A7"/>
    <w:rsid w:val="009334D4"/>
    <w:rsid w:val="009337EB"/>
    <w:rsid w:val="00933A8B"/>
    <w:rsid w:val="00933ABE"/>
    <w:rsid w:val="00933C6D"/>
    <w:rsid w:val="00933D10"/>
    <w:rsid w:val="00933F0D"/>
    <w:rsid w:val="00933F56"/>
    <w:rsid w:val="009340D0"/>
    <w:rsid w:val="00934236"/>
    <w:rsid w:val="009348D5"/>
    <w:rsid w:val="00934D0E"/>
    <w:rsid w:val="00934E8A"/>
    <w:rsid w:val="00935499"/>
    <w:rsid w:val="00935C0E"/>
    <w:rsid w:val="00935CCC"/>
    <w:rsid w:val="0093633B"/>
    <w:rsid w:val="0093636C"/>
    <w:rsid w:val="009363CD"/>
    <w:rsid w:val="00936493"/>
    <w:rsid w:val="009364B4"/>
    <w:rsid w:val="00936801"/>
    <w:rsid w:val="00936C56"/>
    <w:rsid w:val="00936D63"/>
    <w:rsid w:val="0093750C"/>
    <w:rsid w:val="00937537"/>
    <w:rsid w:val="00937911"/>
    <w:rsid w:val="00937B2B"/>
    <w:rsid w:val="00937CB7"/>
    <w:rsid w:val="009402A5"/>
    <w:rsid w:val="009405AD"/>
    <w:rsid w:val="00940A5A"/>
    <w:rsid w:val="00940C8A"/>
    <w:rsid w:val="00940E36"/>
    <w:rsid w:val="00940E3B"/>
    <w:rsid w:val="00940FCF"/>
    <w:rsid w:val="00941354"/>
    <w:rsid w:val="0094179F"/>
    <w:rsid w:val="00941B8B"/>
    <w:rsid w:val="00941BBE"/>
    <w:rsid w:val="00941DC6"/>
    <w:rsid w:val="00941FFC"/>
    <w:rsid w:val="00942019"/>
    <w:rsid w:val="00942096"/>
    <w:rsid w:val="009420C6"/>
    <w:rsid w:val="009425E5"/>
    <w:rsid w:val="00942A6B"/>
    <w:rsid w:val="00942BD9"/>
    <w:rsid w:val="00942C30"/>
    <w:rsid w:val="00942F91"/>
    <w:rsid w:val="00942FA0"/>
    <w:rsid w:val="009432E5"/>
    <w:rsid w:val="00943609"/>
    <w:rsid w:val="0094384B"/>
    <w:rsid w:val="00943A9D"/>
    <w:rsid w:val="00943BA9"/>
    <w:rsid w:val="00943D1C"/>
    <w:rsid w:val="00943D59"/>
    <w:rsid w:val="009440CD"/>
    <w:rsid w:val="009442BF"/>
    <w:rsid w:val="0094457E"/>
    <w:rsid w:val="0094473E"/>
    <w:rsid w:val="009447E2"/>
    <w:rsid w:val="00944A4C"/>
    <w:rsid w:val="00944B67"/>
    <w:rsid w:val="00944D48"/>
    <w:rsid w:val="00945298"/>
    <w:rsid w:val="00945589"/>
    <w:rsid w:val="00945771"/>
    <w:rsid w:val="009458D8"/>
    <w:rsid w:val="00945BFE"/>
    <w:rsid w:val="00945C07"/>
    <w:rsid w:val="00945C5A"/>
    <w:rsid w:val="00945D5A"/>
    <w:rsid w:val="00945F44"/>
    <w:rsid w:val="00945F8D"/>
    <w:rsid w:val="009460DD"/>
    <w:rsid w:val="00946168"/>
    <w:rsid w:val="0094628E"/>
    <w:rsid w:val="009462C9"/>
    <w:rsid w:val="0094638D"/>
    <w:rsid w:val="009463C6"/>
    <w:rsid w:val="009464E5"/>
    <w:rsid w:val="009467B2"/>
    <w:rsid w:val="009468D9"/>
    <w:rsid w:val="00946B30"/>
    <w:rsid w:val="00946B60"/>
    <w:rsid w:val="00946E06"/>
    <w:rsid w:val="009473E4"/>
    <w:rsid w:val="00947676"/>
    <w:rsid w:val="009477D3"/>
    <w:rsid w:val="00947B1F"/>
    <w:rsid w:val="00947D59"/>
    <w:rsid w:val="00947E70"/>
    <w:rsid w:val="0095014B"/>
    <w:rsid w:val="00950351"/>
    <w:rsid w:val="00950DAA"/>
    <w:rsid w:val="009513CD"/>
    <w:rsid w:val="00951418"/>
    <w:rsid w:val="0095158D"/>
    <w:rsid w:val="009519A5"/>
    <w:rsid w:val="00951B77"/>
    <w:rsid w:val="00951BC5"/>
    <w:rsid w:val="00951DFA"/>
    <w:rsid w:val="009520E4"/>
    <w:rsid w:val="00952274"/>
    <w:rsid w:val="00952514"/>
    <w:rsid w:val="0095269C"/>
    <w:rsid w:val="009527EF"/>
    <w:rsid w:val="00952A5C"/>
    <w:rsid w:val="00952C43"/>
    <w:rsid w:val="00952D0F"/>
    <w:rsid w:val="009537AB"/>
    <w:rsid w:val="009537FA"/>
    <w:rsid w:val="00953C4C"/>
    <w:rsid w:val="00953CF0"/>
    <w:rsid w:val="00954779"/>
    <w:rsid w:val="00954903"/>
    <w:rsid w:val="00954A8E"/>
    <w:rsid w:val="00954ACC"/>
    <w:rsid w:val="00954D04"/>
    <w:rsid w:val="00955CB0"/>
    <w:rsid w:val="00955CCD"/>
    <w:rsid w:val="00955CFD"/>
    <w:rsid w:val="00956061"/>
    <w:rsid w:val="0095661B"/>
    <w:rsid w:val="009569AD"/>
    <w:rsid w:val="00956A40"/>
    <w:rsid w:val="00956EBF"/>
    <w:rsid w:val="00957597"/>
    <w:rsid w:val="0095760F"/>
    <w:rsid w:val="00957831"/>
    <w:rsid w:val="009578D9"/>
    <w:rsid w:val="00957B0C"/>
    <w:rsid w:val="00957F2D"/>
    <w:rsid w:val="00957F5A"/>
    <w:rsid w:val="0096014A"/>
    <w:rsid w:val="00960166"/>
    <w:rsid w:val="0096020A"/>
    <w:rsid w:val="0096034A"/>
    <w:rsid w:val="00960774"/>
    <w:rsid w:val="00960BBF"/>
    <w:rsid w:val="00960D34"/>
    <w:rsid w:val="009612A8"/>
    <w:rsid w:val="009612AF"/>
    <w:rsid w:val="009612E4"/>
    <w:rsid w:val="0096133A"/>
    <w:rsid w:val="0096166E"/>
    <w:rsid w:val="009618FE"/>
    <w:rsid w:val="00961980"/>
    <w:rsid w:val="00961B02"/>
    <w:rsid w:val="00961B31"/>
    <w:rsid w:val="00961BE4"/>
    <w:rsid w:val="00961D43"/>
    <w:rsid w:val="00961DDD"/>
    <w:rsid w:val="00962343"/>
    <w:rsid w:val="00962354"/>
    <w:rsid w:val="0096258F"/>
    <w:rsid w:val="00962B63"/>
    <w:rsid w:val="00962C7E"/>
    <w:rsid w:val="00962CF4"/>
    <w:rsid w:val="009631A4"/>
    <w:rsid w:val="0096323C"/>
    <w:rsid w:val="009632AF"/>
    <w:rsid w:val="00963332"/>
    <w:rsid w:val="0096345B"/>
    <w:rsid w:val="0096352C"/>
    <w:rsid w:val="009636A8"/>
    <w:rsid w:val="00963735"/>
    <w:rsid w:val="0096398C"/>
    <w:rsid w:val="00963B9F"/>
    <w:rsid w:val="00963CCB"/>
    <w:rsid w:val="00963D4E"/>
    <w:rsid w:val="009640F2"/>
    <w:rsid w:val="00964223"/>
    <w:rsid w:val="009642B3"/>
    <w:rsid w:val="009642CC"/>
    <w:rsid w:val="009642D4"/>
    <w:rsid w:val="0096473E"/>
    <w:rsid w:val="00964ADB"/>
    <w:rsid w:val="00964C70"/>
    <w:rsid w:val="00964F75"/>
    <w:rsid w:val="009650C4"/>
    <w:rsid w:val="00965235"/>
    <w:rsid w:val="00965318"/>
    <w:rsid w:val="009653FE"/>
    <w:rsid w:val="00965693"/>
    <w:rsid w:val="00965DFB"/>
    <w:rsid w:val="00965F6C"/>
    <w:rsid w:val="009662D5"/>
    <w:rsid w:val="009663BF"/>
    <w:rsid w:val="009664C9"/>
    <w:rsid w:val="009667FB"/>
    <w:rsid w:val="00966872"/>
    <w:rsid w:val="00966960"/>
    <w:rsid w:val="00966AC4"/>
    <w:rsid w:val="00966F5F"/>
    <w:rsid w:val="009670FF"/>
    <w:rsid w:val="00967235"/>
    <w:rsid w:val="009679BB"/>
    <w:rsid w:val="00967CFA"/>
    <w:rsid w:val="00967DB5"/>
    <w:rsid w:val="009700D8"/>
    <w:rsid w:val="00970287"/>
    <w:rsid w:val="009702A2"/>
    <w:rsid w:val="00970558"/>
    <w:rsid w:val="009708CD"/>
    <w:rsid w:val="00970E18"/>
    <w:rsid w:val="00971030"/>
    <w:rsid w:val="009711BB"/>
    <w:rsid w:val="009711C8"/>
    <w:rsid w:val="009712CD"/>
    <w:rsid w:val="0097134E"/>
    <w:rsid w:val="00971441"/>
    <w:rsid w:val="009714DD"/>
    <w:rsid w:val="009716F3"/>
    <w:rsid w:val="009717AA"/>
    <w:rsid w:val="00971AB4"/>
    <w:rsid w:val="00971CF4"/>
    <w:rsid w:val="00971D05"/>
    <w:rsid w:val="00971E42"/>
    <w:rsid w:val="0097246F"/>
    <w:rsid w:val="00972513"/>
    <w:rsid w:val="009729F3"/>
    <w:rsid w:val="00972D3D"/>
    <w:rsid w:val="00972FCD"/>
    <w:rsid w:val="00973024"/>
    <w:rsid w:val="0097329C"/>
    <w:rsid w:val="00973786"/>
    <w:rsid w:val="00973789"/>
    <w:rsid w:val="009739C8"/>
    <w:rsid w:val="009739F7"/>
    <w:rsid w:val="00973A18"/>
    <w:rsid w:val="00973C76"/>
    <w:rsid w:val="00973CA3"/>
    <w:rsid w:val="00973CC9"/>
    <w:rsid w:val="009745A1"/>
    <w:rsid w:val="009745E6"/>
    <w:rsid w:val="009746C5"/>
    <w:rsid w:val="00974933"/>
    <w:rsid w:val="0097496E"/>
    <w:rsid w:val="00974B5A"/>
    <w:rsid w:val="00974D45"/>
    <w:rsid w:val="009751D6"/>
    <w:rsid w:val="009756D0"/>
    <w:rsid w:val="00975886"/>
    <w:rsid w:val="00975B78"/>
    <w:rsid w:val="00975F2F"/>
    <w:rsid w:val="009760EF"/>
    <w:rsid w:val="0097611B"/>
    <w:rsid w:val="009765DB"/>
    <w:rsid w:val="009765F5"/>
    <w:rsid w:val="0097676E"/>
    <w:rsid w:val="00976895"/>
    <w:rsid w:val="00976AA2"/>
    <w:rsid w:val="00976BEE"/>
    <w:rsid w:val="009770A8"/>
    <w:rsid w:val="0097732E"/>
    <w:rsid w:val="00977431"/>
    <w:rsid w:val="009776C7"/>
    <w:rsid w:val="00977BFC"/>
    <w:rsid w:val="00977D98"/>
    <w:rsid w:val="00977E94"/>
    <w:rsid w:val="009800C3"/>
    <w:rsid w:val="009801E4"/>
    <w:rsid w:val="009801E7"/>
    <w:rsid w:val="0098073F"/>
    <w:rsid w:val="009807B2"/>
    <w:rsid w:val="009807E1"/>
    <w:rsid w:val="00980965"/>
    <w:rsid w:val="009809B4"/>
    <w:rsid w:val="00980C81"/>
    <w:rsid w:val="00980F6C"/>
    <w:rsid w:val="009810E6"/>
    <w:rsid w:val="009811F0"/>
    <w:rsid w:val="00981494"/>
    <w:rsid w:val="00981C35"/>
    <w:rsid w:val="00981C92"/>
    <w:rsid w:val="00982437"/>
    <w:rsid w:val="00982723"/>
    <w:rsid w:val="009829C5"/>
    <w:rsid w:val="00982B12"/>
    <w:rsid w:val="00982B2F"/>
    <w:rsid w:val="00982BCA"/>
    <w:rsid w:val="00982C4D"/>
    <w:rsid w:val="00982D18"/>
    <w:rsid w:val="00982EE2"/>
    <w:rsid w:val="00983078"/>
    <w:rsid w:val="009830BD"/>
    <w:rsid w:val="009832FC"/>
    <w:rsid w:val="009833AD"/>
    <w:rsid w:val="009833F1"/>
    <w:rsid w:val="00983700"/>
    <w:rsid w:val="009838AE"/>
    <w:rsid w:val="0098395A"/>
    <w:rsid w:val="0098396C"/>
    <w:rsid w:val="00983C6D"/>
    <w:rsid w:val="009840F8"/>
    <w:rsid w:val="009841F0"/>
    <w:rsid w:val="0098427A"/>
    <w:rsid w:val="00984A2B"/>
    <w:rsid w:val="00984AA5"/>
    <w:rsid w:val="00984B17"/>
    <w:rsid w:val="00984B83"/>
    <w:rsid w:val="00984D60"/>
    <w:rsid w:val="00984E87"/>
    <w:rsid w:val="00985067"/>
    <w:rsid w:val="0098506E"/>
    <w:rsid w:val="009858B7"/>
    <w:rsid w:val="00985AEB"/>
    <w:rsid w:val="00985C92"/>
    <w:rsid w:val="009863DD"/>
    <w:rsid w:val="009864F6"/>
    <w:rsid w:val="00986563"/>
    <w:rsid w:val="00986597"/>
    <w:rsid w:val="009867F3"/>
    <w:rsid w:val="00986AE7"/>
    <w:rsid w:val="00986EF6"/>
    <w:rsid w:val="0098707D"/>
    <w:rsid w:val="00987317"/>
    <w:rsid w:val="009874B1"/>
    <w:rsid w:val="0098750B"/>
    <w:rsid w:val="009876A3"/>
    <w:rsid w:val="00987B0B"/>
    <w:rsid w:val="00987CAA"/>
    <w:rsid w:val="009901AA"/>
    <w:rsid w:val="009902C1"/>
    <w:rsid w:val="009903B2"/>
    <w:rsid w:val="009907BC"/>
    <w:rsid w:val="00990A1A"/>
    <w:rsid w:val="0099130E"/>
    <w:rsid w:val="00991506"/>
    <w:rsid w:val="00991595"/>
    <w:rsid w:val="00991776"/>
    <w:rsid w:val="009919F8"/>
    <w:rsid w:val="00991B55"/>
    <w:rsid w:val="00991DDD"/>
    <w:rsid w:val="00991EC1"/>
    <w:rsid w:val="00992070"/>
    <w:rsid w:val="0099214E"/>
    <w:rsid w:val="0099244D"/>
    <w:rsid w:val="009924BC"/>
    <w:rsid w:val="009927BD"/>
    <w:rsid w:val="00992DA4"/>
    <w:rsid w:val="00992E7B"/>
    <w:rsid w:val="00992FBA"/>
    <w:rsid w:val="0099317B"/>
    <w:rsid w:val="009932D2"/>
    <w:rsid w:val="009932ED"/>
    <w:rsid w:val="00993B00"/>
    <w:rsid w:val="00993E4A"/>
    <w:rsid w:val="00994318"/>
    <w:rsid w:val="009943E6"/>
    <w:rsid w:val="00994BE4"/>
    <w:rsid w:val="00994D14"/>
    <w:rsid w:val="00994DC4"/>
    <w:rsid w:val="00995084"/>
    <w:rsid w:val="0099521D"/>
    <w:rsid w:val="0099546C"/>
    <w:rsid w:val="0099562A"/>
    <w:rsid w:val="009958A2"/>
    <w:rsid w:val="00995B40"/>
    <w:rsid w:val="00995C90"/>
    <w:rsid w:val="00995E04"/>
    <w:rsid w:val="009960D5"/>
    <w:rsid w:val="0099623A"/>
    <w:rsid w:val="00996399"/>
    <w:rsid w:val="00996965"/>
    <w:rsid w:val="00996CDF"/>
    <w:rsid w:val="00996D07"/>
    <w:rsid w:val="00997298"/>
    <w:rsid w:val="009978F4"/>
    <w:rsid w:val="00997B9B"/>
    <w:rsid w:val="00997DB1"/>
    <w:rsid w:val="00997E98"/>
    <w:rsid w:val="009A005C"/>
    <w:rsid w:val="009A02C2"/>
    <w:rsid w:val="009A04E6"/>
    <w:rsid w:val="009A08E6"/>
    <w:rsid w:val="009A090D"/>
    <w:rsid w:val="009A0B7E"/>
    <w:rsid w:val="009A0FA6"/>
    <w:rsid w:val="009A156F"/>
    <w:rsid w:val="009A1679"/>
    <w:rsid w:val="009A18FA"/>
    <w:rsid w:val="009A1AB3"/>
    <w:rsid w:val="009A204E"/>
    <w:rsid w:val="009A20A8"/>
    <w:rsid w:val="009A23CE"/>
    <w:rsid w:val="009A28BC"/>
    <w:rsid w:val="009A2D90"/>
    <w:rsid w:val="009A2EE7"/>
    <w:rsid w:val="009A2F83"/>
    <w:rsid w:val="009A345D"/>
    <w:rsid w:val="009A34DD"/>
    <w:rsid w:val="009A374E"/>
    <w:rsid w:val="009A3851"/>
    <w:rsid w:val="009A38C7"/>
    <w:rsid w:val="009A39AF"/>
    <w:rsid w:val="009A3BA7"/>
    <w:rsid w:val="009A3FD0"/>
    <w:rsid w:val="009A3FFD"/>
    <w:rsid w:val="009A421E"/>
    <w:rsid w:val="009A427B"/>
    <w:rsid w:val="009A4326"/>
    <w:rsid w:val="009A4FEF"/>
    <w:rsid w:val="009A5940"/>
    <w:rsid w:val="009A5C7F"/>
    <w:rsid w:val="009A5EE5"/>
    <w:rsid w:val="009A6371"/>
    <w:rsid w:val="009A66B6"/>
    <w:rsid w:val="009A68C0"/>
    <w:rsid w:val="009A6E11"/>
    <w:rsid w:val="009A6E35"/>
    <w:rsid w:val="009A6E82"/>
    <w:rsid w:val="009A6F32"/>
    <w:rsid w:val="009A6F53"/>
    <w:rsid w:val="009A6F93"/>
    <w:rsid w:val="009A7947"/>
    <w:rsid w:val="009A7A75"/>
    <w:rsid w:val="009A7AB8"/>
    <w:rsid w:val="009A7C05"/>
    <w:rsid w:val="009A7C28"/>
    <w:rsid w:val="009B01C1"/>
    <w:rsid w:val="009B039F"/>
    <w:rsid w:val="009B0477"/>
    <w:rsid w:val="009B05B4"/>
    <w:rsid w:val="009B086C"/>
    <w:rsid w:val="009B0EE7"/>
    <w:rsid w:val="009B104C"/>
    <w:rsid w:val="009B111E"/>
    <w:rsid w:val="009B132A"/>
    <w:rsid w:val="009B14D2"/>
    <w:rsid w:val="009B1604"/>
    <w:rsid w:val="009B1B2A"/>
    <w:rsid w:val="009B1BDF"/>
    <w:rsid w:val="009B1D00"/>
    <w:rsid w:val="009B1D9C"/>
    <w:rsid w:val="009B20F5"/>
    <w:rsid w:val="009B2120"/>
    <w:rsid w:val="009B2606"/>
    <w:rsid w:val="009B2917"/>
    <w:rsid w:val="009B2C38"/>
    <w:rsid w:val="009B2DD0"/>
    <w:rsid w:val="009B2FBB"/>
    <w:rsid w:val="009B2FC0"/>
    <w:rsid w:val="009B305C"/>
    <w:rsid w:val="009B308A"/>
    <w:rsid w:val="009B34FB"/>
    <w:rsid w:val="009B350E"/>
    <w:rsid w:val="009B37D8"/>
    <w:rsid w:val="009B39F8"/>
    <w:rsid w:val="009B3BB5"/>
    <w:rsid w:val="009B3E20"/>
    <w:rsid w:val="009B3F30"/>
    <w:rsid w:val="009B408E"/>
    <w:rsid w:val="009B42F5"/>
    <w:rsid w:val="009B44DC"/>
    <w:rsid w:val="009B474C"/>
    <w:rsid w:val="009B49E1"/>
    <w:rsid w:val="009B4E38"/>
    <w:rsid w:val="009B50B3"/>
    <w:rsid w:val="009B52CF"/>
    <w:rsid w:val="009B572A"/>
    <w:rsid w:val="009B5755"/>
    <w:rsid w:val="009B5AE6"/>
    <w:rsid w:val="009B5AFF"/>
    <w:rsid w:val="009B5BBF"/>
    <w:rsid w:val="009B5CC9"/>
    <w:rsid w:val="009B5F5D"/>
    <w:rsid w:val="009B5F76"/>
    <w:rsid w:val="009B6346"/>
    <w:rsid w:val="009B63F7"/>
    <w:rsid w:val="009B6465"/>
    <w:rsid w:val="009B65DC"/>
    <w:rsid w:val="009B6798"/>
    <w:rsid w:val="009B6B1E"/>
    <w:rsid w:val="009B6C4E"/>
    <w:rsid w:val="009B7111"/>
    <w:rsid w:val="009B72CC"/>
    <w:rsid w:val="009B7632"/>
    <w:rsid w:val="009B76A4"/>
    <w:rsid w:val="009B77C0"/>
    <w:rsid w:val="009B7921"/>
    <w:rsid w:val="009B7DA6"/>
    <w:rsid w:val="009B7DAF"/>
    <w:rsid w:val="009B7E80"/>
    <w:rsid w:val="009C00B7"/>
    <w:rsid w:val="009C010F"/>
    <w:rsid w:val="009C0110"/>
    <w:rsid w:val="009C022F"/>
    <w:rsid w:val="009C029A"/>
    <w:rsid w:val="009C0874"/>
    <w:rsid w:val="009C0B59"/>
    <w:rsid w:val="009C0C13"/>
    <w:rsid w:val="009C0E2B"/>
    <w:rsid w:val="009C14CE"/>
    <w:rsid w:val="009C153B"/>
    <w:rsid w:val="009C18E0"/>
    <w:rsid w:val="009C1E10"/>
    <w:rsid w:val="009C2066"/>
    <w:rsid w:val="009C20FA"/>
    <w:rsid w:val="009C23F5"/>
    <w:rsid w:val="009C266B"/>
    <w:rsid w:val="009C276F"/>
    <w:rsid w:val="009C28AD"/>
    <w:rsid w:val="009C28F5"/>
    <w:rsid w:val="009C293A"/>
    <w:rsid w:val="009C2B20"/>
    <w:rsid w:val="009C2B2E"/>
    <w:rsid w:val="009C2C09"/>
    <w:rsid w:val="009C30E3"/>
    <w:rsid w:val="009C3A58"/>
    <w:rsid w:val="009C3C1E"/>
    <w:rsid w:val="009C3C81"/>
    <w:rsid w:val="009C3CDE"/>
    <w:rsid w:val="009C4043"/>
    <w:rsid w:val="009C41D6"/>
    <w:rsid w:val="009C4358"/>
    <w:rsid w:val="009C479E"/>
    <w:rsid w:val="009C4CE3"/>
    <w:rsid w:val="009C5199"/>
    <w:rsid w:val="009C5308"/>
    <w:rsid w:val="009C5329"/>
    <w:rsid w:val="009C53A5"/>
    <w:rsid w:val="009C5466"/>
    <w:rsid w:val="009C563B"/>
    <w:rsid w:val="009C5675"/>
    <w:rsid w:val="009C57C9"/>
    <w:rsid w:val="009C57E3"/>
    <w:rsid w:val="009C57F4"/>
    <w:rsid w:val="009C5EE8"/>
    <w:rsid w:val="009C5F7A"/>
    <w:rsid w:val="009C679A"/>
    <w:rsid w:val="009C6AA9"/>
    <w:rsid w:val="009C6C44"/>
    <w:rsid w:val="009C6C4D"/>
    <w:rsid w:val="009C7395"/>
    <w:rsid w:val="009C7671"/>
    <w:rsid w:val="009C7921"/>
    <w:rsid w:val="009C7B67"/>
    <w:rsid w:val="009D04AC"/>
    <w:rsid w:val="009D08ED"/>
    <w:rsid w:val="009D0DE8"/>
    <w:rsid w:val="009D1215"/>
    <w:rsid w:val="009D17B3"/>
    <w:rsid w:val="009D1A20"/>
    <w:rsid w:val="009D1B02"/>
    <w:rsid w:val="009D1BC9"/>
    <w:rsid w:val="009D1EF3"/>
    <w:rsid w:val="009D1F22"/>
    <w:rsid w:val="009D1FE1"/>
    <w:rsid w:val="009D24CF"/>
    <w:rsid w:val="009D2AAB"/>
    <w:rsid w:val="009D2C43"/>
    <w:rsid w:val="009D2DA2"/>
    <w:rsid w:val="009D2E7E"/>
    <w:rsid w:val="009D324C"/>
    <w:rsid w:val="009D3306"/>
    <w:rsid w:val="009D33E0"/>
    <w:rsid w:val="009D350F"/>
    <w:rsid w:val="009D36E8"/>
    <w:rsid w:val="009D3837"/>
    <w:rsid w:val="009D395E"/>
    <w:rsid w:val="009D3C40"/>
    <w:rsid w:val="009D3CF1"/>
    <w:rsid w:val="009D3E11"/>
    <w:rsid w:val="009D46B5"/>
    <w:rsid w:val="009D4965"/>
    <w:rsid w:val="009D49A4"/>
    <w:rsid w:val="009D4C83"/>
    <w:rsid w:val="009D510F"/>
    <w:rsid w:val="009D53F4"/>
    <w:rsid w:val="009D565C"/>
    <w:rsid w:val="009D568A"/>
    <w:rsid w:val="009D583E"/>
    <w:rsid w:val="009D59EE"/>
    <w:rsid w:val="009D5E05"/>
    <w:rsid w:val="009D6015"/>
    <w:rsid w:val="009D665A"/>
    <w:rsid w:val="009D6A7E"/>
    <w:rsid w:val="009D6ACA"/>
    <w:rsid w:val="009D72B3"/>
    <w:rsid w:val="009D753B"/>
    <w:rsid w:val="009D75CD"/>
    <w:rsid w:val="009D7667"/>
    <w:rsid w:val="009D775D"/>
    <w:rsid w:val="009D7D2C"/>
    <w:rsid w:val="009D7F48"/>
    <w:rsid w:val="009E0502"/>
    <w:rsid w:val="009E0633"/>
    <w:rsid w:val="009E0821"/>
    <w:rsid w:val="009E08F4"/>
    <w:rsid w:val="009E118F"/>
    <w:rsid w:val="009E1415"/>
    <w:rsid w:val="009E14CB"/>
    <w:rsid w:val="009E18AD"/>
    <w:rsid w:val="009E23E5"/>
    <w:rsid w:val="009E244F"/>
    <w:rsid w:val="009E263D"/>
    <w:rsid w:val="009E2F49"/>
    <w:rsid w:val="009E3B26"/>
    <w:rsid w:val="009E3D79"/>
    <w:rsid w:val="009E3D83"/>
    <w:rsid w:val="009E3E83"/>
    <w:rsid w:val="009E4027"/>
    <w:rsid w:val="009E449D"/>
    <w:rsid w:val="009E44C1"/>
    <w:rsid w:val="009E45C9"/>
    <w:rsid w:val="009E4795"/>
    <w:rsid w:val="009E486F"/>
    <w:rsid w:val="009E4894"/>
    <w:rsid w:val="009E48C6"/>
    <w:rsid w:val="009E4E24"/>
    <w:rsid w:val="009E4E71"/>
    <w:rsid w:val="009E564C"/>
    <w:rsid w:val="009E5FAC"/>
    <w:rsid w:val="009E66FF"/>
    <w:rsid w:val="009E67AB"/>
    <w:rsid w:val="009E69F9"/>
    <w:rsid w:val="009E70D9"/>
    <w:rsid w:val="009E70F1"/>
    <w:rsid w:val="009E70F2"/>
    <w:rsid w:val="009E72F6"/>
    <w:rsid w:val="009E73FE"/>
    <w:rsid w:val="009E7704"/>
    <w:rsid w:val="009E7A9E"/>
    <w:rsid w:val="009F002E"/>
    <w:rsid w:val="009F0377"/>
    <w:rsid w:val="009F0405"/>
    <w:rsid w:val="009F093F"/>
    <w:rsid w:val="009F0948"/>
    <w:rsid w:val="009F0B4C"/>
    <w:rsid w:val="009F1229"/>
    <w:rsid w:val="009F1446"/>
    <w:rsid w:val="009F173A"/>
    <w:rsid w:val="009F1778"/>
    <w:rsid w:val="009F17C5"/>
    <w:rsid w:val="009F17F1"/>
    <w:rsid w:val="009F1930"/>
    <w:rsid w:val="009F19B4"/>
    <w:rsid w:val="009F19F3"/>
    <w:rsid w:val="009F1AE2"/>
    <w:rsid w:val="009F1D75"/>
    <w:rsid w:val="009F273E"/>
    <w:rsid w:val="009F296C"/>
    <w:rsid w:val="009F2C51"/>
    <w:rsid w:val="009F2F4F"/>
    <w:rsid w:val="009F351B"/>
    <w:rsid w:val="009F3563"/>
    <w:rsid w:val="009F3648"/>
    <w:rsid w:val="009F390E"/>
    <w:rsid w:val="009F39B7"/>
    <w:rsid w:val="009F3E6A"/>
    <w:rsid w:val="009F3F0C"/>
    <w:rsid w:val="009F3F85"/>
    <w:rsid w:val="009F415C"/>
    <w:rsid w:val="009F47C2"/>
    <w:rsid w:val="009F4AAC"/>
    <w:rsid w:val="009F4D19"/>
    <w:rsid w:val="009F4EC3"/>
    <w:rsid w:val="009F50EC"/>
    <w:rsid w:val="009F55CA"/>
    <w:rsid w:val="009F56D1"/>
    <w:rsid w:val="009F5A28"/>
    <w:rsid w:val="009F5C41"/>
    <w:rsid w:val="009F5D3F"/>
    <w:rsid w:val="009F5D50"/>
    <w:rsid w:val="009F6428"/>
    <w:rsid w:val="009F64D5"/>
    <w:rsid w:val="009F6650"/>
    <w:rsid w:val="009F6933"/>
    <w:rsid w:val="009F6F16"/>
    <w:rsid w:val="009F723E"/>
    <w:rsid w:val="009F7427"/>
    <w:rsid w:val="009F74A5"/>
    <w:rsid w:val="009F75BE"/>
    <w:rsid w:val="009F75E4"/>
    <w:rsid w:val="009F7803"/>
    <w:rsid w:val="009F7938"/>
    <w:rsid w:val="009F7BF7"/>
    <w:rsid w:val="009F7CAB"/>
    <w:rsid w:val="009F7EB8"/>
    <w:rsid w:val="00A0057B"/>
    <w:rsid w:val="00A00802"/>
    <w:rsid w:val="00A00CAC"/>
    <w:rsid w:val="00A00FB9"/>
    <w:rsid w:val="00A0127D"/>
    <w:rsid w:val="00A016BF"/>
    <w:rsid w:val="00A017F9"/>
    <w:rsid w:val="00A01BC7"/>
    <w:rsid w:val="00A02708"/>
    <w:rsid w:val="00A027F2"/>
    <w:rsid w:val="00A02875"/>
    <w:rsid w:val="00A0299A"/>
    <w:rsid w:val="00A02EBB"/>
    <w:rsid w:val="00A03166"/>
    <w:rsid w:val="00A03249"/>
    <w:rsid w:val="00A03624"/>
    <w:rsid w:val="00A03AD5"/>
    <w:rsid w:val="00A03C17"/>
    <w:rsid w:val="00A03FD7"/>
    <w:rsid w:val="00A04789"/>
    <w:rsid w:val="00A047B2"/>
    <w:rsid w:val="00A04A17"/>
    <w:rsid w:val="00A04AAC"/>
    <w:rsid w:val="00A04D79"/>
    <w:rsid w:val="00A04DE7"/>
    <w:rsid w:val="00A05098"/>
    <w:rsid w:val="00A054CC"/>
    <w:rsid w:val="00A0558A"/>
    <w:rsid w:val="00A056A0"/>
    <w:rsid w:val="00A05A05"/>
    <w:rsid w:val="00A05B16"/>
    <w:rsid w:val="00A05D6D"/>
    <w:rsid w:val="00A05E1B"/>
    <w:rsid w:val="00A05E9A"/>
    <w:rsid w:val="00A05FC8"/>
    <w:rsid w:val="00A06126"/>
    <w:rsid w:val="00A06135"/>
    <w:rsid w:val="00A06244"/>
    <w:rsid w:val="00A067AF"/>
    <w:rsid w:val="00A06913"/>
    <w:rsid w:val="00A06CE4"/>
    <w:rsid w:val="00A06D0E"/>
    <w:rsid w:val="00A0774A"/>
    <w:rsid w:val="00A0793E"/>
    <w:rsid w:val="00A0795F"/>
    <w:rsid w:val="00A07B11"/>
    <w:rsid w:val="00A07F68"/>
    <w:rsid w:val="00A10023"/>
    <w:rsid w:val="00A105EC"/>
    <w:rsid w:val="00A10755"/>
    <w:rsid w:val="00A110BE"/>
    <w:rsid w:val="00A1121B"/>
    <w:rsid w:val="00A1152A"/>
    <w:rsid w:val="00A116CE"/>
    <w:rsid w:val="00A11909"/>
    <w:rsid w:val="00A11911"/>
    <w:rsid w:val="00A11931"/>
    <w:rsid w:val="00A11F55"/>
    <w:rsid w:val="00A12523"/>
    <w:rsid w:val="00A12553"/>
    <w:rsid w:val="00A1265C"/>
    <w:rsid w:val="00A12874"/>
    <w:rsid w:val="00A128D6"/>
    <w:rsid w:val="00A12A07"/>
    <w:rsid w:val="00A12AAA"/>
    <w:rsid w:val="00A12AC0"/>
    <w:rsid w:val="00A12B5E"/>
    <w:rsid w:val="00A12D8E"/>
    <w:rsid w:val="00A13177"/>
    <w:rsid w:val="00A1318D"/>
    <w:rsid w:val="00A131A2"/>
    <w:rsid w:val="00A1334A"/>
    <w:rsid w:val="00A13357"/>
    <w:rsid w:val="00A13666"/>
    <w:rsid w:val="00A13685"/>
    <w:rsid w:val="00A13A1C"/>
    <w:rsid w:val="00A13B53"/>
    <w:rsid w:val="00A13E35"/>
    <w:rsid w:val="00A13EA8"/>
    <w:rsid w:val="00A13F46"/>
    <w:rsid w:val="00A14021"/>
    <w:rsid w:val="00A140D1"/>
    <w:rsid w:val="00A1420D"/>
    <w:rsid w:val="00A1478A"/>
    <w:rsid w:val="00A148DA"/>
    <w:rsid w:val="00A14EDC"/>
    <w:rsid w:val="00A1501F"/>
    <w:rsid w:val="00A15191"/>
    <w:rsid w:val="00A151F9"/>
    <w:rsid w:val="00A15770"/>
    <w:rsid w:val="00A15C85"/>
    <w:rsid w:val="00A15D06"/>
    <w:rsid w:val="00A15E13"/>
    <w:rsid w:val="00A15FBE"/>
    <w:rsid w:val="00A160CF"/>
    <w:rsid w:val="00A16168"/>
    <w:rsid w:val="00A1698B"/>
    <w:rsid w:val="00A16DD6"/>
    <w:rsid w:val="00A17407"/>
    <w:rsid w:val="00A1785D"/>
    <w:rsid w:val="00A179A2"/>
    <w:rsid w:val="00A179B7"/>
    <w:rsid w:val="00A17ABA"/>
    <w:rsid w:val="00A17B74"/>
    <w:rsid w:val="00A17D6B"/>
    <w:rsid w:val="00A201E4"/>
    <w:rsid w:val="00A20406"/>
    <w:rsid w:val="00A206B3"/>
    <w:rsid w:val="00A208C4"/>
    <w:rsid w:val="00A20980"/>
    <w:rsid w:val="00A20A4A"/>
    <w:rsid w:val="00A20E20"/>
    <w:rsid w:val="00A21229"/>
    <w:rsid w:val="00A213F2"/>
    <w:rsid w:val="00A214D4"/>
    <w:rsid w:val="00A214E4"/>
    <w:rsid w:val="00A21934"/>
    <w:rsid w:val="00A21BC4"/>
    <w:rsid w:val="00A220DF"/>
    <w:rsid w:val="00A222DF"/>
    <w:rsid w:val="00A2288F"/>
    <w:rsid w:val="00A22981"/>
    <w:rsid w:val="00A22B3D"/>
    <w:rsid w:val="00A22D3C"/>
    <w:rsid w:val="00A22D71"/>
    <w:rsid w:val="00A22F83"/>
    <w:rsid w:val="00A232F8"/>
    <w:rsid w:val="00A23519"/>
    <w:rsid w:val="00A2351A"/>
    <w:rsid w:val="00A24126"/>
    <w:rsid w:val="00A24346"/>
    <w:rsid w:val="00A24366"/>
    <w:rsid w:val="00A24697"/>
    <w:rsid w:val="00A24713"/>
    <w:rsid w:val="00A24A25"/>
    <w:rsid w:val="00A24DDA"/>
    <w:rsid w:val="00A250B4"/>
    <w:rsid w:val="00A255DD"/>
    <w:rsid w:val="00A25658"/>
    <w:rsid w:val="00A258B3"/>
    <w:rsid w:val="00A25C5A"/>
    <w:rsid w:val="00A25F5A"/>
    <w:rsid w:val="00A2600E"/>
    <w:rsid w:val="00A261BB"/>
    <w:rsid w:val="00A26689"/>
    <w:rsid w:val="00A26C98"/>
    <w:rsid w:val="00A26FBB"/>
    <w:rsid w:val="00A2711D"/>
    <w:rsid w:val="00A271AE"/>
    <w:rsid w:val="00A273CA"/>
    <w:rsid w:val="00A27763"/>
    <w:rsid w:val="00A27ADA"/>
    <w:rsid w:val="00A27C01"/>
    <w:rsid w:val="00A27CF5"/>
    <w:rsid w:val="00A27D9F"/>
    <w:rsid w:val="00A27DB9"/>
    <w:rsid w:val="00A3030D"/>
    <w:rsid w:val="00A30698"/>
    <w:rsid w:val="00A30765"/>
    <w:rsid w:val="00A30F6C"/>
    <w:rsid w:val="00A31084"/>
    <w:rsid w:val="00A310C9"/>
    <w:rsid w:val="00A313C5"/>
    <w:rsid w:val="00A3146A"/>
    <w:rsid w:val="00A31481"/>
    <w:rsid w:val="00A31510"/>
    <w:rsid w:val="00A319AE"/>
    <w:rsid w:val="00A31AC1"/>
    <w:rsid w:val="00A31B3B"/>
    <w:rsid w:val="00A31B79"/>
    <w:rsid w:val="00A31C5C"/>
    <w:rsid w:val="00A31ED4"/>
    <w:rsid w:val="00A321F7"/>
    <w:rsid w:val="00A327B2"/>
    <w:rsid w:val="00A32914"/>
    <w:rsid w:val="00A32DEA"/>
    <w:rsid w:val="00A32FE9"/>
    <w:rsid w:val="00A3326F"/>
    <w:rsid w:val="00A33461"/>
    <w:rsid w:val="00A334F6"/>
    <w:rsid w:val="00A33620"/>
    <w:rsid w:val="00A33B64"/>
    <w:rsid w:val="00A341BD"/>
    <w:rsid w:val="00A34931"/>
    <w:rsid w:val="00A349BF"/>
    <w:rsid w:val="00A34F52"/>
    <w:rsid w:val="00A35123"/>
    <w:rsid w:val="00A35590"/>
    <w:rsid w:val="00A35CE6"/>
    <w:rsid w:val="00A35DE0"/>
    <w:rsid w:val="00A36308"/>
    <w:rsid w:val="00A367C8"/>
    <w:rsid w:val="00A36827"/>
    <w:rsid w:val="00A368E8"/>
    <w:rsid w:val="00A36B0E"/>
    <w:rsid w:val="00A36B28"/>
    <w:rsid w:val="00A36B60"/>
    <w:rsid w:val="00A36C00"/>
    <w:rsid w:val="00A36D92"/>
    <w:rsid w:val="00A36ED1"/>
    <w:rsid w:val="00A36F0C"/>
    <w:rsid w:val="00A3738B"/>
    <w:rsid w:val="00A3740A"/>
    <w:rsid w:val="00A37448"/>
    <w:rsid w:val="00A37B42"/>
    <w:rsid w:val="00A37DB9"/>
    <w:rsid w:val="00A4002E"/>
    <w:rsid w:val="00A40327"/>
    <w:rsid w:val="00A406C3"/>
    <w:rsid w:val="00A40949"/>
    <w:rsid w:val="00A40A50"/>
    <w:rsid w:val="00A4107C"/>
    <w:rsid w:val="00A413DC"/>
    <w:rsid w:val="00A41655"/>
    <w:rsid w:val="00A4183E"/>
    <w:rsid w:val="00A42488"/>
    <w:rsid w:val="00A425AC"/>
    <w:rsid w:val="00A42606"/>
    <w:rsid w:val="00A42AFA"/>
    <w:rsid w:val="00A42BF7"/>
    <w:rsid w:val="00A42BFA"/>
    <w:rsid w:val="00A42C1C"/>
    <w:rsid w:val="00A42DA5"/>
    <w:rsid w:val="00A42EA6"/>
    <w:rsid w:val="00A43065"/>
    <w:rsid w:val="00A433DC"/>
    <w:rsid w:val="00A437FC"/>
    <w:rsid w:val="00A43A6C"/>
    <w:rsid w:val="00A43CE2"/>
    <w:rsid w:val="00A43F0A"/>
    <w:rsid w:val="00A43F6A"/>
    <w:rsid w:val="00A4409E"/>
    <w:rsid w:val="00A44304"/>
    <w:rsid w:val="00A4477F"/>
    <w:rsid w:val="00A44A57"/>
    <w:rsid w:val="00A44BFD"/>
    <w:rsid w:val="00A44C55"/>
    <w:rsid w:val="00A45216"/>
    <w:rsid w:val="00A45C0B"/>
    <w:rsid w:val="00A45D78"/>
    <w:rsid w:val="00A45F35"/>
    <w:rsid w:val="00A46327"/>
    <w:rsid w:val="00A46BE7"/>
    <w:rsid w:val="00A46F8D"/>
    <w:rsid w:val="00A47054"/>
    <w:rsid w:val="00A470F5"/>
    <w:rsid w:val="00A474B2"/>
    <w:rsid w:val="00A4787E"/>
    <w:rsid w:val="00A47903"/>
    <w:rsid w:val="00A47AFD"/>
    <w:rsid w:val="00A47B98"/>
    <w:rsid w:val="00A47D8E"/>
    <w:rsid w:val="00A47FDE"/>
    <w:rsid w:val="00A501AE"/>
    <w:rsid w:val="00A503AA"/>
    <w:rsid w:val="00A50738"/>
    <w:rsid w:val="00A50AB7"/>
    <w:rsid w:val="00A50B00"/>
    <w:rsid w:val="00A50C48"/>
    <w:rsid w:val="00A50D8E"/>
    <w:rsid w:val="00A51290"/>
    <w:rsid w:val="00A516C2"/>
    <w:rsid w:val="00A51844"/>
    <w:rsid w:val="00A51BFC"/>
    <w:rsid w:val="00A51CC4"/>
    <w:rsid w:val="00A51DCD"/>
    <w:rsid w:val="00A52314"/>
    <w:rsid w:val="00A5235A"/>
    <w:rsid w:val="00A52572"/>
    <w:rsid w:val="00A5273B"/>
    <w:rsid w:val="00A528FA"/>
    <w:rsid w:val="00A52979"/>
    <w:rsid w:val="00A52E59"/>
    <w:rsid w:val="00A52EBA"/>
    <w:rsid w:val="00A52EDF"/>
    <w:rsid w:val="00A5356D"/>
    <w:rsid w:val="00A5360C"/>
    <w:rsid w:val="00A5384C"/>
    <w:rsid w:val="00A5397E"/>
    <w:rsid w:val="00A53A41"/>
    <w:rsid w:val="00A5416F"/>
    <w:rsid w:val="00A54508"/>
    <w:rsid w:val="00A54A7E"/>
    <w:rsid w:val="00A54BD3"/>
    <w:rsid w:val="00A55013"/>
    <w:rsid w:val="00A5534A"/>
    <w:rsid w:val="00A55558"/>
    <w:rsid w:val="00A55661"/>
    <w:rsid w:val="00A557B4"/>
    <w:rsid w:val="00A5596D"/>
    <w:rsid w:val="00A55C9E"/>
    <w:rsid w:val="00A568D4"/>
    <w:rsid w:val="00A56CDA"/>
    <w:rsid w:val="00A56D4B"/>
    <w:rsid w:val="00A56F49"/>
    <w:rsid w:val="00A571EC"/>
    <w:rsid w:val="00A572B5"/>
    <w:rsid w:val="00A574EB"/>
    <w:rsid w:val="00A578A3"/>
    <w:rsid w:val="00A579D7"/>
    <w:rsid w:val="00A57DEE"/>
    <w:rsid w:val="00A57E0A"/>
    <w:rsid w:val="00A57E7A"/>
    <w:rsid w:val="00A57F7A"/>
    <w:rsid w:val="00A6002D"/>
    <w:rsid w:val="00A60081"/>
    <w:rsid w:val="00A608A2"/>
    <w:rsid w:val="00A60A7B"/>
    <w:rsid w:val="00A60B0E"/>
    <w:rsid w:val="00A60D1A"/>
    <w:rsid w:val="00A6100B"/>
    <w:rsid w:val="00A61609"/>
    <w:rsid w:val="00A6195C"/>
    <w:rsid w:val="00A61963"/>
    <w:rsid w:val="00A61B4D"/>
    <w:rsid w:val="00A61C0E"/>
    <w:rsid w:val="00A61CB1"/>
    <w:rsid w:val="00A62449"/>
    <w:rsid w:val="00A62A40"/>
    <w:rsid w:val="00A62AEB"/>
    <w:rsid w:val="00A62C4D"/>
    <w:rsid w:val="00A62CC3"/>
    <w:rsid w:val="00A62E78"/>
    <w:rsid w:val="00A63038"/>
    <w:rsid w:val="00A6324E"/>
    <w:rsid w:val="00A632B4"/>
    <w:rsid w:val="00A6340F"/>
    <w:rsid w:val="00A63413"/>
    <w:rsid w:val="00A635A7"/>
    <w:rsid w:val="00A638D8"/>
    <w:rsid w:val="00A63919"/>
    <w:rsid w:val="00A63D10"/>
    <w:rsid w:val="00A63D14"/>
    <w:rsid w:val="00A63EF6"/>
    <w:rsid w:val="00A64782"/>
    <w:rsid w:val="00A6480B"/>
    <w:rsid w:val="00A64AF6"/>
    <w:rsid w:val="00A64B21"/>
    <w:rsid w:val="00A64BA8"/>
    <w:rsid w:val="00A64E86"/>
    <w:rsid w:val="00A6509E"/>
    <w:rsid w:val="00A65235"/>
    <w:rsid w:val="00A65496"/>
    <w:rsid w:val="00A65521"/>
    <w:rsid w:val="00A65B31"/>
    <w:rsid w:val="00A66209"/>
    <w:rsid w:val="00A663DE"/>
    <w:rsid w:val="00A6682E"/>
    <w:rsid w:val="00A668A5"/>
    <w:rsid w:val="00A66AE5"/>
    <w:rsid w:val="00A66C0B"/>
    <w:rsid w:val="00A66DE6"/>
    <w:rsid w:val="00A6714B"/>
    <w:rsid w:val="00A676AB"/>
    <w:rsid w:val="00A677D8"/>
    <w:rsid w:val="00A67F51"/>
    <w:rsid w:val="00A70072"/>
    <w:rsid w:val="00A7012E"/>
    <w:rsid w:val="00A701F6"/>
    <w:rsid w:val="00A70269"/>
    <w:rsid w:val="00A7026C"/>
    <w:rsid w:val="00A706D4"/>
    <w:rsid w:val="00A70993"/>
    <w:rsid w:val="00A70D05"/>
    <w:rsid w:val="00A711C4"/>
    <w:rsid w:val="00A71805"/>
    <w:rsid w:val="00A71AF6"/>
    <w:rsid w:val="00A71CF1"/>
    <w:rsid w:val="00A72385"/>
    <w:rsid w:val="00A72EAF"/>
    <w:rsid w:val="00A72F18"/>
    <w:rsid w:val="00A7329F"/>
    <w:rsid w:val="00A73333"/>
    <w:rsid w:val="00A73439"/>
    <w:rsid w:val="00A73A71"/>
    <w:rsid w:val="00A73B02"/>
    <w:rsid w:val="00A74228"/>
    <w:rsid w:val="00A74242"/>
    <w:rsid w:val="00A74759"/>
    <w:rsid w:val="00A747A0"/>
    <w:rsid w:val="00A747B9"/>
    <w:rsid w:val="00A747EB"/>
    <w:rsid w:val="00A74A4E"/>
    <w:rsid w:val="00A75015"/>
    <w:rsid w:val="00A7588F"/>
    <w:rsid w:val="00A75C8E"/>
    <w:rsid w:val="00A75DB2"/>
    <w:rsid w:val="00A75EF4"/>
    <w:rsid w:val="00A7608D"/>
    <w:rsid w:val="00A761CF"/>
    <w:rsid w:val="00A7630E"/>
    <w:rsid w:val="00A76523"/>
    <w:rsid w:val="00A765AB"/>
    <w:rsid w:val="00A7676B"/>
    <w:rsid w:val="00A7686D"/>
    <w:rsid w:val="00A76983"/>
    <w:rsid w:val="00A76ACC"/>
    <w:rsid w:val="00A76C8C"/>
    <w:rsid w:val="00A76D20"/>
    <w:rsid w:val="00A76EB0"/>
    <w:rsid w:val="00A77227"/>
    <w:rsid w:val="00A77ACE"/>
    <w:rsid w:val="00A77C27"/>
    <w:rsid w:val="00A77D76"/>
    <w:rsid w:val="00A80113"/>
    <w:rsid w:val="00A8013E"/>
    <w:rsid w:val="00A80181"/>
    <w:rsid w:val="00A8023F"/>
    <w:rsid w:val="00A8085C"/>
    <w:rsid w:val="00A80A20"/>
    <w:rsid w:val="00A80DFB"/>
    <w:rsid w:val="00A80F2C"/>
    <w:rsid w:val="00A80F6D"/>
    <w:rsid w:val="00A811C5"/>
    <w:rsid w:val="00A81290"/>
    <w:rsid w:val="00A81836"/>
    <w:rsid w:val="00A81AA6"/>
    <w:rsid w:val="00A81C1C"/>
    <w:rsid w:val="00A81CE0"/>
    <w:rsid w:val="00A81E38"/>
    <w:rsid w:val="00A81E8D"/>
    <w:rsid w:val="00A81EC4"/>
    <w:rsid w:val="00A81F4B"/>
    <w:rsid w:val="00A82009"/>
    <w:rsid w:val="00A8205D"/>
    <w:rsid w:val="00A82346"/>
    <w:rsid w:val="00A82671"/>
    <w:rsid w:val="00A82756"/>
    <w:rsid w:val="00A83034"/>
    <w:rsid w:val="00A8303B"/>
    <w:rsid w:val="00A83277"/>
    <w:rsid w:val="00A832EB"/>
    <w:rsid w:val="00A83388"/>
    <w:rsid w:val="00A835F2"/>
    <w:rsid w:val="00A83681"/>
    <w:rsid w:val="00A837A3"/>
    <w:rsid w:val="00A83AE9"/>
    <w:rsid w:val="00A84677"/>
    <w:rsid w:val="00A8478C"/>
    <w:rsid w:val="00A84815"/>
    <w:rsid w:val="00A84B08"/>
    <w:rsid w:val="00A84D74"/>
    <w:rsid w:val="00A84EFB"/>
    <w:rsid w:val="00A85168"/>
    <w:rsid w:val="00A8549B"/>
    <w:rsid w:val="00A8595E"/>
    <w:rsid w:val="00A85971"/>
    <w:rsid w:val="00A85A08"/>
    <w:rsid w:val="00A860AD"/>
    <w:rsid w:val="00A86217"/>
    <w:rsid w:val="00A86224"/>
    <w:rsid w:val="00A863F6"/>
    <w:rsid w:val="00A8649B"/>
    <w:rsid w:val="00A86501"/>
    <w:rsid w:val="00A86A1B"/>
    <w:rsid w:val="00A86D89"/>
    <w:rsid w:val="00A873FB"/>
    <w:rsid w:val="00A87B73"/>
    <w:rsid w:val="00A87C28"/>
    <w:rsid w:val="00A87C3B"/>
    <w:rsid w:val="00A87D66"/>
    <w:rsid w:val="00A87FE2"/>
    <w:rsid w:val="00A9005E"/>
    <w:rsid w:val="00A901E8"/>
    <w:rsid w:val="00A901FE"/>
    <w:rsid w:val="00A9021A"/>
    <w:rsid w:val="00A902BA"/>
    <w:rsid w:val="00A90321"/>
    <w:rsid w:val="00A9059C"/>
    <w:rsid w:val="00A9061A"/>
    <w:rsid w:val="00A909D0"/>
    <w:rsid w:val="00A90D61"/>
    <w:rsid w:val="00A9106C"/>
    <w:rsid w:val="00A91525"/>
    <w:rsid w:val="00A916E1"/>
    <w:rsid w:val="00A9182A"/>
    <w:rsid w:val="00A9194C"/>
    <w:rsid w:val="00A91D5A"/>
    <w:rsid w:val="00A922D2"/>
    <w:rsid w:val="00A924FE"/>
    <w:rsid w:val="00A926FA"/>
    <w:rsid w:val="00A927AE"/>
    <w:rsid w:val="00A9285B"/>
    <w:rsid w:val="00A92BCA"/>
    <w:rsid w:val="00A92D6D"/>
    <w:rsid w:val="00A93079"/>
    <w:rsid w:val="00A93113"/>
    <w:rsid w:val="00A93487"/>
    <w:rsid w:val="00A9352D"/>
    <w:rsid w:val="00A935F0"/>
    <w:rsid w:val="00A93993"/>
    <w:rsid w:val="00A93B3B"/>
    <w:rsid w:val="00A94058"/>
    <w:rsid w:val="00A94088"/>
    <w:rsid w:val="00A941DA"/>
    <w:rsid w:val="00A943A8"/>
    <w:rsid w:val="00A94595"/>
    <w:rsid w:val="00A947F5"/>
    <w:rsid w:val="00A94846"/>
    <w:rsid w:val="00A94924"/>
    <w:rsid w:val="00A94E68"/>
    <w:rsid w:val="00A94FD6"/>
    <w:rsid w:val="00A951FF"/>
    <w:rsid w:val="00A95272"/>
    <w:rsid w:val="00A955CC"/>
    <w:rsid w:val="00A95AD2"/>
    <w:rsid w:val="00A95DAF"/>
    <w:rsid w:val="00A9607E"/>
    <w:rsid w:val="00A96130"/>
    <w:rsid w:val="00A9621F"/>
    <w:rsid w:val="00A9639F"/>
    <w:rsid w:val="00A96756"/>
    <w:rsid w:val="00A96780"/>
    <w:rsid w:val="00A9684B"/>
    <w:rsid w:val="00A96A45"/>
    <w:rsid w:val="00A96ECE"/>
    <w:rsid w:val="00A96F87"/>
    <w:rsid w:val="00A971DD"/>
    <w:rsid w:val="00A97202"/>
    <w:rsid w:val="00A9764A"/>
    <w:rsid w:val="00A97978"/>
    <w:rsid w:val="00A97AA2"/>
    <w:rsid w:val="00A97B75"/>
    <w:rsid w:val="00AA018F"/>
    <w:rsid w:val="00AA02C3"/>
    <w:rsid w:val="00AA0404"/>
    <w:rsid w:val="00AA094F"/>
    <w:rsid w:val="00AA0B70"/>
    <w:rsid w:val="00AA0C82"/>
    <w:rsid w:val="00AA1294"/>
    <w:rsid w:val="00AA12F8"/>
    <w:rsid w:val="00AA15F0"/>
    <w:rsid w:val="00AA1C6F"/>
    <w:rsid w:val="00AA2365"/>
    <w:rsid w:val="00AA23B9"/>
    <w:rsid w:val="00AA27C2"/>
    <w:rsid w:val="00AA28A6"/>
    <w:rsid w:val="00AA2EB7"/>
    <w:rsid w:val="00AA2F19"/>
    <w:rsid w:val="00AA2F1D"/>
    <w:rsid w:val="00AA30BA"/>
    <w:rsid w:val="00AA312B"/>
    <w:rsid w:val="00AA3371"/>
    <w:rsid w:val="00AA3563"/>
    <w:rsid w:val="00AA3821"/>
    <w:rsid w:val="00AA398A"/>
    <w:rsid w:val="00AA3A29"/>
    <w:rsid w:val="00AA3A96"/>
    <w:rsid w:val="00AA3B76"/>
    <w:rsid w:val="00AA3BF3"/>
    <w:rsid w:val="00AA3F1F"/>
    <w:rsid w:val="00AA441B"/>
    <w:rsid w:val="00AA45D9"/>
    <w:rsid w:val="00AA4725"/>
    <w:rsid w:val="00AA4918"/>
    <w:rsid w:val="00AA4ABA"/>
    <w:rsid w:val="00AA4CFA"/>
    <w:rsid w:val="00AA516F"/>
    <w:rsid w:val="00AA527B"/>
    <w:rsid w:val="00AA5362"/>
    <w:rsid w:val="00AA5682"/>
    <w:rsid w:val="00AA5744"/>
    <w:rsid w:val="00AA588A"/>
    <w:rsid w:val="00AA59D6"/>
    <w:rsid w:val="00AA5B1A"/>
    <w:rsid w:val="00AA5BB9"/>
    <w:rsid w:val="00AA5BEC"/>
    <w:rsid w:val="00AA5EEB"/>
    <w:rsid w:val="00AA5FBA"/>
    <w:rsid w:val="00AA617E"/>
    <w:rsid w:val="00AA619D"/>
    <w:rsid w:val="00AA62F7"/>
    <w:rsid w:val="00AA68D3"/>
    <w:rsid w:val="00AA691A"/>
    <w:rsid w:val="00AA6BE4"/>
    <w:rsid w:val="00AA6BEC"/>
    <w:rsid w:val="00AA6D1D"/>
    <w:rsid w:val="00AA6E01"/>
    <w:rsid w:val="00AA7A03"/>
    <w:rsid w:val="00AA7BFE"/>
    <w:rsid w:val="00AA7D94"/>
    <w:rsid w:val="00AA7E91"/>
    <w:rsid w:val="00AB03AB"/>
    <w:rsid w:val="00AB06E7"/>
    <w:rsid w:val="00AB0739"/>
    <w:rsid w:val="00AB0756"/>
    <w:rsid w:val="00AB090D"/>
    <w:rsid w:val="00AB0DA4"/>
    <w:rsid w:val="00AB10E0"/>
    <w:rsid w:val="00AB1122"/>
    <w:rsid w:val="00AB1292"/>
    <w:rsid w:val="00AB13CE"/>
    <w:rsid w:val="00AB13F8"/>
    <w:rsid w:val="00AB14EA"/>
    <w:rsid w:val="00AB17B2"/>
    <w:rsid w:val="00AB1A2D"/>
    <w:rsid w:val="00AB1E5B"/>
    <w:rsid w:val="00AB266D"/>
    <w:rsid w:val="00AB270E"/>
    <w:rsid w:val="00AB2716"/>
    <w:rsid w:val="00AB2C56"/>
    <w:rsid w:val="00AB2E73"/>
    <w:rsid w:val="00AB2EE2"/>
    <w:rsid w:val="00AB2F63"/>
    <w:rsid w:val="00AB34D1"/>
    <w:rsid w:val="00AB3734"/>
    <w:rsid w:val="00AB3BA4"/>
    <w:rsid w:val="00AB3C6A"/>
    <w:rsid w:val="00AB43E1"/>
    <w:rsid w:val="00AB4483"/>
    <w:rsid w:val="00AB45BA"/>
    <w:rsid w:val="00AB4641"/>
    <w:rsid w:val="00AB47C4"/>
    <w:rsid w:val="00AB4CAC"/>
    <w:rsid w:val="00AB4E08"/>
    <w:rsid w:val="00AB571F"/>
    <w:rsid w:val="00AB5899"/>
    <w:rsid w:val="00AB59CF"/>
    <w:rsid w:val="00AB5CAC"/>
    <w:rsid w:val="00AB60D9"/>
    <w:rsid w:val="00AB6131"/>
    <w:rsid w:val="00AB6140"/>
    <w:rsid w:val="00AB61A6"/>
    <w:rsid w:val="00AB628D"/>
    <w:rsid w:val="00AB64C4"/>
    <w:rsid w:val="00AB6A1F"/>
    <w:rsid w:val="00AB6C30"/>
    <w:rsid w:val="00AB6F58"/>
    <w:rsid w:val="00AB72D6"/>
    <w:rsid w:val="00AB733A"/>
    <w:rsid w:val="00AB7650"/>
    <w:rsid w:val="00AB7714"/>
    <w:rsid w:val="00AB78EB"/>
    <w:rsid w:val="00AB7994"/>
    <w:rsid w:val="00AB7B44"/>
    <w:rsid w:val="00AB7BD5"/>
    <w:rsid w:val="00AB7E3A"/>
    <w:rsid w:val="00AC001C"/>
    <w:rsid w:val="00AC04E6"/>
    <w:rsid w:val="00AC05E3"/>
    <w:rsid w:val="00AC0691"/>
    <w:rsid w:val="00AC0A76"/>
    <w:rsid w:val="00AC0ADE"/>
    <w:rsid w:val="00AC1342"/>
    <w:rsid w:val="00AC135C"/>
    <w:rsid w:val="00AC150B"/>
    <w:rsid w:val="00AC1512"/>
    <w:rsid w:val="00AC1629"/>
    <w:rsid w:val="00AC174E"/>
    <w:rsid w:val="00AC1755"/>
    <w:rsid w:val="00AC175B"/>
    <w:rsid w:val="00AC1E1E"/>
    <w:rsid w:val="00AC1F4F"/>
    <w:rsid w:val="00AC2B40"/>
    <w:rsid w:val="00AC2D19"/>
    <w:rsid w:val="00AC2F4C"/>
    <w:rsid w:val="00AC376A"/>
    <w:rsid w:val="00AC3841"/>
    <w:rsid w:val="00AC39CF"/>
    <w:rsid w:val="00AC3A1E"/>
    <w:rsid w:val="00AC3B34"/>
    <w:rsid w:val="00AC3E08"/>
    <w:rsid w:val="00AC42AF"/>
    <w:rsid w:val="00AC443D"/>
    <w:rsid w:val="00AC4454"/>
    <w:rsid w:val="00AC462F"/>
    <w:rsid w:val="00AC472C"/>
    <w:rsid w:val="00AC4762"/>
    <w:rsid w:val="00AC47BB"/>
    <w:rsid w:val="00AC49C7"/>
    <w:rsid w:val="00AC502D"/>
    <w:rsid w:val="00AC511F"/>
    <w:rsid w:val="00AC531C"/>
    <w:rsid w:val="00AC53FD"/>
    <w:rsid w:val="00AC5628"/>
    <w:rsid w:val="00AC5889"/>
    <w:rsid w:val="00AC591D"/>
    <w:rsid w:val="00AC5E6A"/>
    <w:rsid w:val="00AC5FB6"/>
    <w:rsid w:val="00AC60FD"/>
    <w:rsid w:val="00AC640B"/>
    <w:rsid w:val="00AC65AE"/>
    <w:rsid w:val="00AC66FE"/>
    <w:rsid w:val="00AC69EF"/>
    <w:rsid w:val="00AC6BD8"/>
    <w:rsid w:val="00AC6EFF"/>
    <w:rsid w:val="00AC7092"/>
    <w:rsid w:val="00AC749B"/>
    <w:rsid w:val="00AC74C4"/>
    <w:rsid w:val="00AC7589"/>
    <w:rsid w:val="00AC7E23"/>
    <w:rsid w:val="00AD0189"/>
    <w:rsid w:val="00AD023E"/>
    <w:rsid w:val="00AD02CD"/>
    <w:rsid w:val="00AD0370"/>
    <w:rsid w:val="00AD0378"/>
    <w:rsid w:val="00AD0437"/>
    <w:rsid w:val="00AD0526"/>
    <w:rsid w:val="00AD056F"/>
    <w:rsid w:val="00AD0587"/>
    <w:rsid w:val="00AD0735"/>
    <w:rsid w:val="00AD0769"/>
    <w:rsid w:val="00AD093E"/>
    <w:rsid w:val="00AD0BA8"/>
    <w:rsid w:val="00AD0BD6"/>
    <w:rsid w:val="00AD0E7A"/>
    <w:rsid w:val="00AD0FEB"/>
    <w:rsid w:val="00AD1065"/>
    <w:rsid w:val="00AD11D0"/>
    <w:rsid w:val="00AD15A1"/>
    <w:rsid w:val="00AD1820"/>
    <w:rsid w:val="00AD1987"/>
    <w:rsid w:val="00AD1B37"/>
    <w:rsid w:val="00AD1BDE"/>
    <w:rsid w:val="00AD1C12"/>
    <w:rsid w:val="00AD1CA7"/>
    <w:rsid w:val="00AD1CCC"/>
    <w:rsid w:val="00AD1CE1"/>
    <w:rsid w:val="00AD1E7F"/>
    <w:rsid w:val="00AD2051"/>
    <w:rsid w:val="00AD20E9"/>
    <w:rsid w:val="00AD2105"/>
    <w:rsid w:val="00AD24F3"/>
    <w:rsid w:val="00AD2703"/>
    <w:rsid w:val="00AD32C1"/>
    <w:rsid w:val="00AD34A0"/>
    <w:rsid w:val="00AD3B20"/>
    <w:rsid w:val="00AD3B31"/>
    <w:rsid w:val="00AD3CA4"/>
    <w:rsid w:val="00AD3ED5"/>
    <w:rsid w:val="00AD46D8"/>
    <w:rsid w:val="00AD47B1"/>
    <w:rsid w:val="00AD4868"/>
    <w:rsid w:val="00AD495F"/>
    <w:rsid w:val="00AD4A6C"/>
    <w:rsid w:val="00AD4A9F"/>
    <w:rsid w:val="00AD4AF0"/>
    <w:rsid w:val="00AD4EC1"/>
    <w:rsid w:val="00AD4FD9"/>
    <w:rsid w:val="00AD5094"/>
    <w:rsid w:val="00AD552B"/>
    <w:rsid w:val="00AD59E8"/>
    <w:rsid w:val="00AD5CF8"/>
    <w:rsid w:val="00AD61C9"/>
    <w:rsid w:val="00AD6A46"/>
    <w:rsid w:val="00AD6D1F"/>
    <w:rsid w:val="00AD7188"/>
    <w:rsid w:val="00AD7236"/>
    <w:rsid w:val="00AD723C"/>
    <w:rsid w:val="00AD75CD"/>
    <w:rsid w:val="00AD7755"/>
    <w:rsid w:val="00AD779E"/>
    <w:rsid w:val="00AD7A04"/>
    <w:rsid w:val="00AD7BCF"/>
    <w:rsid w:val="00AD7E3C"/>
    <w:rsid w:val="00AD7FB6"/>
    <w:rsid w:val="00AE0078"/>
    <w:rsid w:val="00AE01CD"/>
    <w:rsid w:val="00AE02F9"/>
    <w:rsid w:val="00AE0CD2"/>
    <w:rsid w:val="00AE0D8E"/>
    <w:rsid w:val="00AE0DAC"/>
    <w:rsid w:val="00AE1170"/>
    <w:rsid w:val="00AE1199"/>
    <w:rsid w:val="00AE128A"/>
    <w:rsid w:val="00AE1626"/>
    <w:rsid w:val="00AE1811"/>
    <w:rsid w:val="00AE1832"/>
    <w:rsid w:val="00AE18AD"/>
    <w:rsid w:val="00AE1B8A"/>
    <w:rsid w:val="00AE2039"/>
    <w:rsid w:val="00AE21B0"/>
    <w:rsid w:val="00AE2931"/>
    <w:rsid w:val="00AE2A94"/>
    <w:rsid w:val="00AE2C48"/>
    <w:rsid w:val="00AE3084"/>
    <w:rsid w:val="00AE30F8"/>
    <w:rsid w:val="00AE31F7"/>
    <w:rsid w:val="00AE32CB"/>
    <w:rsid w:val="00AE340F"/>
    <w:rsid w:val="00AE3552"/>
    <w:rsid w:val="00AE3572"/>
    <w:rsid w:val="00AE3A4F"/>
    <w:rsid w:val="00AE3D60"/>
    <w:rsid w:val="00AE3DC3"/>
    <w:rsid w:val="00AE4662"/>
    <w:rsid w:val="00AE4714"/>
    <w:rsid w:val="00AE497B"/>
    <w:rsid w:val="00AE51AA"/>
    <w:rsid w:val="00AE5295"/>
    <w:rsid w:val="00AE5482"/>
    <w:rsid w:val="00AE5566"/>
    <w:rsid w:val="00AE5650"/>
    <w:rsid w:val="00AE594A"/>
    <w:rsid w:val="00AE6004"/>
    <w:rsid w:val="00AE65A6"/>
    <w:rsid w:val="00AE68C3"/>
    <w:rsid w:val="00AE71DD"/>
    <w:rsid w:val="00AE7343"/>
    <w:rsid w:val="00AE7591"/>
    <w:rsid w:val="00AE7733"/>
    <w:rsid w:val="00AE79B9"/>
    <w:rsid w:val="00AE79FA"/>
    <w:rsid w:val="00AE7BA0"/>
    <w:rsid w:val="00AE7DD8"/>
    <w:rsid w:val="00AE7E5E"/>
    <w:rsid w:val="00AE7FDB"/>
    <w:rsid w:val="00AF01BB"/>
    <w:rsid w:val="00AF02B9"/>
    <w:rsid w:val="00AF08BD"/>
    <w:rsid w:val="00AF0975"/>
    <w:rsid w:val="00AF0A45"/>
    <w:rsid w:val="00AF0A88"/>
    <w:rsid w:val="00AF0D28"/>
    <w:rsid w:val="00AF0D30"/>
    <w:rsid w:val="00AF0F27"/>
    <w:rsid w:val="00AF11B4"/>
    <w:rsid w:val="00AF12C2"/>
    <w:rsid w:val="00AF13D2"/>
    <w:rsid w:val="00AF16FD"/>
    <w:rsid w:val="00AF179C"/>
    <w:rsid w:val="00AF18C6"/>
    <w:rsid w:val="00AF1DF7"/>
    <w:rsid w:val="00AF1E50"/>
    <w:rsid w:val="00AF21E6"/>
    <w:rsid w:val="00AF2269"/>
    <w:rsid w:val="00AF26CE"/>
    <w:rsid w:val="00AF26E6"/>
    <w:rsid w:val="00AF2789"/>
    <w:rsid w:val="00AF296C"/>
    <w:rsid w:val="00AF2AE7"/>
    <w:rsid w:val="00AF2E95"/>
    <w:rsid w:val="00AF2F1E"/>
    <w:rsid w:val="00AF3398"/>
    <w:rsid w:val="00AF3979"/>
    <w:rsid w:val="00AF3B1F"/>
    <w:rsid w:val="00AF3C76"/>
    <w:rsid w:val="00AF3EF6"/>
    <w:rsid w:val="00AF3F9A"/>
    <w:rsid w:val="00AF3FA5"/>
    <w:rsid w:val="00AF3FE9"/>
    <w:rsid w:val="00AF4043"/>
    <w:rsid w:val="00AF4076"/>
    <w:rsid w:val="00AF40C3"/>
    <w:rsid w:val="00AF41DF"/>
    <w:rsid w:val="00AF444C"/>
    <w:rsid w:val="00AF47E5"/>
    <w:rsid w:val="00AF489A"/>
    <w:rsid w:val="00AF4E88"/>
    <w:rsid w:val="00AF4EDF"/>
    <w:rsid w:val="00AF4F3B"/>
    <w:rsid w:val="00AF5668"/>
    <w:rsid w:val="00AF5B80"/>
    <w:rsid w:val="00AF5F41"/>
    <w:rsid w:val="00AF6089"/>
    <w:rsid w:val="00AF608B"/>
    <w:rsid w:val="00AF60C7"/>
    <w:rsid w:val="00AF65D6"/>
    <w:rsid w:val="00AF672E"/>
    <w:rsid w:val="00AF6D09"/>
    <w:rsid w:val="00AF6D24"/>
    <w:rsid w:val="00AF6DFE"/>
    <w:rsid w:val="00AF6F0C"/>
    <w:rsid w:val="00AF6F30"/>
    <w:rsid w:val="00AF72F2"/>
    <w:rsid w:val="00AF7374"/>
    <w:rsid w:val="00AF7390"/>
    <w:rsid w:val="00AF757B"/>
    <w:rsid w:val="00AF7B88"/>
    <w:rsid w:val="00AF7CAE"/>
    <w:rsid w:val="00B001A5"/>
    <w:rsid w:val="00B00420"/>
    <w:rsid w:val="00B00474"/>
    <w:rsid w:val="00B00625"/>
    <w:rsid w:val="00B00678"/>
    <w:rsid w:val="00B008F9"/>
    <w:rsid w:val="00B00AC5"/>
    <w:rsid w:val="00B00C1F"/>
    <w:rsid w:val="00B00E5F"/>
    <w:rsid w:val="00B00E66"/>
    <w:rsid w:val="00B00F0D"/>
    <w:rsid w:val="00B012AB"/>
    <w:rsid w:val="00B01434"/>
    <w:rsid w:val="00B019ED"/>
    <w:rsid w:val="00B01A1A"/>
    <w:rsid w:val="00B01B7B"/>
    <w:rsid w:val="00B01C33"/>
    <w:rsid w:val="00B01FF0"/>
    <w:rsid w:val="00B02517"/>
    <w:rsid w:val="00B02573"/>
    <w:rsid w:val="00B0293E"/>
    <w:rsid w:val="00B029E0"/>
    <w:rsid w:val="00B02B46"/>
    <w:rsid w:val="00B03109"/>
    <w:rsid w:val="00B03231"/>
    <w:rsid w:val="00B033F6"/>
    <w:rsid w:val="00B037BE"/>
    <w:rsid w:val="00B03B01"/>
    <w:rsid w:val="00B03F5D"/>
    <w:rsid w:val="00B03FE3"/>
    <w:rsid w:val="00B041AE"/>
    <w:rsid w:val="00B04251"/>
    <w:rsid w:val="00B0482B"/>
    <w:rsid w:val="00B048B4"/>
    <w:rsid w:val="00B04A43"/>
    <w:rsid w:val="00B04AD6"/>
    <w:rsid w:val="00B04B4A"/>
    <w:rsid w:val="00B04C49"/>
    <w:rsid w:val="00B05070"/>
    <w:rsid w:val="00B050A2"/>
    <w:rsid w:val="00B052E8"/>
    <w:rsid w:val="00B053AD"/>
    <w:rsid w:val="00B054DC"/>
    <w:rsid w:val="00B055A2"/>
    <w:rsid w:val="00B05922"/>
    <w:rsid w:val="00B05CC3"/>
    <w:rsid w:val="00B05D37"/>
    <w:rsid w:val="00B06383"/>
    <w:rsid w:val="00B06544"/>
    <w:rsid w:val="00B06587"/>
    <w:rsid w:val="00B06893"/>
    <w:rsid w:val="00B06C47"/>
    <w:rsid w:val="00B06CF7"/>
    <w:rsid w:val="00B06D98"/>
    <w:rsid w:val="00B06DA2"/>
    <w:rsid w:val="00B06EC2"/>
    <w:rsid w:val="00B06F00"/>
    <w:rsid w:val="00B07460"/>
    <w:rsid w:val="00B07490"/>
    <w:rsid w:val="00B074AB"/>
    <w:rsid w:val="00B074BC"/>
    <w:rsid w:val="00B10124"/>
    <w:rsid w:val="00B1031C"/>
    <w:rsid w:val="00B1036A"/>
    <w:rsid w:val="00B10B88"/>
    <w:rsid w:val="00B11231"/>
    <w:rsid w:val="00B11361"/>
    <w:rsid w:val="00B113AD"/>
    <w:rsid w:val="00B1184B"/>
    <w:rsid w:val="00B11A2B"/>
    <w:rsid w:val="00B11E52"/>
    <w:rsid w:val="00B11ED1"/>
    <w:rsid w:val="00B1216F"/>
    <w:rsid w:val="00B1259D"/>
    <w:rsid w:val="00B12766"/>
    <w:rsid w:val="00B127CB"/>
    <w:rsid w:val="00B1280B"/>
    <w:rsid w:val="00B12907"/>
    <w:rsid w:val="00B129FB"/>
    <w:rsid w:val="00B130D3"/>
    <w:rsid w:val="00B13229"/>
    <w:rsid w:val="00B13399"/>
    <w:rsid w:val="00B136E8"/>
    <w:rsid w:val="00B13750"/>
    <w:rsid w:val="00B137AC"/>
    <w:rsid w:val="00B13911"/>
    <w:rsid w:val="00B139AB"/>
    <w:rsid w:val="00B13A7C"/>
    <w:rsid w:val="00B13DCB"/>
    <w:rsid w:val="00B13E55"/>
    <w:rsid w:val="00B13EDC"/>
    <w:rsid w:val="00B14129"/>
    <w:rsid w:val="00B141B7"/>
    <w:rsid w:val="00B145D1"/>
    <w:rsid w:val="00B147CE"/>
    <w:rsid w:val="00B14823"/>
    <w:rsid w:val="00B14CA0"/>
    <w:rsid w:val="00B14D63"/>
    <w:rsid w:val="00B15114"/>
    <w:rsid w:val="00B1516A"/>
    <w:rsid w:val="00B15270"/>
    <w:rsid w:val="00B153F8"/>
    <w:rsid w:val="00B156A3"/>
    <w:rsid w:val="00B159FD"/>
    <w:rsid w:val="00B16323"/>
    <w:rsid w:val="00B16609"/>
    <w:rsid w:val="00B1686A"/>
    <w:rsid w:val="00B16B32"/>
    <w:rsid w:val="00B16C7C"/>
    <w:rsid w:val="00B175A3"/>
    <w:rsid w:val="00B17716"/>
    <w:rsid w:val="00B1785C"/>
    <w:rsid w:val="00B179C2"/>
    <w:rsid w:val="00B17A34"/>
    <w:rsid w:val="00B17A41"/>
    <w:rsid w:val="00B17C44"/>
    <w:rsid w:val="00B17C59"/>
    <w:rsid w:val="00B17D5B"/>
    <w:rsid w:val="00B17FA7"/>
    <w:rsid w:val="00B202E4"/>
    <w:rsid w:val="00B20366"/>
    <w:rsid w:val="00B20711"/>
    <w:rsid w:val="00B2088B"/>
    <w:rsid w:val="00B208B6"/>
    <w:rsid w:val="00B20C60"/>
    <w:rsid w:val="00B21384"/>
    <w:rsid w:val="00B214E5"/>
    <w:rsid w:val="00B21852"/>
    <w:rsid w:val="00B21B03"/>
    <w:rsid w:val="00B21BDD"/>
    <w:rsid w:val="00B21C0B"/>
    <w:rsid w:val="00B22133"/>
    <w:rsid w:val="00B22AF9"/>
    <w:rsid w:val="00B22C75"/>
    <w:rsid w:val="00B23146"/>
    <w:rsid w:val="00B2337F"/>
    <w:rsid w:val="00B237B6"/>
    <w:rsid w:val="00B23A3B"/>
    <w:rsid w:val="00B23BFE"/>
    <w:rsid w:val="00B23E1A"/>
    <w:rsid w:val="00B23FB7"/>
    <w:rsid w:val="00B241F6"/>
    <w:rsid w:val="00B244C6"/>
    <w:rsid w:val="00B24AB3"/>
    <w:rsid w:val="00B24E8D"/>
    <w:rsid w:val="00B250F2"/>
    <w:rsid w:val="00B251BE"/>
    <w:rsid w:val="00B25215"/>
    <w:rsid w:val="00B257F6"/>
    <w:rsid w:val="00B25818"/>
    <w:rsid w:val="00B25873"/>
    <w:rsid w:val="00B2587B"/>
    <w:rsid w:val="00B259F3"/>
    <w:rsid w:val="00B25A70"/>
    <w:rsid w:val="00B25CA1"/>
    <w:rsid w:val="00B25DD6"/>
    <w:rsid w:val="00B25F5D"/>
    <w:rsid w:val="00B260DD"/>
    <w:rsid w:val="00B26139"/>
    <w:rsid w:val="00B262E0"/>
    <w:rsid w:val="00B265A2"/>
    <w:rsid w:val="00B271E3"/>
    <w:rsid w:val="00B276D3"/>
    <w:rsid w:val="00B277B0"/>
    <w:rsid w:val="00B27AD4"/>
    <w:rsid w:val="00B27EE4"/>
    <w:rsid w:val="00B27F0D"/>
    <w:rsid w:val="00B30026"/>
    <w:rsid w:val="00B30193"/>
    <w:rsid w:val="00B3034D"/>
    <w:rsid w:val="00B30358"/>
    <w:rsid w:val="00B309C3"/>
    <w:rsid w:val="00B30A70"/>
    <w:rsid w:val="00B30AA1"/>
    <w:rsid w:val="00B30B20"/>
    <w:rsid w:val="00B30B7C"/>
    <w:rsid w:val="00B30C9A"/>
    <w:rsid w:val="00B30E95"/>
    <w:rsid w:val="00B30EAD"/>
    <w:rsid w:val="00B31154"/>
    <w:rsid w:val="00B311F9"/>
    <w:rsid w:val="00B312A4"/>
    <w:rsid w:val="00B31304"/>
    <w:rsid w:val="00B3130A"/>
    <w:rsid w:val="00B3148D"/>
    <w:rsid w:val="00B31494"/>
    <w:rsid w:val="00B3154F"/>
    <w:rsid w:val="00B3167D"/>
    <w:rsid w:val="00B31816"/>
    <w:rsid w:val="00B3187A"/>
    <w:rsid w:val="00B318B6"/>
    <w:rsid w:val="00B31C0B"/>
    <w:rsid w:val="00B31D6A"/>
    <w:rsid w:val="00B31E42"/>
    <w:rsid w:val="00B323E0"/>
    <w:rsid w:val="00B32407"/>
    <w:rsid w:val="00B32541"/>
    <w:rsid w:val="00B32FEC"/>
    <w:rsid w:val="00B330A0"/>
    <w:rsid w:val="00B3349C"/>
    <w:rsid w:val="00B3398A"/>
    <w:rsid w:val="00B33990"/>
    <w:rsid w:val="00B33BCB"/>
    <w:rsid w:val="00B33FF2"/>
    <w:rsid w:val="00B3423D"/>
    <w:rsid w:val="00B343D8"/>
    <w:rsid w:val="00B34AF0"/>
    <w:rsid w:val="00B34C1C"/>
    <w:rsid w:val="00B34D2A"/>
    <w:rsid w:val="00B3519B"/>
    <w:rsid w:val="00B3521A"/>
    <w:rsid w:val="00B3523A"/>
    <w:rsid w:val="00B3527D"/>
    <w:rsid w:val="00B356A9"/>
    <w:rsid w:val="00B358C4"/>
    <w:rsid w:val="00B35978"/>
    <w:rsid w:val="00B35AB3"/>
    <w:rsid w:val="00B3633F"/>
    <w:rsid w:val="00B36399"/>
    <w:rsid w:val="00B3672F"/>
    <w:rsid w:val="00B36891"/>
    <w:rsid w:val="00B36A62"/>
    <w:rsid w:val="00B36A8A"/>
    <w:rsid w:val="00B36AFB"/>
    <w:rsid w:val="00B370FF"/>
    <w:rsid w:val="00B37293"/>
    <w:rsid w:val="00B37528"/>
    <w:rsid w:val="00B376AD"/>
    <w:rsid w:val="00B3785E"/>
    <w:rsid w:val="00B37A54"/>
    <w:rsid w:val="00B37C4A"/>
    <w:rsid w:val="00B401F9"/>
    <w:rsid w:val="00B403C8"/>
    <w:rsid w:val="00B40561"/>
    <w:rsid w:val="00B410EF"/>
    <w:rsid w:val="00B4113B"/>
    <w:rsid w:val="00B41217"/>
    <w:rsid w:val="00B41455"/>
    <w:rsid w:val="00B4153B"/>
    <w:rsid w:val="00B41654"/>
    <w:rsid w:val="00B41694"/>
    <w:rsid w:val="00B4169E"/>
    <w:rsid w:val="00B41706"/>
    <w:rsid w:val="00B41809"/>
    <w:rsid w:val="00B41897"/>
    <w:rsid w:val="00B4197B"/>
    <w:rsid w:val="00B41C93"/>
    <w:rsid w:val="00B41C9B"/>
    <w:rsid w:val="00B41ED7"/>
    <w:rsid w:val="00B41F81"/>
    <w:rsid w:val="00B42196"/>
    <w:rsid w:val="00B4246D"/>
    <w:rsid w:val="00B424BA"/>
    <w:rsid w:val="00B42822"/>
    <w:rsid w:val="00B42A0E"/>
    <w:rsid w:val="00B42EBD"/>
    <w:rsid w:val="00B42FC9"/>
    <w:rsid w:val="00B435F4"/>
    <w:rsid w:val="00B43673"/>
    <w:rsid w:val="00B437DE"/>
    <w:rsid w:val="00B439C4"/>
    <w:rsid w:val="00B439E4"/>
    <w:rsid w:val="00B43C67"/>
    <w:rsid w:val="00B43C7E"/>
    <w:rsid w:val="00B43D2B"/>
    <w:rsid w:val="00B43E85"/>
    <w:rsid w:val="00B441A2"/>
    <w:rsid w:val="00B44299"/>
    <w:rsid w:val="00B4453A"/>
    <w:rsid w:val="00B44774"/>
    <w:rsid w:val="00B44966"/>
    <w:rsid w:val="00B44BBC"/>
    <w:rsid w:val="00B44BCA"/>
    <w:rsid w:val="00B44C51"/>
    <w:rsid w:val="00B451EE"/>
    <w:rsid w:val="00B4544B"/>
    <w:rsid w:val="00B4583B"/>
    <w:rsid w:val="00B45AF6"/>
    <w:rsid w:val="00B45C52"/>
    <w:rsid w:val="00B45D00"/>
    <w:rsid w:val="00B4605C"/>
    <w:rsid w:val="00B462A2"/>
    <w:rsid w:val="00B46481"/>
    <w:rsid w:val="00B46700"/>
    <w:rsid w:val="00B4671A"/>
    <w:rsid w:val="00B46840"/>
    <w:rsid w:val="00B468B0"/>
    <w:rsid w:val="00B46900"/>
    <w:rsid w:val="00B469E9"/>
    <w:rsid w:val="00B469EC"/>
    <w:rsid w:val="00B46BF1"/>
    <w:rsid w:val="00B46CCE"/>
    <w:rsid w:val="00B46CE1"/>
    <w:rsid w:val="00B46D0C"/>
    <w:rsid w:val="00B46F31"/>
    <w:rsid w:val="00B47048"/>
    <w:rsid w:val="00B472D4"/>
    <w:rsid w:val="00B47433"/>
    <w:rsid w:val="00B474EA"/>
    <w:rsid w:val="00B47692"/>
    <w:rsid w:val="00B477A3"/>
    <w:rsid w:val="00B4788B"/>
    <w:rsid w:val="00B479F2"/>
    <w:rsid w:val="00B47B4F"/>
    <w:rsid w:val="00B50266"/>
    <w:rsid w:val="00B50331"/>
    <w:rsid w:val="00B50424"/>
    <w:rsid w:val="00B5070B"/>
    <w:rsid w:val="00B50A6F"/>
    <w:rsid w:val="00B50CE3"/>
    <w:rsid w:val="00B50D35"/>
    <w:rsid w:val="00B512DB"/>
    <w:rsid w:val="00B51309"/>
    <w:rsid w:val="00B513F5"/>
    <w:rsid w:val="00B51B4C"/>
    <w:rsid w:val="00B51BCE"/>
    <w:rsid w:val="00B51EA2"/>
    <w:rsid w:val="00B51FBE"/>
    <w:rsid w:val="00B520D5"/>
    <w:rsid w:val="00B52169"/>
    <w:rsid w:val="00B52867"/>
    <w:rsid w:val="00B529D6"/>
    <w:rsid w:val="00B52AA0"/>
    <w:rsid w:val="00B52CFC"/>
    <w:rsid w:val="00B52E28"/>
    <w:rsid w:val="00B52E5D"/>
    <w:rsid w:val="00B52F39"/>
    <w:rsid w:val="00B531A8"/>
    <w:rsid w:val="00B537D1"/>
    <w:rsid w:val="00B5393B"/>
    <w:rsid w:val="00B53CB6"/>
    <w:rsid w:val="00B53F83"/>
    <w:rsid w:val="00B54643"/>
    <w:rsid w:val="00B54CF8"/>
    <w:rsid w:val="00B54E4F"/>
    <w:rsid w:val="00B54FB7"/>
    <w:rsid w:val="00B553EE"/>
    <w:rsid w:val="00B5550E"/>
    <w:rsid w:val="00B55513"/>
    <w:rsid w:val="00B55597"/>
    <w:rsid w:val="00B55648"/>
    <w:rsid w:val="00B55705"/>
    <w:rsid w:val="00B558C5"/>
    <w:rsid w:val="00B55AE2"/>
    <w:rsid w:val="00B5625A"/>
    <w:rsid w:val="00B564A7"/>
    <w:rsid w:val="00B565DE"/>
    <w:rsid w:val="00B567E4"/>
    <w:rsid w:val="00B567EC"/>
    <w:rsid w:val="00B56A7D"/>
    <w:rsid w:val="00B56DF2"/>
    <w:rsid w:val="00B56E98"/>
    <w:rsid w:val="00B56F55"/>
    <w:rsid w:val="00B571A2"/>
    <w:rsid w:val="00B572F3"/>
    <w:rsid w:val="00B57698"/>
    <w:rsid w:val="00B5779C"/>
    <w:rsid w:val="00B57802"/>
    <w:rsid w:val="00B57899"/>
    <w:rsid w:val="00B57969"/>
    <w:rsid w:val="00B57AD6"/>
    <w:rsid w:val="00B600F6"/>
    <w:rsid w:val="00B60339"/>
    <w:rsid w:val="00B60340"/>
    <w:rsid w:val="00B604C1"/>
    <w:rsid w:val="00B604D1"/>
    <w:rsid w:val="00B60666"/>
    <w:rsid w:val="00B606CE"/>
    <w:rsid w:val="00B60AC0"/>
    <w:rsid w:val="00B60B67"/>
    <w:rsid w:val="00B60EA4"/>
    <w:rsid w:val="00B61288"/>
    <w:rsid w:val="00B613BF"/>
    <w:rsid w:val="00B613C2"/>
    <w:rsid w:val="00B6147A"/>
    <w:rsid w:val="00B6181D"/>
    <w:rsid w:val="00B618C7"/>
    <w:rsid w:val="00B61E02"/>
    <w:rsid w:val="00B62137"/>
    <w:rsid w:val="00B62531"/>
    <w:rsid w:val="00B62717"/>
    <w:rsid w:val="00B62C0E"/>
    <w:rsid w:val="00B62D45"/>
    <w:rsid w:val="00B62DFD"/>
    <w:rsid w:val="00B62ED6"/>
    <w:rsid w:val="00B62F6E"/>
    <w:rsid w:val="00B630A5"/>
    <w:rsid w:val="00B631EE"/>
    <w:rsid w:val="00B63398"/>
    <w:rsid w:val="00B63586"/>
    <w:rsid w:val="00B63A28"/>
    <w:rsid w:val="00B63DC1"/>
    <w:rsid w:val="00B640B2"/>
    <w:rsid w:val="00B641FA"/>
    <w:rsid w:val="00B6430F"/>
    <w:rsid w:val="00B6444A"/>
    <w:rsid w:val="00B644E1"/>
    <w:rsid w:val="00B6472E"/>
    <w:rsid w:val="00B64B53"/>
    <w:rsid w:val="00B64B96"/>
    <w:rsid w:val="00B6516C"/>
    <w:rsid w:val="00B65221"/>
    <w:rsid w:val="00B65256"/>
    <w:rsid w:val="00B659C6"/>
    <w:rsid w:val="00B65CF9"/>
    <w:rsid w:val="00B66130"/>
    <w:rsid w:val="00B6634C"/>
    <w:rsid w:val="00B664EF"/>
    <w:rsid w:val="00B667C6"/>
    <w:rsid w:val="00B66D4D"/>
    <w:rsid w:val="00B66E84"/>
    <w:rsid w:val="00B67042"/>
    <w:rsid w:val="00B67392"/>
    <w:rsid w:val="00B67545"/>
    <w:rsid w:val="00B675A2"/>
    <w:rsid w:val="00B67654"/>
    <w:rsid w:val="00B67660"/>
    <w:rsid w:val="00B67769"/>
    <w:rsid w:val="00B67A59"/>
    <w:rsid w:val="00B67E22"/>
    <w:rsid w:val="00B67E9F"/>
    <w:rsid w:val="00B701D7"/>
    <w:rsid w:val="00B70362"/>
    <w:rsid w:val="00B70450"/>
    <w:rsid w:val="00B704E0"/>
    <w:rsid w:val="00B7050F"/>
    <w:rsid w:val="00B705C8"/>
    <w:rsid w:val="00B7084F"/>
    <w:rsid w:val="00B70D37"/>
    <w:rsid w:val="00B71015"/>
    <w:rsid w:val="00B710AE"/>
    <w:rsid w:val="00B71185"/>
    <w:rsid w:val="00B711D7"/>
    <w:rsid w:val="00B71296"/>
    <w:rsid w:val="00B712BF"/>
    <w:rsid w:val="00B713EC"/>
    <w:rsid w:val="00B715A6"/>
    <w:rsid w:val="00B71760"/>
    <w:rsid w:val="00B71B95"/>
    <w:rsid w:val="00B71CB8"/>
    <w:rsid w:val="00B71CC2"/>
    <w:rsid w:val="00B71EA7"/>
    <w:rsid w:val="00B71FF0"/>
    <w:rsid w:val="00B72161"/>
    <w:rsid w:val="00B721AD"/>
    <w:rsid w:val="00B722DC"/>
    <w:rsid w:val="00B72332"/>
    <w:rsid w:val="00B725A5"/>
    <w:rsid w:val="00B726AF"/>
    <w:rsid w:val="00B728E7"/>
    <w:rsid w:val="00B72F06"/>
    <w:rsid w:val="00B72F49"/>
    <w:rsid w:val="00B730AD"/>
    <w:rsid w:val="00B73125"/>
    <w:rsid w:val="00B735C8"/>
    <w:rsid w:val="00B739DA"/>
    <w:rsid w:val="00B73C80"/>
    <w:rsid w:val="00B73CD6"/>
    <w:rsid w:val="00B73D51"/>
    <w:rsid w:val="00B73E4C"/>
    <w:rsid w:val="00B744B8"/>
    <w:rsid w:val="00B74D92"/>
    <w:rsid w:val="00B7502F"/>
    <w:rsid w:val="00B753E3"/>
    <w:rsid w:val="00B7560A"/>
    <w:rsid w:val="00B7587A"/>
    <w:rsid w:val="00B75D14"/>
    <w:rsid w:val="00B75E1F"/>
    <w:rsid w:val="00B769CF"/>
    <w:rsid w:val="00B77267"/>
    <w:rsid w:val="00B77468"/>
    <w:rsid w:val="00B7767C"/>
    <w:rsid w:val="00B7792D"/>
    <w:rsid w:val="00B77A9B"/>
    <w:rsid w:val="00B77CAD"/>
    <w:rsid w:val="00B77E88"/>
    <w:rsid w:val="00B77FBC"/>
    <w:rsid w:val="00B802D9"/>
    <w:rsid w:val="00B8050B"/>
    <w:rsid w:val="00B8093C"/>
    <w:rsid w:val="00B80A7A"/>
    <w:rsid w:val="00B80C13"/>
    <w:rsid w:val="00B80FDD"/>
    <w:rsid w:val="00B8122F"/>
    <w:rsid w:val="00B8123C"/>
    <w:rsid w:val="00B8177B"/>
    <w:rsid w:val="00B81C9F"/>
    <w:rsid w:val="00B81D1A"/>
    <w:rsid w:val="00B81F47"/>
    <w:rsid w:val="00B81FDF"/>
    <w:rsid w:val="00B82200"/>
    <w:rsid w:val="00B8236A"/>
    <w:rsid w:val="00B8255B"/>
    <w:rsid w:val="00B827F1"/>
    <w:rsid w:val="00B82C40"/>
    <w:rsid w:val="00B82CB3"/>
    <w:rsid w:val="00B82F14"/>
    <w:rsid w:val="00B830F7"/>
    <w:rsid w:val="00B8318B"/>
    <w:rsid w:val="00B8368F"/>
    <w:rsid w:val="00B83C3E"/>
    <w:rsid w:val="00B83CF6"/>
    <w:rsid w:val="00B83D95"/>
    <w:rsid w:val="00B83ED8"/>
    <w:rsid w:val="00B8466E"/>
    <w:rsid w:val="00B84858"/>
    <w:rsid w:val="00B84C4E"/>
    <w:rsid w:val="00B84C77"/>
    <w:rsid w:val="00B84CA6"/>
    <w:rsid w:val="00B8579B"/>
    <w:rsid w:val="00B857FA"/>
    <w:rsid w:val="00B85A39"/>
    <w:rsid w:val="00B85BDE"/>
    <w:rsid w:val="00B85CC1"/>
    <w:rsid w:val="00B85FF3"/>
    <w:rsid w:val="00B8613B"/>
    <w:rsid w:val="00B86211"/>
    <w:rsid w:val="00B862FD"/>
    <w:rsid w:val="00B86328"/>
    <w:rsid w:val="00B86629"/>
    <w:rsid w:val="00B86724"/>
    <w:rsid w:val="00B86728"/>
    <w:rsid w:val="00B868F3"/>
    <w:rsid w:val="00B869FF"/>
    <w:rsid w:val="00B86A7A"/>
    <w:rsid w:val="00B86B3B"/>
    <w:rsid w:val="00B86C1F"/>
    <w:rsid w:val="00B86E9D"/>
    <w:rsid w:val="00B86F72"/>
    <w:rsid w:val="00B87197"/>
    <w:rsid w:val="00B8726E"/>
    <w:rsid w:val="00B8756F"/>
    <w:rsid w:val="00B8760D"/>
    <w:rsid w:val="00B87624"/>
    <w:rsid w:val="00B87C74"/>
    <w:rsid w:val="00B87E76"/>
    <w:rsid w:val="00B87FEE"/>
    <w:rsid w:val="00B9011F"/>
    <w:rsid w:val="00B9051A"/>
    <w:rsid w:val="00B90865"/>
    <w:rsid w:val="00B9095A"/>
    <w:rsid w:val="00B90998"/>
    <w:rsid w:val="00B90E23"/>
    <w:rsid w:val="00B910CB"/>
    <w:rsid w:val="00B911F4"/>
    <w:rsid w:val="00B9127E"/>
    <w:rsid w:val="00B914C0"/>
    <w:rsid w:val="00B91952"/>
    <w:rsid w:val="00B91C84"/>
    <w:rsid w:val="00B91CD3"/>
    <w:rsid w:val="00B91E30"/>
    <w:rsid w:val="00B91F01"/>
    <w:rsid w:val="00B91F9A"/>
    <w:rsid w:val="00B92034"/>
    <w:rsid w:val="00B92243"/>
    <w:rsid w:val="00B9245C"/>
    <w:rsid w:val="00B9270C"/>
    <w:rsid w:val="00B92903"/>
    <w:rsid w:val="00B92B13"/>
    <w:rsid w:val="00B92B82"/>
    <w:rsid w:val="00B92DBB"/>
    <w:rsid w:val="00B92DEF"/>
    <w:rsid w:val="00B92F5D"/>
    <w:rsid w:val="00B931B2"/>
    <w:rsid w:val="00B9347C"/>
    <w:rsid w:val="00B93A47"/>
    <w:rsid w:val="00B93BB4"/>
    <w:rsid w:val="00B93C89"/>
    <w:rsid w:val="00B93F20"/>
    <w:rsid w:val="00B93F54"/>
    <w:rsid w:val="00B9422A"/>
    <w:rsid w:val="00B9431D"/>
    <w:rsid w:val="00B943AD"/>
    <w:rsid w:val="00B944A2"/>
    <w:rsid w:val="00B94563"/>
    <w:rsid w:val="00B945D4"/>
    <w:rsid w:val="00B94A0A"/>
    <w:rsid w:val="00B94C49"/>
    <w:rsid w:val="00B94E9F"/>
    <w:rsid w:val="00B94F2D"/>
    <w:rsid w:val="00B951A7"/>
    <w:rsid w:val="00B951CD"/>
    <w:rsid w:val="00B952C6"/>
    <w:rsid w:val="00B95571"/>
    <w:rsid w:val="00B95586"/>
    <w:rsid w:val="00B95830"/>
    <w:rsid w:val="00B9591E"/>
    <w:rsid w:val="00B95A42"/>
    <w:rsid w:val="00B95BF4"/>
    <w:rsid w:val="00B96076"/>
    <w:rsid w:val="00B961C8"/>
    <w:rsid w:val="00B96314"/>
    <w:rsid w:val="00B9664E"/>
    <w:rsid w:val="00B96793"/>
    <w:rsid w:val="00B96837"/>
    <w:rsid w:val="00B96D14"/>
    <w:rsid w:val="00B96F98"/>
    <w:rsid w:val="00B97187"/>
    <w:rsid w:val="00B971D3"/>
    <w:rsid w:val="00B97375"/>
    <w:rsid w:val="00B9748C"/>
    <w:rsid w:val="00B9758C"/>
    <w:rsid w:val="00B97ABD"/>
    <w:rsid w:val="00B97BEB"/>
    <w:rsid w:val="00BA0520"/>
    <w:rsid w:val="00BA05CE"/>
    <w:rsid w:val="00BA06E0"/>
    <w:rsid w:val="00BA0D4E"/>
    <w:rsid w:val="00BA0EB4"/>
    <w:rsid w:val="00BA100F"/>
    <w:rsid w:val="00BA10DA"/>
    <w:rsid w:val="00BA1377"/>
    <w:rsid w:val="00BA13C6"/>
    <w:rsid w:val="00BA1401"/>
    <w:rsid w:val="00BA1564"/>
    <w:rsid w:val="00BA1A78"/>
    <w:rsid w:val="00BA1EAE"/>
    <w:rsid w:val="00BA207F"/>
    <w:rsid w:val="00BA24A1"/>
    <w:rsid w:val="00BA2620"/>
    <w:rsid w:val="00BA27AA"/>
    <w:rsid w:val="00BA27FD"/>
    <w:rsid w:val="00BA280A"/>
    <w:rsid w:val="00BA28B0"/>
    <w:rsid w:val="00BA2907"/>
    <w:rsid w:val="00BA2BBD"/>
    <w:rsid w:val="00BA2DFC"/>
    <w:rsid w:val="00BA3048"/>
    <w:rsid w:val="00BA3141"/>
    <w:rsid w:val="00BA3172"/>
    <w:rsid w:val="00BA328E"/>
    <w:rsid w:val="00BA32EB"/>
    <w:rsid w:val="00BA33AB"/>
    <w:rsid w:val="00BA343D"/>
    <w:rsid w:val="00BA3648"/>
    <w:rsid w:val="00BA3B00"/>
    <w:rsid w:val="00BA3B83"/>
    <w:rsid w:val="00BA3C99"/>
    <w:rsid w:val="00BA3CC9"/>
    <w:rsid w:val="00BA3D88"/>
    <w:rsid w:val="00BA3E15"/>
    <w:rsid w:val="00BA3EE0"/>
    <w:rsid w:val="00BA45BC"/>
    <w:rsid w:val="00BA47E2"/>
    <w:rsid w:val="00BA47EE"/>
    <w:rsid w:val="00BA495D"/>
    <w:rsid w:val="00BA4A99"/>
    <w:rsid w:val="00BA4B24"/>
    <w:rsid w:val="00BA4DF2"/>
    <w:rsid w:val="00BA4F7A"/>
    <w:rsid w:val="00BA5026"/>
    <w:rsid w:val="00BA5166"/>
    <w:rsid w:val="00BA5441"/>
    <w:rsid w:val="00BA55BC"/>
    <w:rsid w:val="00BA5613"/>
    <w:rsid w:val="00BA5959"/>
    <w:rsid w:val="00BA5A5B"/>
    <w:rsid w:val="00BA6026"/>
    <w:rsid w:val="00BA63CD"/>
    <w:rsid w:val="00BA6512"/>
    <w:rsid w:val="00BA6785"/>
    <w:rsid w:val="00BA68AE"/>
    <w:rsid w:val="00BA6A3A"/>
    <w:rsid w:val="00BA6B07"/>
    <w:rsid w:val="00BA6C49"/>
    <w:rsid w:val="00BA6C85"/>
    <w:rsid w:val="00BA6DE2"/>
    <w:rsid w:val="00BA6FC0"/>
    <w:rsid w:val="00BA787D"/>
    <w:rsid w:val="00BA7902"/>
    <w:rsid w:val="00BA798F"/>
    <w:rsid w:val="00BA79A3"/>
    <w:rsid w:val="00BA7FE9"/>
    <w:rsid w:val="00BB01CE"/>
    <w:rsid w:val="00BB03B9"/>
    <w:rsid w:val="00BB044C"/>
    <w:rsid w:val="00BB06C6"/>
    <w:rsid w:val="00BB0750"/>
    <w:rsid w:val="00BB0CC3"/>
    <w:rsid w:val="00BB0E31"/>
    <w:rsid w:val="00BB14C4"/>
    <w:rsid w:val="00BB198A"/>
    <w:rsid w:val="00BB1C95"/>
    <w:rsid w:val="00BB2060"/>
    <w:rsid w:val="00BB21F4"/>
    <w:rsid w:val="00BB22B0"/>
    <w:rsid w:val="00BB22B1"/>
    <w:rsid w:val="00BB24DD"/>
    <w:rsid w:val="00BB2926"/>
    <w:rsid w:val="00BB2A98"/>
    <w:rsid w:val="00BB2BF0"/>
    <w:rsid w:val="00BB2E5F"/>
    <w:rsid w:val="00BB3107"/>
    <w:rsid w:val="00BB3215"/>
    <w:rsid w:val="00BB36FD"/>
    <w:rsid w:val="00BB38FF"/>
    <w:rsid w:val="00BB3BB9"/>
    <w:rsid w:val="00BB3BC3"/>
    <w:rsid w:val="00BB3C07"/>
    <w:rsid w:val="00BB3D06"/>
    <w:rsid w:val="00BB3E37"/>
    <w:rsid w:val="00BB3F25"/>
    <w:rsid w:val="00BB41FE"/>
    <w:rsid w:val="00BB4373"/>
    <w:rsid w:val="00BB4380"/>
    <w:rsid w:val="00BB45A8"/>
    <w:rsid w:val="00BB49FB"/>
    <w:rsid w:val="00BB4A1A"/>
    <w:rsid w:val="00BB4E07"/>
    <w:rsid w:val="00BB4FF7"/>
    <w:rsid w:val="00BB54B7"/>
    <w:rsid w:val="00BB56A9"/>
    <w:rsid w:val="00BB57D8"/>
    <w:rsid w:val="00BB57EE"/>
    <w:rsid w:val="00BB5815"/>
    <w:rsid w:val="00BB5E8D"/>
    <w:rsid w:val="00BB5FE6"/>
    <w:rsid w:val="00BB6156"/>
    <w:rsid w:val="00BB647A"/>
    <w:rsid w:val="00BB653D"/>
    <w:rsid w:val="00BB681D"/>
    <w:rsid w:val="00BB6844"/>
    <w:rsid w:val="00BB68FE"/>
    <w:rsid w:val="00BB6E20"/>
    <w:rsid w:val="00BB7054"/>
    <w:rsid w:val="00BB77BC"/>
    <w:rsid w:val="00BB7869"/>
    <w:rsid w:val="00BB7ABD"/>
    <w:rsid w:val="00BB7DB4"/>
    <w:rsid w:val="00BB7F31"/>
    <w:rsid w:val="00BC0536"/>
    <w:rsid w:val="00BC067B"/>
    <w:rsid w:val="00BC0A22"/>
    <w:rsid w:val="00BC0A93"/>
    <w:rsid w:val="00BC0B16"/>
    <w:rsid w:val="00BC0C3D"/>
    <w:rsid w:val="00BC0C6F"/>
    <w:rsid w:val="00BC0DCA"/>
    <w:rsid w:val="00BC0E4B"/>
    <w:rsid w:val="00BC0F0F"/>
    <w:rsid w:val="00BC11B9"/>
    <w:rsid w:val="00BC120A"/>
    <w:rsid w:val="00BC13F1"/>
    <w:rsid w:val="00BC14AE"/>
    <w:rsid w:val="00BC176A"/>
    <w:rsid w:val="00BC182A"/>
    <w:rsid w:val="00BC19CD"/>
    <w:rsid w:val="00BC1CEA"/>
    <w:rsid w:val="00BC2005"/>
    <w:rsid w:val="00BC2108"/>
    <w:rsid w:val="00BC24F8"/>
    <w:rsid w:val="00BC2516"/>
    <w:rsid w:val="00BC255A"/>
    <w:rsid w:val="00BC2580"/>
    <w:rsid w:val="00BC2741"/>
    <w:rsid w:val="00BC2768"/>
    <w:rsid w:val="00BC29AB"/>
    <w:rsid w:val="00BC2A4E"/>
    <w:rsid w:val="00BC2D36"/>
    <w:rsid w:val="00BC3078"/>
    <w:rsid w:val="00BC3116"/>
    <w:rsid w:val="00BC349E"/>
    <w:rsid w:val="00BC37E9"/>
    <w:rsid w:val="00BC399F"/>
    <w:rsid w:val="00BC3F7C"/>
    <w:rsid w:val="00BC417D"/>
    <w:rsid w:val="00BC422B"/>
    <w:rsid w:val="00BC47B5"/>
    <w:rsid w:val="00BC48B8"/>
    <w:rsid w:val="00BC4B1C"/>
    <w:rsid w:val="00BC517A"/>
    <w:rsid w:val="00BC5524"/>
    <w:rsid w:val="00BC5748"/>
    <w:rsid w:val="00BC5A30"/>
    <w:rsid w:val="00BC5CC3"/>
    <w:rsid w:val="00BC5D77"/>
    <w:rsid w:val="00BC6193"/>
    <w:rsid w:val="00BC650F"/>
    <w:rsid w:val="00BC689B"/>
    <w:rsid w:val="00BC6925"/>
    <w:rsid w:val="00BC69B8"/>
    <w:rsid w:val="00BC6BD7"/>
    <w:rsid w:val="00BC6F8F"/>
    <w:rsid w:val="00BC7022"/>
    <w:rsid w:val="00BC70A8"/>
    <w:rsid w:val="00BC75F7"/>
    <w:rsid w:val="00BC7698"/>
    <w:rsid w:val="00BC76D1"/>
    <w:rsid w:val="00BC78C6"/>
    <w:rsid w:val="00BC7CF1"/>
    <w:rsid w:val="00BC7E26"/>
    <w:rsid w:val="00BC7FCD"/>
    <w:rsid w:val="00BD030F"/>
    <w:rsid w:val="00BD038B"/>
    <w:rsid w:val="00BD0878"/>
    <w:rsid w:val="00BD0A24"/>
    <w:rsid w:val="00BD0FFC"/>
    <w:rsid w:val="00BD136C"/>
    <w:rsid w:val="00BD13B3"/>
    <w:rsid w:val="00BD162B"/>
    <w:rsid w:val="00BD19FC"/>
    <w:rsid w:val="00BD19FF"/>
    <w:rsid w:val="00BD1ED3"/>
    <w:rsid w:val="00BD1FC6"/>
    <w:rsid w:val="00BD2222"/>
    <w:rsid w:val="00BD2362"/>
    <w:rsid w:val="00BD2A3D"/>
    <w:rsid w:val="00BD2AF2"/>
    <w:rsid w:val="00BD2B99"/>
    <w:rsid w:val="00BD2BBC"/>
    <w:rsid w:val="00BD2CFF"/>
    <w:rsid w:val="00BD2D40"/>
    <w:rsid w:val="00BD2EF5"/>
    <w:rsid w:val="00BD324B"/>
    <w:rsid w:val="00BD327C"/>
    <w:rsid w:val="00BD3C4B"/>
    <w:rsid w:val="00BD3D91"/>
    <w:rsid w:val="00BD3E02"/>
    <w:rsid w:val="00BD3F29"/>
    <w:rsid w:val="00BD4236"/>
    <w:rsid w:val="00BD4243"/>
    <w:rsid w:val="00BD433F"/>
    <w:rsid w:val="00BD46C6"/>
    <w:rsid w:val="00BD4759"/>
    <w:rsid w:val="00BD4875"/>
    <w:rsid w:val="00BD48A5"/>
    <w:rsid w:val="00BD48E1"/>
    <w:rsid w:val="00BD4A07"/>
    <w:rsid w:val="00BD4A20"/>
    <w:rsid w:val="00BD4A43"/>
    <w:rsid w:val="00BD4C77"/>
    <w:rsid w:val="00BD4E46"/>
    <w:rsid w:val="00BD4E53"/>
    <w:rsid w:val="00BD4EAB"/>
    <w:rsid w:val="00BD51D2"/>
    <w:rsid w:val="00BD55FE"/>
    <w:rsid w:val="00BD5776"/>
    <w:rsid w:val="00BD577F"/>
    <w:rsid w:val="00BD5893"/>
    <w:rsid w:val="00BD5A40"/>
    <w:rsid w:val="00BD5C20"/>
    <w:rsid w:val="00BD5E76"/>
    <w:rsid w:val="00BD62CE"/>
    <w:rsid w:val="00BD64B5"/>
    <w:rsid w:val="00BD65DD"/>
    <w:rsid w:val="00BD6736"/>
    <w:rsid w:val="00BD67C4"/>
    <w:rsid w:val="00BD6860"/>
    <w:rsid w:val="00BD6900"/>
    <w:rsid w:val="00BD6BA3"/>
    <w:rsid w:val="00BD764F"/>
    <w:rsid w:val="00BD7853"/>
    <w:rsid w:val="00BD7C3A"/>
    <w:rsid w:val="00BD7C52"/>
    <w:rsid w:val="00BD7FE0"/>
    <w:rsid w:val="00BE0194"/>
    <w:rsid w:val="00BE020E"/>
    <w:rsid w:val="00BE0308"/>
    <w:rsid w:val="00BE08A9"/>
    <w:rsid w:val="00BE08E0"/>
    <w:rsid w:val="00BE0A12"/>
    <w:rsid w:val="00BE0FFB"/>
    <w:rsid w:val="00BE1599"/>
    <w:rsid w:val="00BE16EF"/>
    <w:rsid w:val="00BE198B"/>
    <w:rsid w:val="00BE19EF"/>
    <w:rsid w:val="00BE1B02"/>
    <w:rsid w:val="00BE1E9A"/>
    <w:rsid w:val="00BE1FE2"/>
    <w:rsid w:val="00BE20A7"/>
    <w:rsid w:val="00BE2190"/>
    <w:rsid w:val="00BE234F"/>
    <w:rsid w:val="00BE23A2"/>
    <w:rsid w:val="00BE23EC"/>
    <w:rsid w:val="00BE2415"/>
    <w:rsid w:val="00BE27F6"/>
    <w:rsid w:val="00BE282D"/>
    <w:rsid w:val="00BE287F"/>
    <w:rsid w:val="00BE28DE"/>
    <w:rsid w:val="00BE30A3"/>
    <w:rsid w:val="00BE37F8"/>
    <w:rsid w:val="00BE3A18"/>
    <w:rsid w:val="00BE3C54"/>
    <w:rsid w:val="00BE490C"/>
    <w:rsid w:val="00BE4C1E"/>
    <w:rsid w:val="00BE4EA7"/>
    <w:rsid w:val="00BE4EDE"/>
    <w:rsid w:val="00BE4F40"/>
    <w:rsid w:val="00BE5231"/>
    <w:rsid w:val="00BE52D7"/>
    <w:rsid w:val="00BE53FA"/>
    <w:rsid w:val="00BE5415"/>
    <w:rsid w:val="00BE5689"/>
    <w:rsid w:val="00BE56FF"/>
    <w:rsid w:val="00BE571C"/>
    <w:rsid w:val="00BE5C45"/>
    <w:rsid w:val="00BE61F0"/>
    <w:rsid w:val="00BE62AA"/>
    <w:rsid w:val="00BE62E1"/>
    <w:rsid w:val="00BE6582"/>
    <w:rsid w:val="00BE6612"/>
    <w:rsid w:val="00BE6E13"/>
    <w:rsid w:val="00BE6F24"/>
    <w:rsid w:val="00BE71AB"/>
    <w:rsid w:val="00BE72B8"/>
    <w:rsid w:val="00BE73CA"/>
    <w:rsid w:val="00BE7723"/>
    <w:rsid w:val="00BE7861"/>
    <w:rsid w:val="00BE79E0"/>
    <w:rsid w:val="00BF063D"/>
    <w:rsid w:val="00BF0C50"/>
    <w:rsid w:val="00BF143E"/>
    <w:rsid w:val="00BF150F"/>
    <w:rsid w:val="00BF1CFC"/>
    <w:rsid w:val="00BF1D01"/>
    <w:rsid w:val="00BF2066"/>
    <w:rsid w:val="00BF20CB"/>
    <w:rsid w:val="00BF21AF"/>
    <w:rsid w:val="00BF21BC"/>
    <w:rsid w:val="00BF21C7"/>
    <w:rsid w:val="00BF22A4"/>
    <w:rsid w:val="00BF27F2"/>
    <w:rsid w:val="00BF2B8A"/>
    <w:rsid w:val="00BF2BBA"/>
    <w:rsid w:val="00BF2C05"/>
    <w:rsid w:val="00BF2E01"/>
    <w:rsid w:val="00BF2E05"/>
    <w:rsid w:val="00BF2F60"/>
    <w:rsid w:val="00BF301E"/>
    <w:rsid w:val="00BF33A0"/>
    <w:rsid w:val="00BF34BB"/>
    <w:rsid w:val="00BF3524"/>
    <w:rsid w:val="00BF3538"/>
    <w:rsid w:val="00BF361C"/>
    <w:rsid w:val="00BF3909"/>
    <w:rsid w:val="00BF39D3"/>
    <w:rsid w:val="00BF3C22"/>
    <w:rsid w:val="00BF3DD8"/>
    <w:rsid w:val="00BF442F"/>
    <w:rsid w:val="00BF4904"/>
    <w:rsid w:val="00BF49D4"/>
    <w:rsid w:val="00BF4BC4"/>
    <w:rsid w:val="00BF5357"/>
    <w:rsid w:val="00BF557D"/>
    <w:rsid w:val="00BF5C2A"/>
    <w:rsid w:val="00BF5D64"/>
    <w:rsid w:val="00BF5D7A"/>
    <w:rsid w:val="00BF6027"/>
    <w:rsid w:val="00BF6159"/>
    <w:rsid w:val="00BF6413"/>
    <w:rsid w:val="00BF643F"/>
    <w:rsid w:val="00BF64E2"/>
    <w:rsid w:val="00BF6503"/>
    <w:rsid w:val="00BF663A"/>
    <w:rsid w:val="00BF6BBE"/>
    <w:rsid w:val="00BF6D9A"/>
    <w:rsid w:val="00BF711E"/>
    <w:rsid w:val="00BF751B"/>
    <w:rsid w:val="00BF75BD"/>
    <w:rsid w:val="00BF76B0"/>
    <w:rsid w:val="00BF78D2"/>
    <w:rsid w:val="00BF7AEB"/>
    <w:rsid w:val="00BF7AED"/>
    <w:rsid w:val="00BF7D7D"/>
    <w:rsid w:val="00BF7FCC"/>
    <w:rsid w:val="00C00218"/>
    <w:rsid w:val="00C0056D"/>
    <w:rsid w:val="00C00591"/>
    <w:rsid w:val="00C007B6"/>
    <w:rsid w:val="00C00922"/>
    <w:rsid w:val="00C00AB7"/>
    <w:rsid w:val="00C00B8A"/>
    <w:rsid w:val="00C00BAC"/>
    <w:rsid w:val="00C00CDD"/>
    <w:rsid w:val="00C01291"/>
    <w:rsid w:val="00C015A7"/>
    <w:rsid w:val="00C0181C"/>
    <w:rsid w:val="00C018DE"/>
    <w:rsid w:val="00C01D2C"/>
    <w:rsid w:val="00C02631"/>
    <w:rsid w:val="00C027CA"/>
    <w:rsid w:val="00C02938"/>
    <w:rsid w:val="00C0298E"/>
    <w:rsid w:val="00C02D96"/>
    <w:rsid w:val="00C0334A"/>
    <w:rsid w:val="00C03704"/>
    <w:rsid w:val="00C03733"/>
    <w:rsid w:val="00C03768"/>
    <w:rsid w:val="00C03AB1"/>
    <w:rsid w:val="00C03ABD"/>
    <w:rsid w:val="00C03B36"/>
    <w:rsid w:val="00C03BD4"/>
    <w:rsid w:val="00C03C16"/>
    <w:rsid w:val="00C03CDD"/>
    <w:rsid w:val="00C03D04"/>
    <w:rsid w:val="00C03D6E"/>
    <w:rsid w:val="00C03E55"/>
    <w:rsid w:val="00C04086"/>
    <w:rsid w:val="00C040A1"/>
    <w:rsid w:val="00C04466"/>
    <w:rsid w:val="00C04545"/>
    <w:rsid w:val="00C04915"/>
    <w:rsid w:val="00C0492B"/>
    <w:rsid w:val="00C04ADA"/>
    <w:rsid w:val="00C04E20"/>
    <w:rsid w:val="00C050BC"/>
    <w:rsid w:val="00C051A5"/>
    <w:rsid w:val="00C05363"/>
    <w:rsid w:val="00C05B68"/>
    <w:rsid w:val="00C05BB5"/>
    <w:rsid w:val="00C05DA1"/>
    <w:rsid w:val="00C05E1D"/>
    <w:rsid w:val="00C061EF"/>
    <w:rsid w:val="00C06253"/>
    <w:rsid w:val="00C06392"/>
    <w:rsid w:val="00C0667D"/>
    <w:rsid w:val="00C069E1"/>
    <w:rsid w:val="00C06AC6"/>
    <w:rsid w:val="00C06CCC"/>
    <w:rsid w:val="00C074BE"/>
    <w:rsid w:val="00C07907"/>
    <w:rsid w:val="00C07B7F"/>
    <w:rsid w:val="00C10237"/>
    <w:rsid w:val="00C1035D"/>
    <w:rsid w:val="00C10422"/>
    <w:rsid w:val="00C104D1"/>
    <w:rsid w:val="00C105F5"/>
    <w:rsid w:val="00C1070D"/>
    <w:rsid w:val="00C10BB0"/>
    <w:rsid w:val="00C10D5B"/>
    <w:rsid w:val="00C11153"/>
    <w:rsid w:val="00C1156A"/>
    <w:rsid w:val="00C11753"/>
    <w:rsid w:val="00C11780"/>
    <w:rsid w:val="00C1198C"/>
    <w:rsid w:val="00C119DA"/>
    <w:rsid w:val="00C1204E"/>
    <w:rsid w:val="00C121A3"/>
    <w:rsid w:val="00C121E9"/>
    <w:rsid w:val="00C126E8"/>
    <w:rsid w:val="00C12E7A"/>
    <w:rsid w:val="00C12EB5"/>
    <w:rsid w:val="00C12F13"/>
    <w:rsid w:val="00C1302A"/>
    <w:rsid w:val="00C13063"/>
    <w:rsid w:val="00C13074"/>
    <w:rsid w:val="00C13433"/>
    <w:rsid w:val="00C13AD1"/>
    <w:rsid w:val="00C13BB4"/>
    <w:rsid w:val="00C13F92"/>
    <w:rsid w:val="00C142C5"/>
    <w:rsid w:val="00C14B36"/>
    <w:rsid w:val="00C14B3F"/>
    <w:rsid w:val="00C14CC9"/>
    <w:rsid w:val="00C15798"/>
    <w:rsid w:val="00C158DA"/>
    <w:rsid w:val="00C159A2"/>
    <w:rsid w:val="00C159B0"/>
    <w:rsid w:val="00C15AD2"/>
    <w:rsid w:val="00C15AF2"/>
    <w:rsid w:val="00C15E09"/>
    <w:rsid w:val="00C15ED6"/>
    <w:rsid w:val="00C1621F"/>
    <w:rsid w:val="00C16397"/>
    <w:rsid w:val="00C16952"/>
    <w:rsid w:val="00C1695D"/>
    <w:rsid w:val="00C16984"/>
    <w:rsid w:val="00C16B1C"/>
    <w:rsid w:val="00C17095"/>
    <w:rsid w:val="00C171CB"/>
    <w:rsid w:val="00C175F6"/>
    <w:rsid w:val="00C17959"/>
    <w:rsid w:val="00C17B41"/>
    <w:rsid w:val="00C17FF5"/>
    <w:rsid w:val="00C2030D"/>
    <w:rsid w:val="00C205B1"/>
    <w:rsid w:val="00C2071E"/>
    <w:rsid w:val="00C208DD"/>
    <w:rsid w:val="00C208E6"/>
    <w:rsid w:val="00C20AAF"/>
    <w:rsid w:val="00C20B9C"/>
    <w:rsid w:val="00C20F41"/>
    <w:rsid w:val="00C210BC"/>
    <w:rsid w:val="00C211CD"/>
    <w:rsid w:val="00C217CA"/>
    <w:rsid w:val="00C2193F"/>
    <w:rsid w:val="00C21966"/>
    <w:rsid w:val="00C2198D"/>
    <w:rsid w:val="00C21AED"/>
    <w:rsid w:val="00C21B74"/>
    <w:rsid w:val="00C21B89"/>
    <w:rsid w:val="00C21F80"/>
    <w:rsid w:val="00C21F97"/>
    <w:rsid w:val="00C22211"/>
    <w:rsid w:val="00C22411"/>
    <w:rsid w:val="00C225B3"/>
    <w:rsid w:val="00C22723"/>
    <w:rsid w:val="00C22959"/>
    <w:rsid w:val="00C22A13"/>
    <w:rsid w:val="00C22C48"/>
    <w:rsid w:val="00C22DC1"/>
    <w:rsid w:val="00C22FEC"/>
    <w:rsid w:val="00C2328E"/>
    <w:rsid w:val="00C2330C"/>
    <w:rsid w:val="00C2335E"/>
    <w:rsid w:val="00C23390"/>
    <w:rsid w:val="00C237ED"/>
    <w:rsid w:val="00C23BC5"/>
    <w:rsid w:val="00C23C9F"/>
    <w:rsid w:val="00C23DFC"/>
    <w:rsid w:val="00C23FDA"/>
    <w:rsid w:val="00C2419A"/>
    <w:rsid w:val="00C241A0"/>
    <w:rsid w:val="00C24320"/>
    <w:rsid w:val="00C24693"/>
    <w:rsid w:val="00C247FA"/>
    <w:rsid w:val="00C24A2E"/>
    <w:rsid w:val="00C24C1E"/>
    <w:rsid w:val="00C24D14"/>
    <w:rsid w:val="00C24F18"/>
    <w:rsid w:val="00C24F90"/>
    <w:rsid w:val="00C2510C"/>
    <w:rsid w:val="00C2516E"/>
    <w:rsid w:val="00C252AF"/>
    <w:rsid w:val="00C2535D"/>
    <w:rsid w:val="00C25CA6"/>
    <w:rsid w:val="00C25E94"/>
    <w:rsid w:val="00C25F12"/>
    <w:rsid w:val="00C2607D"/>
    <w:rsid w:val="00C26134"/>
    <w:rsid w:val="00C26215"/>
    <w:rsid w:val="00C26532"/>
    <w:rsid w:val="00C26790"/>
    <w:rsid w:val="00C268BD"/>
    <w:rsid w:val="00C26B66"/>
    <w:rsid w:val="00C26C3F"/>
    <w:rsid w:val="00C26D5D"/>
    <w:rsid w:val="00C26EEC"/>
    <w:rsid w:val="00C2715A"/>
    <w:rsid w:val="00C2722C"/>
    <w:rsid w:val="00C277FF"/>
    <w:rsid w:val="00C278DF"/>
    <w:rsid w:val="00C279B7"/>
    <w:rsid w:val="00C27D04"/>
    <w:rsid w:val="00C302AE"/>
    <w:rsid w:val="00C303C4"/>
    <w:rsid w:val="00C305A6"/>
    <w:rsid w:val="00C30803"/>
    <w:rsid w:val="00C30A56"/>
    <w:rsid w:val="00C30CD9"/>
    <w:rsid w:val="00C30FA6"/>
    <w:rsid w:val="00C310F6"/>
    <w:rsid w:val="00C313D4"/>
    <w:rsid w:val="00C31617"/>
    <w:rsid w:val="00C316FE"/>
    <w:rsid w:val="00C31739"/>
    <w:rsid w:val="00C31C0B"/>
    <w:rsid w:val="00C31DED"/>
    <w:rsid w:val="00C32131"/>
    <w:rsid w:val="00C32174"/>
    <w:rsid w:val="00C32335"/>
    <w:rsid w:val="00C32381"/>
    <w:rsid w:val="00C323B8"/>
    <w:rsid w:val="00C323F2"/>
    <w:rsid w:val="00C324F4"/>
    <w:rsid w:val="00C3278B"/>
    <w:rsid w:val="00C32B40"/>
    <w:rsid w:val="00C32DFE"/>
    <w:rsid w:val="00C33124"/>
    <w:rsid w:val="00C3336B"/>
    <w:rsid w:val="00C337BE"/>
    <w:rsid w:val="00C33888"/>
    <w:rsid w:val="00C33BF0"/>
    <w:rsid w:val="00C33C79"/>
    <w:rsid w:val="00C33E40"/>
    <w:rsid w:val="00C33F09"/>
    <w:rsid w:val="00C33FF9"/>
    <w:rsid w:val="00C341F8"/>
    <w:rsid w:val="00C34231"/>
    <w:rsid w:val="00C3427F"/>
    <w:rsid w:val="00C351C1"/>
    <w:rsid w:val="00C35ED3"/>
    <w:rsid w:val="00C360AA"/>
    <w:rsid w:val="00C3692C"/>
    <w:rsid w:val="00C36BAE"/>
    <w:rsid w:val="00C36C3C"/>
    <w:rsid w:val="00C36C56"/>
    <w:rsid w:val="00C36EA0"/>
    <w:rsid w:val="00C36EEE"/>
    <w:rsid w:val="00C37201"/>
    <w:rsid w:val="00C372F7"/>
    <w:rsid w:val="00C37483"/>
    <w:rsid w:val="00C37865"/>
    <w:rsid w:val="00C378E5"/>
    <w:rsid w:val="00C37D6A"/>
    <w:rsid w:val="00C37E5F"/>
    <w:rsid w:val="00C400DB"/>
    <w:rsid w:val="00C40262"/>
    <w:rsid w:val="00C4083E"/>
    <w:rsid w:val="00C409C5"/>
    <w:rsid w:val="00C40B13"/>
    <w:rsid w:val="00C4115D"/>
    <w:rsid w:val="00C4144A"/>
    <w:rsid w:val="00C414C3"/>
    <w:rsid w:val="00C414DF"/>
    <w:rsid w:val="00C41561"/>
    <w:rsid w:val="00C4167A"/>
    <w:rsid w:val="00C41A11"/>
    <w:rsid w:val="00C41B72"/>
    <w:rsid w:val="00C41F10"/>
    <w:rsid w:val="00C420A7"/>
    <w:rsid w:val="00C42351"/>
    <w:rsid w:val="00C4257F"/>
    <w:rsid w:val="00C427C4"/>
    <w:rsid w:val="00C42876"/>
    <w:rsid w:val="00C4289B"/>
    <w:rsid w:val="00C42D95"/>
    <w:rsid w:val="00C42E96"/>
    <w:rsid w:val="00C42F0E"/>
    <w:rsid w:val="00C43469"/>
    <w:rsid w:val="00C4348B"/>
    <w:rsid w:val="00C43530"/>
    <w:rsid w:val="00C43721"/>
    <w:rsid w:val="00C437E4"/>
    <w:rsid w:val="00C43902"/>
    <w:rsid w:val="00C43A66"/>
    <w:rsid w:val="00C43FD0"/>
    <w:rsid w:val="00C44123"/>
    <w:rsid w:val="00C44161"/>
    <w:rsid w:val="00C4435D"/>
    <w:rsid w:val="00C44675"/>
    <w:rsid w:val="00C4491E"/>
    <w:rsid w:val="00C44BBE"/>
    <w:rsid w:val="00C44D22"/>
    <w:rsid w:val="00C44DD3"/>
    <w:rsid w:val="00C44E0D"/>
    <w:rsid w:val="00C44E0F"/>
    <w:rsid w:val="00C44EE6"/>
    <w:rsid w:val="00C45198"/>
    <w:rsid w:val="00C4552C"/>
    <w:rsid w:val="00C4568D"/>
    <w:rsid w:val="00C457AD"/>
    <w:rsid w:val="00C45873"/>
    <w:rsid w:val="00C458AF"/>
    <w:rsid w:val="00C45970"/>
    <w:rsid w:val="00C45AAE"/>
    <w:rsid w:val="00C45DC6"/>
    <w:rsid w:val="00C45E53"/>
    <w:rsid w:val="00C45F6F"/>
    <w:rsid w:val="00C461CD"/>
    <w:rsid w:val="00C46211"/>
    <w:rsid w:val="00C464BD"/>
    <w:rsid w:val="00C46519"/>
    <w:rsid w:val="00C46989"/>
    <w:rsid w:val="00C46EB8"/>
    <w:rsid w:val="00C46F71"/>
    <w:rsid w:val="00C471C2"/>
    <w:rsid w:val="00C471EF"/>
    <w:rsid w:val="00C477ED"/>
    <w:rsid w:val="00C47921"/>
    <w:rsid w:val="00C47B1A"/>
    <w:rsid w:val="00C47F63"/>
    <w:rsid w:val="00C47FEC"/>
    <w:rsid w:val="00C50256"/>
    <w:rsid w:val="00C504F2"/>
    <w:rsid w:val="00C50726"/>
    <w:rsid w:val="00C50D14"/>
    <w:rsid w:val="00C512A4"/>
    <w:rsid w:val="00C512F0"/>
    <w:rsid w:val="00C513A1"/>
    <w:rsid w:val="00C513E7"/>
    <w:rsid w:val="00C51973"/>
    <w:rsid w:val="00C52324"/>
    <w:rsid w:val="00C52357"/>
    <w:rsid w:val="00C52B3E"/>
    <w:rsid w:val="00C52DC2"/>
    <w:rsid w:val="00C5344B"/>
    <w:rsid w:val="00C53714"/>
    <w:rsid w:val="00C5379D"/>
    <w:rsid w:val="00C539F5"/>
    <w:rsid w:val="00C53EFB"/>
    <w:rsid w:val="00C53F6E"/>
    <w:rsid w:val="00C54040"/>
    <w:rsid w:val="00C54051"/>
    <w:rsid w:val="00C540DC"/>
    <w:rsid w:val="00C54356"/>
    <w:rsid w:val="00C543B8"/>
    <w:rsid w:val="00C5479D"/>
    <w:rsid w:val="00C54954"/>
    <w:rsid w:val="00C54EE6"/>
    <w:rsid w:val="00C54F03"/>
    <w:rsid w:val="00C54F41"/>
    <w:rsid w:val="00C54FA7"/>
    <w:rsid w:val="00C55252"/>
    <w:rsid w:val="00C5535E"/>
    <w:rsid w:val="00C553B8"/>
    <w:rsid w:val="00C559B0"/>
    <w:rsid w:val="00C559C4"/>
    <w:rsid w:val="00C55AF8"/>
    <w:rsid w:val="00C55D1F"/>
    <w:rsid w:val="00C55D98"/>
    <w:rsid w:val="00C55F6E"/>
    <w:rsid w:val="00C5601E"/>
    <w:rsid w:val="00C564CE"/>
    <w:rsid w:val="00C5663D"/>
    <w:rsid w:val="00C566CB"/>
    <w:rsid w:val="00C56799"/>
    <w:rsid w:val="00C56929"/>
    <w:rsid w:val="00C56937"/>
    <w:rsid w:val="00C56ACF"/>
    <w:rsid w:val="00C56D02"/>
    <w:rsid w:val="00C57103"/>
    <w:rsid w:val="00C571F2"/>
    <w:rsid w:val="00C57262"/>
    <w:rsid w:val="00C5753F"/>
    <w:rsid w:val="00C577A4"/>
    <w:rsid w:val="00C57A7D"/>
    <w:rsid w:val="00C57AC0"/>
    <w:rsid w:val="00C57E4A"/>
    <w:rsid w:val="00C57E50"/>
    <w:rsid w:val="00C57FD0"/>
    <w:rsid w:val="00C6022A"/>
    <w:rsid w:val="00C60328"/>
    <w:rsid w:val="00C60572"/>
    <w:rsid w:val="00C605EC"/>
    <w:rsid w:val="00C6063D"/>
    <w:rsid w:val="00C607E7"/>
    <w:rsid w:val="00C60829"/>
    <w:rsid w:val="00C6098C"/>
    <w:rsid w:val="00C60C97"/>
    <w:rsid w:val="00C60E57"/>
    <w:rsid w:val="00C6100A"/>
    <w:rsid w:val="00C611BB"/>
    <w:rsid w:val="00C613D0"/>
    <w:rsid w:val="00C61753"/>
    <w:rsid w:val="00C6185B"/>
    <w:rsid w:val="00C61C2F"/>
    <w:rsid w:val="00C61F48"/>
    <w:rsid w:val="00C62001"/>
    <w:rsid w:val="00C62289"/>
    <w:rsid w:val="00C62544"/>
    <w:rsid w:val="00C626B5"/>
    <w:rsid w:val="00C626BB"/>
    <w:rsid w:val="00C627B5"/>
    <w:rsid w:val="00C628A9"/>
    <w:rsid w:val="00C6295B"/>
    <w:rsid w:val="00C62988"/>
    <w:rsid w:val="00C63148"/>
    <w:rsid w:val="00C637DB"/>
    <w:rsid w:val="00C63E59"/>
    <w:rsid w:val="00C63F7A"/>
    <w:rsid w:val="00C64473"/>
    <w:rsid w:val="00C64B27"/>
    <w:rsid w:val="00C64CC4"/>
    <w:rsid w:val="00C64F6E"/>
    <w:rsid w:val="00C65475"/>
    <w:rsid w:val="00C6563D"/>
    <w:rsid w:val="00C656F8"/>
    <w:rsid w:val="00C657D6"/>
    <w:rsid w:val="00C6592A"/>
    <w:rsid w:val="00C65C3B"/>
    <w:rsid w:val="00C65E8F"/>
    <w:rsid w:val="00C65F4B"/>
    <w:rsid w:val="00C665EB"/>
    <w:rsid w:val="00C66633"/>
    <w:rsid w:val="00C66663"/>
    <w:rsid w:val="00C66711"/>
    <w:rsid w:val="00C667A4"/>
    <w:rsid w:val="00C6692D"/>
    <w:rsid w:val="00C66942"/>
    <w:rsid w:val="00C66BF1"/>
    <w:rsid w:val="00C66D8B"/>
    <w:rsid w:val="00C66E2B"/>
    <w:rsid w:val="00C66E55"/>
    <w:rsid w:val="00C67183"/>
    <w:rsid w:val="00C6728F"/>
    <w:rsid w:val="00C673CA"/>
    <w:rsid w:val="00C67423"/>
    <w:rsid w:val="00C6753B"/>
    <w:rsid w:val="00C676C5"/>
    <w:rsid w:val="00C67B3E"/>
    <w:rsid w:val="00C67C81"/>
    <w:rsid w:val="00C67CB9"/>
    <w:rsid w:val="00C67CF2"/>
    <w:rsid w:val="00C67CF5"/>
    <w:rsid w:val="00C67D31"/>
    <w:rsid w:val="00C67DD5"/>
    <w:rsid w:val="00C67E4B"/>
    <w:rsid w:val="00C70082"/>
    <w:rsid w:val="00C70528"/>
    <w:rsid w:val="00C70592"/>
    <w:rsid w:val="00C705A2"/>
    <w:rsid w:val="00C705B1"/>
    <w:rsid w:val="00C705BA"/>
    <w:rsid w:val="00C70727"/>
    <w:rsid w:val="00C70A2A"/>
    <w:rsid w:val="00C70A80"/>
    <w:rsid w:val="00C70DE8"/>
    <w:rsid w:val="00C70F64"/>
    <w:rsid w:val="00C710D4"/>
    <w:rsid w:val="00C71287"/>
    <w:rsid w:val="00C71365"/>
    <w:rsid w:val="00C71463"/>
    <w:rsid w:val="00C71574"/>
    <w:rsid w:val="00C71764"/>
    <w:rsid w:val="00C717D5"/>
    <w:rsid w:val="00C71894"/>
    <w:rsid w:val="00C71B5D"/>
    <w:rsid w:val="00C71C40"/>
    <w:rsid w:val="00C71C5B"/>
    <w:rsid w:val="00C71D15"/>
    <w:rsid w:val="00C71EA5"/>
    <w:rsid w:val="00C72328"/>
    <w:rsid w:val="00C723E2"/>
    <w:rsid w:val="00C72761"/>
    <w:rsid w:val="00C727FF"/>
    <w:rsid w:val="00C72803"/>
    <w:rsid w:val="00C728D7"/>
    <w:rsid w:val="00C72A5B"/>
    <w:rsid w:val="00C72BA6"/>
    <w:rsid w:val="00C72F8D"/>
    <w:rsid w:val="00C72FAD"/>
    <w:rsid w:val="00C732D1"/>
    <w:rsid w:val="00C73323"/>
    <w:rsid w:val="00C736ED"/>
    <w:rsid w:val="00C73786"/>
    <w:rsid w:val="00C73864"/>
    <w:rsid w:val="00C73C4F"/>
    <w:rsid w:val="00C73E34"/>
    <w:rsid w:val="00C73E5C"/>
    <w:rsid w:val="00C74087"/>
    <w:rsid w:val="00C74229"/>
    <w:rsid w:val="00C74242"/>
    <w:rsid w:val="00C74286"/>
    <w:rsid w:val="00C745D0"/>
    <w:rsid w:val="00C7488B"/>
    <w:rsid w:val="00C749DF"/>
    <w:rsid w:val="00C74BCE"/>
    <w:rsid w:val="00C74D19"/>
    <w:rsid w:val="00C74EDE"/>
    <w:rsid w:val="00C754EF"/>
    <w:rsid w:val="00C7557C"/>
    <w:rsid w:val="00C7583B"/>
    <w:rsid w:val="00C7593E"/>
    <w:rsid w:val="00C75A16"/>
    <w:rsid w:val="00C75DB5"/>
    <w:rsid w:val="00C75E20"/>
    <w:rsid w:val="00C76038"/>
    <w:rsid w:val="00C76085"/>
    <w:rsid w:val="00C760DA"/>
    <w:rsid w:val="00C7612C"/>
    <w:rsid w:val="00C7628F"/>
    <w:rsid w:val="00C76385"/>
    <w:rsid w:val="00C765E4"/>
    <w:rsid w:val="00C7664A"/>
    <w:rsid w:val="00C76896"/>
    <w:rsid w:val="00C76C3E"/>
    <w:rsid w:val="00C76C57"/>
    <w:rsid w:val="00C76D03"/>
    <w:rsid w:val="00C76F6D"/>
    <w:rsid w:val="00C77997"/>
    <w:rsid w:val="00C800D0"/>
    <w:rsid w:val="00C800D8"/>
    <w:rsid w:val="00C804C9"/>
    <w:rsid w:val="00C80E08"/>
    <w:rsid w:val="00C814FB"/>
    <w:rsid w:val="00C81C1F"/>
    <w:rsid w:val="00C81C94"/>
    <w:rsid w:val="00C81D0C"/>
    <w:rsid w:val="00C81FC8"/>
    <w:rsid w:val="00C82098"/>
    <w:rsid w:val="00C822C0"/>
    <w:rsid w:val="00C823FC"/>
    <w:rsid w:val="00C8275F"/>
    <w:rsid w:val="00C828CC"/>
    <w:rsid w:val="00C82A04"/>
    <w:rsid w:val="00C82A57"/>
    <w:rsid w:val="00C82E2E"/>
    <w:rsid w:val="00C82F1F"/>
    <w:rsid w:val="00C8354A"/>
    <w:rsid w:val="00C8360B"/>
    <w:rsid w:val="00C836A5"/>
    <w:rsid w:val="00C83CA6"/>
    <w:rsid w:val="00C83CD1"/>
    <w:rsid w:val="00C8405A"/>
    <w:rsid w:val="00C840AB"/>
    <w:rsid w:val="00C84146"/>
    <w:rsid w:val="00C84212"/>
    <w:rsid w:val="00C843D6"/>
    <w:rsid w:val="00C8444D"/>
    <w:rsid w:val="00C8452C"/>
    <w:rsid w:val="00C84733"/>
    <w:rsid w:val="00C849E6"/>
    <w:rsid w:val="00C84AAC"/>
    <w:rsid w:val="00C84F9B"/>
    <w:rsid w:val="00C852CC"/>
    <w:rsid w:val="00C8536F"/>
    <w:rsid w:val="00C85381"/>
    <w:rsid w:val="00C85442"/>
    <w:rsid w:val="00C8571A"/>
    <w:rsid w:val="00C858A3"/>
    <w:rsid w:val="00C85A7E"/>
    <w:rsid w:val="00C85AF8"/>
    <w:rsid w:val="00C85C6F"/>
    <w:rsid w:val="00C85F09"/>
    <w:rsid w:val="00C85FA2"/>
    <w:rsid w:val="00C86408"/>
    <w:rsid w:val="00C865B4"/>
    <w:rsid w:val="00C8677F"/>
    <w:rsid w:val="00C86A99"/>
    <w:rsid w:val="00C86B47"/>
    <w:rsid w:val="00C86BF4"/>
    <w:rsid w:val="00C86C54"/>
    <w:rsid w:val="00C86D0C"/>
    <w:rsid w:val="00C86D7F"/>
    <w:rsid w:val="00C86E68"/>
    <w:rsid w:val="00C870DF"/>
    <w:rsid w:val="00C871C1"/>
    <w:rsid w:val="00C874B6"/>
    <w:rsid w:val="00C875AD"/>
    <w:rsid w:val="00C879E6"/>
    <w:rsid w:val="00C87A2C"/>
    <w:rsid w:val="00C87B57"/>
    <w:rsid w:val="00C87C8A"/>
    <w:rsid w:val="00C87DF2"/>
    <w:rsid w:val="00C87F0F"/>
    <w:rsid w:val="00C907B7"/>
    <w:rsid w:val="00C90807"/>
    <w:rsid w:val="00C908FD"/>
    <w:rsid w:val="00C909CC"/>
    <w:rsid w:val="00C90B1B"/>
    <w:rsid w:val="00C90C70"/>
    <w:rsid w:val="00C90CD5"/>
    <w:rsid w:val="00C90F7B"/>
    <w:rsid w:val="00C90FF3"/>
    <w:rsid w:val="00C91031"/>
    <w:rsid w:val="00C9128D"/>
    <w:rsid w:val="00C916D4"/>
    <w:rsid w:val="00C91A6E"/>
    <w:rsid w:val="00C91C1D"/>
    <w:rsid w:val="00C92008"/>
    <w:rsid w:val="00C92172"/>
    <w:rsid w:val="00C9220F"/>
    <w:rsid w:val="00C922D5"/>
    <w:rsid w:val="00C92748"/>
    <w:rsid w:val="00C92BD7"/>
    <w:rsid w:val="00C92CC9"/>
    <w:rsid w:val="00C930C3"/>
    <w:rsid w:val="00C9335F"/>
    <w:rsid w:val="00C938C7"/>
    <w:rsid w:val="00C93B9D"/>
    <w:rsid w:val="00C93C69"/>
    <w:rsid w:val="00C93DC1"/>
    <w:rsid w:val="00C93E29"/>
    <w:rsid w:val="00C945A8"/>
    <w:rsid w:val="00C947B3"/>
    <w:rsid w:val="00C94818"/>
    <w:rsid w:val="00C94A4B"/>
    <w:rsid w:val="00C94B49"/>
    <w:rsid w:val="00C94D5B"/>
    <w:rsid w:val="00C95221"/>
    <w:rsid w:val="00C953EE"/>
    <w:rsid w:val="00C95448"/>
    <w:rsid w:val="00C958B1"/>
    <w:rsid w:val="00C95E06"/>
    <w:rsid w:val="00C96279"/>
    <w:rsid w:val="00C965DD"/>
    <w:rsid w:val="00C9675C"/>
    <w:rsid w:val="00C9681F"/>
    <w:rsid w:val="00C96C00"/>
    <w:rsid w:val="00C96C01"/>
    <w:rsid w:val="00C96CC0"/>
    <w:rsid w:val="00C96E26"/>
    <w:rsid w:val="00C96E38"/>
    <w:rsid w:val="00C971CF"/>
    <w:rsid w:val="00C973DA"/>
    <w:rsid w:val="00C974E2"/>
    <w:rsid w:val="00C97679"/>
    <w:rsid w:val="00C9794F"/>
    <w:rsid w:val="00CA07EC"/>
    <w:rsid w:val="00CA083C"/>
    <w:rsid w:val="00CA0847"/>
    <w:rsid w:val="00CA0B86"/>
    <w:rsid w:val="00CA0B9D"/>
    <w:rsid w:val="00CA0D76"/>
    <w:rsid w:val="00CA0DA6"/>
    <w:rsid w:val="00CA0E51"/>
    <w:rsid w:val="00CA1651"/>
    <w:rsid w:val="00CA170A"/>
    <w:rsid w:val="00CA18FF"/>
    <w:rsid w:val="00CA1917"/>
    <w:rsid w:val="00CA1BA4"/>
    <w:rsid w:val="00CA1F66"/>
    <w:rsid w:val="00CA2483"/>
    <w:rsid w:val="00CA254B"/>
    <w:rsid w:val="00CA2850"/>
    <w:rsid w:val="00CA2A58"/>
    <w:rsid w:val="00CA2A69"/>
    <w:rsid w:val="00CA2BA4"/>
    <w:rsid w:val="00CA2E64"/>
    <w:rsid w:val="00CA2EF3"/>
    <w:rsid w:val="00CA2F7B"/>
    <w:rsid w:val="00CA3062"/>
    <w:rsid w:val="00CA3323"/>
    <w:rsid w:val="00CA34C6"/>
    <w:rsid w:val="00CA37AA"/>
    <w:rsid w:val="00CA3BB7"/>
    <w:rsid w:val="00CA3C1F"/>
    <w:rsid w:val="00CA4543"/>
    <w:rsid w:val="00CA484D"/>
    <w:rsid w:val="00CA4966"/>
    <w:rsid w:val="00CA49C8"/>
    <w:rsid w:val="00CA49D1"/>
    <w:rsid w:val="00CA49D3"/>
    <w:rsid w:val="00CA4D6E"/>
    <w:rsid w:val="00CA4F54"/>
    <w:rsid w:val="00CA5043"/>
    <w:rsid w:val="00CA5262"/>
    <w:rsid w:val="00CA5494"/>
    <w:rsid w:val="00CA5A8F"/>
    <w:rsid w:val="00CA5B2F"/>
    <w:rsid w:val="00CA5D70"/>
    <w:rsid w:val="00CA5D8D"/>
    <w:rsid w:val="00CA5F28"/>
    <w:rsid w:val="00CA628B"/>
    <w:rsid w:val="00CA6944"/>
    <w:rsid w:val="00CA6E81"/>
    <w:rsid w:val="00CA7373"/>
    <w:rsid w:val="00CA745C"/>
    <w:rsid w:val="00CA74A6"/>
    <w:rsid w:val="00CA7FF1"/>
    <w:rsid w:val="00CB007D"/>
    <w:rsid w:val="00CB022C"/>
    <w:rsid w:val="00CB039E"/>
    <w:rsid w:val="00CB0406"/>
    <w:rsid w:val="00CB04EE"/>
    <w:rsid w:val="00CB0AAD"/>
    <w:rsid w:val="00CB0B06"/>
    <w:rsid w:val="00CB0DFC"/>
    <w:rsid w:val="00CB0F0A"/>
    <w:rsid w:val="00CB0F1A"/>
    <w:rsid w:val="00CB12FB"/>
    <w:rsid w:val="00CB1344"/>
    <w:rsid w:val="00CB1680"/>
    <w:rsid w:val="00CB16A1"/>
    <w:rsid w:val="00CB16DD"/>
    <w:rsid w:val="00CB1969"/>
    <w:rsid w:val="00CB1AF3"/>
    <w:rsid w:val="00CB1D2A"/>
    <w:rsid w:val="00CB1D70"/>
    <w:rsid w:val="00CB1D86"/>
    <w:rsid w:val="00CB1F9B"/>
    <w:rsid w:val="00CB2134"/>
    <w:rsid w:val="00CB244F"/>
    <w:rsid w:val="00CB253E"/>
    <w:rsid w:val="00CB2692"/>
    <w:rsid w:val="00CB27A8"/>
    <w:rsid w:val="00CB29C9"/>
    <w:rsid w:val="00CB2C30"/>
    <w:rsid w:val="00CB2E98"/>
    <w:rsid w:val="00CB2ED2"/>
    <w:rsid w:val="00CB2FCD"/>
    <w:rsid w:val="00CB3408"/>
    <w:rsid w:val="00CB3656"/>
    <w:rsid w:val="00CB36EC"/>
    <w:rsid w:val="00CB394E"/>
    <w:rsid w:val="00CB40A6"/>
    <w:rsid w:val="00CB4104"/>
    <w:rsid w:val="00CB4173"/>
    <w:rsid w:val="00CB444B"/>
    <w:rsid w:val="00CB4A8D"/>
    <w:rsid w:val="00CB4B0E"/>
    <w:rsid w:val="00CB4CA5"/>
    <w:rsid w:val="00CB51C2"/>
    <w:rsid w:val="00CB54AA"/>
    <w:rsid w:val="00CB569A"/>
    <w:rsid w:val="00CB588C"/>
    <w:rsid w:val="00CB5B2C"/>
    <w:rsid w:val="00CB64AD"/>
    <w:rsid w:val="00CB6723"/>
    <w:rsid w:val="00CB6753"/>
    <w:rsid w:val="00CB67D8"/>
    <w:rsid w:val="00CB6840"/>
    <w:rsid w:val="00CB68D5"/>
    <w:rsid w:val="00CB6939"/>
    <w:rsid w:val="00CB723F"/>
    <w:rsid w:val="00CB727E"/>
    <w:rsid w:val="00CB7365"/>
    <w:rsid w:val="00CB78FE"/>
    <w:rsid w:val="00CB7949"/>
    <w:rsid w:val="00CB79AA"/>
    <w:rsid w:val="00CB7AEB"/>
    <w:rsid w:val="00CB7B3B"/>
    <w:rsid w:val="00CB7D8A"/>
    <w:rsid w:val="00CC00C9"/>
    <w:rsid w:val="00CC00E1"/>
    <w:rsid w:val="00CC01C5"/>
    <w:rsid w:val="00CC0994"/>
    <w:rsid w:val="00CC09AC"/>
    <w:rsid w:val="00CC0A1F"/>
    <w:rsid w:val="00CC0FA5"/>
    <w:rsid w:val="00CC16F9"/>
    <w:rsid w:val="00CC17E2"/>
    <w:rsid w:val="00CC1964"/>
    <w:rsid w:val="00CC199F"/>
    <w:rsid w:val="00CC1E26"/>
    <w:rsid w:val="00CC2317"/>
    <w:rsid w:val="00CC24B5"/>
    <w:rsid w:val="00CC2864"/>
    <w:rsid w:val="00CC2C5F"/>
    <w:rsid w:val="00CC307B"/>
    <w:rsid w:val="00CC313E"/>
    <w:rsid w:val="00CC327C"/>
    <w:rsid w:val="00CC33FF"/>
    <w:rsid w:val="00CC34FD"/>
    <w:rsid w:val="00CC35E0"/>
    <w:rsid w:val="00CC3638"/>
    <w:rsid w:val="00CC398C"/>
    <w:rsid w:val="00CC3F3D"/>
    <w:rsid w:val="00CC40EA"/>
    <w:rsid w:val="00CC4612"/>
    <w:rsid w:val="00CC4619"/>
    <w:rsid w:val="00CC4985"/>
    <w:rsid w:val="00CC4AD9"/>
    <w:rsid w:val="00CC5771"/>
    <w:rsid w:val="00CC5B8E"/>
    <w:rsid w:val="00CC5CCB"/>
    <w:rsid w:val="00CC5D4B"/>
    <w:rsid w:val="00CC5E31"/>
    <w:rsid w:val="00CC62F7"/>
    <w:rsid w:val="00CC653A"/>
    <w:rsid w:val="00CC66E6"/>
    <w:rsid w:val="00CC6722"/>
    <w:rsid w:val="00CC6938"/>
    <w:rsid w:val="00CC6AEC"/>
    <w:rsid w:val="00CC6BC5"/>
    <w:rsid w:val="00CC707E"/>
    <w:rsid w:val="00CC7164"/>
    <w:rsid w:val="00CC73A4"/>
    <w:rsid w:val="00CC74B9"/>
    <w:rsid w:val="00CC75C4"/>
    <w:rsid w:val="00CC7915"/>
    <w:rsid w:val="00CC7C40"/>
    <w:rsid w:val="00CC7D88"/>
    <w:rsid w:val="00CC7F28"/>
    <w:rsid w:val="00CD032D"/>
    <w:rsid w:val="00CD0471"/>
    <w:rsid w:val="00CD0B66"/>
    <w:rsid w:val="00CD0FA4"/>
    <w:rsid w:val="00CD0FF6"/>
    <w:rsid w:val="00CD11F5"/>
    <w:rsid w:val="00CD12FB"/>
    <w:rsid w:val="00CD16AF"/>
    <w:rsid w:val="00CD18EA"/>
    <w:rsid w:val="00CD1B26"/>
    <w:rsid w:val="00CD1C0A"/>
    <w:rsid w:val="00CD1D87"/>
    <w:rsid w:val="00CD232C"/>
    <w:rsid w:val="00CD23F8"/>
    <w:rsid w:val="00CD246A"/>
    <w:rsid w:val="00CD2600"/>
    <w:rsid w:val="00CD2766"/>
    <w:rsid w:val="00CD27A4"/>
    <w:rsid w:val="00CD27BB"/>
    <w:rsid w:val="00CD27F1"/>
    <w:rsid w:val="00CD2B4F"/>
    <w:rsid w:val="00CD2B88"/>
    <w:rsid w:val="00CD2D1B"/>
    <w:rsid w:val="00CD2E82"/>
    <w:rsid w:val="00CD32D1"/>
    <w:rsid w:val="00CD330F"/>
    <w:rsid w:val="00CD3458"/>
    <w:rsid w:val="00CD3722"/>
    <w:rsid w:val="00CD3B68"/>
    <w:rsid w:val="00CD3D72"/>
    <w:rsid w:val="00CD3DE3"/>
    <w:rsid w:val="00CD3FE4"/>
    <w:rsid w:val="00CD41AF"/>
    <w:rsid w:val="00CD41C5"/>
    <w:rsid w:val="00CD4225"/>
    <w:rsid w:val="00CD478E"/>
    <w:rsid w:val="00CD4BF9"/>
    <w:rsid w:val="00CD4E16"/>
    <w:rsid w:val="00CD5017"/>
    <w:rsid w:val="00CD53A7"/>
    <w:rsid w:val="00CD5891"/>
    <w:rsid w:val="00CD58A2"/>
    <w:rsid w:val="00CD5C29"/>
    <w:rsid w:val="00CD5D85"/>
    <w:rsid w:val="00CD5EE6"/>
    <w:rsid w:val="00CD5EF2"/>
    <w:rsid w:val="00CD6196"/>
    <w:rsid w:val="00CD6306"/>
    <w:rsid w:val="00CD68D7"/>
    <w:rsid w:val="00CD6941"/>
    <w:rsid w:val="00CD6A26"/>
    <w:rsid w:val="00CD6B00"/>
    <w:rsid w:val="00CD6DA6"/>
    <w:rsid w:val="00CD737D"/>
    <w:rsid w:val="00CD78A3"/>
    <w:rsid w:val="00CD7B76"/>
    <w:rsid w:val="00CD7BC7"/>
    <w:rsid w:val="00CD7ED0"/>
    <w:rsid w:val="00CD7F0E"/>
    <w:rsid w:val="00CE0232"/>
    <w:rsid w:val="00CE077D"/>
    <w:rsid w:val="00CE0CF5"/>
    <w:rsid w:val="00CE0D42"/>
    <w:rsid w:val="00CE0F68"/>
    <w:rsid w:val="00CE0FD5"/>
    <w:rsid w:val="00CE104C"/>
    <w:rsid w:val="00CE113F"/>
    <w:rsid w:val="00CE13A7"/>
    <w:rsid w:val="00CE14F7"/>
    <w:rsid w:val="00CE178B"/>
    <w:rsid w:val="00CE1DD5"/>
    <w:rsid w:val="00CE20C7"/>
    <w:rsid w:val="00CE221B"/>
    <w:rsid w:val="00CE24E1"/>
    <w:rsid w:val="00CE2A9D"/>
    <w:rsid w:val="00CE2D3B"/>
    <w:rsid w:val="00CE38F2"/>
    <w:rsid w:val="00CE396E"/>
    <w:rsid w:val="00CE3EBF"/>
    <w:rsid w:val="00CE3F2B"/>
    <w:rsid w:val="00CE3F4B"/>
    <w:rsid w:val="00CE40BE"/>
    <w:rsid w:val="00CE4348"/>
    <w:rsid w:val="00CE45C0"/>
    <w:rsid w:val="00CE460F"/>
    <w:rsid w:val="00CE4BB4"/>
    <w:rsid w:val="00CE4C94"/>
    <w:rsid w:val="00CE4DC4"/>
    <w:rsid w:val="00CE4E37"/>
    <w:rsid w:val="00CE4E53"/>
    <w:rsid w:val="00CE50AC"/>
    <w:rsid w:val="00CE555F"/>
    <w:rsid w:val="00CE5749"/>
    <w:rsid w:val="00CE5CEC"/>
    <w:rsid w:val="00CE5D53"/>
    <w:rsid w:val="00CE5E10"/>
    <w:rsid w:val="00CE5EA3"/>
    <w:rsid w:val="00CE63D2"/>
    <w:rsid w:val="00CE667A"/>
    <w:rsid w:val="00CE67EF"/>
    <w:rsid w:val="00CE6A1B"/>
    <w:rsid w:val="00CE6ADD"/>
    <w:rsid w:val="00CE6C3B"/>
    <w:rsid w:val="00CE6E7E"/>
    <w:rsid w:val="00CE6EC7"/>
    <w:rsid w:val="00CE7169"/>
    <w:rsid w:val="00CE7752"/>
    <w:rsid w:val="00CE78AB"/>
    <w:rsid w:val="00CE7BA2"/>
    <w:rsid w:val="00CE7E0B"/>
    <w:rsid w:val="00CF008B"/>
    <w:rsid w:val="00CF00FC"/>
    <w:rsid w:val="00CF037A"/>
    <w:rsid w:val="00CF03FE"/>
    <w:rsid w:val="00CF0549"/>
    <w:rsid w:val="00CF059A"/>
    <w:rsid w:val="00CF0816"/>
    <w:rsid w:val="00CF0859"/>
    <w:rsid w:val="00CF0A8D"/>
    <w:rsid w:val="00CF0BD7"/>
    <w:rsid w:val="00CF0C69"/>
    <w:rsid w:val="00CF0D89"/>
    <w:rsid w:val="00CF0ECD"/>
    <w:rsid w:val="00CF0ECF"/>
    <w:rsid w:val="00CF0F0B"/>
    <w:rsid w:val="00CF0F0D"/>
    <w:rsid w:val="00CF0FE0"/>
    <w:rsid w:val="00CF0FED"/>
    <w:rsid w:val="00CF1714"/>
    <w:rsid w:val="00CF1866"/>
    <w:rsid w:val="00CF1D11"/>
    <w:rsid w:val="00CF1D49"/>
    <w:rsid w:val="00CF1D79"/>
    <w:rsid w:val="00CF1FCA"/>
    <w:rsid w:val="00CF239C"/>
    <w:rsid w:val="00CF2A9D"/>
    <w:rsid w:val="00CF2BBD"/>
    <w:rsid w:val="00CF2F97"/>
    <w:rsid w:val="00CF321E"/>
    <w:rsid w:val="00CF3261"/>
    <w:rsid w:val="00CF32A9"/>
    <w:rsid w:val="00CF36D8"/>
    <w:rsid w:val="00CF3991"/>
    <w:rsid w:val="00CF3A5B"/>
    <w:rsid w:val="00CF3CBB"/>
    <w:rsid w:val="00CF3CE5"/>
    <w:rsid w:val="00CF3FE4"/>
    <w:rsid w:val="00CF46D1"/>
    <w:rsid w:val="00CF4885"/>
    <w:rsid w:val="00CF4DF7"/>
    <w:rsid w:val="00CF4E7D"/>
    <w:rsid w:val="00CF52DE"/>
    <w:rsid w:val="00CF53EB"/>
    <w:rsid w:val="00CF5581"/>
    <w:rsid w:val="00CF5596"/>
    <w:rsid w:val="00CF5749"/>
    <w:rsid w:val="00CF6503"/>
    <w:rsid w:val="00CF6504"/>
    <w:rsid w:val="00CF66CA"/>
    <w:rsid w:val="00CF67FE"/>
    <w:rsid w:val="00CF6DEF"/>
    <w:rsid w:val="00CF6F6E"/>
    <w:rsid w:val="00CF732B"/>
    <w:rsid w:val="00CF7575"/>
    <w:rsid w:val="00CF777E"/>
    <w:rsid w:val="00CF7A0D"/>
    <w:rsid w:val="00CF7D43"/>
    <w:rsid w:val="00D000CC"/>
    <w:rsid w:val="00D001D9"/>
    <w:rsid w:val="00D00274"/>
    <w:rsid w:val="00D00403"/>
    <w:rsid w:val="00D0041F"/>
    <w:rsid w:val="00D005F0"/>
    <w:rsid w:val="00D006F3"/>
    <w:rsid w:val="00D0072B"/>
    <w:rsid w:val="00D009BD"/>
    <w:rsid w:val="00D00B2B"/>
    <w:rsid w:val="00D00E43"/>
    <w:rsid w:val="00D00F86"/>
    <w:rsid w:val="00D0106C"/>
    <w:rsid w:val="00D010EC"/>
    <w:rsid w:val="00D01170"/>
    <w:rsid w:val="00D01299"/>
    <w:rsid w:val="00D014D2"/>
    <w:rsid w:val="00D01847"/>
    <w:rsid w:val="00D01A16"/>
    <w:rsid w:val="00D01B4C"/>
    <w:rsid w:val="00D01F8B"/>
    <w:rsid w:val="00D01FB2"/>
    <w:rsid w:val="00D02027"/>
    <w:rsid w:val="00D0221C"/>
    <w:rsid w:val="00D0224A"/>
    <w:rsid w:val="00D02C23"/>
    <w:rsid w:val="00D03141"/>
    <w:rsid w:val="00D03239"/>
    <w:rsid w:val="00D0333E"/>
    <w:rsid w:val="00D0337B"/>
    <w:rsid w:val="00D033A3"/>
    <w:rsid w:val="00D03609"/>
    <w:rsid w:val="00D036CB"/>
    <w:rsid w:val="00D039BC"/>
    <w:rsid w:val="00D03A41"/>
    <w:rsid w:val="00D03B66"/>
    <w:rsid w:val="00D04018"/>
    <w:rsid w:val="00D048C4"/>
    <w:rsid w:val="00D04AA4"/>
    <w:rsid w:val="00D04C5D"/>
    <w:rsid w:val="00D051CF"/>
    <w:rsid w:val="00D053D7"/>
    <w:rsid w:val="00D054F7"/>
    <w:rsid w:val="00D054F8"/>
    <w:rsid w:val="00D05D2C"/>
    <w:rsid w:val="00D0617C"/>
    <w:rsid w:val="00D061E7"/>
    <w:rsid w:val="00D065A2"/>
    <w:rsid w:val="00D0665F"/>
    <w:rsid w:val="00D06B0D"/>
    <w:rsid w:val="00D06C38"/>
    <w:rsid w:val="00D06EE3"/>
    <w:rsid w:val="00D0705F"/>
    <w:rsid w:val="00D07400"/>
    <w:rsid w:val="00D074EE"/>
    <w:rsid w:val="00D0757D"/>
    <w:rsid w:val="00D075A6"/>
    <w:rsid w:val="00D075D3"/>
    <w:rsid w:val="00D07619"/>
    <w:rsid w:val="00D07730"/>
    <w:rsid w:val="00D07951"/>
    <w:rsid w:val="00D07C4B"/>
    <w:rsid w:val="00D07FE2"/>
    <w:rsid w:val="00D102BB"/>
    <w:rsid w:val="00D10375"/>
    <w:rsid w:val="00D106FD"/>
    <w:rsid w:val="00D109A2"/>
    <w:rsid w:val="00D10A81"/>
    <w:rsid w:val="00D10CB5"/>
    <w:rsid w:val="00D10DB8"/>
    <w:rsid w:val="00D10E1A"/>
    <w:rsid w:val="00D10E65"/>
    <w:rsid w:val="00D10EA3"/>
    <w:rsid w:val="00D11572"/>
    <w:rsid w:val="00D115D5"/>
    <w:rsid w:val="00D1167F"/>
    <w:rsid w:val="00D11A87"/>
    <w:rsid w:val="00D11B93"/>
    <w:rsid w:val="00D120C0"/>
    <w:rsid w:val="00D12296"/>
    <w:rsid w:val="00D1288D"/>
    <w:rsid w:val="00D128B3"/>
    <w:rsid w:val="00D12E40"/>
    <w:rsid w:val="00D131BD"/>
    <w:rsid w:val="00D1323E"/>
    <w:rsid w:val="00D1352A"/>
    <w:rsid w:val="00D135F4"/>
    <w:rsid w:val="00D13BCD"/>
    <w:rsid w:val="00D13E60"/>
    <w:rsid w:val="00D13ED8"/>
    <w:rsid w:val="00D13FB2"/>
    <w:rsid w:val="00D140D3"/>
    <w:rsid w:val="00D1452E"/>
    <w:rsid w:val="00D1475D"/>
    <w:rsid w:val="00D14E15"/>
    <w:rsid w:val="00D150DD"/>
    <w:rsid w:val="00D15198"/>
    <w:rsid w:val="00D151AF"/>
    <w:rsid w:val="00D15286"/>
    <w:rsid w:val="00D15346"/>
    <w:rsid w:val="00D1562F"/>
    <w:rsid w:val="00D15683"/>
    <w:rsid w:val="00D159A8"/>
    <w:rsid w:val="00D15AB0"/>
    <w:rsid w:val="00D15EB6"/>
    <w:rsid w:val="00D16389"/>
    <w:rsid w:val="00D1656E"/>
    <w:rsid w:val="00D168C7"/>
    <w:rsid w:val="00D16C32"/>
    <w:rsid w:val="00D175BE"/>
    <w:rsid w:val="00D17661"/>
    <w:rsid w:val="00D17792"/>
    <w:rsid w:val="00D1797F"/>
    <w:rsid w:val="00D17B2C"/>
    <w:rsid w:val="00D17BE0"/>
    <w:rsid w:val="00D17E6B"/>
    <w:rsid w:val="00D17F74"/>
    <w:rsid w:val="00D20011"/>
    <w:rsid w:val="00D200E8"/>
    <w:rsid w:val="00D20188"/>
    <w:rsid w:val="00D203F4"/>
    <w:rsid w:val="00D204CD"/>
    <w:rsid w:val="00D20E10"/>
    <w:rsid w:val="00D20EBE"/>
    <w:rsid w:val="00D21038"/>
    <w:rsid w:val="00D212B5"/>
    <w:rsid w:val="00D212CE"/>
    <w:rsid w:val="00D21372"/>
    <w:rsid w:val="00D21427"/>
    <w:rsid w:val="00D214D6"/>
    <w:rsid w:val="00D21A53"/>
    <w:rsid w:val="00D21B21"/>
    <w:rsid w:val="00D21C16"/>
    <w:rsid w:val="00D21CC8"/>
    <w:rsid w:val="00D21E3E"/>
    <w:rsid w:val="00D21E4F"/>
    <w:rsid w:val="00D21F42"/>
    <w:rsid w:val="00D21F81"/>
    <w:rsid w:val="00D223F4"/>
    <w:rsid w:val="00D229EB"/>
    <w:rsid w:val="00D22BCF"/>
    <w:rsid w:val="00D235A2"/>
    <w:rsid w:val="00D235CB"/>
    <w:rsid w:val="00D23E5A"/>
    <w:rsid w:val="00D23F44"/>
    <w:rsid w:val="00D23F4D"/>
    <w:rsid w:val="00D24495"/>
    <w:rsid w:val="00D24AB9"/>
    <w:rsid w:val="00D252C4"/>
    <w:rsid w:val="00D2560E"/>
    <w:rsid w:val="00D256AD"/>
    <w:rsid w:val="00D2586C"/>
    <w:rsid w:val="00D25887"/>
    <w:rsid w:val="00D25B8F"/>
    <w:rsid w:val="00D25D9B"/>
    <w:rsid w:val="00D25EBC"/>
    <w:rsid w:val="00D25FA6"/>
    <w:rsid w:val="00D2609E"/>
    <w:rsid w:val="00D262E6"/>
    <w:rsid w:val="00D26483"/>
    <w:rsid w:val="00D26C91"/>
    <w:rsid w:val="00D26CF9"/>
    <w:rsid w:val="00D27058"/>
    <w:rsid w:val="00D2749E"/>
    <w:rsid w:val="00D27A24"/>
    <w:rsid w:val="00D27B67"/>
    <w:rsid w:val="00D27EBD"/>
    <w:rsid w:val="00D27F44"/>
    <w:rsid w:val="00D303F6"/>
    <w:rsid w:val="00D30608"/>
    <w:rsid w:val="00D307B3"/>
    <w:rsid w:val="00D309FF"/>
    <w:rsid w:val="00D30BC3"/>
    <w:rsid w:val="00D30FA1"/>
    <w:rsid w:val="00D30FC5"/>
    <w:rsid w:val="00D311B8"/>
    <w:rsid w:val="00D31376"/>
    <w:rsid w:val="00D313D2"/>
    <w:rsid w:val="00D31FD1"/>
    <w:rsid w:val="00D32176"/>
    <w:rsid w:val="00D3229A"/>
    <w:rsid w:val="00D32456"/>
    <w:rsid w:val="00D326CD"/>
    <w:rsid w:val="00D32724"/>
    <w:rsid w:val="00D3290F"/>
    <w:rsid w:val="00D329C8"/>
    <w:rsid w:val="00D32A78"/>
    <w:rsid w:val="00D32AB7"/>
    <w:rsid w:val="00D32F11"/>
    <w:rsid w:val="00D32FF5"/>
    <w:rsid w:val="00D33188"/>
    <w:rsid w:val="00D33196"/>
    <w:rsid w:val="00D33202"/>
    <w:rsid w:val="00D33433"/>
    <w:rsid w:val="00D3381D"/>
    <w:rsid w:val="00D3455C"/>
    <w:rsid w:val="00D3474B"/>
    <w:rsid w:val="00D34B66"/>
    <w:rsid w:val="00D34B98"/>
    <w:rsid w:val="00D34DBF"/>
    <w:rsid w:val="00D34F12"/>
    <w:rsid w:val="00D34FB4"/>
    <w:rsid w:val="00D351B2"/>
    <w:rsid w:val="00D35270"/>
    <w:rsid w:val="00D352F1"/>
    <w:rsid w:val="00D356D7"/>
    <w:rsid w:val="00D35AF6"/>
    <w:rsid w:val="00D35C9C"/>
    <w:rsid w:val="00D3614B"/>
    <w:rsid w:val="00D3646D"/>
    <w:rsid w:val="00D3664B"/>
    <w:rsid w:val="00D366EE"/>
    <w:rsid w:val="00D368AA"/>
    <w:rsid w:val="00D368F5"/>
    <w:rsid w:val="00D36DE6"/>
    <w:rsid w:val="00D373D9"/>
    <w:rsid w:val="00D375CD"/>
    <w:rsid w:val="00D375DA"/>
    <w:rsid w:val="00D3763D"/>
    <w:rsid w:val="00D37B80"/>
    <w:rsid w:val="00D37E3E"/>
    <w:rsid w:val="00D403F9"/>
    <w:rsid w:val="00D40499"/>
    <w:rsid w:val="00D404E7"/>
    <w:rsid w:val="00D40528"/>
    <w:rsid w:val="00D40767"/>
    <w:rsid w:val="00D40A03"/>
    <w:rsid w:val="00D40D2D"/>
    <w:rsid w:val="00D40F23"/>
    <w:rsid w:val="00D412D1"/>
    <w:rsid w:val="00D413E4"/>
    <w:rsid w:val="00D414E3"/>
    <w:rsid w:val="00D41A41"/>
    <w:rsid w:val="00D41A8F"/>
    <w:rsid w:val="00D41AA8"/>
    <w:rsid w:val="00D41E4D"/>
    <w:rsid w:val="00D42049"/>
    <w:rsid w:val="00D4204E"/>
    <w:rsid w:val="00D422FA"/>
    <w:rsid w:val="00D42459"/>
    <w:rsid w:val="00D42537"/>
    <w:rsid w:val="00D42975"/>
    <w:rsid w:val="00D42D4F"/>
    <w:rsid w:val="00D430AC"/>
    <w:rsid w:val="00D4318A"/>
    <w:rsid w:val="00D431A6"/>
    <w:rsid w:val="00D4337A"/>
    <w:rsid w:val="00D43582"/>
    <w:rsid w:val="00D4373A"/>
    <w:rsid w:val="00D438CB"/>
    <w:rsid w:val="00D4394D"/>
    <w:rsid w:val="00D43C63"/>
    <w:rsid w:val="00D44101"/>
    <w:rsid w:val="00D44280"/>
    <w:rsid w:val="00D44416"/>
    <w:rsid w:val="00D44461"/>
    <w:rsid w:val="00D44564"/>
    <w:rsid w:val="00D445FC"/>
    <w:rsid w:val="00D44621"/>
    <w:rsid w:val="00D44994"/>
    <w:rsid w:val="00D4514F"/>
    <w:rsid w:val="00D45204"/>
    <w:rsid w:val="00D45347"/>
    <w:rsid w:val="00D4567B"/>
    <w:rsid w:val="00D4575C"/>
    <w:rsid w:val="00D45A55"/>
    <w:rsid w:val="00D462E5"/>
    <w:rsid w:val="00D463C4"/>
    <w:rsid w:val="00D464A0"/>
    <w:rsid w:val="00D46513"/>
    <w:rsid w:val="00D4665D"/>
    <w:rsid w:val="00D466C7"/>
    <w:rsid w:val="00D46702"/>
    <w:rsid w:val="00D468B0"/>
    <w:rsid w:val="00D46BEC"/>
    <w:rsid w:val="00D46EE3"/>
    <w:rsid w:val="00D46FCD"/>
    <w:rsid w:val="00D473AE"/>
    <w:rsid w:val="00D4746C"/>
    <w:rsid w:val="00D477A8"/>
    <w:rsid w:val="00D47B5D"/>
    <w:rsid w:val="00D47F8B"/>
    <w:rsid w:val="00D50059"/>
    <w:rsid w:val="00D501A5"/>
    <w:rsid w:val="00D5020B"/>
    <w:rsid w:val="00D5041C"/>
    <w:rsid w:val="00D5042F"/>
    <w:rsid w:val="00D509FF"/>
    <w:rsid w:val="00D50B45"/>
    <w:rsid w:val="00D50BF0"/>
    <w:rsid w:val="00D50C85"/>
    <w:rsid w:val="00D50FDD"/>
    <w:rsid w:val="00D5114C"/>
    <w:rsid w:val="00D51704"/>
    <w:rsid w:val="00D519BD"/>
    <w:rsid w:val="00D51DA7"/>
    <w:rsid w:val="00D52193"/>
    <w:rsid w:val="00D52210"/>
    <w:rsid w:val="00D52376"/>
    <w:rsid w:val="00D52C57"/>
    <w:rsid w:val="00D52F67"/>
    <w:rsid w:val="00D52FCC"/>
    <w:rsid w:val="00D530EA"/>
    <w:rsid w:val="00D5312B"/>
    <w:rsid w:val="00D53759"/>
    <w:rsid w:val="00D53DA5"/>
    <w:rsid w:val="00D53FA5"/>
    <w:rsid w:val="00D54030"/>
    <w:rsid w:val="00D5418D"/>
    <w:rsid w:val="00D547C6"/>
    <w:rsid w:val="00D548A0"/>
    <w:rsid w:val="00D54A8E"/>
    <w:rsid w:val="00D54D58"/>
    <w:rsid w:val="00D54E1D"/>
    <w:rsid w:val="00D552BD"/>
    <w:rsid w:val="00D553F8"/>
    <w:rsid w:val="00D5558A"/>
    <w:rsid w:val="00D55948"/>
    <w:rsid w:val="00D55982"/>
    <w:rsid w:val="00D55EE3"/>
    <w:rsid w:val="00D55F0D"/>
    <w:rsid w:val="00D5615D"/>
    <w:rsid w:val="00D56372"/>
    <w:rsid w:val="00D56543"/>
    <w:rsid w:val="00D56653"/>
    <w:rsid w:val="00D56AD7"/>
    <w:rsid w:val="00D56DFB"/>
    <w:rsid w:val="00D56E9D"/>
    <w:rsid w:val="00D56FCF"/>
    <w:rsid w:val="00D57120"/>
    <w:rsid w:val="00D5720E"/>
    <w:rsid w:val="00D57388"/>
    <w:rsid w:val="00D5742D"/>
    <w:rsid w:val="00D57B96"/>
    <w:rsid w:val="00D57FB3"/>
    <w:rsid w:val="00D57FFC"/>
    <w:rsid w:val="00D6020F"/>
    <w:rsid w:val="00D603AE"/>
    <w:rsid w:val="00D604DB"/>
    <w:rsid w:val="00D604F0"/>
    <w:rsid w:val="00D60B63"/>
    <w:rsid w:val="00D61333"/>
    <w:rsid w:val="00D6159E"/>
    <w:rsid w:val="00D615AD"/>
    <w:rsid w:val="00D61BAA"/>
    <w:rsid w:val="00D61F26"/>
    <w:rsid w:val="00D620D0"/>
    <w:rsid w:val="00D626C9"/>
    <w:rsid w:val="00D626D3"/>
    <w:rsid w:val="00D62806"/>
    <w:rsid w:val="00D62869"/>
    <w:rsid w:val="00D6298E"/>
    <w:rsid w:val="00D629A2"/>
    <w:rsid w:val="00D62A76"/>
    <w:rsid w:val="00D62CAB"/>
    <w:rsid w:val="00D62CD8"/>
    <w:rsid w:val="00D62DC6"/>
    <w:rsid w:val="00D62EEA"/>
    <w:rsid w:val="00D6314D"/>
    <w:rsid w:val="00D632CB"/>
    <w:rsid w:val="00D63481"/>
    <w:rsid w:val="00D638E8"/>
    <w:rsid w:val="00D63BCD"/>
    <w:rsid w:val="00D63D49"/>
    <w:rsid w:val="00D63D56"/>
    <w:rsid w:val="00D642C4"/>
    <w:rsid w:val="00D646F8"/>
    <w:rsid w:val="00D64B9B"/>
    <w:rsid w:val="00D64BF2"/>
    <w:rsid w:val="00D64C6C"/>
    <w:rsid w:val="00D64C97"/>
    <w:rsid w:val="00D64D2E"/>
    <w:rsid w:val="00D64D31"/>
    <w:rsid w:val="00D652CB"/>
    <w:rsid w:val="00D656BF"/>
    <w:rsid w:val="00D6594E"/>
    <w:rsid w:val="00D65A4A"/>
    <w:rsid w:val="00D65A74"/>
    <w:rsid w:val="00D65C65"/>
    <w:rsid w:val="00D660CC"/>
    <w:rsid w:val="00D66134"/>
    <w:rsid w:val="00D66385"/>
    <w:rsid w:val="00D66763"/>
    <w:rsid w:val="00D667CF"/>
    <w:rsid w:val="00D66A0F"/>
    <w:rsid w:val="00D66B71"/>
    <w:rsid w:val="00D66C07"/>
    <w:rsid w:val="00D66C4C"/>
    <w:rsid w:val="00D67251"/>
    <w:rsid w:val="00D67582"/>
    <w:rsid w:val="00D67851"/>
    <w:rsid w:val="00D6792C"/>
    <w:rsid w:val="00D67DBB"/>
    <w:rsid w:val="00D70263"/>
    <w:rsid w:val="00D703D5"/>
    <w:rsid w:val="00D70560"/>
    <w:rsid w:val="00D705C8"/>
    <w:rsid w:val="00D7060D"/>
    <w:rsid w:val="00D7066F"/>
    <w:rsid w:val="00D7087B"/>
    <w:rsid w:val="00D70B75"/>
    <w:rsid w:val="00D70FAB"/>
    <w:rsid w:val="00D710FA"/>
    <w:rsid w:val="00D7124E"/>
    <w:rsid w:val="00D714A5"/>
    <w:rsid w:val="00D716D6"/>
    <w:rsid w:val="00D71A37"/>
    <w:rsid w:val="00D71BD1"/>
    <w:rsid w:val="00D7280C"/>
    <w:rsid w:val="00D72A4C"/>
    <w:rsid w:val="00D72AED"/>
    <w:rsid w:val="00D72B6B"/>
    <w:rsid w:val="00D72C16"/>
    <w:rsid w:val="00D72FC3"/>
    <w:rsid w:val="00D72FD0"/>
    <w:rsid w:val="00D7334A"/>
    <w:rsid w:val="00D73376"/>
    <w:rsid w:val="00D733D2"/>
    <w:rsid w:val="00D73553"/>
    <w:rsid w:val="00D735C9"/>
    <w:rsid w:val="00D737E8"/>
    <w:rsid w:val="00D73882"/>
    <w:rsid w:val="00D739EE"/>
    <w:rsid w:val="00D73A2D"/>
    <w:rsid w:val="00D73E6B"/>
    <w:rsid w:val="00D73F7A"/>
    <w:rsid w:val="00D74009"/>
    <w:rsid w:val="00D74209"/>
    <w:rsid w:val="00D7479B"/>
    <w:rsid w:val="00D74921"/>
    <w:rsid w:val="00D74BA8"/>
    <w:rsid w:val="00D74C25"/>
    <w:rsid w:val="00D74E93"/>
    <w:rsid w:val="00D74EC9"/>
    <w:rsid w:val="00D74F7B"/>
    <w:rsid w:val="00D7524A"/>
    <w:rsid w:val="00D75255"/>
    <w:rsid w:val="00D75465"/>
    <w:rsid w:val="00D757C8"/>
    <w:rsid w:val="00D76090"/>
    <w:rsid w:val="00D76219"/>
    <w:rsid w:val="00D766CA"/>
    <w:rsid w:val="00D76740"/>
    <w:rsid w:val="00D76814"/>
    <w:rsid w:val="00D76908"/>
    <w:rsid w:val="00D76C81"/>
    <w:rsid w:val="00D76CBD"/>
    <w:rsid w:val="00D7711C"/>
    <w:rsid w:val="00D77504"/>
    <w:rsid w:val="00D775B5"/>
    <w:rsid w:val="00D77C6C"/>
    <w:rsid w:val="00D77E1E"/>
    <w:rsid w:val="00D80032"/>
    <w:rsid w:val="00D80051"/>
    <w:rsid w:val="00D80114"/>
    <w:rsid w:val="00D8016D"/>
    <w:rsid w:val="00D802A3"/>
    <w:rsid w:val="00D80374"/>
    <w:rsid w:val="00D8076B"/>
    <w:rsid w:val="00D80FD1"/>
    <w:rsid w:val="00D81193"/>
    <w:rsid w:val="00D8148B"/>
    <w:rsid w:val="00D81499"/>
    <w:rsid w:val="00D81536"/>
    <w:rsid w:val="00D81606"/>
    <w:rsid w:val="00D81B71"/>
    <w:rsid w:val="00D81D47"/>
    <w:rsid w:val="00D81E6D"/>
    <w:rsid w:val="00D81F6D"/>
    <w:rsid w:val="00D82290"/>
    <w:rsid w:val="00D82312"/>
    <w:rsid w:val="00D82377"/>
    <w:rsid w:val="00D828C6"/>
    <w:rsid w:val="00D82C63"/>
    <w:rsid w:val="00D82ECB"/>
    <w:rsid w:val="00D82F0E"/>
    <w:rsid w:val="00D8318C"/>
    <w:rsid w:val="00D8378B"/>
    <w:rsid w:val="00D83DE4"/>
    <w:rsid w:val="00D8423D"/>
    <w:rsid w:val="00D842B3"/>
    <w:rsid w:val="00D845AE"/>
    <w:rsid w:val="00D84649"/>
    <w:rsid w:val="00D8487D"/>
    <w:rsid w:val="00D848B5"/>
    <w:rsid w:val="00D849F4"/>
    <w:rsid w:val="00D84B8B"/>
    <w:rsid w:val="00D84CC7"/>
    <w:rsid w:val="00D84E5F"/>
    <w:rsid w:val="00D84E71"/>
    <w:rsid w:val="00D84EC2"/>
    <w:rsid w:val="00D85286"/>
    <w:rsid w:val="00D8558E"/>
    <w:rsid w:val="00D8597B"/>
    <w:rsid w:val="00D85A03"/>
    <w:rsid w:val="00D85B04"/>
    <w:rsid w:val="00D85B78"/>
    <w:rsid w:val="00D85CE8"/>
    <w:rsid w:val="00D8613E"/>
    <w:rsid w:val="00D861C8"/>
    <w:rsid w:val="00D861F7"/>
    <w:rsid w:val="00D865E8"/>
    <w:rsid w:val="00D86A98"/>
    <w:rsid w:val="00D86BA3"/>
    <w:rsid w:val="00D86CE7"/>
    <w:rsid w:val="00D8725B"/>
    <w:rsid w:val="00D876A3"/>
    <w:rsid w:val="00D87757"/>
    <w:rsid w:val="00D8778B"/>
    <w:rsid w:val="00D87883"/>
    <w:rsid w:val="00D87AA3"/>
    <w:rsid w:val="00D87ED1"/>
    <w:rsid w:val="00D9002C"/>
    <w:rsid w:val="00D900D8"/>
    <w:rsid w:val="00D90734"/>
    <w:rsid w:val="00D9079B"/>
    <w:rsid w:val="00D90A4A"/>
    <w:rsid w:val="00D90AFF"/>
    <w:rsid w:val="00D90BD5"/>
    <w:rsid w:val="00D90DAD"/>
    <w:rsid w:val="00D90E42"/>
    <w:rsid w:val="00D9121D"/>
    <w:rsid w:val="00D91272"/>
    <w:rsid w:val="00D91469"/>
    <w:rsid w:val="00D91872"/>
    <w:rsid w:val="00D91BF8"/>
    <w:rsid w:val="00D91DB3"/>
    <w:rsid w:val="00D91E1F"/>
    <w:rsid w:val="00D91F3D"/>
    <w:rsid w:val="00D9271D"/>
    <w:rsid w:val="00D928B1"/>
    <w:rsid w:val="00D92937"/>
    <w:rsid w:val="00D929E9"/>
    <w:rsid w:val="00D92B12"/>
    <w:rsid w:val="00D92B62"/>
    <w:rsid w:val="00D92E81"/>
    <w:rsid w:val="00D93511"/>
    <w:rsid w:val="00D93589"/>
    <w:rsid w:val="00D93790"/>
    <w:rsid w:val="00D939E6"/>
    <w:rsid w:val="00D93AC4"/>
    <w:rsid w:val="00D93B70"/>
    <w:rsid w:val="00D93BEB"/>
    <w:rsid w:val="00D93CD6"/>
    <w:rsid w:val="00D93DC6"/>
    <w:rsid w:val="00D93E8D"/>
    <w:rsid w:val="00D93FEE"/>
    <w:rsid w:val="00D9427E"/>
    <w:rsid w:val="00D94763"/>
    <w:rsid w:val="00D94A1D"/>
    <w:rsid w:val="00D94B7A"/>
    <w:rsid w:val="00D94EE3"/>
    <w:rsid w:val="00D9507F"/>
    <w:rsid w:val="00D95503"/>
    <w:rsid w:val="00D956A9"/>
    <w:rsid w:val="00D95736"/>
    <w:rsid w:val="00D95A8C"/>
    <w:rsid w:val="00D95E8B"/>
    <w:rsid w:val="00D95FEC"/>
    <w:rsid w:val="00D960B3"/>
    <w:rsid w:val="00D9612D"/>
    <w:rsid w:val="00D961F0"/>
    <w:rsid w:val="00D96438"/>
    <w:rsid w:val="00D96466"/>
    <w:rsid w:val="00D96865"/>
    <w:rsid w:val="00D9698B"/>
    <w:rsid w:val="00D969F3"/>
    <w:rsid w:val="00D96A80"/>
    <w:rsid w:val="00D96DD0"/>
    <w:rsid w:val="00D971F1"/>
    <w:rsid w:val="00D97425"/>
    <w:rsid w:val="00D97440"/>
    <w:rsid w:val="00D97501"/>
    <w:rsid w:val="00D9797B"/>
    <w:rsid w:val="00DA00CF"/>
    <w:rsid w:val="00DA027A"/>
    <w:rsid w:val="00DA068F"/>
    <w:rsid w:val="00DA0C74"/>
    <w:rsid w:val="00DA0D26"/>
    <w:rsid w:val="00DA0E9A"/>
    <w:rsid w:val="00DA10EE"/>
    <w:rsid w:val="00DA1387"/>
    <w:rsid w:val="00DA14DB"/>
    <w:rsid w:val="00DA156C"/>
    <w:rsid w:val="00DA1893"/>
    <w:rsid w:val="00DA1958"/>
    <w:rsid w:val="00DA19F4"/>
    <w:rsid w:val="00DA1A46"/>
    <w:rsid w:val="00DA2195"/>
    <w:rsid w:val="00DA2500"/>
    <w:rsid w:val="00DA2A99"/>
    <w:rsid w:val="00DA2BD3"/>
    <w:rsid w:val="00DA2C4F"/>
    <w:rsid w:val="00DA2CA8"/>
    <w:rsid w:val="00DA2D1C"/>
    <w:rsid w:val="00DA2E13"/>
    <w:rsid w:val="00DA2EF6"/>
    <w:rsid w:val="00DA3101"/>
    <w:rsid w:val="00DA323C"/>
    <w:rsid w:val="00DA32A9"/>
    <w:rsid w:val="00DA32E2"/>
    <w:rsid w:val="00DA3663"/>
    <w:rsid w:val="00DA3665"/>
    <w:rsid w:val="00DA367E"/>
    <w:rsid w:val="00DA36BF"/>
    <w:rsid w:val="00DA3750"/>
    <w:rsid w:val="00DA3E85"/>
    <w:rsid w:val="00DA40C7"/>
    <w:rsid w:val="00DA4138"/>
    <w:rsid w:val="00DA413A"/>
    <w:rsid w:val="00DA440E"/>
    <w:rsid w:val="00DA446B"/>
    <w:rsid w:val="00DA4774"/>
    <w:rsid w:val="00DA4949"/>
    <w:rsid w:val="00DA4B54"/>
    <w:rsid w:val="00DA53C2"/>
    <w:rsid w:val="00DA573A"/>
    <w:rsid w:val="00DA5864"/>
    <w:rsid w:val="00DA5A95"/>
    <w:rsid w:val="00DA5ACE"/>
    <w:rsid w:val="00DA5B49"/>
    <w:rsid w:val="00DA5BFB"/>
    <w:rsid w:val="00DA5C12"/>
    <w:rsid w:val="00DA5F22"/>
    <w:rsid w:val="00DA60F2"/>
    <w:rsid w:val="00DA61CC"/>
    <w:rsid w:val="00DA6241"/>
    <w:rsid w:val="00DA6375"/>
    <w:rsid w:val="00DA6C0B"/>
    <w:rsid w:val="00DA719E"/>
    <w:rsid w:val="00DA72B6"/>
    <w:rsid w:val="00DA7700"/>
    <w:rsid w:val="00DA7A7C"/>
    <w:rsid w:val="00DA7B1B"/>
    <w:rsid w:val="00DA7BE7"/>
    <w:rsid w:val="00DA7C7F"/>
    <w:rsid w:val="00DA7D63"/>
    <w:rsid w:val="00DB054D"/>
    <w:rsid w:val="00DB09A3"/>
    <w:rsid w:val="00DB0A0D"/>
    <w:rsid w:val="00DB0AD0"/>
    <w:rsid w:val="00DB0BB2"/>
    <w:rsid w:val="00DB0D36"/>
    <w:rsid w:val="00DB136C"/>
    <w:rsid w:val="00DB143E"/>
    <w:rsid w:val="00DB1546"/>
    <w:rsid w:val="00DB1A9F"/>
    <w:rsid w:val="00DB1D27"/>
    <w:rsid w:val="00DB1E32"/>
    <w:rsid w:val="00DB1E46"/>
    <w:rsid w:val="00DB1EB3"/>
    <w:rsid w:val="00DB2564"/>
    <w:rsid w:val="00DB266C"/>
    <w:rsid w:val="00DB26AB"/>
    <w:rsid w:val="00DB26EF"/>
    <w:rsid w:val="00DB2868"/>
    <w:rsid w:val="00DB2CD7"/>
    <w:rsid w:val="00DB2E7F"/>
    <w:rsid w:val="00DB31DB"/>
    <w:rsid w:val="00DB389E"/>
    <w:rsid w:val="00DB3955"/>
    <w:rsid w:val="00DB3C04"/>
    <w:rsid w:val="00DB3DA1"/>
    <w:rsid w:val="00DB3FA2"/>
    <w:rsid w:val="00DB3FBA"/>
    <w:rsid w:val="00DB46CC"/>
    <w:rsid w:val="00DB490D"/>
    <w:rsid w:val="00DB492F"/>
    <w:rsid w:val="00DB49A9"/>
    <w:rsid w:val="00DB4C47"/>
    <w:rsid w:val="00DB4C82"/>
    <w:rsid w:val="00DB5115"/>
    <w:rsid w:val="00DB5150"/>
    <w:rsid w:val="00DB52E9"/>
    <w:rsid w:val="00DB56B9"/>
    <w:rsid w:val="00DB5785"/>
    <w:rsid w:val="00DB57EE"/>
    <w:rsid w:val="00DB593D"/>
    <w:rsid w:val="00DB5A31"/>
    <w:rsid w:val="00DB5D1B"/>
    <w:rsid w:val="00DB5E4F"/>
    <w:rsid w:val="00DB651D"/>
    <w:rsid w:val="00DB6649"/>
    <w:rsid w:val="00DB6A2B"/>
    <w:rsid w:val="00DB6AC2"/>
    <w:rsid w:val="00DB6ADE"/>
    <w:rsid w:val="00DB6FAE"/>
    <w:rsid w:val="00DB75D1"/>
    <w:rsid w:val="00DB7A95"/>
    <w:rsid w:val="00DB7BC9"/>
    <w:rsid w:val="00DB7C25"/>
    <w:rsid w:val="00DC016E"/>
    <w:rsid w:val="00DC02EF"/>
    <w:rsid w:val="00DC095F"/>
    <w:rsid w:val="00DC0A1C"/>
    <w:rsid w:val="00DC0AF0"/>
    <w:rsid w:val="00DC0C71"/>
    <w:rsid w:val="00DC0C72"/>
    <w:rsid w:val="00DC0C73"/>
    <w:rsid w:val="00DC0C9C"/>
    <w:rsid w:val="00DC0D58"/>
    <w:rsid w:val="00DC11B2"/>
    <w:rsid w:val="00DC120A"/>
    <w:rsid w:val="00DC15CD"/>
    <w:rsid w:val="00DC19FE"/>
    <w:rsid w:val="00DC1A7F"/>
    <w:rsid w:val="00DC1BC6"/>
    <w:rsid w:val="00DC1BFC"/>
    <w:rsid w:val="00DC1D8D"/>
    <w:rsid w:val="00DC1E20"/>
    <w:rsid w:val="00DC2199"/>
    <w:rsid w:val="00DC23B7"/>
    <w:rsid w:val="00DC2BBB"/>
    <w:rsid w:val="00DC2D85"/>
    <w:rsid w:val="00DC2EFA"/>
    <w:rsid w:val="00DC2FD5"/>
    <w:rsid w:val="00DC30B4"/>
    <w:rsid w:val="00DC333E"/>
    <w:rsid w:val="00DC344B"/>
    <w:rsid w:val="00DC37C0"/>
    <w:rsid w:val="00DC3965"/>
    <w:rsid w:val="00DC3F2F"/>
    <w:rsid w:val="00DC413D"/>
    <w:rsid w:val="00DC4A03"/>
    <w:rsid w:val="00DC4B31"/>
    <w:rsid w:val="00DC4D80"/>
    <w:rsid w:val="00DC50F7"/>
    <w:rsid w:val="00DC518D"/>
    <w:rsid w:val="00DC5198"/>
    <w:rsid w:val="00DC5200"/>
    <w:rsid w:val="00DC56E1"/>
    <w:rsid w:val="00DC5D53"/>
    <w:rsid w:val="00DC6276"/>
    <w:rsid w:val="00DC62B6"/>
    <w:rsid w:val="00DC67F9"/>
    <w:rsid w:val="00DC6C63"/>
    <w:rsid w:val="00DC703F"/>
    <w:rsid w:val="00DC7106"/>
    <w:rsid w:val="00DC7388"/>
    <w:rsid w:val="00DC7929"/>
    <w:rsid w:val="00DC793A"/>
    <w:rsid w:val="00DC7ABA"/>
    <w:rsid w:val="00DC7B3F"/>
    <w:rsid w:val="00DC7FFA"/>
    <w:rsid w:val="00DD0008"/>
    <w:rsid w:val="00DD02ED"/>
    <w:rsid w:val="00DD0655"/>
    <w:rsid w:val="00DD068A"/>
    <w:rsid w:val="00DD0736"/>
    <w:rsid w:val="00DD0862"/>
    <w:rsid w:val="00DD08FE"/>
    <w:rsid w:val="00DD0942"/>
    <w:rsid w:val="00DD09CB"/>
    <w:rsid w:val="00DD0D71"/>
    <w:rsid w:val="00DD0F0B"/>
    <w:rsid w:val="00DD12C6"/>
    <w:rsid w:val="00DD14B0"/>
    <w:rsid w:val="00DD154D"/>
    <w:rsid w:val="00DD17E8"/>
    <w:rsid w:val="00DD1A87"/>
    <w:rsid w:val="00DD1C2F"/>
    <w:rsid w:val="00DD1F2A"/>
    <w:rsid w:val="00DD2327"/>
    <w:rsid w:val="00DD2419"/>
    <w:rsid w:val="00DD2555"/>
    <w:rsid w:val="00DD2564"/>
    <w:rsid w:val="00DD27BD"/>
    <w:rsid w:val="00DD2A16"/>
    <w:rsid w:val="00DD3046"/>
    <w:rsid w:val="00DD3168"/>
    <w:rsid w:val="00DD318D"/>
    <w:rsid w:val="00DD3290"/>
    <w:rsid w:val="00DD346B"/>
    <w:rsid w:val="00DD38B2"/>
    <w:rsid w:val="00DD3CD6"/>
    <w:rsid w:val="00DD4162"/>
    <w:rsid w:val="00DD4451"/>
    <w:rsid w:val="00DD4547"/>
    <w:rsid w:val="00DD4827"/>
    <w:rsid w:val="00DD48A1"/>
    <w:rsid w:val="00DD4C72"/>
    <w:rsid w:val="00DD4E4F"/>
    <w:rsid w:val="00DD5004"/>
    <w:rsid w:val="00DD55D6"/>
    <w:rsid w:val="00DD56B5"/>
    <w:rsid w:val="00DD58AC"/>
    <w:rsid w:val="00DD5A7E"/>
    <w:rsid w:val="00DD603E"/>
    <w:rsid w:val="00DD6225"/>
    <w:rsid w:val="00DD6622"/>
    <w:rsid w:val="00DD6681"/>
    <w:rsid w:val="00DD6806"/>
    <w:rsid w:val="00DD6F2F"/>
    <w:rsid w:val="00DD6F47"/>
    <w:rsid w:val="00DD7399"/>
    <w:rsid w:val="00DD76DE"/>
    <w:rsid w:val="00DD7911"/>
    <w:rsid w:val="00DD7992"/>
    <w:rsid w:val="00DE01D6"/>
    <w:rsid w:val="00DE054A"/>
    <w:rsid w:val="00DE0815"/>
    <w:rsid w:val="00DE0BA8"/>
    <w:rsid w:val="00DE0C8B"/>
    <w:rsid w:val="00DE0E3B"/>
    <w:rsid w:val="00DE1084"/>
    <w:rsid w:val="00DE124C"/>
    <w:rsid w:val="00DE125D"/>
    <w:rsid w:val="00DE12DD"/>
    <w:rsid w:val="00DE18E6"/>
    <w:rsid w:val="00DE1982"/>
    <w:rsid w:val="00DE2017"/>
    <w:rsid w:val="00DE2091"/>
    <w:rsid w:val="00DE20D8"/>
    <w:rsid w:val="00DE219E"/>
    <w:rsid w:val="00DE21E0"/>
    <w:rsid w:val="00DE21E2"/>
    <w:rsid w:val="00DE2AD3"/>
    <w:rsid w:val="00DE3301"/>
    <w:rsid w:val="00DE343C"/>
    <w:rsid w:val="00DE34C6"/>
    <w:rsid w:val="00DE3E54"/>
    <w:rsid w:val="00DE3EAD"/>
    <w:rsid w:val="00DE3F36"/>
    <w:rsid w:val="00DE3F78"/>
    <w:rsid w:val="00DE41FE"/>
    <w:rsid w:val="00DE42F4"/>
    <w:rsid w:val="00DE4403"/>
    <w:rsid w:val="00DE50E0"/>
    <w:rsid w:val="00DE540B"/>
    <w:rsid w:val="00DE5428"/>
    <w:rsid w:val="00DE55AF"/>
    <w:rsid w:val="00DE563B"/>
    <w:rsid w:val="00DE57B1"/>
    <w:rsid w:val="00DE59D6"/>
    <w:rsid w:val="00DE5C94"/>
    <w:rsid w:val="00DE607A"/>
    <w:rsid w:val="00DE63C5"/>
    <w:rsid w:val="00DE6CE4"/>
    <w:rsid w:val="00DE6D9C"/>
    <w:rsid w:val="00DE6E91"/>
    <w:rsid w:val="00DE7238"/>
    <w:rsid w:val="00DE779E"/>
    <w:rsid w:val="00DE7E21"/>
    <w:rsid w:val="00DE7FA3"/>
    <w:rsid w:val="00DF0227"/>
    <w:rsid w:val="00DF0267"/>
    <w:rsid w:val="00DF08A0"/>
    <w:rsid w:val="00DF0933"/>
    <w:rsid w:val="00DF09F1"/>
    <w:rsid w:val="00DF0B09"/>
    <w:rsid w:val="00DF0B7C"/>
    <w:rsid w:val="00DF0D24"/>
    <w:rsid w:val="00DF100D"/>
    <w:rsid w:val="00DF1021"/>
    <w:rsid w:val="00DF1083"/>
    <w:rsid w:val="00DF110A"/>
    <w:rsid w:val="00DF1726"/>
    <w:rsid w:val="00DF1A47"/>
    <w:rsid w:val="00DF1AC9"/>
    <w:rsid w:val="00DF1C73"/>
    <w:rsid w:val="00DF1DE5"/>
    <w:rsid w:val="00DF1EA4"/>
    <w:rsid w:val="00DF2327"/>
    <w:rsid w:val="00DF2679"/>
    <w:rsid w:val="00DF27A1"/>
    <w:rsid w:val="00DF29E6"/>
    <w:rsid w:val="00DF2AE2"/>
    <w:rsid w:val="00DF2BB4"/>
    <w:rsid w:val="00DF2D85"/>
    <w:rsid w:val="00DF2DD5"/>
    <w:rsid w:val="00DF3144"/>
    <w:rsid w:val="00DF3185"/>
    <w:rsid w:val="00DF383A"/>
    <w:rsid w:val="00DF3E1F"/>
    <w:rsid w:val="00DF40D5"/>
    <w:rsid w:val="00DF45C3"/>
    <w:rsid w:val="00DF4BA5"/>
    <w:rsid w:val="00DF4C8E"/>
    <w:rsid w:val="00DF51D9"/>
    <w:rsid w:val="00DF521B"/>
    <w:rsid w:val="00DF52FA"/>
    <w:rsid w:val="00DF54F2"/>
    <w:rsid w:val="00DF57B0"/>
    <w:rsid w:val="00DF5E19"/>
    <w:rsid w:val="00DF5E46"/>
    <w:rsid w:val="00DF5E95"/>
    <w:rsid w:val="00DF5EEE"/>
    <w:rsid w:val="00DF60C2"/>
    <w:rsid w:val="00DF628B"/>
    <w:rsid w:val="00DF6309"/>
    <w:rsid w:val="00DF669F"/>
    <w:rsid w:val="00DF6889"/>
    <w:rsid w:val="00DF6A3A"/>
    <w:rsid w:val="00DF6CC4"/>
    <w:rsid w:val="00DF6E94"/>
    <w:rsid w:val="00DF7156"/>
    <w:rsid w:val="00DF7319"/>
    <w:rsid w:val="00DF759C"/>
    <w:rsid w:val="00DF765D"/>
    <w:rsid w:val="00DF78A8"/>
    <w:rsid w:val="00E00135"/>
    <w:rsid w:val="00E006CA"/>
    <w:rsid w:val="00E00715"/>
    <w:rsid w:val="00E00A07"/>
    <w:rsid w:val="00E00E39"/>
    <w:rsid w:val="00E00EA0"/>
    <w:rsid w:val="00E00EDC"/>
    <w:rsid w:val="00E012A6"/>
    <w:rsid w:val="00E01564"/>
    <w:rsid w:val="00E01628"/>
    <w:rsid w:val="00E017E4"/>
    <w:rsid w:val="00E0193F"/>
    <w:rsid w:val="00E01984"/>
    <w:rsid w:val="00E02DD9"/>
    <w:rsid w:val="00E02EA6"/>
    <w:rsid w:val="00E03435"/>
    <w:rsid w:val="00E03924"/>
    <w:rsid w:val="00E03ADB"/>
    <w:rsid w:val="00E03C9A"/>
    <w:rsid w:val="00E04013"/>
    <w:rsid w:val="00E04597"/>
    <w:rsid w:val="00E04605"/>
    <w:rsid w:val="00E047C4"/>
    <w:rsid w:val="00E047F9"/>
    <w:rsid w:val="00E0483C"/>
    <w:rsid w:val="00E04900"/>
    <w:rsid w:val="00E04F5B"/>
    <w:rsid w:val="00E05115"/>
    <w:rsid w:val="00E054D9"/>
    <w:rsid w:val="00E05837"/>
    <w:rsid w:val="00E05A13"/>
    <w:rsid w:val="00E05A54"/>
    <w:rsid w:val="00E05C51"/>
    <w:rsid w:val="00E05DBB"/>
    <w:rsid w:val="00E05E40"/>
    <w:rsid w:val="00E05EF5"/>
    <w:rsid w:val="00E05F45"/>
    <w:rsid w:val="00E06161"/>
    <w:rsid w:val="00E067CA"/>
    <w:rsid w:val="00E068C6"/>
    <w:rsid w:val="00E069EC"/>
    <w:rsid w:val="00E0735D"/>
    <w:rsid w:val="00E07987"/>
    <w:rsid w:val="00E07A4C"/>
    <w:rsid w:val="00E07A75"/>
    <w:rsid w:val="00E07AAB"/>
    <w:rsid w:val="00E07CC5"/>
    <w:rsid w:val="00E07CC9"/>
    <w:rsid w:val="00E07D35"/>
    <w:rsid w:val="00E1004E"/>
    <w:rsid w:val="00E106BE"/>
    <w:rsid w:val="00E106EA"/>
    <w:rsid w:val="00E109A2"/>
    <w:rsid w:val="00E10A04"/>
    <w:rsid w:val="00E10CED"/>
    <w:rsid w:val="00E10D30"/>
    <w:rsid w:val="00E10EE9"/>
    <w:rsid w:val="00E10F49"/>
    <w:rsid w:val="00E11193"/>
    <w:rsid w:val="00E11302"/>
    <w:rsid w:val="00E115D2"/>
    <w:rsid w:val="00E118D2"/>
    <w:rsid w:val="00E119E0"/>
    <w:rsid w:val="00E11CBA"/>
    <w:rsid w:val="00E12544"/>
    <w:rsid w:val="00E127A6"/>
    <w:rsid w:val="00E128E9"/>
    <w:rsid w:val="00E12FEF"/>
    <w:rsid w:val="00E13182"/>
    <w:rsid w:val="00E131B4"/>
    <w:rsid w:val="00E13441"/>
    <w:rsid w:val="00E138F1"/>
    <w:rsid w:val="00E13986"/>
    <w:rsid w:val="00E13B5E"/>
    <w:rsid w:val="00E13CB5"/>
    <w:rsid w:val="00E13E4A"/>
    <w:rsid w:val="00E14020"/>
    <w:rsid w:val="00E142FF"/>
    <w:rsid w:val="00E143BD"/>
    <w:rsid w:val="00E14503"/>
    <w:rsid w:val="00E147DD"/>
    <w:rsid w:val="00E14825"/>
    <w:rsid w:val="00E14AE1"/>
    <w:rsid w:val="00E14D05"/>
    <w:rsid w:val="00E15174"/>
    <w:rsid w:val="00E1531C"/>
    <w:rsid w:val="00E155F1"/>
    <w:rsid w:val="00E1567C"/>
    <w:rsid w:val="00E15756"/>
    <w:rsid w:val="00E1575A"/>
    <w:rsid w:val="00E15898"/>
    <w:rsid w:val="00E1598F"/>
    <w:rsid w:val="00E15ED2"/>
    <w:rsid w:val="00E15ED7"/>
    <w:rsid w:val="00E15F5A"/>
    <w:rsid w:val="00E15F88"/>
    <w:rsid w:val="00E169CD"/>
    <w:rsid w:val="00E16A08"/>
    <w:rsid w:val="00E16C66"/>
    <w:rsid w:val="00E16D46"/>
    <w:rsid w:val="00E16F73"/>
    <w:rsid w:val="00E16F88"/>
    <w:rsid w:val="00E17210"/>
    <w:rsid w:val="00E17262"/>
    <w:rsid w:val="00E17918"/>
    <w:rsid w:val="00E1796D"/>
    <w:rsid w:val="00E17A0D"/>
    <w:rsid w:val="00E17E29"/>
    <w:rsid w:val="00E2018C"/>
    <w:rsid w:val="00E20288"/>
    <w:rsid w:val="00E20A62"/>
    <w:rsid w:val="00E20F9E"/>
    <w:rsid w:val="00E2144D"/>
    <w:rsid w:val="00E215B9"/>
    <w:rsid w:val="00E216BD"/>
    <w:rsid w:val="00E218E2"/>
    <w:rsid w:val="00E2190A"/>
    <w:rsid w:val="00E21D5B"/>
    <w:rsid w:val="00E21E0E"/>
    <w:rsid w:val="00E2212C"/>
    <w:rsid w:val="00E22388"/>
    <w:rsid w:val="00E22A09"/>
    <w:rsid w:val="00E22F74"/>
    <w:rsid w:val="00E23981"/>
    <w:rsid w:val="00E2430D"/>
    <w:rsid w:val="00E243AD"/>
    <w:rsid w:val="00E25388"/>
    <w:rsid w:val="00E253A1"/>
    <w:rsid w:val="00E254AD"/>
    <w:rsid w:val="00E25580"/>
    <w:rsid w:val="00E25583"/>
    <w:rsid w:val="00E25642"/>
    <w:rsid w:val="00E2569D"/>
    <w:rsid w:val="00E25CD1"/>
    <w:rsid w:val="00E25E90"/>
    <w:rsid w:val="00E25F88"/>
    <w:rsid w:val="00E26140"/>
    <w:rsid w:val="00E26461"/>
    <w:rsid w:val="00E266C9"/>
    <w:rsid w:val="00E26745"/>
    <w:rsid w:val="00E2675A"/>
    <w:rsid w:val="00E267FE"/>
    <w:rsid w:val="00E26BD1"/>
    <w:rsid w:val="00E26F08"/>
    <w:rsid w:val="00E27073"/>
    <w:rsid w:val="00E273B0"/>
    <w:rsid w:val="00E27832"/>
    <w:rsid w:val="00E2790B"/>
    <w:rsid w:val="00E27CEC"/>
    <w:rsid w:val="00E305C5"/>
    <w:rsid w:val="00E3061A"/>
    <w:rsid w:val="00E306E9"/>
    <w:rsid w:val="00E307A5"/>
    <w:rsid w:val="00E30874"/>
    <w:rsid w:val="00E30A7C"/>
    <w:rsid w:val="00E30EF6"/>
    <w:rsid w:val="00E30F67"/>
    <w:rsid w:val="00E311CA"/>
    <w:rsid w:val="00E31285"/>
    <w:rsid w:val="00E31399"/>
    <w:rsid w:val="00E316A6"/>
    <w:rsid w:val="00E3177E"/>
    <w:rsid w:val="00E3181C"/>
    <w:rsid w:val="00E31AE1"/>
    <w:rsid w:val="00E31B1E"/>
    <w:rsid w:val="00E32008"/>
    <w:rsid w:val="00E321FD"/>
    <w:rsid w:val="00E324C1"/>
    <w:rsid w:val="00E32A2C"/>
    <w:rsid w:val="00E32BFE"/>
    <w:rsid w:val="00E3308F"/>
    <w:rsid w:val="00E33099"/>
    <w:rsid w:val="00E3347C"/>
    <w:rsid w:val="00E3348F"/>
    <w:rsid w:val="00E33750"/>
    <w:rsid w:val="00E33827"/>
    <w:rsid w:val="00E3398C"/>
    <w:rsid w:val="00E33998"/>
    <w:rsid w:val="00E33DCB"/>
    <w:rsid w:val="00E33F78"/>
    <w:rsid w:val="00E34161"/>
    <w:rsid w:val="00E34178"/>
    <w:rsid w:val="00E3480B"/>
    <w:rsid w:val="00E34964"/>
    <w:rsid w:val="00E34AA1"/>
    <w:rsid w:val="00E34D9E"/>
    <w:rsid w:val="00E34E89"/>
    <w:rsid w:val="00E34F73"/>
    <w:rsid w:val="00E35160"/>
    <w:rsid w:val="00E353C4"/>
    <w:rsid w:val="00E354D5"/>
    <w:rsid w:val="00E359F5"/>
    <w:rsid w:val="00E35C54"/>
    <w:rsid w:val="00E36008"/>
    <w:rsid w:val="00E360FC"/>
    <w:rsid w:val="00E362A8"/>
    <w:rsid w:val="00E36376"/>
    <w:rsid w:val="00E36597"/>
    <w:rsid w:val="00E365E6"/>
    <w:rsid w:val="00E365EE"/>
    <w:rsid w:val="00E368D6"/>
    <w:rsid w:val="00E36914"/>
    <w:rsid w:val="00E36A2C"/>
    <w:rsid w:val="00E36AB3"/>
    <w:rsid w:val="00E372C4"/>
    <w:rsid w:val="00E3770F"/>
    <w:rsid w:val="00E378B7"/>
    <w:rsid w:val="00E37B0D"/>
    <w:rsid w:val="00E37CBB"/>
    <w:rsid w:val="00E37DBE"/>
    <w:rsid w:val="00E37F0A"/>
    <w:rsid w:val="00E40011"/>
    <w:rsid w:val="00E403A1"/>
    <w:rsid w:val="00E403AA"/>
    <w:rsid w:val="00E40403"/>
    <w:rsid w:val="00E40437"/>
    <w:rsid w:val="00E40764"/>
    <w:rsid w:val="00E40BF0"/>
    <w:rsid w:val="00E40E64"/>
    <w:rsid w:val="00E41C1A"/>
    <w:rsid w:val="00E4213B"/>
    <w:rsid w:val="00E4214F"/>
    <w:rsid w:val="00E4235B"/>
    <w:rsid w:val="00E42390"/>
    <w:rsid w:val="00E425AB"/>
    <w:rsid w:val="00E428B4"/>
    <w:rsid w:val="00E42961"/>
    <w:rsid w:val="00E42979"/>
    <w:rsid w:val="00E42ACE"/>
    <w:rsid w:val="00E42BB5"/>
    <w:rsid w:val="00E42DFF"/>
    <w:rsid w:val="00E430BE"/>
    <w:rsid w:val="00E431F0"/>
    <w:rsid w:val="00E437B2"/>
    <w:rsid w:val="00E43984"/>
    <w:rsid w:val="00E43A11"/>
    <w:rsid w:val="00E43CC3"/>
    <w:rsid w:val="00E43D56"/>
    <w:rsid w:val="00E441BB"/>
    <w:rsid w:val="00E4429B"/>
    <w:rsid w:val="00E44523"/>
    <w:rsid w:val="00E44524"/>
    <w:rsid w:val="00E448FF"/>
    <w:rsid w:val="00E449E3"/>
    <w:rsid w:val="00E44A18"/>
    <w:rsid w:val="00E44DA6"/>
    <w:rsid w:val="00E44EA1"/>
    <w:rsid w:val="00E44ED2"/>
    <w:rsid w:val="00E44FB8"/>
    <w:rsid w:val="00E44FBB"/>
    <w:rsid w:val="00E4539A"/>
    <w:rsid w:val="00E4569E"/>
    <w:rsid w:val="00E45E2E"/>
    <w:rsid w:val="00E45EF6"/>
    <w:rsid w:val="00E46425"/>
    <w:rsid w:val="00E46521"/>
    <w:rsid w:val="00E4656C"/>
    <w:rsid w:val="00E466BD"/>
    <w:rsid w:val="00E46C41"/>
    <w:rsid w:val="00E473AD"/>
    <w:rsid w:val="00E47879"/>
    <w:rsid w:val="00E47C26"/>
    <w:rsid w:val="00E47D05"/>
    <w:rsid w:val="00E50432"/>
    <w:rsid w:val="00E50588"/>
    <w:rsid w:val="00E506D6"/>
    <w:rsid w:val="00E5072B"/>
    <w:rsid w:val="00E50969"/>
    <w:rsid w:val="00E50BDF"/>
    <w:rsid w:val="00E50C95"/>
    <w:rsid w:val="00E511D1"/>
    <w:rsid w:val="00E51288"/>
    <w:rsid w:val="00E51655"/>
    <w:rsid w:val="00E5179B"/>
    <w:rsid w:val="00E51C5D"/>
    <w:rsid w:val="00E5207E"/>
    <w:rsid w:val="00E52223"/>
    <w:rsid w:val="00E52339"/>
    <w:rsid w:val="00E523D0"/>
    <w:rsid w:val="00E526CF"/>
    <w:rsid w:val="00E5273B"/>
    <w:rsid w:val="00E528B6"/>
    <w:rsid w:val="00E52949"/>
    <w:rsid w:val="00E52BB0"/>
    <w:rsid w:val="00E52BE4"/>
    <w:rsid w:val="00E53206"/>
    <w:rsid w:val="00E53E87"/>
    <w:rsid w:val="00E53EB2"/>
    <w:rsid w:val="00E54060"/>
    <w:rsid w:val="00E5416A"/>
    <w:rsid w:val="00E5458E"/>
    <w:rsid w:val="00E54738"/>
    <w:rsid w:val="00E54930"/>
    <w:rsid w:val="00E55015"/>
    <w:rsid w:val="00E55981"/>
    <w:rsid w:val="00E5598B"/>
    <w:rsid w:val="00E55CCB"/>
    <w:rsid w:val="00E55CEF"/>
    <w:rsid w:val="00E55E4C"/>
    <w:rsid w:val="00E55E8A"/>
    <w:rsid w:val="00E55EA6"/>
    <w:rsid w:val="00E55FF9"/>
    <w:rsid w:val="00E56067"/>
    <w:rsid w:val="00E56154"/>
    <w:rsid w:val="00E5645D"/>
    <w:rsid w:val="00E564DC"/>
    <w:rsid w:val="00E56616"/>
    <w:rsid w:val="00E566C7"/>
    <w:rsid w:val="00E5687A"/>
    <w:rsid w:val="00E56984"/>
    <w:rsid w:val="00E56A29"/>
    <w:rsid w:val="00E57063"/>
    <w:rsid w:val="00E570C9"/>
    <w:rsid w:val="00E5789C"/>
    <w:rsid w:val="00E5799E"/>
    <w:rsid w:val="00E57F63"/>
    <w:rsid w:val="00E6013D"/>
    <w:rsid w:val="00E602BD"/>
    <w:rsid w:val="00E604E1"/>
    <w:rsid w:val="00E605B9"/>
    <w:rsid w:val="00E6068C"/>
    <w:rsid w:val="00E6094E"/>
    <w:rsid w:val="00E609C3"/>
    <w:rsid w:val="00E60A15"/>
    <w:rsid w:val="00E61196"/>
    <w:rsid w:val="00E6135D"/>
    <w:rsid w:val="00E61505"/>
    <w:rsid w:val="00E6152E"/>
    <w:rsid w:val="00E61533"/>
    <w:rsid w:val="00E6162F"/>
    <w:rsid w:val="00E617AF"/>
    <w:rsid w:val="00E6182F"/>
    <w:rsid w:val="00E61B74"/>
    <w:rsid w:val="00E61F07"/>
    <w:rsid w:val="00E6274D"/>
    <w:rsid w:val="00E62B7B"/>
    <w:rsid w:val="00E62EAC"/>
    <w:rsid w:val="00E62F68"/>
    <w:rsid w:val="00E6319C"/>
    <w:rsid w:val="00E63237"/>
    <w:rsid w:val="00E63437"/>
    <w:rsid w:val="00E6350B"/>
    <w:rsid w:val="00E636DA"/>
    <w:rsid w:val="00E639BD"/>
    <w:rsid w:val="00E63A49"/>
    <w:rsid w:val="00E6403A"/>
    <w:rsid w:val="00E6414E"/>
    <w:rsid w:val="00E6418B"/>
    <w:rsid w:val="00E64287"/>
    <w:rsid w:val="00E64470"/>
    <w:rsid w:val="00E64930"/>
    <w:rsid w:val="00E64AE8"/>
    <w:rsid w:val="00E64BD9"/>
    <w:rsid w:val="00E64CCA"/>
    <w:rsid w:val="00E64D78"/>
    <w:rsid w:val="00E64DAE"/>
    <w:rsid w:val="00E64F0D"/>
    <w:rsid w:val="00E6512E"/>
    <w:rsid w:val="00E65138"/>
    <w:rsid w:val="00E651C3"/>
    <w:rsid w:val="00E6566C"/>
    <w:rsid w:val="00E65BE5"/>
    <w:rsid w:val="00E65CFD"/>
    <w:rsid w:val="00E65E87"/>
    <w:rsid w:val="00E664A7"/>
    <w:rsid w:val="00E666D1"/>
    <w:rsid w:val="00E666E2"/>
    <w:rsid w:val="00E671FA"/>
    <w:rsid w:val="00E6726C"/>
    <w:rsid w:val="00E675E9"/>
    <w:rsid w:val="00E675F6"/>
    <w:rsid w:val="00E67E67"/>
    <w:rsid w:val="00E67F5C"/>
    <w:rsid w:val="00E7034A"/>
    <w:rsid w:val="00E7036A"/>
    <w:rsid w:val="00E7078C"/>
    <w:rsid w:val="00E708D7"/>
    <w:rsid w:val="00E70941"/>
    <w:rsid w:val="00E70B44"/>
    <w:rsid w:val="00E70D8F"/>
    <w:rsid w:val="00E70EC3"/>
    <w:rsid w:val="00E713C4"/>
    <w:rsid w:val="00E7147F"/>
    <w:rsid w:val="00E7176B"/>
    <w:rsid w:val="00E71D9E"/>
    <w:rsid w:val="00E71E32"/>
    <w:rsid w:val="00E71E73"/>
    <w:rsid w:val="00E72039"/>
    <w:rsid w:val="00E72873"/>
    <w:rsid w:val="00E72973"/>
    <w:rsid w:val="00E72992"/>
    <w:rsid w:val="00E729CD"/>
    <w:rsid w:val="00E72AA4"/>
    <w:rsid w:val="00E72CEA"/>
    <w:rsid w:val="00E72F59"/>
    <w:rsid w:val="00E732FE"/>
    <w:rsid w:val="00E73ADF"/>
    <w:rsid w:val="00E73B21"/>
    <w:rsid w:val="00E73B67"/>
    <w:rsid w:val="00E73D80"/>
    <w:rsid w:val="00E73F12"/>
    <w:rsid w:val="00E7401E"/>
    <w:rsid w:val="00E74507"/>
    <w:rsid w:val="00E74829"/>
    <w:rsid w:val="00E749C5"/>
    <w:rsid w:val="00E74F38"/>
    <w:rsid w:val="00E7500A"/>
    <w:rsid w:val="00E7504D"/>
    <w:rsid w:val="00E750FE"/>
    <w:rsid w:val="00E75360"/>
    <w:rsid w:val="00E754DE"/>
    <w:rsid w:val="00E75534"/>
    <w:rsid w:val="00E755F8"/>
    <w:rsid w:val="00E758C1"/>
    <w:rsid w:val="00E75956"/>
    <w:rsid w:val="00E75961"/>
    <w:rsid w:val="00E75972"/>
    <w:rsid w:val="00E75B1D"/>
    <w:rsid w:val="00E765E3"/>
    <w:rsid w:val="00E76948"/>
    <w:rsid w:val="00E76BA4"/>
    <w:rsid w:val="00E76D1C"/>
    <w:rsid w:val="00E76E27"/>
    <w:rsid w:val="00E77068"/>
    <w:rsid w:val="00E772A6"/>
    <w:rsid w:val="00E778D6"/>
    <w:rsid w:val="00E77949"/>
    <w:rsid w:val="00E779B0"/>
    <w:rsid w:val="00E77ADE"/>
    <w:rsid w:val="00E77BF1"/>
    <w:rsid w:val="00E77CAC"/>
    <w:rsid w:val="00E8000C"/>
    <w:rsid w:val="00E8002B"/>
    <w:rsid w:val="00E8053B"/>
    <w:rsid w:val="00E8058B"/>
    <w:rsid w:val="00E808B5"/>
    <w:rsid w:val="00E80980"/>
    <w:rsid w:val="00E80B22"/>
    <w:rsid w:val="00E80D69"/>
    <w:rsid w:val="00E80DCC"/>
    <w:rsid w:val="00E81108"/>
    <w:rsid w:val="00E81D33"/>
    <w:rsid w:val="00E82198"/>
    <w:rsid w:val="00E823AF"/>
    <w:rsid w:val="00E82731"/>
    <w:rsid w:val="00E8289A"/>
    <w:rsid w:val="00E828BC"/>
    <w:rsid w:val="00E82BDA"/>
    <w:rsid w:val="00E82D2E"/>
    <w:rsid w:val="00E82DCC"/>
    <w:rsid w:val="00E83250"/>
    <w:rsid w:val="00E834AA"/>
    <w:rsid w:val="00E834BB"/>
    <w:rsid w:val="00E83740"/>
    <w:rsid w:val="00E83781"/>
    <w:rsid w:val="00E839E0"/>
    <w:rsid w:val="00E83C2F"/>
    <w:rsid w:val="00E83CF6"/>
    <w:rsid w:val="00E83D12"/>
    <w:rsid w:val="00E840D5"/>
    <w:rsid w:val="00E84199"/>
    <w:rsid w:val="00E842E2"/>
    <w:rsid w:val="00E84452"/>
    <w:rsid w:val="00E844C0"/>
    <w:rsid w:val="00E84683"/>
    <w:rsid w:val="00E8472E"/>
    <w:rsid w:val="00E853C8"/>
    <w:rsid w:val="00E8544D"/>
    <w:rsid w:val="00E85C5B"/>
    <w:rsid w:val="00E85CBC"/>
    <w:rsid w:val="00E86368"/>
    <w:rsid w:val="00E86387"/>
    <w:rsid w:val="00E86518"/>
    <w:rsid w:val="00E865E3"/>
    <w:rsid w:val="00E8662C"/>
    <w:rsid w:val="00E8697E"/>
    <w:rsid w:val="00E8729F"/>
    <w:rsid w:val="00E872E7"/>
    <w:rsid w:val="00E87384"/>
    <w:rsid w:val="00E9005F"/>
    <w:rsid w:val="00E90199"/>
    <w:rsid w:val="00E9023A"/>
    <w:rsid w:val="00E9027F"/>
    <w:rsid w:val="00E902A6"/>
    <w:rsid w:val="00E9056C"/>
    <w:rsid w:val="00E905A1"/>
    <w:rsid w:val="00E90C1B"/>
    <w:rsid w:val="00E90EB1"/>
    <w:rsid w:val="00E91108"/>
    <w:rsid w:val="00E9115F"/>
    <w:rsid w:val="00E913A8"/>
    <w:rsid w:val="00E91778"/>
    <w:rsid w:val="00E91822"/>
    <w:rsid w:val="00E91A26"/>
    <w:rsid w:val="00E91CE0"/>
    <w:rsid w:val="00E92034"/>
    <w:rsid w:val="00E92043"/>
    <w:rsid w:val="00E92392"/>
    <w:rsid w:val="00E923BC"/>
    <w:rsid w:val="00E924A2"/>
    <w:rsid w:val="00E9278C"/>
    <w:rsid w:val="00E92BD3"/>
    <w:rsid w:val="00E92C5C"/>
    <w:rsid w:val="00E933E2"/>
    <w:rsid w:val="00E93426"/>
    <w:rsid w:val="00E93685"/>
    <w:rsid w:val="00E9387B"/>
    <w:rsid w:val="00E93A79"/>
    <w:rsid w:val="00E93AA9"/>
    <w:rsid w:val="00E93C9A"/>
    <w:rsid w:val="00E93E57"/>
    <w:rsid w:val="00E940E5"/>
    <w:rsid w:val="00E94467"/>
    <w:rsid w:val="00E94673"/>
    <w:rsid w:val="00E9486D"/>
    <w:rsid w:val="00E94A33"/>
    <w:rsid w:val="00E94D77"/>
    <w:rsid w:val="00E94F29"/>
    <w:rsid w:val="00E9517B"/>
    <w:rsid w:val="00E9525E"/>
    <w:rsid w:val="00E952BF"/>
    <w:rsid w:val="00E9570C"/>
    <w:rsid w:val="00E95BC3"/>
    <w:rsid w:val="00E95DA5"/>
    <w:rsid w:val="00E95E3F"/>
    <w:rsid w:val="00E961E1"/>
    <w:rsid w:val="00E96765"/>
    <w:rsid w:val="00E9684F"/>
    <w:rsid w:val="00E968D8"/>
    <w:rsid w:val="00E969E3"/>
    <w:rsid w:val="00E96AAE"/>
    <w:rsid w:val="00E96AD3"/>
    <w:rsid w:val="00E973AB"/>
    <w:rsid w:val="00E974F7"/>
    <w:rsid w:val="00E97996"/>
    <w:rsid w:val="00E97A19"/>
    <w:rsid w:val="00E97C75"/>
    <w:rsid w:val="00E97DF6"/>
    <w:rsid w:val="00EA00D9"/>
    <w:rsid w:val="00EA0231"/>
    <w:rsid w:val="00EA097D"/>
    <w:rsid w:val="00EA0C07"/>
    <w:rsid w:val="00EA0C8D"/>
    <w:rsid w:val="00EA0CD4"/>
    <w:rsid w:val="00EA1153"/>
    <w:rsid w:val="00EA15E5"/>
    <w:rsid w:val="00EA185D"/>
    <w:rsid w:val="00EA1A88"/>
    <w:rsid w:val="00EA1DBB"/>
    <w:rsid w:val="00EA1E69"/>
    <w:rsid w:val="00EA1F25"/>
    <w:rsid w:val="00EA21E5"/>
    <w:rsid w:val="00EA2210"/>
    <w:rsid w:val="00EA22D2"/>
    <w:rsid w:val="00EA2331"/>
    <w:rsid w:val="00EA24D5"/>
    <w:rsid w:val="00EA25BF"/>
    <w:rsid w:val="00EA2606"/>
    <w:rsid w:val="00EA28BC"/>
    <w:rsid w:val="00EA2CB5"/>
    <w:rsid w:val="00EA2F48"/>
    <w:rsid w:val="00EA34D8"/>
    <w:rsid w:val="00EA388F"/>
    <w:rsid w:val="00EA38F7"/>
    <w:rsid w:val="00EA3A51"/>
    <w:rsid w:val="00EA3A88"/>
    <w:rsid w:val="00EA3CC1"/>
    <w:rsid w:val="00EA40D4"/>
    <w:rsid w:val="00EA4634"/>
    <w:rsid w:val="00EA468F"/>
    <w:rsid w:val="00EA493D"/>
    <w:rsid w:val="00EA4A42"/>
    <w:rsid w:val="00EA4F51"/>
    <w:rsid w:val="00EA5557"/>
    <w:rsid w:val="00EA5686"/>
    <w:rsid w:val="00EA56E3"/>
    <w:rsid w:val="00EA5C8A"/>
    <w:rsid w:val="00EA5D87"/>
    <w:rsid w:val="00EA6360"/>
    <w:rsid w:val="00EA65FA"/>
    <w:rsid w:val="00EA6823"/>
    <w:rsid w:val="00EA6853"/>
    <w:rsid w:val="00EA691D"/>
    <w:rsid w:val="00EA6C1E"/>
    <w:rsid w:val="00EA6D8E"/>
    <w:rsid w:val="00EA6F81"/>
    <w:rsid w:val="00EA7214"/>
    <w:rsid w:val="00EA7277"/>
    <w:rsid w:val="00EA774E"/>
    <w:rsid w:val="00EA7828"/>
    <w:rsid w:val="00EA7C40"/>
    <w:rsid w:val="00EA7D7D"/>
    <w:rsid w:val="00EA7D7F"/>
    <w:rsid w:val="00EA7E52"/>
    <w:rsid w:val="00EA7F86"/>
    <w:rsid w:val="00EA7F90"/>
    <w:rsid w:val="00EB00E8"/>
    <w:rsid w:val="00EB0128"/>
    <w:rsid w:val="00EB0144"/>
    <w:rsid w:val="00EB03BE"/>
    <w:rsid w:val="00EB0597"/>
    <w:rsid w:val="00EB06C1"/>
    <w:rsid w:val="00EB06FF"/>
    <w:rsid w:val="00EB0751"/>
    <w:rsid w:val="00EB0852"/>
    <w:rsid w:val="00EB0BCF"/>
    <w:rsid w:val="00EB0D06"/>
    <w:rsid w:val="00EB0D8F"/>
    <w:rsid w:val="00EB0DDD"/>
    <w:rsid w:val="00EB0EDB"/>
    <w:rsid w:val="00EB11F1"/>
    <w:rsid w:val="00EB120E"/>
    <w:rsid w:val="00EB137D"/>
    <w:rsid w:val="00EB1617"/>
    <w:rsid w:val="00EB192A"/>
    <w:rsid w:val="00EB1AFE"/>
    <w:rsid w:val="00EB1CF8"/>
    <w:rsid w:val="00EB25F3"/>
    <w:rsid w:val="00EB271A"/>
    <w:rsid w:val="00EB2B58"/>
    <w:rsid w:val="00EB31A7"/>
    <w:rsid w:val="00EB3245"/>
    <w:rsid w:val="00EB32C2"/>
    <w:rsid w:val="00EB38CA"/>
    <w:rsid w:val="00EB3CDC"/>
    <w:rsid w:val="00EB3F11"/>
    <w:rsid w:val="00EB4529"/>
    <w:rsid w:val="00EB4699"/>
    <w:rsid w:val="00EB469E"/>
    <w:rsid w:val="00EB4756"/>
    <w:rsid w:val="00EB47C3"/>
    <w:rsid w:val="00EB4AAD"/>
    <w:rsid w:val="00EB4D3A"/>
    <w:rsid w:val="00EB4DF8"/>
    <w:rsid w:val="00EB50D6"/>
    <w:rsid w:val="00EB51B7"/>
    <w:rsid w:val="00EB52E8"/>
    <w:rsid w:val="00EB53FA"/>
    <w:rsid w:val="00EB558D"/>
    <w:rsid w:val="00EB577E"/>
    <w:rsid w:val="00EB5A00"/>
    <w:rsid w:val="00EB5B31"/>
    <w:rsid w:val="00EB5B3E"/>
    <w:rsid w:val="00EB5B47"/>
    <w:rsid w:val="00EB5B7A"/>
    <w:rsid w:val="00EB5D0B"/>
    <w:rsid w:val="00EB5D3F"/>
    <w:rsid w:val="00EB5E76"/>
    <w:rsid w:val="00EB5E82"/>
    <w:rsid w:val="00EB5ECF"/>
    <w:rsid w:val="00EB5F15"/>
    <w:rsid w:val="00EB5F5C"/>
    <w:rsid w:val="00EB61F5"/>
    <w:rsid w:val="00EB632A"/>
    <w:rsid w:val="00EB6360"/>
    <w:rsid w:val="00EB68FE"/>
    <w:rsid w:val="00EB6909"/>
    <w:rsid w:val="00EB6B8D"/>
    <w:rsid w:val="00EB6C09"/>
    <w:rsid w:val="00EB6EC8"/>
    <w:rsid w:val="00EB7018"/>
    <w:rsid w:val="00EB727E"/>
    <w:rsid w:val="00EB731B"/>
    <w:rsid w:val="00EB7343"/>
    <w:rsid w:val="00EB742B"/>
    <w:rsid w:val="00EB7495"/>
    <w:rsid w:val="00EB755E"/>
    <w:rsid w:val="00EB787E"/>
    <w:rsid w:val="00EB7B97"/>
    <w:rsid w:val="00EB7F07"/>
    <w:rsid w:val="00EB7FCC"/>
    <w:rsid w:val="00EC0134"/>
    <w:rsid w:val="00EC042B"/>
    <w:rsid w:val="00EC08AF"/>
    <w:rsid w:val="00EC096F"/>
    <w:rsid w:val="00EC0D39"/>
    <w:rsid w:val="00EC1216"/>
    <w:rsid w:val="00EC157C"/>
    <w:rsid w:val="00EC1A8E"/>
    <w:rsid w:val="00EC1C32"/>
    <w:rsid w:val="00EC1D68"/>
    <w:rsid w:val="00EC21A0"/>
    <w:rsid w:val="00EC21F0"/>
    <w:rsid w:val="00EC2532"/>
    <w:rsid w:val="00EC259A"/>
    <w:rsid w:val="00EC2616"/>
    <w:rsid w:val="00EC26B0"/>
    <w:rsid w:val="00EC2857"/>
    <w:rsid w:val="00EC2EE3"/>
    <w:rsid w:val="00EC2FC9"/>
    <w:rsid w:val="00EC3F9C"/>
    <w:rsid w:val="00EC436C"/>
    <w:rsid w:val="00EC4601"/>
    <w:rsid w:val="00EC460C"/>
    <w:rsid w:val="00EC4A5D"/>
    <w:rsid w:val="00EC4C03"/>
    <w:rsid w:val="00EC4D63"/>
    <w:rsid w:val="00EC5009"/>
    <w:rsid w:val="00EC52F7"/>
    <w:rsid w:val="00EC58E5"/>
    <w:rsid w:val="00EC594B"/>
    <w:rsid w:val="00EC5AB5"/>
    <w:rsid w:val="00EC5C17"/>
    <w:rsid w:val="00EC5CD0"/>
    <w:rsid w:val="00EC5DA6"/>
    <w:rsid w:val="00EC630D"/>
    <w:rsid w:val="00EC64F7"/>
    <w:rsid w:val="00EC6847"/>
    <w:rsid w:val="00EC68DC"/>
    <w:rsid w:val="00EC68EA"/>
    <w:rsid w:val="00EC69FC"/>
    <w:rsid w:val="00EC6ACC"/>
    <w:rsid w:val="00EC6B98"/>
    <w:rsid w:val="00EC6E27"/>
    <w:rsid w:val="00EC6FCE"/>
    <w:rsid w:val="00EC71B2"/>
    <w:rsid w:val="00EC731C"/>
    <w:rsid w:val="00EC73E8"/>
    <w:rsid w:val="00EC7559"/>
    <w:rsid w:val="00EC7726"/>
    <w:rsid w:val="00EC77CB"/>
    <w:rsid w:val="00EC79E3"/>
    <w:rsid w:val="00EC7A69"/>
    <w:rsid w:val="00EC7E84"/>
    <w:rsid w:val="00EC7EEC"/>
    <w:rsid w:val="00ED0737"/>
    <w:rsid w:val="00ED0ADF"/>
    <w:rsid w:val="00ED0BE8"/>
    <w:rsid w:val="00ED0C91"/>
    <w:rsid w:val="00ED0CEF"/>
    <w:rsid w:val="00ED0E0A"/>
    <w:rsid w:val="00ED0FAF"/>
    <w:rsid w:val="00ED0FEB"/>
    <w:rsid w:val="00ED106C"/>
    <w:rsid w:val="00ED12AA"/>
    <w:rsid w:val="00ED1357"/>
    <w:rsid w:val="00ED16D4"/>
    <w:rsid w:val="00ED1752"/>
    <w:rsid w:val="00ED189E"/>
    <w:rsid w:val="00ED1914"/>
    <w:rsid w:val="00ED1C31"/>
    <w:rsid w:val="00ED1E48"/>
    <w:rsid w:val="00ED1E7D"/>
    <w:rsid w:val="00ED1FA8"/>
    <w:rsid w:val="00ED21F4"/>
    <w:rsid w:val="00ED2224"/>
    <w:rsid w:val="00ED2348"/>
    <w:rsid w:val="00ED239F"/>
    <w:rsid w:val="00ED24EB"/>
    <w:rsid w:val="00ED29FC"/>
    <w:rsid w:val="00ED2A79"/>
    <w:rsid w:val="00ED2B88"/>
    <w:rsid w:val="00ED2BB8"/>
    <w:rsid w:val="00ED2FE1"/>
    <w:rsid w:val="00ED3036"/>
    <w:rsid w:val="00ED3258"/>
    <w:rsid w:val="00ED35C3"/>
    <w:rsid w:val="00ED362E"/>
    <w:rsid w:val="00ED3801"/>
    <w:rsid w:val="00ED3844"/>
    <w:rsid w:val="00ED39EC"/>
    <w:rsid w:val="00ED3CB5"/>
    <w:rsid w:val="00ED3DDD"/>
    <w:rsid w:val="00ED4363"/>
    <w:rsid w:val="00ED4874"/>
    <w:rsid w:val="00ED4B2A"/>
    <w:rsid w:val="00ED4BF7"/>
    <w:rsid w:val="00ED4D28"/>
    <w:rsid w:val="00ED4EC6"/>
    <w:rsid w:val="00ED51D5"/>
    <w:rsid w:val="00ED53C7"/>
    <w:rsid w:val="00ED5578"/>
    <w:rsid w:val="00ED5611"/>
    <w:rsid w:val="00ED5CA8"/>
    <w:rsid w:val="00ED5CD4"/>
    <w:rsid w:val="00ED5F0B"/>
    <w:rsid w:val="00ED60B7"/>
    <w:rsid w:val="00ED63DD"/>
    <w:rsid w:val="00ED663A"/>
    <w:rsid w:val="00ED66B9"/>
    <w:rsid w:val="00ED6772"/>
    <w:rsid w:val="00ED6798"/>
    <w:rsid w:val="00ED68D8"/>
    <w:rsid w:val="00ED6972"/>
    <w:rsid w:val="00ED69EC"/>
    <w:rsid w:val="00ED6AD0"/>
    <w:rsid w:val="00ED70C5"/>
    <w:rsid w:val="00ED7385"/>
    <w:rsid w:val="00ED774C"/>
    <w:rsid w:val="00ED782F"/>
    <w:rsid w:val="00ED7898"/>
    <w:rsid w:val="00ED7A97"/>
    <w:rsid w:val="00ED7E20"/>
    <w:rsid w:val="00ED7F06"/>
    <w:rsid w:val="00ED7FD7"/>
    <w:rsid w:val="00EE00FC"/>
    <w:rsid w:val="00EE0630"/>
    <w:rsid w:val="00EE073A"/>
    <w:rsid w:val="00EE08D0"/>
    <w:rsid w:val="00EE0ACC"/>
    <w:rsid w:val="00EE0E69"/>
    <w:rsid w:val="00EE1213"/>
    <w:rsid w:val="00EE129D"/>
    <w:rsid w:val="00EE1457"/>
    <w:rsid w:val="00EE1958"/>
    <w:rsid w:val="00EE1B37"/>
    <w:rsid w:val="00EE1D38"/>
    <w:rsid w:val="00EE20C0"/>
    <w:rsid w:val="00EE2583"/>
    <w:rsid w:val="00EE25BA"/>
    <w:rsid w:val="00EE2AF3"/>
    <w:rsid w:val="00EE2EAC"/>
    <w:rsid w:val="00EE2F23"/>
    <w:rsid w:val="00EE2F52"/>
    <w:rsid w:val="00EE3051"/>
    <w:rsid w:val="00EE3198"/>
    <w:rsid w:val="00EE33BF"/>
    <w:rsid w:val="00EE3A46"/>
    <w:rsid w:val="00EE3CFE"/>
    <w:rsid w:val="00EE3D21"/>
    <w:rsid w:val="00EE3E70"/>
    <w:rsid w:val="00EE3F7C"/>
    <w:rsid w:val="00EE442F"/>
    <w:rsid w:val="00EE4538"/>
    <w:rsid w:val="00EE4A2A"/>
    <w:rsid w:val="00EE4A6F"/>
    <w:rsid w:val="00EE4CD9"/>
    <w:rsid w:val="00EE4D7D"/>
    <w:rsid w:val="00EE4E81"/>
    <w:rsid w:val="00EE502D"/>
    <w:rsid w:val="00EE5A2B"/>
    <w:rsid w:val="00EE5BEE"/>
    <w:rsid w:val="00EE5EB7"/>
    <w:rsid w:val="00EE60EA"/>
    <w:rsid w:val="00EE612C"/>
    <w:rsid w:val="00EE6154"/>
    <w:rsid w:val="00EE6565"/>
    <w:rsid w:val="00EE667A"/>
    <w:rsid w:val="00EE6940"/>
    <w:rsid w:val="00EE6C8C"/>
    <w:rsid w:val="00EE6FA8"/>
    <w:rsid w:val="00EE74E3"/>
    <w:rsid w:val="00EE74E4"/>
    <w:rsid w:val="00EE7668"/>
    <w:rsid w:val="00EE77FC"/>
    <w:rsid w:val="00EE79D7"/>
    <w:rsid w:val="00EE7C3B"/>
    <w:rsid w:val="00EE7D84"/>
    <w:rsid w:val="00EE7E2D"/>
    <w:rsid w:val="00EE7E4A"/>
    <w:rsid w:val="00EF02F5"/>
    <w:rsid w:val="00EF069F"/>
    <w:rsid w:val="00EF0E51"/>
    <w:rsid w:val="00EF1361"/>
    <w:rsid w:val="00EF1521"/>
    <w:rsid w:val="00EF1772"/>
    <w:rsid w:val="00EF1856"/>
    <w:rsid w:val="00EF18D5"/>
    <w:rsid w:val="00EF1E0E"/>
    <w:rsid w:val="00EF23D3"/>
    <w:rsid w:val="00EF26EB"/>
    <w:rsid w:val="00EF270F"/>
    <w:rsid w:val="00EF27BA"/>
    <w:rsid w:val="00EF27EA"/>
    <w:rsid w:val="00EF2A78"/>
    <w:rsid w:val="00EF2D80"/>
    <w:rsid w:val="00EF3210"/>
    <w:rsid w:val="00EF3562"/>
    <w:rsid w:val="00EF3625"/>
    <w:rsid w:val="00EF3BAA"/>
    <w:rsid w:val="00EF3F86"/>
    <w:rsid w:val="00EF3FE5"/>
    <w:rsid w:val="00EF46B2"/>
    <w:rsid w:val="00EF499B"/>
    <w:rsid w:val="00EF4D28"/>
    <w:rsid w:val="00EF501A"/>
    <w:rsid w:val="00EF52DF"/>
    <w:rsid w:val="00EF54E2"/>
    <w:rsid w:val="00EF564B"/>
    <w:rsid w:val="00EF59AE"/>
    <w:rsid w:val="00EF5B30"/>
    <w:rsid w:val="00EF5F1D"/>
    <w:rsid w:val="00EF61B7"/>
    <w:rsid w:val="00EF6223"/>
    <w:rsid w:val="00EF6445"/>
    <w:rsid w:val="00EF647B"/>
    <w:rsid w:val="00EF66CB"/>
    <w:rsid w:val="00EF6ACF"/>
    <w:rsid w:val="00EF6B33"/>
    <w:rsid w:val="00EF6B81"/>
    <w:rsid w:val="00EF6E9B"/>
    <w:rsid w:val="00EF7074"/>
    <w:rsid w:val="00EF74C2"/>
    <w:rsid w:val="00EF74DF"/>
    <w:rsid w:val="00EF7501"/>
    <w:rsid w:val="00EF78ED"/>
    <w:rsid w:val="00EF78FA"/>
    <w:rsid w:val="00EF79FA"/>
    <w:rsid w:val="00EF7CF9"/>
    <w:rsid w:val="00EF7F11"/>
    <w:rsid w:val="00EF7F98"/>
    <w:rsid w:val="00F003AA"/>
    <w:rsid w:val="00F00B7B"/>
    <w:rsid w:val="00F00E06"/>
    <w:rsid w:val="00F00E9B"/>
    <w:rsid w:val="00F01852"/>
    <w:rsid w:val="00F01D11"/>
    <w:rsid w:val="00F01F09"/>
    <w:rsid w:val="00F0203F"/>
    <w:rsid w:val="00F02169"/>
    <w:rsid w:val="00F022AC"/>
    <w:rsid w:val="00F0234E"/>
    <w:rsid w:val="00F023D1"/>
    <w:rsid w:val="00F0252B"/>
    <w:rsid w:val="00F02611"/>
    <w:rsid w:val="00F02A9C"/>
    <w:rsid w:val="00F02B29"/>
    <w:rsid w:val="00F02B2A"/>
    <w:rsid w:val="00F02D62"/>
    <w:rsid w:val="00F02F71"/>
    <w:rsid w:val="00F0324F"/>
    <w:rsid w:val="00F0399D"/>
    <w:rsid w:val="00F03B21"/>
    <w:rsid w:val="00F03E3A"/>
    <w:rsid w:val="00F03F32"/>
    <w:rsid w:val="00F03FAE"/>
    <w:rsid w:val="00F04327"/>
    <w:rsid w:val="00F045F3"/>
    <w:rsid w:val="00F0473B"/>
    <w:rsid w:val="00F048A9"/>
    <w:rsid w:val="00F04912"/>
    <w:rsid w:val="00F04967"/>
    <w:rsid w:val="00F04A77"/>
    <w:rsid w:val="00F04DD5"/>
    <w:rsid w:val="00F04E94"/>
    <w:rsid w:val="00F04EAD"/>
    <w:rsid w:val="00F05138"/>
    <w:rsid w:val="00F0564D"/>
    <w:rsid w:val="00F05796"/>
    <w:rsid w:val="00F058E3"/>
    <w:rsid w:val="00F05980"/>
    <w:rsid w:val="00F0612C"/>
    <w:rsid w:val="00F061AE"/>
    <w:rsid w:val="00F064C2"/>
    <w:rsid w:val="00F06E42"/>
    <w:rsid w:val="00F06F2E"/>
    <w:rsid w:val="00F070A1"/>
    <w:rsid w:val="00F0748D"/>
    <w:rsid w:val="00F0758F"/>
    <w:rsid w:val="00F07899"/>
    <w:rsid w:val="00F07939"/>
    <w:rsid w:val="00F07B8B"/>
    <w:rsid w:val="00F07B8D"/>
    <w:rsid w:val="00F07DD5"/>
    <w:rsid w:val="00F07E2C"/>
    <w:rsid w:val="00F10299"/>
    <w:rsid w:val="00F10767"/>
    <w:rsid w:val="00F10A8A"/>
    <w:rsid w:val="00F10AE6"/>
    <w:rsid w:val="00F10DD5"/>
    <w:rsid w:val="00F10DD6"/>
    <w:rsid w:val="00F10EDE"/>
    <w:rsid w:val="00F11386"/>
    <w:rsid w:val="00F115E0"/>
    <w:rsid w:val="00F117C9"/>
    <w:rsid w:val="00F118F7"/>
    <w:rsid w:val="00F119F2"/>
    <w:rsid w:val="00F11A37"/>
    <w:rsid w:val="00F12009"/>
    <w:rsid w:val="00F121A1"/>
    <w:rsid w:val="00F124E7"/>
    <w:rsid w:val="00F12853"/>
    <w:rsid w:val="00F128CC"/>
    <w:rsid w:val="00F12964"/>
    <w:rsid w:val="00F1298A"/>
    <w:rsid w:val="00F12A13"/>
    <w:rsid w:val="00F12C1F"/>
    <w:rsid w:val="00F131B0"/>
    <w:rsid w:val="00F132D7"/>
    <w:rsid w:val="00F13502"/>
    <w:rsid w:val="00F13667"/>
    <w:rsid w:val="00F1367E"/>
    <w:rsid w:val="00F13A5D"/>
    <w:rsid w:val="00F1467C"/>
    <w:rsid w:val="00F14687"/>
    <w:rsid w:val="00F146C1"/>
    <w:rsid w:val="00F14CBB"/>
    <w:rsid w:val="00F15106"/>
    <w:rsid w:val="00F15222"/>
    <w:rsid w:val="00F1536E"/>
    <w:rsid w:val="00F15441"/>
    <w:rsid w:val="00F156E3"/>
    <w:rsid w:val="00F16137"/>
    <w:rsid w:val="00F16841"/>
    <w:rsid w:val="00F16945"/>
    <w:rsid w:val="00F16A8C"/>
    <w:rsid w:val="00F16A9A"/>
    <w:rsid w:val="00F16CAF"/>
    <w:rsid w:val="00F16CE1"/>
    <w:rsid w:val="00F170BF"/>
    <w:rsid w:val="00F17571"/>
    <w:rsid w:val="00F17C34"/>
    <w:rsid w:val="00F20118"/>
    <w:rsid w:val="00F20287"/>
    <w:rsid w:val="00F2057F"/>
    <w:rsid w:val="00F2084C"/>
    <w:rsid w:val="00F208D1"/>
    <w:rsid w:val="00F20A09"/>
    <w:rsid w:val="00F20C6E"/>
    <w:rsid w:val="00F2104A"/>
    <w:rsid w:val="00F21444"/>
    <w:rsid w:val="00F21515"/>
    <w:rsid w:val="00F215CA"/>
    <w:rsid w:val="00F21609"/>
    <w:rsid w:val="00F21666"/>
    <w:rsid w:val="00F2190B"/>
    <w:rsid w:val="00F21AFA"/>
    <w:rsid w:val="00F2228A"/>
    <w:rsid w:val="00F223F3"/>
    <w:rsid w:val="00F2283D"/>
    <w:rsid w:val="00F22850"/>
    <w:rsid w:val="00F230C6"/>
    <w:rsid w:val="00F232EE"/>
    <w:rsid w:val="00F235BD"/>
    <w:rsid w:val="00F2389F"/>
    <w:rsid w:val="00F23A1E"/>
    <w:rsid w:val="00F23F40"/>
    <w:rsid w:val="00F240CC"/>
    <w:rsid w:val="00F243B4"/>
    <w:rsid w:val="00F2465E"/>
    <w:rsid w:val="00F247CB"/>
    <w:rsid w:val="00F24B6F"/>
    <w:rsid w:val="00F24BFA"/>
    <w:rsid w:val="00F24DA3"/>
    <w:rsid w:val="00F25119"/>
    <w:rsid w:val="00F25419"/>
    <w:rsid w:val="00F254D1"/>
    <w:rsid w:val="00F25572"/>
    <w:rsid w:val="00F25BDB"/>
    <w:rsid w:val="00F25EE5"/>
    <w:rsid w:val="00F25F03"/>
    <w:rsid w:val="00F26080"/>
    <w:rsid w:val="00F260D4"/>
    <w:rsid w:val="00F2656D"/>
    <w:rsid w:val="00F269F3"/>
    <w:rsid w:val="00F26ABE"/>
    <w:rsid w:val="00F26CFF"/>
    <w:rsid w:val="00F27370"/>
    <w:rsid w:val="00F27610"/>
    <w:rsid w:val="00F27B89"/>
    <w:rsid w:val="00F27CA6"/>
    <w:rsid w:val="00F27CBC"/>
    <w:rsid w:val="00F300AB"/>
    <w:rsid w:val="00F303A9"/>
    <w:rsid w:val="00F304D9"/>
    <w:rsid w:val="00F307A7"/>
    <w:rsid w:val="00F30897"/>
    <w:rsid w:val="00F308B2"/>
    <w:rsid w:val="00F3099F"/>
    <w:rsid w:val="00F30A17"/>
    <w:rsid w:val="00F30A28"/>
    <w:rsid w:val="00F30A95"/>
    <w:rsid w:val="00F30DBB"/>
    <w:rsid w:val="00F30F1A"/>
    <w:rsid w:val="00F310B9"/>
    <w:rsid w:val="00F31211"/>
    <w:rsid w:val="00F3138F"/>
    <w:rsid w:val="00F315CE"/>
    <w:rsid w:val="00F31735"/>
    <w:rsid w:val="00F31C39"/>
    <w:rsid w:val="00F31EDD"/>
    <w:rsid w:val="00F3226D"/>
    <w:rsid w:val="00F3232C"/>
    <w:rsid w:val="00F32391"/>
    <w:rsid w:val="00F324FD"/>
    <w:rsid w:val="00F32A36"/>
    <w:rsid w:val="00F32BE2"/>
    <w:rsid w:val="00F32CBD"/>
    <w:rsid w:val="00F32FD6"/>
    <w:rsid w:val="00F32FDD"/>
    <w:rsid w:val="00F331CE"/>
    <w:rsid w:val="00F338FF"/>
    <w:rsid w:val="00F33B9C"/>
    <w:rsid w:val="00F33C2F"/>
    <w:rsid w:val="00F33D20"/>
    <w:rsid w:val="00F33D2F"/>
    <w:rsid w:val="00F34270"/>
    <w:rsid w:val="00F3484C"/>
    <w:rsid w:val="00F34892"/>
    <w:rsid w:val="00F34C98"/>
    <w:rsid w:val="00F34E89"/>
    <w:rsid w:val="00F3519D"/>
    <w:rsid w:val="00F35204"/>
    <w:rsid w:val="00F354ED"/>
    <w:rsid w:val="00F35541"/>
    <w:rsid w:val="00F35614"/>
    <w:rsid w:val="00F35635"/>
    <w:rsid w:val="00F35B8C"/>
    <w:rsid w:val="00F35F33"/>
    <w:rsid w:val="00F36051"/>
    <w:rsid w:val="00F3609E"/>
    <w:rsid w:val="00F361E9"/>
    <w:rsid w:val="00F36262"/>
    <w:rsid w:val="00F3636F"/>
    <w:rsid w:val="00F36446"/>
    <w:rsid w:val="00F36590"/>
    <w:rsid w:val="00F365A7"/>
    <w:rsid w:val="00F368F6"/>
    <w:rsid w:val="00F36B82"/>
    <w:rsid w:val="00F36D5A"/>
    <w:rsid w:val="00F36D81"/>
    <w:rsid w:val="00F36F6D"/>
    <w:rsid w:val="00F37389"/>
    <w:rsid w:val="00F37402"/>
    <w:rsid w:val="00F37434"/>
    <w:rsid w:val="00F376EE"/>
    <w:rsid w:val="00F37722"/>
    <w:rsid w:val="00F37966"/>
    <w:rsid w:val="00F37AFE"/>
    <w:rsid w:val="00F37CB5"/>
    <w:rsid w:val="00F37FD6"/>
    <w:rsid w:val="00F400B6"/>
    <w:rsid w:val="00F400E9"/>
    <w:rsid w:val="00F4027C"/>
    <w:rsid w:val="00F40281"/>
    <w:rsid w:val="00F4045D"/>
    <w:rsid w:val="00F407B2"/>
    <w:rsid w:val="00F40850"/>
    <w:rsid w:val="00F40B75"/>
    <w:rsid w:val="00F40E35"/>
    <w:rsid w:val="00F40E4E"/>
    <w:rsid w:val="00F40E59"/>
    <w:rsid w:val="00F40FBF"/>
    <w:rsid w:val="00F410F9"/>
    <w:rsid w:val="00F4125E"/>
    <w:rsid w:val="00F4131E"/>
    <w:rsid w:val="00F4145B"/>
    <w:rsid w:val="00F414C1"/>
    <w:rsid w:val="00F41C9A"/>
    <w:rsid w:val="00F41CD8"/>
    <w:rsid w:val="00F41FED"/>
    <w:rsid w:val="00F420E1"/>
    <w:rsid w:val="00F421DC"/>
    <w:rsid w:val="00F423C0"/>
    <w:rsid w:val="00F428ED"/>
    <w:rsid w:val="00F42BDA"/>
    <w:rsid w:val="00F43041"/>
    <w:rsid w:val="00F4321A"/>
    <w:rsid w:val="00F43598"/>
    <w:rsid w:val="00F436CB"/>
    <w:rsid w:val="00F436D2"/>
    <w:rsid w:val="00F4384E"/>
    <w:rsid w:val="00F43BC3"/>
    <w:rsid w:val="00F43D03"/>
    <w:rsid w:val="00F43D82"/>
    <w:rsid w:val="00F43DEC"/>
    <w:rsid w:val="00F43E1C"/>
    <w:rsid w:val="00F446C8"/>
    <w:rsid w:val="00F447B3"/>
    <w:rsid w:val="00F447B7"/>
    <w:rsid w:val="00F447D4"/>
    <w:rsid w:val="00F45265"/>
    <w:rsid w:val="00F45271"/>
    <w:rsid w:val="00F454A2"/>
    <w:rsid w:val="00F4558A"/>
    <w:rsid w:val="00F45921"/>
    <w:rsid w:val="00F45951"/>
    <w:rsid w:val="00F45A35"/>
    <w:rsid w:val="00F45B79"/>
    <w:rsid w:val="00F46055"/>
    <w:rsid w:val="00F4645B"/>
    <w:rsid w:val="00F465C5"/>
    <w:rsid w:val="00F46B7D"/>
    <w:rsid w:val="00F46DEF"/>
    <w:rsid w:val="00F46EAC"/>
    <w:rsid w:val="00F46FD0"/>
    <w:rsid w:val="00F471EA"/>
    <w:rsid w:val="00F4726A"/>
    <w:rsid w:val="00F473FA"/>
    <w:rsid w:val="00F47419"/>
    <w:rsid w:val="00F476A3"/>
    <w:rsid w:val="00F479CF"/>
    <w:rsid w:val="00F47BF4"/>
    <w:rsid w:val="00F5044B"/>
    <w:rsid w:val="00F50524"/>
    <w:rsid w:val="00F50596"/>
    <w:rsid w:val="00F50A31"/>
    <w:rsid w:val="00F50CC4"/>
    <w:rsid w:val="00F50DD2"/>
    <w:rsid w:val="00F50EE8"/>
    <w:rsid w:val="00F513E7"/>
    <w:rsid w:val="00F51405"/>
    <w:rsid w:val="00F5148C"/>
    <w:rsid w:val="00F5184B"/>
    <w:rsid w:val="00F51ADD"/>
    <w:rsid w:val="00F51B1A"/>
    <w:rsid w:val="00F51B41"/>
    <w:rsid w:val="00F51BEB"/>
    <w:rsid w:val="00F51C68"/>
    <w:rsid w:val="00F5210A"/>
    <w:rsid w:val="00F523E7"/>
    <w:rsid w:val="00F52418"/>
    <w:rsid w:val="00F5252C"/>
    <w:rsid w:val="00F52681"/>
    <w:rsid w:val="00F52693"/>
    <w:rsid w:val="00F52762"/>
    <w:rsid w:val="00F528F9"/>
    <w:rsid w:val="00F52F93"/>
    <w:rsid w:val="00F5320F"/>
    <w:rsid w:val="00F533B5"/>
    <w:rsid w:val="00F533E9"/>
    <w:rsid w:val="00F5364B"/>
    <w:rsid w:val="00F5375F"/>
    <w:rsid w:val="00F539F0"/>
    <w:rsid w:val="00F53A94"/>
    <w:rsid w:val="00F53C3B"/>
    <w:rsid w:val="00F53C59"/>
    <w:rsid w:val="00F53E04"/>
    <w:rsid w:val="00F53E7A"/>
    <w:rsid w:val="00F53EFD"/>
    <w:rsid w:val="00F53FB0"/>
    <w:rsid w:val="00F53FD1"/>
    <w:rsid w:val="00F54515"/>
    <w:rsid w:val="00F5452F"/>
    <w:rsid w:val="00F54551"/>
    <w:rsid w:val="00F5472F"/>
    <w:rsid w:val="00F54740"/>
    <w:rsid w:val="00F547D1"/>
    <w:rsid w:val="00F54A29"/>
    <w:rsid w:val="00F54A61"/>
    <w:rsid w:val="00F54D67"/>
    <w:rsid w:val="00F55226"/>
    <w:rsid w:val="00F55553"/>
    <w:rsid w:val="00F55654"/>
    <w:rsid w:val="00F55A57"/>
    <w:rsid w:val="00F55AE9"/>
    <w:rsid w:val="00F55C7B"/>
    <w:rsid w:val="00F5600A"/>
    <w:rsid w:val="00F56600"/>
    <w:rsid w:val="00F5676A"/>
    <w:rsid w:val="00F568A7"/>
    <w:rsid w:val="00F56A8F"/>
    <w:rsid w:val="00F56BE9"/>
    <w:rsid w:val="00F56BF3"/>
    <w:rsid w:val="00F56CD0"/>
    <w:rsid w:val="00F57126"/>
    <w:rsid w:val="00F572BE"/>
    <w:rsid w:val="00F572F6"/>
    <w:rsid w:val="00F5736F"/>
    <w:rsid w:val="00F5737B"/>
    <w:rsid w:val="00F573A3"/>
    <w:rsid w:val="00F5753C"/>
    <w:rsid w:val="00F578E1"/>
    <w:rsid w:val="00F57923"/>
    <w:rsid w:val="00F5793F"/>
    <w:rsid w:val="00F57ABE"/>
    <w:rsid w:val="00F57B3A"/>
    <w:rsid w:val="00F57C7D"/>
    <w:rsid w:val="00F57D67"/>
    <w:rsid w:val="00F57F79"/>
    <w:rsid w:val="00F60468"/>
    <w:rsid w:val="00F607C2"/>
    <w:rsid w:val="00F60806"/>
    <w:rsid w:val="00F6084E"/>
    <w:rsid w:val="00F60C42"/>
    <w:rsid w:val="00F60C5C"/>
    <w:rsid w:val="00F60D57"/>
    <w:rsid w:val="00F60F45"/>
    <w:rsid w:val="00F61334"/>
    <w:rsid w:val="00F61A90"/>
    <w:rsid w:val="00F61A9E"/>
    <w:rsid w:val="00F61AEB"/>
    <w:rsid w:val="00F62428"/>
    <w:rsid w:val="00F62493"/>
    <w:rsid w:val="00F627E9"/>
    <w:rsid w:val="00F62AB8"/>
    <w:rsid w:val="00F62DE3"/>
    <w:rsid w:val="00F62DE4"/>
    <w:rsid w:val="00F63046"/>
    <w:rsid w:val="00F63092"/>
    <w:rsid w:val="00F6360D"/>
    <w:rsid w:val="00F63A65"/>
    <w:rsid w:val="00F63C50"/>
    <w:rsid w:val="00F63D7F"/>
    <w:rsid w:val="00F63FA6"/>
    <w:rsid w:val="00F6433C"/>
    <w:rsid w:val="00F64A6B"/>
    <w:rsid w:val="00F64B1F"/>
    <w:rsid w:val="00F64DA9"/>
    <w:rsid w:val="00F6505E"/>
    <w:rsid w:val="00F6518A"/>
    <w:rsid w:val="00F653C0"/>
    <w:rsid w:val="00F653D7"/>
    <w:rsid w:val="00F653FD"/>
    <w:rsid w:val="00F65476"/>
    <w:rsid w:val="00F6559E"/>
    <w:rsid w:val="00F65793"/>
    <w:rsid w:val="00F65DF7"/>
    <w:rsid w:val="00F65E22"/>
    <w:rsid w:val="00F661E0"/>
    <w:rsid w:val="00F6686D"/>
    <w:rsid w:val="00F67170"/>
    <w:rsid w:val="00F6727B"/>
    <w:rsid w:val="00F676A4"/>
    <w:rsid w:val="00F67729"/>
    <w:rsid w:val="00F678BD"/>
    <w:rsid w:val="00F678D5"/>
    <w:rsid w:val="00F67930"/>
    <w:rsid w:val="00F7001F"/>
    <w:rsid w:val="00F702B4"/>
    <w:rsid w:val="00F706FE"/>
    <w:rsid w:val="00F71335"/>
    <w:rsid w:val="00F71475"/>
    <w:rsid w:val="00F716C8"/>
    <w:rsid w:val="00F7177B"/>
    <w:rsid w:val="00F71943"/>
    <w:rsid w:val="00F71B58"/>
    <w:rsid w:val="00F71C4F"/>
    <w:rsid w:val="00F71E18"/>
    <w:rsid w:val="00F71E41"/>
    <w:rsid w:val="00F71FF6"/>
    <w:rsid w:val="00F72005"/>
    <w:rsid w:val="00F72121"/>
    <w:rsid w:val="00F72488"/>
    <w:rsid w:val="00F726F3"/>
    <w:rsid w:val="00F72803"/>
    <w:rsid w:val="00F7295E"/>
    <w:rsid w:val="00F72972"/>
    <w:rsid w:val="00F72A18"/>
    <w:rsid w:val="00F72AF2"/>
    <w:rsid w:val="00F72C8C"/>
    <w:rsid w:val="00F72DA8"/>
    <w:rsid w:val="00F72DD9"/>
    <w:rsid w:val="00F72F0B"/>
    <w:rsid w:val="00F730AD"/>
    <w:rsid w:val="00F731E1"/>
    <w:rsid w:val="00F73282"/>
    <w:rsid w:val="00F7386E"/>
    <w:rsid w:val="00F73A9F"/>
    <w:rsid w:val="00F73B90"/>
    <w:rsid w:val="00F73C2B"/>
    <w:rsid w:val="00F73EED"/>
    <w:rsid w:val="00F73F5A"/>
    <w:rsid w:val="00F73FB1"/>
    <w:rsid w:val="00F7421E"/>
    <w:rsid w:val="00F74781"/>
    <w:rsid w:val="00F74874"/>
    <w:rsid w:val="00F749B5"/>
    <w:rsid w:val="00F74B37"/>
    <w:rsid w:val="00F74CE0"/>
    <w:rsid w:val="00F74DBE"/>
    <w:rsid w:val="00F74F43"/>
    <w:rsid w:val="00F7593F"/>
    <w:rsid w:val="00F7594F"/>
    <w:rsid w:val="00F759CB"/>
    <w:rsid w:val="00F75F2E"/>
    <w:rsid w:val="00F7648E"/>
    <w:rsid w:val="00F769BF"/>
    <w:rsid w:val="00F76CAF"/>
    <w:rsid w:val="00F76FB4"/>
    <w:rsid w:val="00F77028"/>
    <w:rsid w:val="00F7737B"/>
    <w:rsid w:val="00F77397"/>
    <w:rsid w:val="00F774B7"/>
    <w:rsid w:val="00F776FA"/>
    <w:rsid w:val="00F7786E"/>
    <w:rsid w:val="00F77928"/>
    <w:rsid w:val="00F77A0B"/>
    <w:rsid w:val="00F80233"/>
    <w:rsid w:val="00F80291"/>
    <w:rsid w:val="00F803EB"/>
    <w:rsid w:val="00F80677"/>
    <w:rsid w:val="00F80770"/>
    <w:rsid w:val="00F808FF"/>
    <w:rsid w:val="00F80B0C"/>
    <w:rsid w:val="00F80DD4"/>
    <w:rsid w:val="00F81027"/>
    <w:rsid w:val="00F8107A"/>
    <w:rsid w:val="00F810C1"/>
    <w:rsid w:val="00F811D0"/>
    <w:rsid w:val="00F8127D"/>
    <w:rsid w:val="00F81481"/>
    <w:rsid w:val="00F814A5"/>
    <w:rsid w:val="00F814D4"/>
    <w:rsid w:val="00F8155D"/>
    <w:rsid w:val="00F815ED"/>
    <w:rsid w:val="00F817FA"/>
    <w:rsid w:val="00F81836"/>
    <w:rsid w:val="00F81968"/>
    <w:rsid w:val="00F81B89"/>
    <w:rsid w:val="00F81BA0"/>
    <w:rsid w:val="00F81FBE"/>
    <w:rsid w:val="00F82523"/>
    <w:rsid w:val="00F8266C"/>
    <w:rsid w:val="00F827A2"/>
    <w:rsid w:val="00F82917"/>
    <w:rsid w:val="00F82ACC"/>
    <w:rsid w:val="00F82C00"/>
    <w:rsid w:val="00F82C9B"/>
    <w:rsid w:val="00F82E59"/>
    <w:rsid w:val="00F82EB0"/>
    <w:rsid w:val="00F832FE"/>
    <w:rsid w:val="00F839A9"/>
    <w:rsid w:val="00F83BA8"/>
    <w:rsid w:val="00F83D7F"/>
    <w:rsid w:val="00F844D9"/>
    <w:rsid w:val="00F8450D"/>
    <w:rsid w:val="00F8455E"/>
    <w:rsid w:val="00F846DC"/>
    <w:rsid w:val="00F84797"/>
    <w:rsid w:val="00F847F7"/>
    <w:rsid w:val="00F84A95"/>
    <w:rsid w:val="00F84BF9"/>
    <w:rsid w:val="00F84FB1"/>
    <w:rsid w:val="00F85000"/>
    <w:rsid w:val="00F8511E"/>
    <w:rsid w:val="00F852F5"/>
    <w:rsid w:val="00F8533A"/>
    <w:rsid w:val="00F853F8"/>
    <w:rsid w:val="00F8590F"/>
    <w:rsid w:val="00F85A8A"/>
    <w:rsid w:val="00F85B62"/>
    <w:rsid w:val="00F85BD1"/>
    <w:rsid w:val="00F85DFE"/>
    <w:rsid w:val="00F85E18"/>
    <w:rsid w:val="00F85E30"/>
    <w:rsid w:val="00F8602A"/>
    <w:rsid w:val="00F862AD"/>
    <w:rsid w:val="00F86527"/>
    <w:rsid w:val="00F86792"/>
    <w:rsid w:val="00F86951"/>
    <w:rsid w:val="00F86B69"/>
    <w:rsid w:val="00F86BC5"/>
    <w:rsid w:val="00F86C4C"/>
    <w:rsid w:val="00F86E84"/>
    <w:rsid w:val="00F874A7"/>
    <w:rsid w:val="00F876BE"/>
    <w:rsid w:val="00F87759"/>
    <w:rsid w:val="00F879A1"/>
    <w:rsid w:val="00F879B0"/>
    <w:rsid w:val="00F87ABC"/>
    <w:rsid w:val="00F87B90"/>
    <w:rsid w:val="00F87F31"/>
    <w:rsid w:val="00F90171"/>
    <w:rsid w:val="00F90221"/>
    <w:rsid w:val="00F90329"/>
    <w:rsid w:val="00F90547"/>
    <w:rsid w:val="00F90B0F"/>
    <w:rsid w:val="00F90B1C"/>
    <w:rsid w:val="00F9132F"/>
    <w:rsid w:val="00F919B3"/>
    <w:rsid w:val="00F92265"/>
    <w:rsid w:val="00F92585"/>
    <w:rsid w:val="00F934B1"/>
    <w:rsid w:val="00F93939"/>
    <w:rsid w:val="00F93DB2"/>
    <w:rsid w:val="00F9425F"/>
    <w:rsid w:val="00F9426C"/>
    <w:rsid w:val="00F944E5"/>
    <w:rsid w:val="00F945F0"/>
    <w:rsid w:val="00F94A48"/>
    <w:rsid w:val="00F94C26"/>
    <w:rsid w:val="00F94EA5"/>
    <w:rsid w:val="00F950B4"/>
    <w:rsid w:val="00F958F2"/>
    <w:rsid w:val="00F95B2B"/>
    <w:rsid w:val="00F95C6B"/>
    <w:rsid w:val="00F95E52"/>
    <w:rsid w:val="00F95FDA"/>
    <w:rsid w:val="00F962B9"/>
    <w:rsid w:val="00F963F2"/>
    <w:rsid w:val="00F96536"/>
    <w:rsid w:val="00F965C4"/>
    <w:rsid w:val="00F9681E"/>
    <w:rsid w:val="00F96976"/>
    <w:rsid w:val="00F969A5"/>
    <w:rsid w:val="00F969B0"/>
    <w:rsid w:val="00F96D4D"/>
    <w:rsid w:val="00F9700C"/>
    <w:rsid w:val="00F97214"/>
    <w:rsid w:val="00F9758E"/>
    <w:rsid w:val="00F97599"/>
    <w:rsid w:val="00F97627"/>
    <w:rsid w:val="00F9779C"/>
    <w:rsid w:val="00F97ADD"/>
    <w:rsid w:val="00F97B8D"/>
    <w:rsid w:val="00F97E13"/>
    <w:rsid w:val="00F97E3B"/>
    <w:rsid w:val="00F97E75"/>
    <w:rsid w:val="00F97F06"/>
    <w:rsid w:val="00FA0577"/>
    <w:rsid w:val="00FA05EA"/>
    <w:rsid w:val="00FA0911"/>
    <w:rsid w:val="00FA0A43"/>
    <w:rsid w:val="00FA0C5E"/>
    <w:rsid w:val="00FA0C85"/>
    <w:rsid w:val="00FA1375"/>
    <w:rsid w:val="00FA1529"/>
    <w:rsid w:val="00FA1560"/>
    <w:rsid w:val="00FA19AD"/>
    <w:rsid w:val="00FA1AA7"/>
    <w:rsid w:val="00FA2033"/>
    <w:rsid w:val="00FA222C"/>
    <w:rsid w:val="00FA2342"/>
    <w:rsid w:val="00FA234F"/>
    <w:rsid w:val="00FA2473"/>
    <w:rsid w:val="00FA274B"/>
    <w:rsid w:val="00FA27AD"/>
    <w:rsid w:val="00FA2AF2"/>
    <w:rsid w:val="00FA3488"/>
    <w:rsid w:val="00FA34B4"/>
    <w:rsid w:val="00FA35A4"/>
    <w:rsid w:val="00FA38B7"/>
    <w:rsid w:val="00FA3C7B"/>
    <w:rsid w:val="00FA3FE7"/>
    <w:rsid w:val="00FA40B7"/>
    <w:rsid w:val="00FA4146"/>
    <w:rsid w:val="00FA41B3"/>
    <w:rsid w:val="00FA41DE"/>
    <w:rsid w:val="00FA46C9"/>
    <w:rsid w:val="00FA47AE"/>
    <w:rsid w:val="00FA4946"/>
    <w:rsid w:val="00FA4A2E"/>
    <w:rsid w:val="00FA4B2F"/>
    <w:rsid w:val="00FA4B61"/>
    <w:rsid w:val="00FA4DAD"/>
    <w:rsid w:val="00FA4EFA"/>
    <w:rsid w:val="00FA511A"/>
    <w:rsid w:val="00FA52C8"/>
    <w:rsid w:val="00FA537C"/>
    <w:rsid w:val="00FA53B5"/>
    <w:rsid w:val="00FA540A"/>
    <w:rsid w:val="00FA5834"/>
    <w:rsid w:val="00FA5872"/>
    <w:rsid w:val="00FA58D1"/>
    <w:rsid w:val="00FA5A9F"/>
    <w:rsid w:val="00FA616B"/>
    <w:rsid w:val="00FA62C2"/>
    <w:rsid w:val="00FA63BC"/>
    <w:rsid w:val="00FA64C8"/>
    <w:rsid w:val="00FA66E7"/>
    <w:rsid w:val="00FA6956"/>
    <w:rsid w:val="00FA6B8D"/>
    <w:rsid w:val="00FA6DE5"/>
    <w:rsid w:val="00FA722D"/>
    <w:rsid w:val="00FA72A8"/>
    <w:rsid w:val="00FA75A1"/>
    <w:rsid w:val="00FA7613"/>
    <w:rsid w:val="00FA78AF"/>
    <w:rsid w:val="00FA7DF7"/>
    <w:rsid w:val="00FB031D"/>
    <w:rsid w:val="00FB0514"/>
    <w:rsid w:val="00FB0540"/>
    <w:rsid w:val="00FB065F"/>
    <w:rsid w:val="00FB0BEB"/>
    <w:rsid w:val="00FB0CD8"/>
    <w:rsid w:val="00FB0EF8"/>
    <w:rsid w:val="00FB0F8B"/>
    <w:rsid w:val="00FB106E"/>
    <w:rsid w:val="00FB1794"/>
    <w:rsid w:val="00FB1A89"/>
    <w:rsid w:val="00FB1E69"/>
    <w:rsid w:val="00FB1F63"/>
    <w:rsid w:val="00FB1FBF"/>
    <w:rsid w:val="00FB2178"/>
    <w:rsid w:val="00FB2653"/>
    <w:rsid w:val="00FB28C0"/>
    <w:rsid w:val="00FB29BC"/>
    <w:rsid w:val="00FB2AE3"/>
    <w:rsid w:val="00FB2CA1"/>
    <w:rsid w:val="00FB2E0A"/>
    <w:rsid w:val="00FB2E30"/>
    <w:rsid w:val="00FB3157"/>
    <w:rsid w:val="00FB31B0"/>
    <w:rsid w:val="00FB3325"/>
    <w:rsid w:val="00FB3409"/>
    <w:rsid w:val="00FB382C"/>
    <w:rsid w:val="00FB38C9"/>
    <w:rsid w:val="00FB3ABB"/>
    <w:rsid w:val="00FB3C64"/>
    <w:rsid w:val="00FB41B7"/>
    <w:rsid w:val="00FB420A"/>
    <w:rsid w:val="00FB4368"/>
    <w:rsid w:val="00FB458B"/>
    <w:rsid w:val="00FB4765"/>
    <w:rsid w:val="00FB4D5F"/>
    <w:rsid w:val="00FB4DAB"/>
    <w:rsid w:val="00FB4E16"/>
    <w:rsid w:val="00FB4E1F"/>
    <w:rsid w:val="00FB4F80"/>
    <w:rsid w:val="00FB5092"/>
    <w:rsid w:val="00FB5384"/>
    <w:rsid w:val="00FB566C"/>
    <w:rsid w:val="00FB5858"/>
    <w:rsid w:val="00FB59DC"/>
    <w:rsid w:val="00FB5B98"/>
    <w:rsid w:val="00FB61AE"/>
    <w:rsid w:val="00FB6252"/>
    <w:rsid w:val="00FB6394"/>
    <w:rsid w:val="00FB652C"/>
    <w:rsid w:val="00FB66C2"/>
    <w:rsid w:val="00FB68E8"/>
    <w:rsid w:val="00FB6AD5"/>
    <w:rsid w:val="00FB6EB1"/>
    <w:rsid w:val="00FB71C5"/>
    <w:rsid w:val="00FB72FB"/>
    <w:rsid w:val="00FB79C4"/>
    <w:rsid w:val="00FB7A5F"/>
    <w:rsid w:val="00FB7CE5"/>
    <w:rsid w:val="00FB7E2B"/>
    <w:rsid w:val="00FC00C8"/>
    <w:rsid w:val="00FC02BF"/>
    <w:rsid w:val="00FC0DAD"/>
    <w:rsid w:val="00FC1079"/>
    <w:rsid w:val="00FC1A26"/>
    <w:rsid w:val="00FC1C9C"/>
    <w:rsid w:val="00FC1DFC"/>
    <w:rsid w:val="00FC1EAF"/>
    <w:rsid w:val="00FC1FC2"/>
    <w:rsid w:val="00FC239D"/>
    <w:rsid w:val="00FC26F9"/>
    <w:rsid w:val="00FC2A20"/>
    <w:rsid w:val="00FC2B1F"/>
    <w:rsid w:val="00FC2D9D"/>
    <w:rsid w:val="00FC2F41"/>
    <w:rsid w:val="00FC2F71"/>
    <w:rsid w:val="00FC3134"/>
    <w:rsid w:val="00FC31DD"/>
    <w:rsid w:val="00FC325C"/>
    <w:rsid w:val="00FC3317"/>
    <w:rsid w:val="00FC37DC"/>
    <w:rsid w:val="00FC3E5F"/>
    <w:rsid w:val="00FC3EB5"/>
    <w:rsid w:val="00FC3F40"/>
    <w:rsid w:val="00FC3F53"/>
    <w:rsid w:val="00FC43F0"/>
    <w:rsid w:val="00FC44C6"/>
    <w:rsid w:val="00FC47B2"/>
    <w:rsid w:val="00FC4AA3"/>
    <w:rsid w:val="00FC4AAA"/>
    <w:rsid w:val="00FC4B2B"/>
    <w:rsid w:val="00FC4D5C"/>
    <w:rsid w:val="00FC4EBC"/>
    <w:rsid w:val="00FC4FCE"/>
    <w:rsid w:val="00FC4FE8"/>
    <w:rsid w:val="00FC502A"/>
    <w:rsid w:val="00FC54DE"/>
    <w:rsid w:val="00FC5710"/>
    <w:rsid w:val="00FC57C9"/>
    <w:rsid w:val="00FC580C"/>
    <w:rsid w:val="00FC5F4B"/>
    <w:rsid w:val="00FC602B"/>
    <w:rsid w:val="00FC6315"/>
    <w:rsid w:val="00FC6378"/>
    <w:rsid w:val="00FC6406"/>
    <w:rsid w:val="00FC64F2"/>
    <w:rsid w:val="00FC699C"/>
    <w:rsid w:val="00FC6A48"/>
    <w:rsid w:val="00FC6D80"/>
    <w:rsid w:val="00FC77C5"/>
    <w:rsid w:val="00FC77DD"/>
    <w:rsid w:val="00FC7A93"/>
    <w:rsid w:val="00FC7B2F"/>
    <w:rsid w:val="00FC7EFF"/>
    <w:rsid w:val="00FC7F75"/>
    <w:rsid w:val="00FC7FE9"/>
    <w:rsid w:val="00FD0052"/>
    <w:rsid w:val="00FD02DD"/>
    <w:rsid w:val="00FD034C"/>
    <w:rsid w:val="00FD0479"/>
    <w:rsid w:val="00FD04F2"/>
    <w:rsid w:val="00FD081D"/>
    <w:rsid w:val="00FD08AF"/>
    <w:rsid w:val="00FD0980"/>
    <w:rsid w:val="00FD0F90"/>
    <w:rsid w:val="00FD1016"/>
    <w:rsid w:val="00FD103C"/>
    <w:rsid w:val="00FD10FC"/>
    <w:rsid w:val="00FD112F"/>
    <w:rsid w:val="00FD1143"/>
    <w:rsid w:val="00FD13D0"/>
    <w:rsid w:val="00FD13D7"/>
    <w:rsid w:val="00FD1F25"/>
    <w:rsid w:val="00FD2373"/>
    <w:rsid w:val="00FD2539"/>
    <w:rsid w:val="00FD2656"/>
    <w:rsid w:val="00FD2796"/>
    <w:rsid w:val="00FD29BA"/>
    <w:rsid w:val="00FD2AA2"/>
    <w:rsid w:val="00FD2B34"/>
    <w:rsid w:val="00FD2BB1"/>
    <w:rsid w:val="00FD338A"/>
    <w:rsid w:val="00FD344F"/>
    <w:rsid w:val="00FD3617"/>
    <w:rsid w:val="00FD3A89"/>
    <w:rsid w:val="00FD3C3B"/>
    <w:rsid w:val="00FD4473"/>
    <w:rsid w:val="00FD44FE"/>
    <w:rsid w:val="00FD455B"/>
    <w:rsid w:val="00FD4858"/>
    <w:rsid w:val="00FD4919"/>
    <w:rsid w:val="00FD4A67"/>
    <w:rsid w:val="00FD4C66"/>
    <w:rsid w:val="00FD4E42"/>
    <w:rsid w:val="00FD5392"/>
    <w:rsid w:val="00FD53B8"/>
    <w:rsid w:val="00FD543D"/>
    <w:rsid w:val="00FD5628"/>
    <w:rsid w:val="00FD5C72"/>
    <w:rsid w:val="00FD5E3C"/>
    <w:rsid w:val="00FD6020"/>
    <w:rsid w:val="00FD6162"/>
    <w:rsid w:val="00FD6167"/>
    <w:rsid w:val="00FD62B6"/>
    <w:rsid w:val="00FD6304"/>
    <w:rsid w:val="00FD65DF"/>
    <w:rsid w:val="00FD69EB"/>
    <w:rsid w:val="00FD6DA0"/>
    <w:rsid w:val="00FD7869"/>
    <w:rsid w:val="00FE018B"/>
    <w:rsid w:val="00FE01DF"/>
    <w:rsid w:val="00FE0262"/>
    <w:rsid w:val="00FE02A4"/>
    <w:rsid w:val="00FE02C9"/>
    <w:rsid w:val="00FE037F"/>
    <w:rsid w:val="00FE056C"/>
    <w:rsid w:val="00FE0673"/>
    <w:rsid w:val="00FE0722"/>
    <w:rsid w:val="00FE0B99"/>
    <w:rsid w:val="00FE0EAE"/>
    <w:rsid w:val="00FE11C8"/>
    <w:rsid w:val="00FE120D"/>
    <w:rsid w:val="00FE13D4"/>
    <w:rsid w:val="00FE1633"/>
    <w:rsid w:val="00FE1876"/>
    <w:rsid w:val="00FE1A07"/>
    <w:rsid w:val="00FE1AC9"/>
    <w:rsid w:val="00FE1B77"/>
    <w:rsid w:val="00FE1E76"/>
    <w:rsid w:val="00FE1E9B"/>
    <w:rsid w:val="00FE2013"/>
    <w:rsid w:val="00FE241A"/>
    <w:rsid w:val="00FE266A"/>
    <w:rsid w:val="00FE26A9"/>
    <w:rsid w:val="00FE274A"/>
    <w:rsid w:val="00FE3437"/>
    <w:rsid w:val="00FE3CB7"/>
    <w:rsid w:val="00FE42BE"/>
    <w:rsid w:val="00FE44B5"/>
    <w:rsid w:val="00FE46E7"/>
    <w:rsid w:val="00FE52E7"/>
    <w:rsid w:val="00FE5398"/>
    <w:rsid w:val="00FE5530"/>
    <w:rsid w:val="00FE5650"/>
    <w:rsid w:val="00FE5A23"/>
    <w:rsid w:val="00FE5E40"/>
    <w:rsid w:val="00FE5E96"/>
    <w:rsid w:val="00FE6458"/>
    <w:rsid w:val="00FE690B"/>
    <w:rsid w:val="00FE6972"/>
    <w:rsid w:val="00FE6E84"/>
    <w:rsid w:val="00FE72D9"/>
    <w:rsid w:val="00FE7516"/>
    <w:rsid w:val="00FE793A"/>
    <w:rsid w:val="00FE79B6"/>
    <w:rsid w:val="00FE7AAF"/>
    <w:rsid w:val="00FE7C37"/>
    <w:rsid w:val="00FE7C73"/>
    <w:rsid w:val="00FF0864"/>
    <w:rsid w:val="00FF0998"/>
    <w:rsid w:val="00FF0E29"/>
    <w:rsid w:val="00FF0E79"/>
    <w:rsid w:val="00FF107B"/>
    <w:rsid w:val="00FF117B"/>
    <w:rsid w:val="00FF12FA"/>
    <w:rsid w:val="00FF1931"/>
    <w:rsid w:val="00FF1C1E"/>
    <w:rsid w:val="00FF1F82"/>
    <w:rsid w:val="00FF1FCF"/>
    <w:rsid w:val="00FF2070"/>
    <w:rsid w:val="00FF211A"/>
    <w:rsid w:val="00FF2157"/>
    <w:rsid w:val="00FF2B25"/>
    <w:rsid w:val="00FF2BDF"/>
    <w:rsid w:val="00FF2C63"/>
    <w:rsid w:val="00FF2E19"/>
    <w:rsid w:val="00FF3177"/>
    <w:rsid w:val="00FF3238"/>
    <w:rsid w:val="00FF32F2"/>
    <w:rsid w:val="00FF3534"/>
    <w:rsid w:val="00FF3643"/>
    <w:rsid w:val="00FF3673"/>
    <w:rsid w:val="00FF37EE"/>
    <w:rsid w:val="00FF39BF"/>
    <w:rsid w:val="00FF3E1B"/>
    <w:rsid w:val="00FF3FA0"/>
    <w:rsid w:val="00FF4312"/>
    <w:rsid w:val="00FF4431"/>
    <w:rsid w:val="00FF45CA"/>
    <w:rsid w:val="00FF466C"/>
    <w:rsid w:val="00FF4682"/>
    <w:rsid w:val="00FF4A30"/>
    <w:rsid w:val="00FF4D5B"/>
    <w:rsid w:val="00FF4E04"/>
    <w:rsid w:val="00FF4F2B"/>
    <w:rsid w:val="00FF51AD"/>
    <w:rsid w:val="00FF537F"/>
    <w:rsid w:val="00FF56F3"/>
    <w:rsid w:val="00FF630C"/>
    <w:rsid w:val="00FF644B"/>
    <w:rsid w:val="00FF65CE"/>
    <w:rsid w:val="00FF6983"/>
    <w:rsid w:val="00FF69C7"/>
    <w:rsid w:val="00FF6C07"/>
    <w:rsid w:val="00FF6C42"/>
    <w:rsid w:val="00FF6C5F"/>
    <w:rsid w:val="00FF7406"/>
    <w:rsid w:val="00FF7F6D"/>
    <w:rsid w:val="027149DE"/>
    <w:rsid w:val="05A826A5"/>
    <w:rsid w:val="0A3CCEB2"/>
    <w:rsid w:val="0B819A56"/>
    <w:rsid w:val="0D9647EA"/>
    <w:rsid w:val="120C62CF"/>
    <w:rsid w:val="128FA70C"/>
    <w:rsid w:val="13F3517D"/>
    <w:rsid w:val="179B6210"/>
    <w:rsid w:val="19C4A827"/>
    <w:rsid w:val="1B279C91"/>
    <w:rsid w:val="1B7426AE"/>
    <w:rsid w:val="1FE2AD26"/>
    <w:rsid w:val="20A3DAE4"/>
    <w:rsid w:val="238F944B"/>
    <w:rsid w:val="26D37155"/>
    <w:rsid w:val="270403B7"/>
    <w:rsid w:val="284A85FE"/>
    <w:rsid w:val="2D5CDA58"/>
    <w:rsid w:val="2E50E8AA"/>
    <w:rsid w:val="3052FE48"/>
    <w:rsid w:val="3500327B"/>
    <w:rsid w:val="3A7F017F"/>
    <w:rsid w:val="49AC78F0"/>
    <w:rsid w:val="49C5E9B2"/>
    <w:rsid w:val="53FBB311"/>
    <w:rsid w:val="5976586F"/>
    <w:rsid w:val="59CC5E13"/>
    <w:rsid w:val="5A6FE735"/>
    <w:rsid w:val="5E14ACB4"/>
    <w:rsid w:val="5F3954E7"/>
    <w:rsid w:val="603CB858"/>
    <w:rsid w:val="62BECA4F"/>
    <w:rsid w:val="6462228A"/>
    <w:rsid w:val="6639639B"/>
    <w:rsid w:val="6D442515"/>
    <w:rsid w:val="6DE426C1"/>
    <w:rsid w:val="70B6E829"/>
    <w:rsid w:val="7197EC4A"/>
    <w:rsid w:val="73CDC3A3"/>
    <w:rsid w:val="7C50AD9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FD404A9"/>
  <w15:docId w15:val="{C7FC5A23-47F0-4F66-AB9D-024AC2D5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3"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4C1448"/>
    <w:pPr>
      <w:spacing w:before="60" w:after="120" w:line="276" w:lineRule="auto"/>
    </w:pPr>
    <w:rPr>
      <w:rFonts w:ascii="Calibri" w:hAnsi="Calibri"/>
      <w:sz w:val="22"/>
      <w:szCs w:val="22"/>
      <w:lang w:val="mi-NZ"/>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0754A5"/>
    <w:pPr>
      <w:keepNext/>
      <w:pageBreakBefore/>
      <w:numPr>
        <w:numId w:val="4"/>
      </w:numPr>
      <w:spacing w:before="840" w:after="240"/>
      <w:outlineLvl w:val="0"/>
    </w:pPr>
    <w:rPr>
      <w:rFonts w:cs="Arial"/>
      <w:b/>
      <w:bCs/>
      <w:noProof/>
      <w:color w:val="364D79" w:themeColor="accent1"/>
      <w:kern w:val="32"/>
      <w:sz w:val="28"/>
      <w:szCs w:val="40"/>
    </w:rPr>
  </w:style>
  <w:style w:type="paragraph" w:styleId="Heading2">
    <w:name w:val="heading 2"/>
    <w:basedOn w:val="Normal"/>
    <w:next w:val="Normal"/>
    <w:link w:val="Heading2Char"/>
    <w:uiPriority w:val="1"/>
    <w:qFormat/>
    <w:rsid w:val="00C015A7"/>
    <w:pPr>
      <w:keepNext/>
      <w:numPr>
        <w:ilvl w:val="1"/>
        <w:numId w:val="8"/>
      </w:numPr>
      <w:spacing w:before="480" w:after="240"/>
      <w:ind w:left="567"/>
      <w:outlineLvl w:val="1"/>
    </w:pPr>
    <w:rPr>
      <w:rFonts w:eastAsia="Acumin Pro" w:cs="Arial"/>
      <w:b/>
      <w:bCs/>
      <w:noProof/>
      <w:color w:val="374E7A"/>
      <w:kern w:val="32"/>
      <w:lang w:val="en-US"/>
    </w:rPr>
  </w:style>
  <w:style w:type="paragraph" w:styleId="Heading3">
    <w:name w:val="heading 3"/>
    <w:basedOn w:val="Normal"/>
    <w:next w:val="Normal"/>
    <w:link w:val="Heading3Char"/>
    <w:uiPriority w:val="2"/>
    <w:qFormat/>
    <w:rsid w:val="00A80181"/>
    <w:pPr>
      <w:keepNext/>
      <w:numPr>
        <w:ilvl w:val="2"/>
        <w:numId w:val="4"/>
      </w:numPr>
      <w:spacing w:before="360"/>
      <w:outlineLvl w:val="2"/>
    </w:pPr>
    <w:rPr>
      <w:rFonts w:cs="Arial"/>
      <w:b/>
      <w:bCs/>
      <w:noProof/>
      <w:color w:val="364D79" w:themeColor="accent1"/>
      <w:kern w:val="32"/>
    </w:rPr>
  </w:style>
  <w:style w:type="paragraph" w:styleId="Heading4">
    <w:name w:val="heading 4"/>
    <w:basedOn w:val="Normal"/>
    <w:next w:val="Normal"/>
    <w:link w:val="Heading4Char"/>
    <w:uiPriority w:val="9"/>
    <w:unhideWhenUsed/>
    <w:qFormat/>
    <w:rsid w:val="0050415A"/>
    <w:pPr>
      <w:keepNext/>
      <w:keepLines/>
      <w:numPr>
        <w:ilvl w:val="3"/>
        <w:numId w:val="4"/>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rsid w:val="00AA1294"/>
    <w:pPr>
      <w:keepNext/>
      <w:keepLines/>
      <w:numPr>
        <w:ilvl w:val="4"/>
        <w:numId w:val="4"/>
      </w:numPr>
      <w:spacing w:before="40" w:after="0"/>
      <w:outlineLvl w:val="4"/>
    </w:pPr>
    <w:rPr>
      <w:rFonts w:asciiTheme="majorHAnsi" w:eastAsiaTheme="majorEastAsia" w:hAnsiTheme="majorHAnsi" w:cstheme="majorBidi"/>
      <w:color w:val="28395A" w:themeColor="accent1" w:themeShade="BF"/>
    </w:rPr>
  </w:style>
  <w:style w:type="paragraph" w:styleId="Heading6">
    <w:name w:val="heading 6"/>
    <w:basedOn w:val="Normal"/>
    <w:next w:val="Normal"/>
    <w:link w:val="Heading6Char"/>
    <w:uiPriority w:val="9"/>
    <w:semiHidden/>
    <w:unhideWhenUsed/>
    <w:rsid w:val="00AA1294"/>
    <w:pPr>
      <w:keepNext/>
      <w:keepLines/>
      <w:numPr>
        <w:ilvl w:val="5"/>
        <w:numId w:val="4"/>
      </w:numPr>
      <w:spacing w:before="40" w:after="0"/>
      <w:outlineLvl w:val="5"/>
    </w:pPr>
    <w:rPr>
      <w:rFonts w:asciiTheme="majorHAnsi" w:eastAsiaTheme="majorEastAsia" w:hAnsiTheme="majorHAnsi" w:cstheme="majorBidi"/>
      <w:color w:val="1B263C" w:themeColor="accent1" w:themeShade="7F"/>
    </w:rPr>
  </w:style>
  <w:style w:type="paragraph" w:styleId="Heading7">
    <w:name w:val="heading 7"/>
    <w:basedOn w:val="Normal"/>
    <w:next w:val="Normal"/>
    <w:link w:val="Heading7Char"/>
    <w:uiPriority w:val="9"/>
    <w:semiHidden/>
    <w:unhideWhenUsed/>
    <w:rsid w:val="00AA1294"/>
    <w:pPr>
      <w:keepNext/>
      <w:keepLines/>
      <w:numPr>
        <w:ilvl w:val="6"/>
        <w:numId w:val="4"/>
      </w:numPr>
      <w:spacing w:before="40" w:after="0"/>
      <w:outlineLvl w:val="6"/>
    </w:pPr>
    <w:rPr>
      <w:rFonts w:asciiTheme="majorHAnsi" w:eastAsiaTheme="majorEastAsia" w:hAnsiTheme="majorHAnsi" w:cstheme="majorBidi"/>
      <w:i/>
      <w:iCs/>
      <w:color w:val="1B263C" w:themeColor="accent1" w:themeShade="7F"/>
    </w:rPr>
  </w:style>
  <w:style w:type="paragraph" w:styleId="Heading8">
    <w:name w:val="heading 8"/>
    <w:basedOn w:val="Normal"/>
    <w:next w:val="Normal"/>
    <w:link w:val="Heading8Char"/>
    <w:uiPriority w:val="9"/>
    <w:semiHidden/>
    <w:unhideWhenUsed/>
    <w:rsid w:val="00AA129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AA129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5F4"/>
    <w:pPr>
      <w:tabs>
        <w:tab w:val="center" w:pos="4513"/>
        <w:tab w:val="right" w:pos="9026"/>
      </w:tabs>
    </w:pPr>
  </w:style>
  <w:style w:type="character" w:customStyle="1" w:styleId="HeaderChar">
    <w:name w:val="Header Char"/>
    <w:link w:val="Header"/>
    <w:uiPriority w:val="99"/>
    <w:rsid w:val="00B435F4"/>
    <w:rPr>
      <w:sz w:val="22"/>
      <w:szCs w:val="22"/>
      <w:lang w:eastAsia="en-US"/>
    </w:rPr>
  </w:style>
  <w:style w:type="paragraph" w:styleId="Footer">
    <w:name w:val="footer"/>
    <w:basedOn w:val="Normal"/>
    <w:link w:val="FooterChar"/>
    <w:uiPriority w:val="99"/>
    <w:unhideWhenUsed/>
    <w:rsid w:val="00044DE0"/>
    <w:pPr>
      <w:pBdr>
        <w:top w:val="single" w:sz="18" w:space="10" w:color="953735" w:themeColor="accent2"/>
      </w:pBdr>
      <w:tabs>
        <w:tab w:val="center" w:pos="4513"/>
        <w:tab w:val="right" w:pos="9026"/>
      </w:tabs>
    </w:pPr>
    <w:rPr>
      <w:sz w:val="18"/>
    </w:rPr>
  </w:style>
  <w:style w:type="character" w:customStyle="1" w:styleId="FooterChar">
    <w:name w:val="Footer Char"/>
    <w:link w:val="Footer"/>
    <w:uiPriority w:val="99"/>
    <w:rsid w:val="00044DE0"/>
    <w:rPr>
      <w:rFonts w:ascii="Acumin Pro" w:hAnsi="Acumin Pro"/>
      <w:sz w:val="18"/>
      <w:szCs w:val="22"/>
      <w:lang w:eastAsia="en-GB"/>
    </w:rPr>
  </w:style>
  <w:style w:type="paragraph" w:styleId="BalloonText">
    <w:name w:val="Balloon Text"/>
    <w:basedOn w:val="Normal"/>
    <w:link w:val="BalloonTextChar"/>
    <w:uiPriority w:val="99"/>
    <w:semiHidden/>
    <w:unhideWhenUsed/>
    <w:rsid w:val="00B435F4"/>
    <w:rPr>
      <w:rFonts w:ascii="Tahoma" w:hAnsi="Tahoma" w:cs="Tahoma"/>
      <w:sz w:val="16"/>
      <w:szCs w:val="16"/>
    </w:rPr>
  </w:style>
  <w:style w:type="character" w:customStyle="1" w:styleId="BalloonTextChar">
    <w:name w:val="Balloon Text Char"/>
    <w:link w:val="BalloonText"/>
    <w:uiPriority w:val="99"/>
    <w:semiHidden/>
    <w:rsid w:val="00B435F4"/>
    <w:rPr>
      <w:rFonts w:ascii="Tahoma" w:hAnsi="Tahoma" w:cs="Tahoma"/>
      <w:sz w:val="16"/>
      <w:szCs w:val="16"/>
      <w:lang w:eastAsia="en-US"/>
    </w:rPr>
  </w:style>
  <w:style w:type="character" w:styleId="Hyperlink">
    <w:name w:val="Hyperlink"/>
    <w:uiPriority w:val="99"/>
    <w:unhideWhenUsed/>
    <w:rsid w:val="00B435F4"/>
    <w:rPr>
      <w:color w:val="0000FF"/>
      <w:u w:val="single"/>
    </w:rPr>
  </w:style>
  <w:style w:type="character" w:customStyle="1" w:styleId="Heading2Char">
    <w:name w:val="Heading 2 Char"/>
    <w:basedOn w:val="DefaultParagraphFont"/>
    <w:link w:val="Heading2"/>
    <w:uiPriority w:val="1"/>
    <w:rsid w:val="00C015A7"/>
    <w:rPr>
      <w:rFonts w:ascii="Calibri" w:eastAsia="Acumin Pro" w:hAnsi="Calibri" w:cs="Arial"/>
      <w:b/>
      <w:bCs/>
      <w:noProof/>
      <w:color w:val="374E7A"/>
      <w:kern w:val="32"/>
      <w:sz w:val="22"/>
      <w:szCs w:val="22"/>
      <w:lang w:val="en-US"/>
    </w:rPr>
  </w:style>
  <w:style w:type="character" w:customStyle="1" w:styleId="Heading3Char">
    <w:name w:val="Heading 3 Char"/>
    <w:basedOn w:val="DefaultParagraphFont"/>
    <w:link w:val="Heading3"/>
    <w:uiPriority w:val="2"/>
    <w:rsid w:val="00A80181"/>
    <w:rPr>
      <w:rFonts w:ascii="Calibri" w:hAnsi="Calibri" w:cs="Arial"/>
      <w:b/>
      <w:bCs/>
      <w:noProof/>
      <w:color w:val="364D79" w:themeColor="accent1"/>
      <w:kern w:val="32"/>
      <w:sz w:val="22"/>
      <w:szCs w:val="22"/>
      <w:lang w:val="mi-NZ"/>
    </w:rPr>
  </w:style>
  <w:style w:type="paragraph" w:customStyle="1" w:styleId="Bulleted">
    <w:name w:val="Bulleted"/>
    <w:basedOn w:val="Normal"/>
    <w:link w:val="BulletedChar"/>
    <w:uiPriority w:val="5"/>
    <w:qFormat/>
    <w:rsid w:val="00FA616B"/>
    <w:pPr>
      <w:numPr>
        <w:numId w:val="1"/>
      </w:numPr>
      <w:spacing w:after="60"/>
      <w:ind w:left="680" w:hanging="340"/>
    </w:pPr>
    <w:rPr>
      <w:color w:val="000000"/>
    </w:rPr>
  </w:style>
  <w:style w:type="character" w:customStyle="1" w:styleId="BulletedChar">
    <w:name w:val="Bulleted Char"/>
    <w:link w:val="Bulleted"/>
    <w:uiPriority w:val="5"/>
    <w:rsid w:val="00044DE0"/>
    <w:rPr>
      <w:rFonts w:ascii="Calibri" w:hAnsi="Calibri"/>
      <w:color w:val="000000"/>
      <w:sz w:val="22"/>
      <w:szCs w:val="22"/>
      <w:lang w:val="mi-NZ"/>
    </w:rPr>
  </w:style>
  <w:style w:type="paragraph" w:customStyle="1" w:styleId="Numbered">
    <w:name w:val="Numbered"/>
    <w:basedOn w:val="Bulleted"/>
    <w:link w:val="NumberedChar"/>
    <w:uiPriority w:val="6"/>
    <w:qFormat/>
    <w:rsid w:val="007C0692"/>
    <w:pPr>
      <w:numPr>
        <w:numId w:val="2"/>
      </w:numPr>
    </w:pPr>
  </w:style>
  <w:style w:type="character" w:customStyle="1" w:styleId="NumberedChar">
    <w:name w:val="Numbered Char"/>
    <w:link w:val="Numbered"/>
    <w:uiPriority w:val="6"/>
    <w:rsid w:val="00044DE0"/>
    <w:rPr>
      <w:rFonts w:ascii="Calibri" w:hAnsi="Calibri"/>
      <w:color w:val="000000"/>
      <w:sz w:val="22"/>
      <w:szCs w:val="22"/>
      <w:lang w:val="mi-NZ"/>
    </w:rPr>
  </w:style>
  <w:style w:type="paragraph" w:customStyle="1" w:styleId="AppendixHeadingOne">
    <w:name w:val="Appendix Heading One"/>
    <w:basedOn w:val="Normal"/>
    <w:link w:val="AppendixHeadingOneChar"/>
    <w:uiPriority w:val="8"/>
    <w:qFormat/>
    <w:rsid w:val="00973CC9"/>
    <w:pPr>
      <w:jc w:val="right"/>
    </w:pPr>
    <w:rPr>
      <w:b/>
      <w:color w:val="000000" w:themeColor="text1"/>
      <w:sz w:val="40"/>
      <w:szCs w:val="40"/>
    </w:rPr>
  </w:style>
  <w:style w:type="character" w:customStyle="1" w:styleId="AppendixHeadingOneChar">
    <w:name w:val="Appendix Heading One Char"/>
    <w:link w:val="AppendixHeadingOne"/>
    <w:uiPriority w:val="8"/>
    <w:rsid w:val="00044DE0"/>
    <w:rPr>
      <w:rFonts w:ascii="Acumin Pro" w:hAnsi="Acumin Pro"/>
      <w:b/>
      <w:color w:val="000000" w:themeColor="text1"/>
      <w:sz w:val="40"/>
      <w:szCs w:val="40"/>
      <w:lang w:eastAsia="en-GB"/>
    </w:rPr>
  </w:style>
  <w:style w:type="paragraph" w:customStyle="1" w:styleId="Quotes">
    <w:name w:val="Quotes"/>
    <w:basedOn w:val="Normal"/>
    <w:link w:val="QuotesChar"/>
    <w:qFormat/>
    <w:rsid w:val="00C458AF"/>
    <w:pPr>
      <w:ind w:left="720"/>
    </w:pPr>
    <w:rPr>
      <w:i/>
      <w:noProof/>
      <w:color w:val="4A1B1A" w:themeColor="accent2" w:themeShade="80"/>
    </w:rPr>
  </w:style>
  <w:style w:type="character" w:customStyle="1" w:styleId="QuotesChar">
    <w:name w:val="Quotes Char"/>
    <w:link w:val="Quotes"/>
    <w:rsid w:val="00C458AF"/>
    <w:rPr>
      <w:rFonts w:ascii="Calibri" w:hAnsi="Calibri"/>
      <w:i/>
      <w:noProof/>
      <w:color w:val="4A1B1A" w:themeColor="accent2" w:themeShade="80"/>
      <w:sz w:val="22"/>
      <w:szCs w:val="22"/>
      <w:lang w:val="mi-NZ"/>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0754A5"/>
    <w:rPr>
      <w:rFonts w:ascii="Calibri" w:hAnsi="Calibri" w:cs="Arial"/>
      <w:b/>
      <w:bCs/>
      <w:noProof/>
      <w:color w:val="364D79" w:themeColor="accent1"/>
      <w:kern w:val="32"/>
      <w:sz w:val="28"/>
      <w:szCs w:val="40"/>
      <w:lang w:val="mi-NZ"/>
    </w:rPr>
  </w:style>
  <w:style w:type="table" w:styleId="TableGridLight">
    <w:name w:val="Grid Table Light"/>
    <w:basedOn w:val="TableNormal"/>
    <w:uiPriority w:val="40"/>
    <w:rsid w:val="00235B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ontemporary">
    <w:name w:val="Table Contemporary"/>
    <w:basedOn w:val="TableNormal"/>
    <w:uiPriority w:val="99"/>
    <w:semiHidden/>
    <w:unhideWhenUsed/>
    <w:rsid w:val="00767FDE"/>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autoRedefine/>
    <w:uiPriority w:val="35"/>
    <w:qFormat/>
    <w:rsid w:val="002B4028"/>
    <w:pPr>
      <w:keepNext/>
      <w:spacing w:before="0"/>
      <w:jc w:val="center"/>
    </w:pPr>
    <w:rPr>
      <w:b/>
      <w:iCs/>
      <w:color w:val="000000" w:themeColor="text1"/>
      <w:sz w:val="20"/>
      <w:szCs w:val="18"/>
    </w:rPr>
  </w:style>
  <w:style w:type="paragraph" w:styleId="ListParagraph">
    <w:name w:val="List Paragraph"/>
    <w:aliases w:val="Recommendation,standard lewis,List Paragraph1,List Paragraph numbered,List Bullet indent,Body,Level 3,Rec para,List 1,Other List,FooterText,numbered,Paragraphe de liste1,Bulletr List Paragraph,列出段落,列出段落1,Listeafsnit1,Parágrafo da Lista1,L"/>
    <w:basedOn w:val="Normal"/>
    <w:link w:val="ListParagraphChar"/>
    <w:uiPriority w:val="34"/>
    <w:unhideWhenUsed/>
    <w:qFormat/>
    <w:rsid w:val="00696D61"/>
    <w:pPr>
      <w:ind w:left="720"/>
      <w:contextualSpacing/>
    </w:pPr>
  </w:style>
  <w:style w:type="table" w:customStyle="1" w:styleId="MITableClassic">
    <w:name w:val="MI Table (Classic)"/>
    <w:basedOn w:val="TableNormal"/>
    <w:uiPriority w:val="99"/>
    <w:rsid w:val="00A21934"/>
    <w:pPr>
      <w:spacing w:line="276" w:lineRule="auto"/>
    </w:pPr>
    <w:rPr>
      <w:rFonts w:ascii="Calibri" w:hAnsi="Calibri"/>
      <w:sz w:val="22"/>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9D9D9" w:themeFill="background1" w:themeFillShade="D9"/>
      </w:tcPr>
    </w:tblStylePr>
    <w:tblStylePr w:type="firstCol">
      <w:pPr>
        <w:wordWrap/>
        <w:spacing w:beforeLines="0" w:before="0" w:beforeAutospacing="0" w:afterLines="0" w:after="0" w:afterAutospacing="0"/>
        <w:contextualSpacing w:val="0"/>
      </w:pPr>
      <w:rPr>
        <w:rFonts w:ascii="Calibri" w:hAnsi="Calibri"/>
        <w:color w:val="auto"/>
        <w:sz w:val="22"/>
      </w:rPr>
      <w:tblPr/>
      <w:tcPr>
        <w:shd w:val="clear" w:color="auto" w:fill="D3E2F1"/>
      </w:tcPr>
    </w:tblStylePr>
    <w:tblStylePr w:type="nwCell">
      <w:tblPr/>
      <w:tcPr>
        <w:shd w:val="clear" w:color="auto" w:fill="D3E2F1"/>
      </w:tcPr>
    </w:tblStylePr>
  </w:style>
  <w:style w:type="table" w:customStyle="1" w:styleId="MITableNew">
    <w:name w:val="MI Table (New)"/>
    <w:basedOn w:val="TableNormal"/>
    <w:uiPriority w:val="99"/>
    <w:rsid w:val="00BF3DD8"/>
    <w:pPr>
      <w:spacing w:before="100" w:beforeAutospacing="1" w:after="100" w:afterAutospacing="1"/>
    </w:pPr>
    <w:rPr>
      <w:rFonts w:ascii="Acumin Pro" w:hAnsi="Acumin Pro"/>
      <w:sz w:val="22"/>
    </w:rPr>
    <w:tblPr>
      <w:tblStyleRowBandSize w:val="1"/>
      <w:tblBorders>
        <w:top w:val="single" w:sz="18" w:space="0" w:color="F2F2F2" w:themeColor="background2"/>
        <w:left w:val="single" w:sz="18" w:space="0" w:color="F2F2F2" w:themeColor="background2"/>
        <w:bottom w:val="single" w:sz="18" w:space="0" w:color="F2F2F2" w:themeColor="background2"/>
        <w:right w:val="single" w:sz="18" w:space="0" w:color="F2F2F2" w:themeColor="background2"/>
        <w:insideH w:val="single" w:sz="18" w:space="0" w:color="F2F2F2" w:themeColor="background2"/>
        <w:insideV w:val="single" w:sz="18" w:space="0" w:color="F2F2F2" w:themeColor="background2"/>
      </w:tblBorders>
      <w:tblCellMar>
        <w:top w:w="57" w:type="dxa"/>
        <w:left w:w="85" w:type="dxa"/>
        <w:bottom w:w="57" w:type="dxa"/>
        <w:right w:w="85" w:type="dxa"/>
      </w:tblCellMar>
    </w:tblPr>
    <w:tblStylePr w:type="firstRow">
      <w:rPr>
        <w:b/>
      </w:rPr>
      <w:tblPr/>
      <w:tcPr>
        <w:tcBorders>
          <w:top w:val="nil"/>
          <w:left w:val="nil"/>
          <w:bottom w:val="single" w:sz="18" w:space="0" w:color="374E7A"/>
          <w:right w:val="nil"/>
          <w:insideH w:val="nil"/>
          <w:insideV w:val="nil"/>
          <w:tl2br w:val="nil"/>
          <w:tr2bl w:val="nil"/>
        </w:tcBorders>
      </w:tcPr>
    </w:tblStylePr>
    <w:tblStylePr w:type="firstCol">
      <w:tblPr/>
      <w:tcPr>
        <w:shd w:val="clear" w:color="auto" w:fill="F2F2F2" w:themeFill="background2"/>
      </w:tcPr>
    </w:tblStylePr>
    <w:tblStylePr w:type="lastCol">
      <w:tblPr/>
      <w:tcPr>
        <w:tcBorders>
          <w:right w:val="nil"/>
        </w:tcBorders>
      </w:tcPr>
    </w:tblStylePr>
    <w:tblStylePr w:type="band2Horz">
      <w:tblPr/>
      <w:tcPr>
        <w:shd w:val="clear" w:color="auto" w:fill="FFFFFF" w:themeFill="background1"/>
      </w:tcPr>
    </w:tblStylePr>
    <w:tblStylePr w:type="nwCell">
      <w:tblPr/>
      <w:tcPr>
        <w:shd w:val="clear" w:color="auto" w:fill="FFFFFF" w:themeFill="background1"/>
      </w:tcPr>
    </w:tblStylePr>
  </w:style>
  <w:style w:type="table" w:styleId="TableGrid">
    <w:name w:val="Table Grid"/>
    <w:basedOn w:val="TableNormal"/>
    <w:uiPriority w:val="59"/>
    <w:rsid w:val="00302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D4A6C"/>
    <w:pPr>
      <w:tabs>
        <w:tab w:val="left" w:pos="440"/>
        <w:tab w:val="right" w:pos="7608"/>
      </w:tabs>
      <w:spacing w:before="120" w:after="60"/>
    </w:pPr>
    <w:rPr>
      <w:b/>
    </w:rPr>
  </w:style>
  <w:style w:type="paragraph" w:styleId="TOC2">
    <w:name w:val="toc 2"/>
    <w:basedOn w:val="Normal"/>
    <w:next w:val="Normal"/>
    <w:autoRedefine/>
    <w:uiPriority w:val="39"/>
    <w:unhideWhenUsed/>
    <w:rsid w:val="00AD4A6C"/>
    <w:pPr>
      <w:tabs>
        <w:tab w:val="left" w:pos="879"/>
        <w:tab w:val="right" w:leader="dot" w:pos="7620"/>
      </w:tabs>
      <w:spacing w:before="0" w:after="60"/>
      <w:ind w:left="851" w:hanging="567"/>
    </w:pPr>
  </w:style>
  <w:style w:type="table" w:customStyle="1" w:styleId="Tabledesign">
    <w:name w:val="Table design"/>
    <w:basedOn w:val="TableNormal"/>
    <w:uiPriority w:val="99"/>
    <w:rsid w:val="00973CC9"/>
    <w:pPr>
      <w:spacing w:line="276" w:lineRule="auto"/>
    </w:pPr>
    <w:rPr>
      <w:rFonts w:ascii="Calibri" w:hAnsi="Calibri"/>
      <w:sz w:val="22"/>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9D9D9" w:themeFill="background1" w:themeFillShade="D9"/>
      </w:tcPr>
    </w:tblStylePr>
    <w:tblStylePr w:type="firstCol">
      <w:pPr>
        <w:wordWrap/>
        <w:spacing w:beforeLines="0" w:before="0" w:beforeAutospacing="0" w:afterLines="0" w:after="0" w:afterAutospacing="0"/>
        <w:contextualSpacing w:val="0"/>
      </w:pPr>
      <w:rPr>
        <w:rFonts w:ascii="Calibri" w:hAnsi="Calibri"/>
        <w:color w:val="auto"/>
        <w:sz w:val="22"/>
      </w:rPr>
      <w:tblPr/>
      <w:tcPr>
        <w:shd w:val="clear" w:color="auto" w:fill="D3E2F1"/>
      </w:tcPr>
    </w:tblStylePr>
    <w:tblStylePr w:type="nwCell">
      <w:tblPr/>
      <w:tcPr>
        <w:shd w:val="clear" w:color="auto" w:fill="D3E2F1"/>
      </w:tcPr>
    </w:tblStylePr>
  </w:style>
  <w:style w:type="paragraph" w:customStyle="1" w:styleId="Nospace">
    <w:name w:val="No space"/>
    <w:basedOn w:val="Normal"/>
    <w:uiPriority w:val="4"/>
    <w:qFormat/>
    <w:rsid w:val="00E15756"/>
    <w:pPr>
      <w:spacing w:after="0"/>
    </w:pPr>
    <w:rPr>
      <w:color w:val="000000"/>
    </w:rPr>
  </w:style>
  <w:style w:type="character" w:customStyle="1" w:styleId="Heading4Char">
    <w:name w:val="Heading 4 Char"/>
    <w:basedOn w:val="DefaultParagraphFont"/>
    <w:link w:val="Heading4"/>
    <w:uiPriority w:val="9"/>
    <w:rsid w:val="0050415A"/>
    <w:rPr>
      <w:rFonts w:ascii="Calibri" w:eastAsiaTheme="majorEastAsia" w:hAnsi="Calibri" w:cstheme="majorBidi"/>
      <w:b/>
      <w:iCs/>
      <w:color w:val="000000" w:themeColor="text1"/>
      <w:sz w:val="22"/>
      <w:szCs w:val="22"/>
      <w:lang w:val="mi-NZ"/>
    </w:rPr>
  </w:style>
  <w:style w:type="paragraph" w:customStyle="1" w:styleId="Bulletpointindented">
    <w:name w:val="Bullet point (indented)"/>
    <w:basedOn w:val="ListParagraph"/>
    <w:link w:val="BulletpointindentedChar"/>
    <w:uiPriority w:val="3"/>
    <w:qFormat/>
    <w:rsid w:val="00686B10"/>
    <w:pPr>
      <w:numPr>
        <w:numId w:val="3"/>
      </w:numPr>
    </w:pPr>
  </w:style>
  <w:style w:type="character" w:customStyle="1" w:styleId="BulletpointindentedChar">
    <w:name w:val="Bullet point (indented) Char"/>
    <w:basedOn w:val="BulletedChar"/>
    <w:link w:val="Bulletpointindented"/>
    <w:uiPriority w:val="3"/>
    <w:rsid w:val="005B69E4"/>
    <w:rPr>
      <w:rFonts w:ascii="Calibri" w:hAnsi="Calibri"/>
      <w:color w:val="000000"/>
      <w:sz w:val="22"/>
      <w:szCs w:val="22"/>
      <w:lang w:val="mi-NZ"/>
    </w:rPr>
  </w:style>
  <w:style w:type="paragraph" w:styleId="TOCHeading">
    <w:name w:val="TOC Heading"/>
    <w:basedOn w:val="Heading1"/>
    <w:next w:val="Normal"/>
    <w:uiPriority w:val="39"/>
    <w:unhideWhenUsed/>
    <w:qFormat/>
    <w:rsid w:val="000B506F"/>
    <w:pPr>
      <w:keepLines/>
      <w:numPr>
        <w:numId w:val="0"/>
      </w:numPr>
      <w:spacing w:before="240" w:after="0" w:line="259" w:lineRule="auto"/>
      <w:outlineLvl w:val="9"/>
    </w:pPr>
    <w:rPr>
      <w:rFonts w:asciiTheme="majorHAnsi" w:eastAsiaTheme="majorEastAsia" w:hAnsiTheme="majorHAnsi" w:cstheme="majorBidi"/>
      <w:b w:val="0"/>
      <w:bCs w:val="0"/>
      <w:noProof w:val="0"/>
      <w:color w:val="28395A" w:themeColor="accent1" w:themeShade="BF"/>
      <w:kern w:val="0"/>
      <w:sz w:val="32"/>
      <w:szCs w:val="32"/>
      <w:lang w:val="en-US" w:eastAsia="en-US"/>
    </w:rPr>
  </w:style>
  <w:style w:type="paragraph" w:styleId="TOC3">
    <w:name w:val="toc 3"/>
    <w:basedOn w:val="Normal"/>
    <w:next w:val="Normal"/>
    <w:autoRedefine/>
    <w:uiPriority w:val="39"/>
    <w:unhideWhenUsed/>
    <w:rsid w:val="000B506F"/>
    <w:pPr>
      <w:spacing w:after="100"/>
      <w:ind w:left="440"/>
    </w:pPr>
  </w:style>
  <w:style w:type="character" w:styleId="UnresolvedMention">
    <w:name w:val="Unresolved Mention"/>
    <w:basedOn w:val="DefaultParagraphFont"/>
    <w:uiPriority w:val="99"/>
    <w:semiHidden/>
    <w:unhideWhenUsed/>
    <w:rsid w:val="005B69E4"/>
    <w:rPr>
      <w:color w:val="605E5C"/>
      <w:shd w:val="clear" w:color="auto" w:fill="E1DFDD"/>
    </w:rPr>
  </w:style>
  <w:style w:type="character" w:styleId="CommentReference">
    <w:name w:val="annotation reference"/>
    <w:basedOn w:val="DefaultParagraphFont"/>
    <w:uiPriority w:val="99"/>
    <w:semiHidden/>
    <w:unhideWhenUsed/>
    <w:rsid w:val="000E7DCE"/>
    <w:rPr>
      <w:sz w:val="16"/>
      <w:szCs w:val="16"/>
    </w:rPr>
  </w:style>
  <w:style w:type="paragraph" w:styleId="CommentText">
    <w:name w:val="annotation text"/>
    <w:basedOn w:val="Normal"/>
    <w:link w:val="CommentTextChar"/>
    <w:uiPriority w:val="99"/>
    <w:unhideWhenUsed/>
    <w:rsid w:val="000E7DCE"/>
    <w:pPr>
      <w:spacing w:line="240" w:lineRule="auto"/>
    </w:pPr>
    <w:rPr>
      <w:sz w:val="20"/>
      <w:szCs w:val="20"/>
    </w:rPr>
  </w:style>
  <w:style w:type="character" w:customStyle="1" w:styleId="CommentTextChar">
    <w:name w:val="Comment Text Char"/>
    <w:basedOn w:val="DefaultParagraphFont"/>
    <w:link w:val="CommentText"/>
    <w:uiPriority w:val="99"/>
    <w:rsid w:val="000E7DCE"/>
    <w:rPr>
      <w:rFonts w:ascii="Calibri" w:hAnsi="Calibri"/>
      <w:sz w:val="20"/>
      <w:szCs w:val="20"/>
      <w:lang w:val="mi-NZ"/>
    </w:rPr>
  </w:style>
  <w:style w:type="paragraph" w:styleId="CommentSubject">
    <w:name w:val="annotation subject"/>
    <w:basedOn w:val="CommentText"/>
    <w:next w:val="CommentText"/>
    <w:link w:val="CommentSubjectChar"/>
    <w:uiPriority w:val="99"/>
    <w:semiHidden/>
    <w:unhideWhenUsed/>
    <w:rsid w:val="000E7DCE"/>
    <w:rPr>
      <w:b/>
      <w:bCs/>
    </w:rPr>
  </w:style>
  <w:style w:type="character" w:customStyle="1" w:styleId="CommentSubjectChar">
    <w:name w:val="Comment Subject Char"/>
    <w:basedOn w:val="CommentTextChar"/>
    <w:link w:val="CommentSubject"/>
    <w:uiPriority w:val="99"/>
    <w:semiHidden/>
    <w:rsid w:val="000E7DCE"/>
    <w:rPr>
      <w:rFonts w:ascii="Calibri" w:hAnsi="Calibri"/>
      <w:b/>
      <w:bCs/>
      <w:sz w:val="20"/>
      <w:szCs w:val="20"/>
      <w:lang w:val="mi-NZ"/>
    </w:rPr>
  </w:style>
  <w:style w:type="table" w:customStyle="1" w:styleId="Tabledesign1">
    <w:name w:val="Table design1"/>
    <w:basedOn w:val="TableNormal"/>
    <w:uiPriority w:val="99"/>
    <w:rsid w:val="00D422FA"/>
    <w:pPr>
      <w:spacing w:line="276" w:lineRule="auto"/>
    </w:pPr>
    <w:rPr>
      <w:rFonts w:ascii="Calibri" w:hAnsi="Calibri"/>
      <w:sz w:val="22"/>
      <w:lang w:eastAsia="en-US"/>
    </w:rPr>
    <w:tblPr>
      <w:jc w:val="center"/>
      <w:tblBorders>
        <w:insideH w:val="single" w:sz="12" w:space="0" w:color="FFFFFF" w:themeColor="background1"/>
        <w:insideV w:val="single" w:sz="12"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paragraph" w:customStyle="1" w:styleId="NOSPACE0">
    <w:name w:val="NO SPACE"/>
    <w:qFormat/>
    <w:rsid w:val="00D422FA"/>
    <w:rPr>
      <w:rFonts w:ascii="Calibri" w:hAnsi="Calibri"/>
      <w:color w:val="000000"/>
      <w:sz w:val="22"/>
      <w:szCs w:val="22"/>
    </w:rPr>
  </w:style>
  <w:style w:type="paragraph" w:styleId="NormalWeb">
    <w:name w:val="Normal (Web)"/>
    <w:basedOn w:val="Normal"/>
    <w:uiPriority w:val="99"/>
    <w:unhideWhenUsed/>
    <w:rsid w:val="003355F1"/>
    <w:pPr>
      <w:spacing w:before="100" w:beforeAutospacing="1" w:after="100" w:afterAutospacing="1" w:line="240" w:lineRule="auto"/>
    </w:pPr>
    <w:rPr>
      <w:rFonts w:ascii="Times New Roman" w:eastAsiaTheme="minorEastAsia" w:hAnsi="Times New Roman"/>
      <w:sz w:val="24"/>
      <w:szCs w:val="24"/>
      <w:lang w:val="en-NZ"/>
    </w:rPr>
  </w:style>
  <w:style w:type="paragraph" w:styleId="FootnoteText">
    <w:name w:val="footnote text"/>
    <w:aliases w:val="F1,ft"/>
    <w:basedOn w:val="Normal"/>
    <w:link w:val="FootnoteTextChar"/>
    <w:unhideWhenUsed/>
    <w:rsid w:val="008C2754"/>
    <w:pPr>
      <w:spacing w:before="0" w:after="0" w:line="240" w:lineRule="auto"/>
    </w:pPr>
    <w:rPr>
      <w:sz w:val="20"/>
      <w:szCs w:val="20"/>
    </w:rPr>
  </w:style>
  <w:style w:type="character" w:customStyle="1" w:styleId="FootnoteTextChar">
    <w:name w:val="Footnote Text Char"/>
    <w:aliases w:val="F1 Char,ft Char"/>
    <w:basedOn w:val="DefaultParagraphFont"/>
    <w:link w:val="FootnoteText"/>
    <w:rsid w:val="008C2754"/>
    <w:rPr>
      <w:rFonts w:ascii="Calibri" w:hAnsi="Calibri"/>
      <w:sz w:val="20"/>
      <w:szCs w:val="20"/>
      <w:lang w:val="mi-NZ"/>
    </w:rPr>
  </w:style>
  <w:style w:type="character" w:styleId="FootnoteReference">
    <w:name w:val="footnote reference"/>
    <w:aliases w:val="fr"/>
    <w:basedOn w:val="DefaultParagraphFont"/>
    <w:unhideWhenUsed/>
    <w:rsid w:val="008C2754"/>
    <w:rPr>
      <w:vertAlign w:val="superscript"/>
    </w:rPr>
  </w:style>
  <w:style w:type="paragraph" w:styleId="Revision">
    <w:name w:val="Revision"/>
    <w:hidden/>
    <w:uiPriority w:val="99"/>
    <w:semiHidden/>
    <w:rsid w:val="00872073"/>
    <w:rPr>
      <w:rFonts w:ascii="Calibri" w:hAnsi="Calibri"/>
      <w:sz w:val="22"/>
      <w:szCs w:val="22"/>
      <w:lang w:val="mi-NZ"/>
    </w:rPr>
  </w:style>
  <w:style w:type="character" w:customStyle="1" w:styleId="MIBulletsChar">
    <w:name w:val="MI Bullets Char"/>
    <w:link w:val="MIBullets"/>
    <w:locked/>
    <w:rsid w:val="00CA5B2F"/>
    <w:rPr>
      <w:rFonts w:ascii="Calibri" w:hAnsi="Calibri" w:cs="Calibri"/>
      <w:color w:val="000000"/>
      <w:sz w:val="22"/>
      <w:szCs w:val="22"/>
      <w:lang w:eastAsia="en-GB"/>
    </w:rPr>
  </w:style>
  <w:style w:type="paragraph" w:customStyle="1" w:styleId="MIBullets">
    <w:name w:val="MI Bullets"/>
    <w:basedOn w:val="Normal"/>
    <w:link w:val="MIBulletsChar"/>
    <w:qFormat/>
    <w:rsid w:val="00CA5B2F"/>
    <w:pPr>
      <w:spacing w:before="0" w:after="60"/>
      <w:ind w:left="720" w:hanging="360"/>
    </w:pPr>
    <w:rPr>
      <w:rFonts w:cs="Calibri"/>
      <w:color w:val="000000"/>
      <w:lang w:val="en-NZ" w:eastAsia="en-GB"/>
    </w:rPr>
  </w:style>
  <w:style w:type="paragraph" w:customStyle="1" w:styleId="Secondlevelbullets">
    <w:name w:val="Second level bullets"/>
    <w:basedOn w:val="MIBullets"/>
    <w:qFormat/>
    <w:rsid w:val="00CA5B2F"/>
    <w:pPr>
      <w:tabs>
        <w:tab w:val="num" w:pos="360"/>
      </w:tabs>
      <w:ind w:left="1440"/>
    </w:pPr>
  </w:style>
  <w:style w:type="character" w:customStyle="1" w:styleId="Heading5Char">
    <w:name w:val="Heading 5 Char"/>
    <w:basedOn w:val="DefaultParagraphFont"/>
    <w:link w:val="Heading5"/>
    <w:uiPriority w:val="9"/>
    <w:semiHidden/>
    <w:rsid w:val="000754A5"/>
    <w:rPr>
      <w:rFonts w:asciiTheme="majorHAnsi" w:eastAsiaTheme="majorEastAsia" w:hAnsiTheme="majorHAnsi" w:cstheme="majorBidi"/>
      <w:color w:val="28395A" w:themeColor="accent1" w:themeShade="BF"/>
      <w:sz w:val="22"/>
      <w:szCs w:val="22"/>
      <w:lang w:val="mi-NZ"/>
    </w:rPr>
  </w:style>
  <w:style w:type="character" w:customStyle="1" w:styleId="Heading6Char">
    <w:name w:val="Heading 6 Char"/>
    <w:basedOn w:val="DefaultParagraphFont"/>
    <w:link w:val="Heading6"/>
    <w:uiPriority w:val="9"/>
    <w:semiHidden/>
    <w:rsid w:val="000754A5"/>
    <w:rPr>
      <w:rFonts w:asciiTheme="majorHAnsi" w:eastAsiaTheme="majorEastAsia" w:hAnsiTheme="majorHAnsi" w:cstheme="majorBidi"/>
      <w:color w:val="1B263C" w:themeColor="accent1" w:themeShade="7F"/>
      <w:sz w:val="22"/>
      <w:szCs w:val="22"/>
      <w:lang w:val="mi-NZ"/>
    </w:rPr>
  </w:style>
  <w:style w:type="character" w:customStyle="1" w:styleId="Heading7Char">
    <w:name w:val="Heading 7 Char"/>
    <w:basedOn w:val="DefaultParagraphFont"/>
    <w:link w:val="Heading7"/>
    <w:uiPriority w:val="9"/>
    <w:semiHidden/>
    <w:rsid w:val="000754A5"/>
    <w:rPr>
      <w:rFonts w:asciiTheme="majorHAnsi" w:eastAsiaTheme="majorEastAsia" w:hAnsiTheme="majorHAnsi" w:cstheme="majorBidi"/>
      <w:i/>
      <w:iCs/>
      <w:color w:val="1B263C" w:themeColor="accent1" w:themeShade="7F"/>
      <w:sz w:val="22"/>
      <w:szCs w:val="22"/>
      <w:lang w:val="mi-NZ"/>
    </w:rPr>
  </w:style>
  <w:style w:type="character" w:customStyle="1" w:styleId="Heading8Char">
    <w:name w:val="Heading 8 Char"/>
    <w:basedOn w:val="DefaultParagraphFont"/>
    <w:link w:val="Heading8"/>
    <w:uiPriority w:val="9"/>
    <w:semiHidden/>
    <w:rsid w:val="000754A5"/>
    <w:rPr>
      <w:rFonts w:asciiTheme="majorHAnsi" w:eastAsiaTheme="majorEastAsia" w:hAnsiTheme="majorHAnsi" w:cstheme="majorBidi"/>
      <w:color w:val="272727" w:themeColor="text1" w:themeTint="D8"/>
      <w:sz w:val="21"/>
      <w:szCs w:val="21"/>
      <w:lang w:val="mi-NZ"/>
    </w:rPr>
  </w:style>
  <w:style w:type="character" w:customStyle="1" w:styleId="Heading9Char">
    <w:name w:val="Heading 9 Char"/>
    <w:basedOn w:val="DefaultParagraphFont"/>
    <w:link w:val="Heading9"/>
    <w:uiPriority w:val="9"/>
    <w:semiHidden/>
    <w:rsid w:val="000754A5"/>
    <w:rPr>
      <w:rFonts w:asciiTheme="majorHAnsi" w:eastAsiaTheme="majorEastAsia" w:hAnsiTheme="majorHAnsi" w:cstheme="majorBidi"/>
      <w:i/>
      <w:iCs/>
      <w:color w:val="272727" w:themeColor="text1" w:themeTint="D8"/>
      <w:sz w:val="21"/>
      <w:szCs w:val="21"/>
      <w:lang w:val="mi-NZ"/>
    </w:rPr>
  </w:style>
  <w:style w:type="paragraph" w:customStyle="1" w:styleId="UnnumtextBodytext">
    <w:name w:val="Unnum text: Body text"/>
    <w:basedOn w:val="Normal"/>
    <w:link w:val="UnnumtextBodytextChar"/>
    <w:qFormat/>
    <w:rsid w:val="00F82C9B"/>
    <w:pPr>
      <w:spacing w:before="0" w:after="170" w:line="260" w:lineRule="atLeast"/>
    </w:pPr>
    <w:rPr>
      <w:rFonts w:ascii="Garamond" w:hAnsi="Garamond"/>
      <w:szCs w:val="20"/>
      <w:lang w:val="en-NZ" w:eastAsia="en-US"/>
    </w:rPr>
  </w:style>
  <w:style w:type="paragraph" w:customStyle="1" w:styleId="UnnumtextBullet1">
    <w:name w:val="Unnum text: Bullet 1"/>
    <w:basedOn w:val="Normal"/>
    <w:rsid w:val="00F82C9B"/>
    <w:pPr>
      <w:numPr>
        <w:numId w:val="5"/>
      </w:numPr>
      <w:spacing w:before="80" w:after="0" w:line="260" w:lineRule="atLeast"/>
    </w:pPr>
    <w:rPr>
      <w:rFonts w:ascii="Garamond" w:hAnsi="Garamond"/>
      <w:szCs w:val="20"/>
      <w:lang w:val="en-NZ" w:eastAsia="en-US"/>
    </w:rPr>
  </w:style>
  <w:style w:type="paragraph" w:customStyle="1" w:styleId="UnnumtextBullet2">
    <w:name w:val="Unnum text: Bullet 2"/>
    <w:basedOn w:val="Normal"/>
    <w:rsid w:val="00F82C9B"/>
    <w:pPr>
      <w:numPr>
        <w:ilvl w:val="1"/>
        <w:numId w:val="5"/>
      </w:numPr>
      <w:spacing w:before="80" w:after="0" w:line="260" w:lineRule="atLeast"/>
    </w:pPr>
    <w:rPr>
      <w:rFonts w:ascii="Garamond" w:hAnsi="Garamond"/>
      <w:szCs w:val="20"/>
      <w:lang w:val="en-NZ" w:eastAsia="en-US"/>
    </w:rPr>
  </w:style>
  <w:style w:type="paragraph" w:customStyle="1" w:styleId="UnnumtextBullet3">
    <w:name w:val="Unnum text: Bullet 3"/>
    <w:basedOn w:val="Normal"/>
    <w:rsid w:val="00F82C9B"/>
    <w:pPr>
      <w:numPr>
        <w:ilvl w:val="2"/>
        <w:numId w:val="5"/>
      </w:numPr>
      <w:spacing w:after="60" w:line="260" w:lineRule="atLeast"/>
    </w:pPr>
    <w:rPr>
      <w:rFonts w:ascii="Garamond" w:hAnsi="Garamond"/>
      <w:szCs w:val="20"/>
      <w:lang w:val="en-NZ" w:eastAsia="en-US"/>
    </w:rPr>
  </w:style>
  <w:style w:type="character" w:customStyle="1" w:styleId="UnnumtextBodytextChar">
    <w:name w:val="Unnum text: Body text Char"/>
    <w:basedOn w:val="DefaultParagraphFont"/>
    <w:link w:val="UnnumtextBodytext"/>
    <w:rsid w:val="00F82C9B"/>
    <w:rPr>
      <w:rFonts w:ascii="Garamond" w:hAnsi="Garamond"/>
      <w:sz w:val="22"/>
      <w:szCs w:val="20"/>
      <w:lang w:eastAsia="en-US"/>
    </w:rPr>
  </w:style>
  <w:style w:type="paragraph" w:customStyle="1" w:styleId="Bulletlevel1">
    <w:name w:val="Bullet level 1"/>
    <w:basedOn w:val="Bulletpointindented"/>
    <w:qFormat/>
    <w:rsid w:val="00DF0933"/>
    <w:pPr>
      <w:numPr>
        <w:numId w:val="0"/>
      </w:numPr>
      <w:ind w:left="709" w:hanging="425"/>
    </w:pPr>
  </w:style>
  <w:style w:type="paragraph" w:customStyle="1" w:styleId="Default">
    <w:name w:val="Default"/>
    <w:rsid w:val="00D56543"/>
    <w:pPr>
      <w:autoSpaceDE w:val="0"/>
      <w:autoSpaceDN w:val="0"/>
      <w:adjustRightInd w:val="0"/>
    </w:pPr>
    <w:rPr>
      <w:rFonts w:ascii="Lato" w:hAnsi="Lato" w:cs="Lato"/>
      <w:color w:val="000000"/>
    </w:rPr>
  </w:style>
  <w:style w:type="character" w:styleId="FollowedHyperlink">
    <w:name w:val="FollowedHyperlink"/>
    <w:basedOn w:val="DefaultParagraphFont"/>
    <w:uiPriority w:val="99"/>
    <w:semiHidden/>
    <w:unhideWhenUsed/>
    <w:rsid w:val="005F3C00"/>
    <w:rPr>
      <w:color w:val="6F3B55" w:themeColor="followedHyperlink"/>
      <w:u w:val="single"/>
    </w:rPr>
  </w:style>
  <w:style w:type="paragraph" w:customStyle="1" w:styleId="Bullet">
    <w:name w:val="Bullet"/>
    <w:basedOn w:val="Normal"/>
    <w:qFormat/>
    <w:rsid w:val="00F95B2B"/>
    <w:pPr>
      <w:keepLines/>
      <w:numPr>
        <w:numId w:val="6"/>
      </w:numPr>
      <w:spacing w:before="80" w:after="80" w:line="240" w:lineRule="auto"/>
    </w:pPr>
    <w:rPr>
      <w:rFonts w:eastAsiaTheme="minorHAnsi"/>
      <w:lang w:val="en-NZ" w:eastAsia="en-US"/>
    </w:rPr>
  </w:style>
  <w:style w:type="paragraph" w:customStyle="1" w:styleId="Bulletlevel2">
    <w:name w:val="Bullet level 2"/>
    <w:basedOn w:val="Normal"/>
    <w:uiPriority w:val="1"/>
    <w:semiHidden/>
    <w:rsid w:val="00B47692"/>
    <w:pPr>
      <w:keepLines/>
      <w:numPr>
        <w:ilvl w:val="1"/>
        <w:numId w:val="6"/>
      </w:numPr>
      <w:spacing w:before="80" w:after="80" w:line="240" w:lineRule="auto"/>
    </w:pPr>
    <w:rPr>
      <w:rFonts w:eastAsiaTheme="minorHAnsi"/>
      <w:sz w:val="24"/>
      <w:szCs w:val="24"/>
      <w:lang w:val="en-NZ" w:eastAsia="en-US"/>
    </w:rPr>
  </w:style>
  <w:style w:type="paragraph" w:customStyle="1" w:styleId="Bulletlevel3">
    <w:name w:val="Bullet level 3"/>
    <w:basedOn w:val="Normal"/>
    <w:uiPriority w:val="1"/>
    <w:semiHidden/>
    <w:rsid w:val="00B47692"/>
    <w:pPr>
      <w:keepLines/>
      <w:numPr>
        <w:ilvl w:val="2"/>
        <w:numId w:val="6"/>
      </w:numPr>
      <w:spacing w:before="80" w:after="80" w:line="240" w:lineRule="auto"/>
    </w:pPr>
    <w:rPr>
      <w:rFonts w:eastAsiaTheme="minorHAnsi"/>
      <w:sz w:val="24"/>
      <w:szCs w:val="24"/>
      <w:lang w:val="en-NZ" w:eastAsia="en-US"/>
    </w:rPr>
  </w:style>
  <w:style w:type="paragraph" w:styleId="NoSpacing">
    <w:name w:val="No Spacing"/>
    <w:qFormat/>
    <w:rsid w:val="00043E91"/>
    <w:rPr>
      <w:rFonts w:ascii="Calibri" w:eastAsia="Calibri" w:hAnsi="Calibri"/>
      <w:sz w:val="22"/>
      <w:szCs w:val="22"/>
      <w:lang w:val="en-US" w:eastAsia="en-US"/>
    </w:rPr>
  </w:style>
  <w:style w:type="paragraph" w:customStyle="1" w:styleId="Bodycopy">
    <w:name w:val="Body copy"/>
    <w:basedOn w:val="Normal"/>
    <w:qFormat/>
    <w:rsid w:val="000C4BD3"/>
    <w:pPr>
      <w:spacing w:before="0" w:after="0" w:line="312" w:lineRule="auto"/>
    </w:pPr>
    <w:rPr>
      <w:rFonts w:ascii="Arial" w:eastAsiaTheme="minorHAnsi" w:hAnsi="Arial" w:cstheme="minorBidi"/>
      <w:szCs w:val="24"/>
      <w:lang w:val="en-AU" w:eastAsia="en-US"/>
    </w:rPr>
  </w:style>
  <w:style w:type="paragraph" w:customStyle="1" w:styleId="References">
    <w:name w:val="References"/>
    <w:basedOn w:val="Normal"/>
    <w:qFormat/>
    <w:rsid w:val="00F146C1"/>
    <w:pPr>
      <w:spacing w:before="0" w:after="180" w:line="240" w:lineRule="auto"/>
    </w:pPr>
    <w:rPr>
      <w:rFonts w:ascii="Segoe UI" w:hAnsi="Segoe UI"/>
      <w:sz w:val="21"/>
      <w:szCs w:val="20"/>
      <w:lang w:val="en-NZ" w:eastAsia="en-GB"/>
    </w:rPr>
  </w:style>
  <w:style w:type="paragraph" w:customStyle="1" w:styleId="Numberedpara2level1">
    <w:name w:val="Numbered para (2) level 1"/>
    <w:basedOn w:val="Normal"/>
    <w:semiHidden/>
    <w:qFormat/>
    <w:rsid w:val="00AF6F30"/>
    <w:pPr>
      <w:keepLines/>
      <w:numPr>
        <w:numId w:val="7"/>
      </w:numPr>
      <w:spacing w:before="120" w:line="240" w:lineRule="auto"/>
    </w:pPr>
    <w:rPr>
      <w:rFonts w:eastAsiaTheme="minorHAnsi"/>
      <w:sz w:val="24"/>
      <w:szCs w:val="24"/>
      <w:lang w:val="en-NZ" w:eastAsia="en-US"/>
    </w:rPr>
  </w:style>
  <w:style w:type="paragraph" w:customStyle="1" w:styleId="Numberedpara2level2a">
    <w:name w:val="Numbered para (2) level 2 (a)"/>
    <w:basedOn w:val="Normal"/>
    <w:semiHidden/>
    <w:qFormat/>
    <w:rsid w:val="003006C0"/>
    <w:pPr>
      <w:keepLines/>
      <w:numPr>
        <w:ilvl w:val="1"/>
        <w:numId w:val="7"/>
      </w:numPr>
      <w:spacing w:before="120" w:line="240" w:lineRule="auto"/>
    </w:pPr>
    <w:rPr>
      <w:rFonts w:eastAsiaTheme="minorHAnsi"/>
      <w:sz w:val="24"/>
      <w:szCs w:val="24"/>
      <w:lang w:val="en-NZ" w:eastAsia="en-US"/>
    </w:rPr>
  </w:style>
  <w:style w:type="paragraph" w:customStyle="1" w:styleId="Numberedpara2level3i">
    <w:name w:val="Numbered para (2) level 3 (i)"/>
    <w:basedOn w:val="Normal"/>
    <w:semiHidden/>
    <w:qFormat/>
    <w:rsid w:val="003006C0"/>
    <w:pPr>
      <w:keepLines/>
      <w:numPr>
        <w:ilvl w:val="2"/>
        <w:numId w:val="7"/>
      </w:numPr>
      <w:spacing w:before="120" w:line="240" w:lineRule="auto"/>
    </w:pPr>
    <w:rPr>
      <w:rFonts w:eastAsiaTheme="minorHAnsi"/>
      <w:sz w:val="24"/>
      <w:szCs w:val="24"/>
      <w:lang w:val="en-NZ" w:eastAsia="en-US"/>
    </w:rPr>
  </w:style>
  <w:style w:type="paragraph" w:styleId="Bibliography">
    <w:name w:val="Bibliography"/>
    <w:basedOn w:val="Normal"/>
    <w:next w:val="Normal"/>
    <w:uiPriority w:val="37"/>
    <w:unhideWhenUsed/>
    <w:rsid w:val="0062158F"/>
  </w:style>
  <w:style w:type="paragraph" w:styleId="TableofFigures">
    <w:name w:val="table of figures"/>
    <w:basedOn w:val="Normal"/>
    <w:next w:val="Normal"/>
    <w:uiPriority w:val="99"/>
    <w:unhideWhenUsed/>
    <w:rsid w:val="00C45DC6"/>
    <w:pPr>
      <w:spacing w:after="0"/>
    </w:pPr>
  </w:style>
  <w:style w:type="paragraph" w:customStyle="1" w:styleId="MIHeading2">
    <w:name w:val="MI Heading 2"/>
    <w:basedOn w:val="Heading2"/>
    <w:next w:val="Normal"/>
    <w:link w:val="MIHeading2Char"/>
    <w:qFormat/>
    <w:rsid w:val="006726D8"/>
    <w:pPr>
      <w:numPr>
        <w:ilvl w:val="0"/>
        <w:numId w:val="0"/>
      </w:numPr>
      <w:tabs>
        <w:tab w:val="num" w:pos="2520"/>
      </w:tabs>
      <w:ind w:hanging="992"/>
    </w:pPr>
    <w:rPr>
      <w:rFonts w:cstheme="majorBidi"/>
      <w:iCs/>
      <w:noProof w:val="0"/>
      <w:color w:val="123D52"/>
      <w:kern w:val="0"/>
      <w:lang w:val="en-NZ" w:eastAsia="en-GB"/>
    </w:rPr>
  </w:style>
  <w:style w:type="character" w:customStyle="1" w:styleId="MIHeading2Char">
    <w:name w:val="MI Heading 2 Char"/>
    <w:link w:val="MIHeading2"/>
    <w:rsid w:val="006726D8"/>
    <w:rPr>
      <w:rFonts w:ascii="Calibri" w:hAnsi="Calibri" w:cstheme="majorBidi"/>
      <w:b/>
      <w:bCs/>
      <w:iCs/>
      <w:color w:val="123D52"/>
      <w:sz w:val="22"/>
      <w:szCs w:val="22"/>
      <w:lang w:eastAsia="en-GB"/>
    </w:rPr>
  </w:style>
  <w:style w:type="paragraph" w:customStyle="1" w:styleId="MIheading3">
    <w:name w:val="MI heading 3"/>
    <w:basedOn w:val="Heading3"/>
    <w:next w:val="Normal"/>
    <w:qFormat/>
    <w:rsid w:val="006726D8"/>
    <w:pPr>
      <w:numPr>
        <w:ilvl w:val="0"/>
        <w:numId w:val="0"/>
      </w:numPr>
      <w:tabs>
        <w:tab w:val="num" w:pos="2520"/>
      </w:tabs>
      <w:spacing w:before="240" w:after="60"/>
      <w:ind w:hanging="992"/>
    </w:pPr>
    <w:rPr>
      <w:rFonts w:asciiTheme="minorHAnsi" w:eastAsiaTheme="majorEastAsia" w:hAnsiTheme="minorHAnsi" w:cstheme="majorBidi"/>
      <w:noProof w:val="0"/>
      <w:color w:val="123D52"/>
      <w:kern w:val="0"/>
      <w:szCs w:val="26"/>
      <w:lang w:val="en-NZ" w:eastAsia="en-GB"/>
    </w:rPr>
  </w:style>
  <w:style w:type="table" w:styleId="GridTable4-Accent1">
    <w:name w:val="Grid Table 4 Accent 1"/>
    <w:basedOn w:val="TableNormal"/>
    <w:uiPriority w:val="49"/>
    <w:rsid w:val="00874D71"/>
    <w:tblPr>
      <w:tblStyleRowBandSize w:val="1"/>
      <w:tblStyleColBandSize w:val="1"/>
      <w:tblBorders>
        <w:top w:val="single" w:sz="4" w:space="0" w:color="748EC1" w:themeColor="accent1" w:themeTint="99"/>
        <w:left w:val="single" w:sz="4" w:space="0" w:color="748EC1" w:themeColor="accent1" w:themeTint="99"/>
        <w:bottom w:val="single" w:sz="4" w:space="0" w:color="748EC1" w:themeColor="accent1" w:themeTint="99"/>
        <w:right w:val="single" w:sz="4" w:space="0" w:color="748EC1" w:themeColor="accent1" w:themeTint="99"/>
        <w:insideH w:val="single" w:sz="4" w:space="0" w:color="748EC1" w:themeColor="accent1" w:themeTint="99"/>
        <w:insideV w:val="single" w:sz="4" w:space="0" w:color="748EC1" w:themeColor="accent1" w:themeTint="99"/>
      </w:tblBorders>
    </w:tblPr>
    <w:tblStylePr w:type="firstRow">
      <w:rPr>
        <w:b/>
        <w:bCs/>
        <w:color w:val="FFFFFF" w:themeColor="background1"/>
      </w:rPr>
      <w:tblPr/>
      <w:tcPr>
        <w:tcBorders>
          <w:top w:val="single" w:sz="4" w:space="0" w:color="364D79" w:themeColor="accent1"/>
          <w:left w:val="single" w:sz="4" w:space="0" w:color="364D79" w:themeColor="accent1"/>
          <w:bottom w:val="single" w:sz="4" w:space="0" w:color="364D79" w:themeColor="accent1"/>
          <w:right w:val="single" w:sz="4" w:space="0" w:color="364D79" w:themeColor="accent1"/>
          <w:insideH w:val="nil"/>
          <w:insideV w:val="nil"/>
        </w:tcBorders>
        <w:shd w:val="clear" w:color="auto" w:fill="364D79" w:themeFill="accent1"/>
      </w:tcPr>
    </w:tblStylePr>
    <w:tblStylePr w:type="lastRow">
      <w:rPr>
        <w:b/>
        <w:bCs/>
      </w:rPr>
      <w:tblPr/>
      <w:tcPr>
        <w:tcBorders>
          <w:top w:val="double" w:sz="4" w:space="0" w:color="364D79" w:themeColor="accent1"/>
        </w:tcBorders>
      </w:tcPr>
    </w:tblStylePr>
    <w:tblStylePr w:type="firstCol">
      <w:rPr>
        <w:b/>
        <w:bCs/>
      </w:rPr>
    </w:tblStylePr>
    <w:tblStylePr w:type="lastCol">
      <w:rPr>
        <w:b/>
        <w:bCs/>
      </w:rPr>
    </w:tblStylePr>
    <w:tblStylePr w:type="band1Vert">
      <w:tblPr/>
      <w:tcPr>
        <w:shd w:val="clear" w:color="auto" w:fill="D0D9EA" w:themeFill="accent1" w:themeFillTint="33"/>
      </w:tcPr>
    </w:tblStylePr>
    <w:tblStylePr w:type="band1Horz">
      <w:tblPr/>
      <w:tcPr>
        <w:shd w:val="clear" w:color="auto" w:fill="D0D9EA" w:themeFill="accent1" w:themeFillTint="33"/>
      </w:tcPr>
    </w:tblStylePr>
  </w:style>
  <w:style w:type="paragraph" w:customStyle="1" w:styleId="Figure">
    <w:name w:val="Figure"/>
    <w:basedOn w:val="Normal"/>
    <w:next w:val="Normal"/>
    <w:qFormat/>
    <w:rsid w:val="001F0BD5"/>
    <w:pPr>
      <w:keepNext/>
      <w:spacing w:before="120" w:line="240" w:lineRule="auto"/>
    </w:pPr>
    <w:rPr>
      <w:rFonts w:ascii="Segoe UI" w:hAnsi="Segoe UI"/>
      <w:b/>
      <w:sz w:val="20"/>
      <w:szCs w:val="20"/>
      <w:lang w:val="en-NZ" w:eastAsia="en-GB"/>
    </w:rPr>
  </w:style>
  <w:style w:type="table" w:styleId="GridTable3-Accent1">
    <w:name w:val="Grid Table 3 Accent 1"/>
    <w:basedOn w:val="TableNormal"/>
    <w:uiPriority w:val="48"/>
    <w:rsid w:val="00413642"/>
    <w:tblPr>
      <w:tblStyleRowBandSize w:val="1"/>
      <w:tblStyleColBandSize w:val="1"/>
      <w:tblBorders>
        <w:top w:val="single" w:sz="4" w:space="0" w:color="748EC1" w:themeColor="accent1" w:themeTint="99"/>
        <w:left w:val="single" w:sz="4" w:space="0" w:color="748EC1" w:themeColor="accent1" w:themeTint="99"/>
        <w:bottom w:val="single" w:sz="4" w:space="0" w:color="748EC1" w:themeColor="accent1" w:themeTint="99"/>
        <w:right w:val="single" w:sz="4" w:space="0" w:color="748EC1" w:themeColor="accent1" w:themeTint="99"/>
        <w:insideH w:val="single" w:sz="4" w:space="0" w:color="748EC1" w:themeColor="accent1" w:themeTint="99"/>
        <w:insideV w:val="single" w:sz="4" w:space="0" w:color="748EC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9EA" w:themeFill="accent1" w:themeFillTint="33"/>
      </w:tcPr>
    </w:tblStylePr>
    <w:tblStylePr w:type="band1Horz">
      <w:tblPr/>
      <w:tcPr>
        <w:shd w:val="clear" w:color="auto" w:fill="D0D9EA" w:themeFill="accent1" w:themeFillTint="33"/>
      </w:tcPr>
    </w:tblStylePr>
    <w:tblStylePr w:type="neCell">
      <w:tblPr/>
      <w:tcPr>
        <w:tcBorders>
          <w:bottom w:val="single" w:sz="4" w:space="0" w:color="748EC1" w:themeColor="accent1" w:themeTint="99"/>
        </w:tcBorders>
      </w:tcPr>
    </w:tblStylePr>
    <w:tblStylePr w:type="nwCell">
      <w:tblPr/>
      <w:tcPr>
        <w:tcBorders>
          <w:bottom w:val="single" w:sz="4" w:space="0" w:color="748EC1" w:themeColor="accent1" w:themeTint="99"/>
        </w:tcBorders>
      </w:tcPr>
    </w:tblStylePr>
    <w:tblStylePr w:type="seCell">
      <w:tblPr/>
      <w:tcPr>
        <w:tcBorders>
          <w:top w:val="single" w:sz="4" w:space="0" w:color="748EC1" w:themeColor="accent1" w:themeTint="99"/>
        </w:tcBorders>
      </w:tcPr>
    </w:tblStylePr>
    <w:tblStylePr w:type="swCell">
      <w:tblPr/>
      <w:tcPr>
        <w:tcBorders>
          <w:top w:val="single" w:sz="4" w:space="0" w:color="748EC1" w:themeColor="accent1" w:themeTint="99"/>
        </w:tcBorders>
      </w:tcPr>
    </w:tblStylePr>
  </w:style>
  <w:style w:type="table" w:styleId="GridTable2-Accent3">
    <w:name w:val="Grid Table 2 Accent 3"/>
    <w:basedOn w:val="TableNormal"/>
    <w:uiPriority w:val="47"/>
    <w:rsid w:val="00413642"/>
    <w:tblPr>
      <w:tblStyleRowBandSize w:val="1"/>
      <w:tblStyleColBandSize w:val="1"/>
      <w:tblBorders>
        <w:top w:val="single" w:sz="2" w:space="0" w:color="A8ABBB" w:themeColor="accent3" w:themeTint="99"/>
        <w:bottom w:val="single" w:sz="2" w:space="0" w:color="A8ABBB" w:themeColor="accent3" w:themeTint="99"/>
        <w:insideH w:val="single" w:sz="2" w:space="0" w:color="A8ABBB" w:themeColor="accent3" w:themeTint="99"/>
        <w:insideV w:val="single" w:sz="2" w:space="0" w:color="A8ABBB" w:themeColor="accent3" w:themeTint="99"/>
      </w:tblBorders>
    </w:tblPr>
    <w:tblStylePr w:type="firstRow">
      <w:rPr>
        <w:b/>
        <w:bCs/>
      </w:rPr>
      <w:tblPr/>
      <w:tcPr>
        <w:tcBorders>
          <w:top w:val="nil"/>
          <w:bottom w:val="single" w:sz="12" w:space="0" w:color="A8ABBB" w:themeColor="accent3" w:themeTint="99"/>
          <w:insideH w:val="nil"/>
          <w:insideV w:val="nil"/>
        </w:tcBorders>
        <w:shd w:val="clear" w:color="auto" w:fill="FFFFFF" w:themeFill="background1"/>
      </w:tcPr>
    </w:tblStylePr>
    <w:tblStylePr w:type="lastRow">
      <w:rPr>
        <w:b/>
        <w:bCs/>
      </w:rPr>
      <w:tblPr/>
      <w:tcPr>
        <w:tcBorders>
          <w:top w:val="double" w:sz="2" w:space="0" w:color="A8AB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3E8" w:themeFill="accent3" w:themeFillTint="33"/>
      </w:tcPr>
    </w:tblStylePr>
    <w:tblStylePr w:type="band1Horz">
      <w:tblPr/>
      <w:tcPr>
        <w:shd w:val="clear" w:color="auto" w:fill="E2E3E8" w:themeFill="accent3" w:themeFillTint="33"/>
      </w:tcPr>
    </w:tblStylePr>
  </w:style>
  <w:style w:type="table" w:styleId="GridTable2-Accent5">
    <w:name w:val="Grid Table 2 Accent 5"/>
    <w:basedOn w:val="TableNormal"/>
    <w:uiPriority w:val="47"/>
    <w:rsid w:val="00413642"/>
    <w:tblPr>
      <w:tblStyleRowBandSize w:val="1"/>
      <w:tblStyleColBandSize w:val="1"/>
      <w:tblBorders>
        <w:top w:val="single" w:sz="2" w:space="0" w:color="BCBECA" w:themeColor="accent5" w:themeTint="99"/>
        <w:bottom w:val="single" w:sz="2" w:space="0" w:color="BCBECA" w:themeColor="accent5" w:themeTint="99"/>
        <w:insideH w:val="single" w:sz="2" w:space="0" w:color="BCBECA" w:themeColor="accent5" w:themeTint="99"/>
        <w:insideV w:val="single" w:sz="2" w:space="0" w:color="BCBECA" w:themeColor="accent5" w:themeTint="99"/>
      </w:tblBorders>
    </w:tblPr>
    <w:tblStylePr w:type="firstRow">
      <w:rPr>
        <w:b/>
        <w:bCs/>
      </w:rPr>
      <w:tblPr/>
      <w:tcPr>
        <w:tcBorders>
          <w:top w:val="nil"/>
          <w:bottom w:val="single" w:sz="12" w:space="0" w:color="BCBECA" w:themeColor="accent5" w:themeTint="99"/>
          <w:insideH w:val="nil"/>
          <w:insideV w:val="nil"/>
        </w:tcBorders>
        <w:shd w:val="clear" w:color="auto" w:fill="FFFFFF" w:themeFill="background1"/>
      </w:tcPr>
    </w:tblStylePr>
    <w:tblStylePr w:type="lastRow">
      <w:rPr>
        <w:b/>
        <w:bCs/>
      </w:rPr>
      <w:tblPr/>
      <w:tcPr>
        <w:tcBorders>
          <w:top w:val="double" w:sz="2" w:space="0" w:color="BCBEC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9ED" w:themeFill="accent5" w:themeFillTint="33"/>
      </w:tcPr>
    </w:tblStylePr>
    <w:tblStylePr w:type="band1Horz">
      <w:tblPr/>
      <w:tcPr>
        <w:shd w:val="clear" w:color="auto" w:fill="E8E9ED" w:themeFill="accent5" w:themeFillTint="33"/>
      </w:tcPr>
    </w:tblStylePr>
  </w:style>
  <w:style w:type="table" w:styleId="GridTable2-Accent1">
    <w:name w:val="Grid Table 2 Accent 1"/>
    <w:basedOn w:val="TableNormal"/>
    <w:uiPriority w:val="47"/>
    <w:rsid w:val="00413642"/>
    <w:tblPr>
      <w:tblStyleRowBandSize w:val="1"/>
      <w:tblStyleColBandSize w:val="1"/>
      <w:tblBorders>
        <w:top w:val="single" w:sz="2" w:space="0" w:color="748EC1" w:themeColor="accent1" w:themeTint="99"/>
        <w:bottom w:val="single" w:sz="2" w:space="0" w:color="748EC1" w:themeColor="accent1" w:themeTint="99"/>
        <w:insideH w:val="single" w:sz="2" w:space="0" w:color="748EC1" w:themeColor="accent1" w:themeTint="99"/>
        <w:insideV w:val="single" w:sz="2" w:space="0" w:color="748EC1" w:themeColor="accent1" w:themeTint="99"/>
      </w:tblBorders>
    </w:tblPr>
    <w:tblStylePr w:type="firstRow">
      <w:rPr>
        <w:b/>
        <w:bCs/>
      </w:rPr>
      <w:tblPr/>
      <w:tcPr>
        <w:tcBorders>
          <w:top w:val="nil"/>
          <w:bottom w:val="single" w:sz="12" w:space="0" w:color="748EC1" w:themeColor="accent1" w:themeTint="99"/>
          <w:insideH w:val="nil"/>
          <w:insideV w:val="nil"/>
        </w:tcBorders>
        <w:shd w:val="clear" w:color="auto" w:fill="FFFFFF" w:themeFill="background1"/>
      </w:tcPr>
    </w:tblStylePr>
    <w:tblStylePr w:type="lastRow">
      <w:rPr>
        <w:b/>
        <w:bCs/>
      </w:rPr>
      <w:tblPr/>
      <w:tcPr>
        <w:tcBorders>
          <w:top w:val="double" w:sz="2" w:space="0" w:color="748EC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9EA" w:themeFill="accent1" w:themeFillTint="33"/>
      </w:tcPr>
    </w:tblStylePr>
    <w:tblStylePr w:type="band1Horz">
      <w:tblPr/>
      <w:tcPr>
        <w:shd w:val="clear" w:color="auto" w:fill="D0D9EA" w:themeFill="accent1" w:themeFillTint="33"/>
      </w:tcPr>
    </w:tblStylePr>
  </w:style>
  <w:style w:type="table" w:styleId="GridTable5Dark-Accent1">
    <w:name w:val="Grid Table 5 Dark Accent 1"/>
    <w:basedOn w:val="TableNormal"/>
    <w:uiPriority w:val="50"/>
    <w:rsid w:val="00420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4D7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4D7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4D7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4D79" w:themeFill="accent1"/>
      </w:tcPr>
    </w:tblStylePr>
    <w:tblStylePr w:type="band1Vert">
      <w:tblPr/>
      <w:tcPr>
        <w:shd w:val="clear" w:color="auto" w:fill="A2B3D5" w:themeFill="accent1" w:themeFillTint="66"/>
      </w:tcPr>
    </w:tblStylePr>
    <w:tblStylePr w:type="band1Horz">
      <w:tblPr/>
      <w:tcPr>
        <w:shd w:val="clear" w:color="auto" w:fill="A2B3D5" w:themeFill="accent1" w:themeFillTint="66"/>
      </w:tcPr>
    </w:tblStylePr>
  </w:style>
  <w:style w:type="paragraph" w:customStyle="1" w:styleId="pf0">
    <w:name w:val="pf0"/>
    <w:basedOn w:val="Normal"/>
    <w:rsid w:val="0056541C"/>
    <w:pPr>
      <w:spacing w:before="100" w:beforeAutospacing="1" w:after="100" w:afterAutospacing="1" w:line="240" w:lineRule="auto"/>
    </w:pPr>
    <w:rPr>
      <w:rFonts w:ascii="Times New Roman" w:hAnsi="Times New Roman"/>
      <w:sz w:val="24"/>
      <w:szCs w:val="24"/>
      <w:lang w:val="en-US" w:eastAsia="en-US"/>
    </w:rPr>
  </w:style>
  <w:style w:type="character" w:customStyle="1" w:styleId="cf01">
    <w:name w:val="cf01"/>
    <w:basedOn w:val="DefaultParagraphFont"/>
    <w:rsid w:val="0056541C"/>
    <w:rPr>
      <w:rFonts w:ascii="Segoe UI" w:hAnsi="Segoe UI" w:cs="Segoe UI" w:hint="default"/>
      <w:sz w:val="18"/>
      <w:szCs w:val="18"/>
    </w:rPr>
  </w:style>
  <w:style w:type="character" w:customStyle="1" w:styleId="apple-converted-space">
    <w:name w:val="apple-converted-space"/>
    <w:basedOn w:val="DefaultParagraphFont"/>
    <w:rsid w:val="00D27F44"/>
  </w:style>
  <w:style w:type="character" w:customStyle="1" w:styleId="cf11">
    <w:name w:val="cf11"/>
    <w:basedOn w:val="DefaultParagraphFont"/>
    <w:rsid w:val="007D6430"/>
    <w:rPr>
      <w:rFonts w:ascii="Calibri" w:hAnsi="Calibri" w:cs="Calibri" w:hint="default"/>
      <w:sz w:val="22"/>
      <w:szCs w:val="22"/>
    </w:rPr>
  </w:style>
  <w:style w:type="paragraph" w:styleId="EndnoteText">
    <w:name w:val="endnote text"/>
    <w:basedOn w:val="Normal"/>
    <w:link w:val="EndnoteTextChar"/>
    <w:uiPriority w:val="99"/>
    <w:semiHidden/>
    <w:unhideWhenUsed/>
    <w:rsid w:val="000D357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D3570"/>
    <w:rPr>
      <w:rFonts w:ascii="Calibri" w:hAnsi="Calibri"/>
      <w:sz w:val="20"/>
      <w:szCs w:val="20"/>
      <w:lang w:val="mi-NZ"/>
    </w:rPr>
  </w:style>
  <w:style w:type="character" w:styleId="EndnoteReference">
    <w:name w:val="endnote reference"/>
    <w:basedOn w:val="DefaultParagraphFont"/>
    <w:uiPriority w:val="99"/>
    <w:semiHidden/>
    <w:unhideWhenUsed/>
    <w:rsid w:val="000D3570"/>
    <w:rPr>
      <w:vertAlign w:val="superscript"/>
    </w:rPr>
  </w:style>
  <w:style w:type="paragraph" w:styleId="Quote">
    <w:name w:val="Quote"/>
    <w:basedOn w:val="Normal"/>
    <w:next w:val="Normal"/>
    <w:link w:val="QuoteChar"/>
    <w:uiPriority w:val="29"/>
    <w:qFormat/>
    <w:rsid w:val="00D76219"/>
    <w:pPr>
      <w:spacing w:before="120" w:after="0" w:line="240" w:lineRule="auto"/>
      <w:ind w:left="284" w:right="284"/>
    </w:pPr>
    <w:rPr>
      <w:rFonts w:ascii="Segoe UI" w:hAnsi="Segoe UI"/>
      <w:sz w:val="21"/>
      <w:szCs w:val="20"/>
      <w:lang w:val="en-NZ" w:eastAsia="en-GB"/>
    </w:rPr>
  </w:style>
  <w:style w:type="character" w:customStyle="1" w:styleId="QuoteChar">
    <w:name w:val="Quote Char"/>
    <w:basedOn w:val="DefaultParagraphFont"/>
    <w:link w:val="Quote"/>
    <w:uiPriority w:val="29"/>
    <w:rsid w:val="00D76219"/>
    <w:rPr>
      <w:rFonts w:ascii="Segoe UI" w:hAnsi="Segoe UI"/>
      <w:sz w:val="21"/>
      <w:szCs w:val="20"/>
      <w:lang w:eastAsia="en-GB"/>
    </w:rPr>
  </w:style>
  <w:style w:type="character" w:customStyle="1" w:styleId="ListParagraphChar">
    <w:name w:val="List Paragraph Char"/>
    <w:aliases w:val="Recommendation Char,standard lewis Char,List Paragraph1 Char,List Paragraph numbered Char,List Bullet indent Char,Body Char,Level 3 Char,Rec para Char,List 1 Char,Other List Char,FooterText Char,numbered Char,列出段落 Char,列出段落1 Char"/>
    <w:basedOn w:val="DefaultParagraphFont"/>
    <w:link w:val="ListParagraph"/>
    <w:uiPriority w:val="34"/>
    <w:qFormat/>
    <w:rsid w:val="00AB47C4"/>
    <w:rPr>
      <w:rFonts w:ascii="Calibri" w:hAnsi="Calibri"/>
      <w:sz w:val="22"/>
      <w:szCs w:val="22"/>
      <w:lang w:val="mi-NZ"/>
    </w:rPr>
  </w:style>
  <w:style w:type="paragraph" w:customStyle="1" w:styleId="pf1">
    <w:name w:val="pf1"/>
    <w:basedOn w:val="Normal"/>
    <w:rsid w:val="00DF2AE2"/>
    <w:pPr>
      <w:spacing w:before="100" w:beforeAutospacing="1" w:after="100" w:afterAutospacing="1" w:line="240" w:lineRule="auto"/>
    </w:pPr>
    <w:rPr>
      <w:rFonts w:ascii="Times New Roman" w:hAnsi="Times New Roman"/>
      <w:sz w:val="24"/>
      <w:szCs w:val="24"/>
      <w:lang w:val="en-US" w:eastAsia="en-US"/>
    </w:rPr>
  </w:style>
  <w:style w:type="character" w:customStyle="1" w:styleId="cf21">
    <w:name w:val="cf21"/>
    <w:basedOn w:val="DefaultParagraphFont"/>
    <w:rsid w:val="00DF2A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5">
      <w:bodyDiv w:val="1"/>
      <w:marLeft w:val="0"/>
      <w:marRight w:val="0"/>
      <w:marTop w:val="0"/>
      <w:marBottom w:val="0"/>
      <w:divBdr>
        <w:top w:val="none" w:sz="0" w:space="0" w:color="auto"/>
        <w:left w:val="none" w:sz="0" w:space="0" w:color="auto"/>
        <w:bottom w:val="none" w:sz="0" w:space="0" w:color="auto"/>
        <w:right w:val="none" w:sz="0" w:space="0" w:color="auto"/>
      </w:divBdr>
    </w:div>
    <w:div w:id="1318795">
      <w:bodyDiv w:val="1"/>
      <w:marLeft w:val="0"/>
      <w:marRight w:val="0"/>
      <w:marTop w:val="0"/>
      <w:marBottom w:val="0"/>
      <w:divBdr>
        <w:top w:val="none" w:sz="0" w:space="0" w:color="auto"/>
        <w:left w:val="none" w:sz="0" w:space="0" w:color="auto"/>
        <w:bottom w:val="none" w:sz="0" w:space="0" w:color="auto"/>
        <w:right w:val="none" w:sz="0" w:space="0" w:color="auto"/>
      </w:divBdr>
    </w:div>
    <w:div w:id="8800020">
      <w:bodyDiv w:val="1"/>
      <w:marLeft w:val="0"/>
      <w:marRight w:val="0"/>
      <w:marTop w:val="0"/>
      <w:marBottom w:val="0"/>
      <w:divBdr>
        <w:top w:val="none" w:sz="0" w:space="0" w:color="auto"/>
        <w:left w:val="none" w:sz="0" w:space="0" w:color="auto"/>
        <w:bottom w:val="none" w:sz="0" w:space="0" w:color="auto"/>
        <w:right w:val="none" w:sz="0" w:space="0" w:color="auto"/>
      </w:divBdr>
    </w:div>
    <w:div w:id="38094391">
      <w:bodyDiv w:val="1"/>
      <w:marLeft w:val="0"/>
      <w:marRight w:val="0"/>
      <w:marTop w:val="0"/>
      <w:marBottom w:val="0"/>
      <w:divBdr>
        <w:top w:val="none" w:sz="0" w:space="0" w:color="auto"/>
        <w:left w:val="none" w:sz="0" w:space="0" w:color="auto"/>
        <w:bottom w:val="none" w:sz="0" w:space="0" w:color="auto"/>
        <w:right w:val="none" w:sz="0" w:space="0" w:color="auto"/>
      </w:divBdr>
    </w:div>
    <w:div w:id="41177941">
      <w:bodyDiv w:val="1"/>
      <w:marLeft w:val="0"/>
      <w:marRight w:val="0"/>
      <w:marTop w:val="0"/>
      <w:marBottom w:val="0"/>
      <w:divBdr>
        <w:top w:val="none" w:sz="0" w:space="0" w:color="auto"/>
        <w:left w:val="none" w:sz="0" w:space="0" w:color="auto"/>
        <w:bottom w:val="none" w:sz="0" w:space="0" w:color="auto"/>
        <w:right w:val="none" w:sz="0" w:space="0" w:color="auto"/>
      </w:divBdr>
    </w:div>
    <w:div w:id="45104677">
      <w:bodyDiv w:val="1"/>
      <w:marLeft w:val="0"/>
      <w:marRight w:val="0"/>
      <w:marTop w:val="0"/>
      <w:marBottom w:val="0"/>
      <w:divBdr>
        <w:top w:val="none" w:sz="0" w:space="0" w:color="auto"/>
        <w:left w:val="none" w:sz="0" w:space="0" w:color="auto"/>
        <w:bottom w:val="none" w:sz="0" w:space="0" w:color="auto"/>
        <w:right w:val="none" w:sz="0" w:space="0" w:color="auto"/>
      </w:divBdr>
    </w:div>
    <w:div w:id="56897964">
      <w:bodyDiv w:val="1"/>
      <w:marLeft w:val="0"/>
      <w:marRight w:val="0"/>
      <w:marTop w:val="0"/>
      <w:marBottom w:val="0"/>
      <w:divBdr>
        <w:top w:val="none" w:sz="0" w:space="0" w:color="auto"/>
        <w:left w:val="none" w:sz="0" w:space="0" w:color="auto"/>
        <w:bottom w:val="none" w:sz="0" w:space="0" w:color="auto"/>
        <w:right w:val="none" w:sz="0" w:space="0" w:color="auto"/>
      </w:divBdr>
    </w:div>
    <w:div w:id="74712905">
      <w:bodyDiv w:val="1"/>
      <w:marLeft w:val="0"/>
      <w:marRight w:val="0"/>
      <w:marTop w:val="0"/>
      <w:marBottom w:val="0"/>
      <w:divBdr>
        <w:top w:val="none" w:sz="0" w:space="0" w:color="auto"/>
        <w:left w:val="none" w:sz="0" w:space="0" w:color="auto"/>
        <w:bottom w:val="none" w:sz="0" w:space="0" w:color="auto"/>
        <w:right w:val="none" w:sz="0" w:space="0" w:color="auto"/>
      </w:divBdr>
    </w:div>
    <w:div w:id="80372214">
      <w:bodyDiv w:val="1"/>
      <w:marLeft w:val="0"/>
      <w:marRight w:val="0"/>
      <w:marTop w:val="0"/>
      <w:marBottom w:val="0"/>
      <w:divBdr>
        <w:top w:val="none" w:sz="0" w:space="0" w:color="auto"/>
        <w:left w:val="none" w:sz="0" w:space="0" w:color="auto"/>
        <w:bottom w:val="none" w:sz="0" w:space="0" w:color="auto"/>
        <w:right w:val="none" w:sz="0" w:space="0" w:color="auto"/>
      </w:divBdr>
    </w:div>
    <w:div w:id="85929792">
      <w:bodyDiv w:val="1"/>
      <w:marLeft w:val="0"/>
      <w:marRight w:val="0"/>
      <w:marTop w:val="0"/>
      <w:marBottom w:val="0"/>
      <w:divBdr>
        <w:top w:val="none" w:sz="0" w:space="0" w:color="auto"/>
        <w:left w:val="none" w:sz="0" w:space="0" w:color="auto"/>
        <w:bottom w:val="none" w:sz="0" w:space="0" w:color="auto"/>
        <w:right w:val="none" w:sz="0" w:space="0" w:color="auto"/>
      </w:divBdr>
    </w:div>
    <w:div w:id="113670597">
      <w:bodyDiv w:val="1"/>
      <w:marLeft w:val="0"/>
      <w:marRight w:val="0"/>
      <w:marTop w:val="0"/>
      <w:marBottom w:val="0"/>
      <w:divBdr>
        <w:top w:val="none" w:sz="0" w:space="0" w:color="auto"/>
        <w:left w:val="none" w:sz="0" w:space="0" w:color="auto"/>
        <w:bottom w:val="none" w:sz="0" w:space="0" w:color="auto"/>
        <w:right w:val="none" w:sz="0" w:space="0" w:color="auto"/>
      </w:divBdr>
    </w:div>
    <w:div w:id="114954201">
      <w:bodyDiv w:val="1"/>
      <w:marLeft w:val="0"/>
      <w:marRight w:val="0"/>
      <w:marTop w:val="0"/>
      <w:marBottom w:val="0"/>
      <w:divBdr>
        <w:top w:val="none" w:sz="0" w:space="0" w:color="auto"/>
        <w:left w:val="none" w:sz="0" w:space="0" w:color="auto"/>
        <w:bottom w:val="none" w:sz="0" w:space="0" w:color="auto"/>
        <w:right w:val="none" w:sz="0" w:space="0" w:color="auto"/>
      </w:divBdr>
    </w:div>
    <w:div w:id="136730837">
      <w:bodyDiv w:val="1"/>
      <w:marLeft w:val="0"/>
      <w:marRight w:val="0"/>
      <w:marTop w:val="0"/>
      <w:marBottom w:val="0"/>
      <w:divBdr>
        <w:top w:val="none" w:sz="0" w:space="0" w:color="auto"/>
        <w:left w:val="none" w:sz="0" w:space="0" w:color="auto"/>
        <w:bottom w:val="none" w:sz="0" w:space="0" w:color="auto"/>
        <w:right w:val="none" w:sz="0" w:space="0" w:color="auto"/>
      </w:divBdr>
    </w:div>
    <w:div w:id="139226656">
      <w:bodyDiv w:val="1"/>
      <w:marLeft w:val="0"/>
      <w:marRight w:val="0"/>
      <w:marTop w:val="0"/>
      <w:marBottom w:val="0"/>
      <w:divBdr>
        <w:top w:val="none" w:sz="0" w:space="0" w:color="auto"/>
        <w:left w:val="none" w:sz="0" w:space="0" w:color="auto"/>
        <w:bottom w:val="none" w:sz="0" w:space="0" w:color="auto"/>
        <w:right w:val="none" w:sz="0" w:space="0" w:color="auto"/>
      </w:divBdr>
    </w:div>
    <w:div w:id="147063047">
      <w:bodyDiv w:val="1"/>
      <w:marLeft w:val="0"/>
      <w:marRight w:val="0"/>
      <w:marTop w:val="0"/>
      <w:marBottom w:val="0"/>
      <w:divBdr>
        <w:top w:val="none" w:sz="0" w:space="0" w:color="auto"/>
        <w:left w:val="none" w:sz="0" w:space="0" w:color="auto"/>
        <w:bottom w:val="none" w:sz="0" w:space="0" w:color="auto"/>
        <w:right w:val="none" w:sz="0" w:space="0" w:color="auto"/>
      </w:divBdr>
    </w:div>
    <w:div w:id="163206288">
      <w:bodyDiv w:val="1"/>
      <w:marLeft w:val="0"/>
      <w:marRight w:val="0"/>
      <w:marTop w:val="0"/>
      <w:marBottom w:val="0"/>
      <w:divBdr>
        <w:top w:val="none" w:sz="0" w:space="0" w:color="auto"/>
        <w:left w:val="none" w:sz="0" w:space="0" w:color="auto"/>
        <w:bottom w:val="none" w:sz="0" w:space="0" w:color="auto"/>
        <w:right w:val="none" w:sz="0" w:space="0" w:color="auto"/>
      </w:divBdr>
    </w:div>
    <w:div w:id="163446898">
      <w:bodyDiv w:val="1"/>
      <w:marLeft w:val="0"/>
      <w:marRight w:val="0"/>
      <w:marTop w:val="0"/>
      <w:marBottom w:val="0"/>
      <w:divBdr>
        <w:top w:val="none" w:sz="0" w:space="0" w:color="auto"/>
        <w:left w:val="none" w:sz="0" w:space="0" w:color="auto"/>
        <w:bottom w:val="none" w:sz="0" w:space="0" w:color="auto"/>
        <w:right w:val="none" w:sz="0" w:space="0" w:color="auto"/>
      </w:divBdr>
    </w:div>
    <w:div w:id="166219149">
      <w:bodyDiv w:val="1"/>
      <w:marLeft w:val="0"/>
      <w:marRight w:val="0"/>
      <w:marTop w:val="0"/>
      <w:marBottom w:val="0"/>
      <w:divBdr>
        <w:top w:val="none" w:sz="0" w:space="0" w:color="auto"/>
        <w:left w:val="none" w:sz="0" w:space="0" w:color="auto"/>
        <w:bottom w:val="none" w:sz="0" w:space="0" w:color="auto"/>
        <w:right w:val="none" w:sz="0" w:space="0" w:color="auto"/>
      </w:divBdr>
    </w:div>
    <w:div w:id="167714349">
      <w:bodyDiv w:val="1"/>
      <w:marLeft w:val="0"/>
      <w:marRight w:val="0"/>
      <w:marTop w:val="0"/>
      <w:marBottom w:val="0"/>
      <w:divBdr>
        <w:top w:val="none" w:sz="0" w:space="0" w:color="auto"/>
        <w:left w:val="none" w:sz="0" w:space="0" w:color="auto"/>
        <w:bottom w:val="none" w:sz="0" w:space="0" w:color="auto"/>
        <w:right w:val="none" w:sz="0" w:space="0" w:color="auto"/>
      </w:divBdr>
    </w:div>
    <w:div w:id="169564340">
      <w:bodyDiv w:val="1"/>
      <w:marLeft w:val="0"/>
      <w:marRight w:val="0"/>
      <w:marTop w:val="0"/>
      <w:marBottom w:val="0"/>
      <w:divBdr>
        <w:top w:val="none" w:sz="0" w:space="0" w:color="auto"/>
        <w:left w:val="none" w:sz="0" w:space="0" w:color="auto"/>
        <w:bottom w:val="none" w:sz="0" w:space="0" w:color="auto"/>
        <w:right w:val="none" w:sz="0" w:space="0" w:color="auto"/>
      </w:divBdr>
    </w:div>
    <w:div w:id="174996607">
      <w:bodyDiv w:val="1"/>
      <w:marLeft w:val="0"/>
      <w:marRight w:val="0"/>
      <w:marTop w:val="0"/>
      <w:marBottom w:val="0"/>
      <w:divBdr>
        <w:top w:val="none" w:sz="0" w:space="0" w:color="auto"/>
        <w:left w:val="none" w:sz="0" w:space="0" w:color="auto"/>
        <w:bottom w:val="none" w:sz="0" w:space="0" w:color="auto"/>
        <w:right w:val="none" w:sz="0" w:space="0" w:color="auto"/>
      </w:divBdr>
    </w:div>
    <w:div w:id="192235557">
      <w:bodyDiv w:val="1"/>
      <w:marLeft w:val="0"/>
      <w:marRight w:val="0"/>
      <w:marTop w:val="0"/>
      <w:marBottom w:val="0"/>
      <w:divBdr>
        <w:top w:val="none" w:sz="0" w:space="0" w:color="auto"/>
        <w:left w:val="none" w:sz="0" w:space="0" w:color="auto"/>
        <w:bottom w:val="none" w:sz="0" w:space="0" w:color="auto"/>
        <w:right w:val="none" w:sz="0" w:space="0" w:color="auto"/>
      </w:divBdr>
    </w:div>
    <w:div w:id="232131728">
      <w:bodyDiv w:val="1"/>
      <w:marLeft w:val="0"/>
      <w:marRight w:val="0"/>
      <w:marTop w:val="0"/>
      <w:marBottom w:val="0"/>
      <w:divBdr>
        <w:top w:val="none" w:sz="0" w:space="0" w:color="auto"/>
        <w:left w:val="none" w:sz="0" w:space="0" w:color="auto"/>
        <w:bottom w:val="none" w:sz="0" w:space="0" w:color="auto"/>
        <w:right w:val="none" w:sz="0" w:space="0" w:color="auto"/>
      </w:divBdr>
    </w:div>
    <w:div w:id="243759656">
      <w:bodyDiv w:val="1"/>
      <w:marLeft w:val="0"/>
      <w:marRight w:val="0"/>
      <w:marTop w:val="0"/>
      <w:marBottom w:val="0"/>
      <w:divBdr>
        <w:top w:val="none" w:sz="0" w:space="0" w:color="auto"/>
        <w:left w:val="none" w:sz="0" w:space="0" w:color="auto"/>
        <w:bottom w:val="none" w:sz="0" w:space="0" w:color="auto"/>
        <w:right w:val="none" w:sz="0" w:space="0" w:color="auto"/>
      </w:divBdr>
    </w:div>
    <w:div w:id="247613574">
      <w:bodyDiv w:val="1"/>
      <w:marLeft w:val="0"/>
      <w:marRight w:val="0"/>
      <w:marTop w:val="0"/>
      <w:marBottom w:val="0"/>
      <w:divBdr>
        <w:top w:val="none" w:sz="0" w:space="0" w:color="auto"/>
        <w:left w:val="none" w:sz="0" w:space="0" w:color="auto"/>
        <w:bottom w:val="none" w:sz="0" w:space="0" w:color="auto"/>
        <w:right w:val="none" w:sz="0" w:space="0" w:color="auto"/>
      </w:divBdr>
    </w:div>
    <w:div w:id="273513894">
      <w:bodyDiv w:val="1"/>
      <w:marLeft w:val="0"/>
      <w:marRight w:val="0"/>
      <w:marTop w:val="0"/>
      <w:marBottom w:val="0"/>
      <w:divBdr>
        <w:top w:val="none" w:sz="0" w:space="0" w:color="auto"/>
        <w:left w:val="none" w:sz="0" w:space="0" w:color="auto"/>
        <w:bottom w:val="none" w:sz="0" w:space="0" w:color="auto"/>
        <w:right w:val="none" w:sz="0" w:space="0" w:color="auto"/>
      </w:divBdr>
    </w:div>
    <w:div w:id="306328021">
      <w:bodyDiv w:val="1"/>
      <w:marLeft w:val="0"/>
      <w:marRight w:val="0"/>
      <w:marTop w:val="0"/>
      <w:marBottom w:val="0"/>
      <w:divBdr>
        <w:top w:val="none" w:sz="0" w:space="0" w:color="auto"/>
        <w:left w:val="none" w:sz="0" w:space="0" w:color="auto"/>
        <w:bottom w:val="none" w:sz="0" w:space="0" w:color="auto"/>
        <w:right w:val="none" w:sz="0" w:space="0" w:color="auto"/>
      </w:divBdr>
    </w:div>
    <w:div w:id="314530776">
      <w:bodyDiv w:val="1"/>
      <w:marLeft w:val="0"/>
      <w:marRight w:val="0"/>
      <w:marTop w:val="0"/>
      <w:marBottom w:val="0"/>
      <w:divBdr>
        <w:top w:val="none" w:sz="0" w:space="0" w:color="auto"/>
        <w:left w:val="none" w:sz="0" w:space="0" w:color="auto"/>
        <w:bottom w:val="none" w:sz="0" w:space="0" w:color="auto"/>
        <w:right w:val="none" w:sz="0" w:space="0" w:color="auto"/>
      </w:divBdr>
    </w:div>
    <w:div w:id="316108199">
      <w:bodyDiv w:val="1"/>
      <w:marLeft w:val="0"/>
      <w:marRight w:val="0"/>
      <w:marTop w:val="0"/>
      <w:marBottom w:val="0"/>
      <w:divBdr>
        <w:top w:val="none" w:sz="0" w:space="0" w:color="auto"/>
        <w:left w:val="none" w:sz="0" w:space="0" w:color="auto"/>
        <w:bottom w:val="none" w:sz="0" w:space="0" w:color="auto"/>
        <w:right w:val="none" w:sz="0" w:space="0" w:color="auto"/>
      </w:divBdr>
    </w:div>
    <w:div w:id="317880311">
      <w:bodyDiv w:val="1"/>
      <w:marLeft w:val="0"/>
      <w:marRight w:val="0"/>
      <w:marTop w:val="0"/>
      <w:marBottom w:val="0"/>
      <w:divBdr>
        <w:top w:val="none" w:sz="0" w:space="0" w:color="auto"/>
        <w:left w:val="none" w:sz="0" w:space="0" w:color="auto"/>
        <w:bottom w:val="none" w:sz="0" w:space="0" w:color="auto"/>
        <w:right w:val="none" w:sz="0" w:space="0" w:color="auto"/>
      </w:divBdr>
    </w:div>
    <w:div w:id="318701893">
      <w:bodyDiv w:val="1"/>
      <w:marLeft w:val="0"/>
      <w:marRight w:val="0"/>
      <w:marTop w:val="0"/>
      <w:marBottom w:val="0"/>
      <w:divBdr>
        <w:top w:val="none" w:sz="0" w:space="0" w:color="auto"/>
        <w:left w:val="none" w:sz="0" w:space="0" w:color="auto"/>
        <w:bottom w:val="none" w:sz="0" w:space="0" w:color="auto"/>
        <w:right w:val="none" w:sz="0" w:space="0" w:color="auto"/>
      </w:divBdr>
    </w:div>
    <w:div w:id="327639307">
      <w:bodyDiv w:val="1"/>
      <w:marLeft w:val="0"/>
      <w:marRight w:val="0"/>
      <w:marTop w:val="0"/>
      <w:marBottom w:val="0"/>
      <w:divBdr>
        <w:top w:val="none" w:sz="0" w:space="0" w:color="auto"/>
        <w:left w:val="none" w:sz="0" w:space="0" w:color="auto"/>
        <w:bottom w:val="none" w:sz="0" w:space="0" w:color="auto"/>
        <w:right w:val="none" w:sz="0" w:space="0" w:color="auto"/>
      </w:divBdr>
    </w:div>
    <w:div w:id="328826189">
      <w:bodyDiv w:val="1"/>
      <w:marLeft w:val="0"/>
      <w:marRight w:val="0"/>
      <w:marTop w:val="0"/>
      <w:marBottom w:val="0"/>
      <w:divBdr>
        <w:top w:val="none" w:sz="0" w:space="0" w:color="auto"/>
        <w:left w:val="none" w:sz="0" w:space="0" w:color="auto"/>
        <w:bottom w:val="none" w:sz="0" w:space="0" w:color="auto"/>
        <w:right w:val="none" w:sz="0" w:space="0" w:color="auto"/>
      </w:divBdr>
    </w:div>
    <w:div w:id="328949974">
      <w:bodyDiv w:val="1"/>
      <w:marLeft w:val="0"/>
      <w:marRight w:val="0"/>
      <w:marTop w:val="0"/>
      <w:marBottom w:val="0"/>
      <w:divBdr>
        <w:top w:val="none" w:sz="0" w:space="0" w:color="auto"/>
        <w:left w:val="none" w:sz="0" w:space="0" w:color="auto"/>
        <w:bottom w:val="none" w:sz="0" w:space="0" w:color="auto"/>
        <w:right w:val="none" w:sz="0" w:space="0" w:color="auto"/>
      </w:divBdr>
    </w:div>
    <w:div w:id="351416349">
      <w:bodyDiv w:val="1"/>
      <w:marLeft w:val="0"/>
      <w:marRight w:val="0"/>
      <w:marTop w:val="0"/>
      <w:marBottom w:val="0"/>
      <w:divBdr>
        <w:top w:val="none" w:sz="0" w:space="0" w:color="auto"/>
        <w:left w:val="none" w:sz="0" w:space="0" w:color="auto"/>
        <w:bottom w:val="none" w:sz="0" w:space="0" w:color="auto"/>
        <w:right w:val="none" w:sz="0" w:space="0" w:color="auto"/>
      </w:divBdr>
    </w:div>
    <w:div w:id="372001403">
      <w:bodyDiv w:val="1"/>
      <w:marLeft w:val="0"/>
      <w:marRight w:val="0"/>
      <w:marTop w:val="0"/>
      <w:marBottom w:val="0"/>
      <w:divBdr>
        <w:top w:val="none" w:sz="0" w:space="0" w:color="auto"/>
        <w:left w:val="none" w:sz="0" w:space="0" w:color="auto"/>
        <w:bottom w:val="none" w:sz="0" w:space="0" w:color="auto"/>
        <w:right w:val="none" w:sz="0" w:space="0" w:color="auto"/>
      </w:divBdr>
    </w:div>
    <w:div w:id="372970728">
      <w:bodyDiv w:val="1"/>
      <w:marLeft w:val="0"/>
      <w:marRight w:val="0"/>
      <w:marTop w:val="0"/>
      <w:marBottom w:val="0"/>
      <w:divBdr>
        <w:top w:val="none" w:sz="0" w:space="0" w:color="auto"/>
        <w:left w:val="none" w:sz="0" w:space="0" w:color="auto"/>
        <w:bottom w:val="none" w:sz="0" w:space="0" w:color="auto"/>
        <w:right w:val="none" w:sz="0" w:space="0" w:color="auto"/>
      </w:divBdr>
    </w:div>
    <w:div w:id="377439726">
      <w:bodyDiv w:val="1"/>
      <w:marLeft w:val="0"/>
      <w:marRight w:val="0"/>
      <w:marTop w:val="0"/>
      <w:marBottom w:val="0"/>
      <w:divBdr>
        <w:top w:val="none" w:sz="0" w:space="0" w:color="auto"/>
        <w:left w:val="none" w:sz="0" w:space="0" w:color="auto"/>
        <w:bottom w:val="none" w:sz="0" w:space="0" w:color="auto"/>
        <w:right w:val="none" w:sz="0" w:space="0" w:color="auto"/>
      </w:divBdr>
    </w:div>
    <w:div w:id="379288345">
      <w:bodyDiv w:val="1"/>
      <w:marLeft w:val="0"/>
      <w:marRight w:val="0"/>
      <w:marTop w:val="0"/>
      <w:marBottom w:val="0"/>
      <w:divBdr>
        <w:top w:val="none" w:sz="0" w:space="0" w:color="auto"/>
        <w:left w:val="none" w:sz="0" w:space="0" w:color="auto"/>
        <w:bottom w:val="none" w:sz="0" w:space="0" w:color="auto"/>
        <w:right w:val="none" w:sz="0" w:space="0" w:color="auto"/>
      </w:divBdr>
      <w:divsChild>
        <w:div w:id="2130195677">
          <w:marLeft w:val="0"/>
          <w:marRight w:val="0"/>
          <w:marTop w:val="0"/>
          <w:marBottom w:val="0"/>
          <w:divBdr>
            <w:top w:val="none" w:sz="0" w:space="0" w:color="auto"/>
            <w:left w:val="none" w:sz="0" w:space="0" w:color="auto"/>
            <w:bottom w:val="none" w:sz="0" w:space="0" w:color="auto"/>
            <w:right w:val="none" w:sz="0" w:space="0" w:color="auto"/>
          </w:divBdr>
        </w:div>
      </w:divsChild>
    </w:div>
    <w:div w:id="392702607">
      <w:bodyDiv w:val="1"/>
      <w:marLeft w:val="0"/>
      <w:marRight w:val="0"/>
      <w:marTop w:val="0"/>
      <w:marBottom w:val="0"/>
      <w:divBdr>
        <w:top w:val="none" w:sz="0" w:space="0" w:color="auto"/>
        <w:left w:val="none" w:sz="0" w:space="0" w:color="auto"/>
        <w:bottom w:val="none" w:sz="0" w:space="0" w:color="auto"/>
        <w:right w:val="none" w:sz="0" w:space="0" w:color="auto"/>
      </w:divBdr>
    </w:div>
    <w:div w:id="400104938">
      <w:bodyDiv w:val="1"/>
      <w:marLeft w:val="0"/>
      <w:marRight w:val="0"/>
      <w:marTop w:val="0"/>
      <w:marBottom w:val="0"/>
      <w:divBdr>
        <w:top w:val="none" w:sz="0" w:space="0" w:color="auto"/>
        <w:left w:val="none" w:sz="0" w:space="0" w:color="auto"/>
        <w:bottom w:val="none" w:sz="0" w:space="0" w:color="auto"/>
        <w:right w:val="none" w:sz="0" w:space="0" w:color="auto"/>
      </w:divBdr>
    </w:div>
    <w:div w:id="402409869">
      <w:bodyDiv w:val="1"/>
      <w:marLeft w:val="0"/>
      <w:marRight w:val="0"/>
      <w:marTop w:val="0"/>
      <w:marBottom w:val="0"/>
      <w:divBdr>
        <w:top w:val="none" w:sz="0" w:space="0" w:color="auto"/>
        <w:left w:val="none" w:sz="0" w:space="0" w:color="auto"/>
        <w:bottom w:val="none" w:sz="0" w:space="0" w:color="auto"/>
        <w:right w:val="none" w:sz="0" w:space="0" w:color="auto"/>
      </w:divBdr>
    </w:div>
    <w:div w:id="403911728">
      <w:bodyDiv w:val="1"/>
      <w:marLeft w:val="0"/>
      <w:marRight w:val="0"/>
      <w:marTop w:val="0"/>
      <w:marBottom w:val="0"/>
      <w:divBdr>
        <w:top w:val="none" w:sz="0" w:space="0" w:color="auto"/>
        <w:left w:val="none" w:sz="0" w:space="0" w:color="auto"/>
        <w:bottom w:val="none" w:sz="0" w:space="0" w:color="auto"/>
        <w:right w:val="none" w:sz="0" w:space="0" w:color="auto"/>
      </w:divBdr>
    </w:div>
    <w:div w:id="442112372">
      <w:bodyDiv w:val="1"/>
      <w:marLeft w:val="0"/>
      <w:marRight w:val="0"/>
      <w:marTop w:val="0"/>
      <w:marBottom w:val="0"/>
      <w:divBdr>
        <w:top w:val="none" w:sz="0" w:space="0" w:color="auto"/>
        <w:left w:val="none" w:sz="0" w:space="0" w:color="auto"/>
        <w:bottom w:val="none" w:sz="0" w:space="0" w:color="auto"/>
        <w:right w:val="none" w:sz="0" w:space="0" w:color="auto"/>
      </w:divBdr>
    </w:div>
    <w:div w:id="452135503">
      <w:bodyDiv w:val="1"/>
      <w:marLeft w:val="0"/>
      <w:marRight w:val="0"/>
      <w:marTop w:val="0"/>
      <w:marBottom w:val="0"/>
      <w:divBdr>
        <w:top w:val="none" w:sz="0" w:space="0" w:color="auto"/>
        <w:left w:val="none" w:sz="0" w:space="0" w:color="auto"/>
        <w:bottom w:val="none" w:sz="0" w:space="0" w:color="auto"/>
        <w:right w:val="none" w:sz="0" w:space="0" w:color="auto"/>
      </w:divBdr>
    </w:div>
    <w:div w:id="462432385">
      <w:bodyDiv w:val="1"/>
      <w:marLeft w:val="0"/>
      <w:marRight w:val="0"/>
      <w:marTop w:val="0"/>
      <w:marBottom w:val="0"/>
      <w:divBdr>
        <w:top w:val="none" w:sz="0" w:space="0" w:color="auto"/>
        <w:left w:val="none" w:sz="0" w:space="0" w:color="auto"/>
        <w:bottom w:val="none" w:sz="0" w:space="0" w:color="auto"/>
        <w:right w:val="none" w:sz="0" w:space="0" w:color="auto"/>
      </w:divBdr>
    </w:div>
    <w:div w:id="467362720">
      <w:bodyDiv w:val="1"/>
      <w:marLeft w:val="0"/>
      <w:marRight w:val="0"/>
      <w:marTop w:val="0"/>
      <w:marBottom w:val="0"/>
      <w:divBdr>
        <w:top w:val="none" w:sz="0" w:space="0" w:color="auto"/>
        <w:left w:val="none" w:sz="0" w:space="0" w:color="auto"/>
        <w:bottom w:val="none" w:sz="0" w:space="0" w:color="auto"/>
        <w:right w:val="none" w:sz="0" w:space="0" w:color="auto"/>
      </w:divBdr>
    </w:div>
    <w:div w:id="469632170">
      <w:bodyDiv w:val="1"/>
      <w:marLeft w:val="0"/>
      <w:marRight w:val="0"/>
      <w:marTop w:val="0"/>
      <w:marBottom w:val="0"/>
      <w:divBdr>
        <w:top w:val="none" w:sz="0" w:space="0" w:color="auto"/>
        <w:left w:val="none" w:sz="0" w:space="0" w:color="auto"/>
        <w:bottom w:val="none" w:sz="0" w:space="0" w:color="auto"/>
        <w:right w:val="none" w:sz="0" w:space="0" w:color="auto"/>
      </w:divBdr>
    </w:div>
    <w:div w:id="507404471">
      <w:bodyDiv w:val="1"/>
      <w:marLeft w:val="0"/>
      <w:marRight w:val="0"/>
      <w:marTop w:val="0"/>
      <w:marBottom w:val="0"/>
      <w:divBdr>
        <w:top w:val="none" w:sz="0" w:space="0" w:color="auto"/>
        <w:left w:val="none" w:sz="0" w:space="0" w:color="auto"/>
        <w:bottom w:val="none" w:sz="0" w:space="0" w:color="auto"/>
        <w:right w:val="none" w:sz="0" w:space="0" w:color="auto"/>
      </w:divBdr>
    </w:div>
    <w:div w:id="519398538">
      <w:bodyDiv w:val="1"/>
      <w:marLeft w:val="0"/>
      <w:marRight w:val="0"/>
      <w:marTop w:val="0"/>
      <w:marBottom w:val="0"/>
      <w:divBdr>
        <w:top w:val="none" w:sz="0" w:space="0" w:color="auto"/>
        <w:left w:val="none" w:sz="0" w:space="0" w:color="auto"/>
        <w:bottom w:val="none" w:sz="0" w:space="0" w:color="auto"/>
        <w:right w:val="none" w:sz="0" w:space="0" w:color="auto"/>
      </w:divBdr>
    </w:div>
    <w:div w:id="520245145">
      <w:bodyDiv w:val="1"/>
      <w:marLeft w:val="0"/>
      <w:marRight w:val="0"/>
      <w:marTop w:val="0"/>
      <w:marBottom w:val="0"/>
      <w:divBdr>
        <w:top w:val="none" w:sz="0" w:space="0" w:color="auto"/>
        <w:left w:val="none" w:sz="0" w:space="0" w:color="auto"/>
        <w:bottom w:val="none" w:sz="0" w:space="0" w:color="auto"/>
        <w:right w:val="none" w:sz="0" w:space="0" w:color="auto"/>
      </w:divBdr>
    </w:div>
    <w:div w:id="523783579">
      <w:bodyDiv w:val="1"/>
      <w:marLeft w:val="0"/>
      <w:marRight w:val="0"/>
      <w:marTop w:val="0"/>
      <w:marBottom w:val="0"/>
      <w:divBdr>
        <w:top w:val="none" w:sz="0" w:space="0" w:color="auto"/>
        <w:left w:val="none" w:sz="0" w:space="0" w:color="auto"/>
        <w:bottom w:val="none" w:sz="0" w:space="0" w:color="auto"/>
        <w:right w:val="none" w:sz="0" w:space="0" w:color="auto"/>
      </w:divBdr>
    </w:div>
    <w:div w:id="530193354">
      <w:bodyDiv w:val="1"/>
      <w:marLeft w:val="0"/>
      <w:marRight w:val="0"/>
      <w:marTop w:val="0"/>
      <w:marBottom w:val="0"/>
      <w:divBdr>
        <w:top w:val="none" w:sz="0" w:space="0" w:color="auto"/>
        <w:left w:val="none" w:sz="0" w:space="0" w:color="auto"/>
        <w:bottom w:val="none" w:sz="0" w:space="0" w:color="auto"/>
        <w:right w:val="none" w:sz="0" w:space="0" w:color="auto"/>
      </w:divBdr>
    </w:div>
    <w:div w:id="535701927">
      <w:bodyDiv w:val="1"/>
      <w:marLeft w:val="0"/>
      <w:marRight w:val="0"/>
      <w:marTop w:val="0"/>
      <w:marBottom w:val="0"/>
      <w:divBdr>
        <w:top w:val="none" w:sz="0" w:space="0" w:color="auto"/>
        <w:left w:val="none" w:sz="0" w:space="0" w:color="auto"/>
        <w:bottom w:val="none" w:sz="0" w:space="0" w:color="auto"/>
        <w:right w:val="none" w:sz="0" w:space="0" w:color="auto"/>
      </w:divBdr>
    </w:div>
    <w:div w:id="557277250">
      <w:bodyDiv w:val="1"/>
      <w:marLeft w:val="0"/>
      <w:marRight w:val="0"/>
      <w:marTop w:val="0"/>
      <w:marBottom w:val="0"/>
      <w:divBdr>
        <w:top w:val="none" w:sz="0" w:space="0" w:color="auto"/>
        <w:left w:val="none" w:sz="0" w:space="0" w:color="auto"/>
        <w:bottom w:val="none" w:sz="0" w:space="0" w:color="auto"/>
        <w:right w:val="none" w:sz="0" w:space="0" w:color="auto"/>
      </w:divBdr>
    </w:div>
    <w:div w:id="557939066">
      <w:bodyDiv w:val="1"/>
      <w:marLeft w:val="0"/>
      <w:marRight w:val="0"/>
      <w:marTop w:val="0"/>
      <w:marBottom w:val="0"/>
      <w:divBdr>
        <w:top w:val="none" w:sz="0" w:space="0" w:color="auto"/>
        <w:left w:val="none" w:sz="0" w:space="0" w:color="auto"/>
        <w:bottom w:val="none" w:sz="0" w:space="0" w:color="auto"/>
        <w:right w:val="none" w:sz="0" w:space="0" w:color="auto"/>
      </w:divBdr>
    </w:div>
    <w:div w:id="566191165">
      <w:bodyDiv w:val="1"/>
      <w:marLeft w:val="0"/>
      <w:marRight w:val="0"/>
      <w:marTop w:val="0"/>
      <w:marBottom w:val="0"/>
      <w:divBdr>
        <w:top w:val="none" w:sz="0" w:space="0" w:color="auto"/>
        <w:left w:val="none" w:sz="0" w:space="0" w:color="auto"/>
        <w:bottom w:val="none" w:sz="0" w:space="0" w:color="auto"/>
        <w:right w:val="none" w:sz="0" w:space="0" w:color="auto"/>
      </w:divBdr>
    </w:div>
    <w:div w:id="568921722">
      <w:bodyDiv w:val="1"/>
      <w:marLeft w:val="0"/>
      <w:marRight w:val="0"/>
      <w:marTop w:val="0"/>
      <w:marBottom w:val="0"/>
      <w:divBdr>
        <w:top w:val="none" w:sz="0" w:space="0" w:color="auto"/>
        <w:left w:val="none" w:sz="0" w:space="0" w:color="auto"/>
        <w:bottom w:val="none" w:sz="0" w:space="0" w:color="auto"/>
        <w:right w:val="none" w:sz="0" w:space="0" w:color="auto"/>
      </w:divBdr>
    </w:div>
    <w:div w:id="594822442">
      <w:bodyDiv w:val="1"/>
      <w:marLeft w:val="0"/>
      <w:marRight w:val="0"/>
      <w:marTop w:val="0"/>
      <w:marBottom w:val="0"/>
      <w:divBdr>
        <w:top w:val="none" w:sz="0" w:space="0" w:color="auto"/>
        <w:left w:val="none" w:sz="0" w:space="0" w:color="auto"/>
        <w:bottom w:val="none" w:sz="0" w:space="0" w:color="auto"/>
        <w:right w:val="none" w:sz="0" w:space="0" w:color="auto"/>
      </w:divBdr>
    </w:div>
    <w:div w:id="600340015">
      <w:bodyDiv w:val="1"/>
      <w:marLeft w:val="0"/>
      <w:marRight w:val="0"/>
      <w:marTop w:val="0"/>
      <w:marBottom w:val="0"/>
      <w:divBdr>
        <w:top w:val="none" w:sz="0" w:space="0" w:color="auto"/>
        <w:left w:val="none" w:sz="0" w:space="0" w:color="auto"/>
        <w:bottom w:val="none" w:sz="0" w:space="0" w:color="auto"/>
        <w:right w:val="none" w:sz="0" w:space="0" w:color="auto"/>
      </w:divBdr>
    </w:div>
    <w:div w:id="602373419">
      <w:bodyDiv w:val="1"/>
      <w:marLeft w:val="0"/>
      <w:marRight w:val="0"/>
      <w:marTop w:val="0"/>
      <w:marBottom w:val="0"/>
      <w:divBdr>
        <w:top w:val="none" w:sz="0" w:space="0" w:color="auto"/>
        <w:left w:val="none" w:sz="0" w:space="0" w:color="auto"/>
        <w:bottom w:val="none" w:sz="0" w:space="0" w:color="auto"/>
        <w:right w:val="none" w:sz="0" w:space="0" w:color="auto"/>
      </w:divBdr>
    </w:div>
    <w:div w:id="627854821">
      <w:bodyDiv w:val="1"/>
      <w:marLeft w:val="0"/>
      <w:marRight w:val="0"/>
      <w:marTop w:val="0"/>
      <w:marBottom w:val="0"/>
      <w:divBdr>
        <w:top w:val="none" w:sz="0" w:space="0" w:color="auto"/>
        <w:left w:val="none" w:sz="0" w:space="0" w:color="auto"/>
        <w:bottom w:val="none" w:sz="0" w:space="0" w:color="auto"/>
        <w:right w:val="none" w:sz="0" w:space="0" w:color="auto"/>
      </w:divBdr>
    </w:div>
    <w:div w:id="631591804">
      <w:bodyDiv w:val="1"/>
      <w:marLeft w:val="0"/>
      <w:marRight w:val="0"/>
      <w:marTop w:val="0"/>
      <w:marBottom w:val="0"/>
      <w:divBdr>
        <w:top w:val="none" w:sz="0" w:space="0" w:color="auto"/>
        <w:left w:val="none" w:sz="0" w:space="0" w:color="auto"/>
        <w:bottom w:val="none" w:sz="0" w:space="0" w:color="auto"/>
        <w:right w:val="none" w:sz="0" w:space="0" w:color="auto"/>
      </w:divBdr>
    </w:div>
    <w:div w:id="633603273">
      <w:bodyDiv w:val="1"/>
      <w:marLeft w:val="0"/>
      <w:marRight w:val="0"/>
      <w:marTop w:val="0"/>
      <w:marBottom w:val="0"/>
      <w:divBdr>
        <w:top w:val="none" w:sz="0" w:space="0" w:color="auto"/>
        <w:left w:val="none" w:sz="0" w:space="0" w:color="auto"/>
        <w:bottom w:val="none" w:sz="0" w:space="0" w:color="auto"/>
        <w:right w:val="none" w:sz="0" w:space="0" w:color="auto"/>
      </w:divBdr>
    </w:div>
    <w:div w:id="635336893">
      <w:bodyDiv w:val="1"/>
      <w:marLeft w:val="0"/>
      <w:marRight w:val="0"/>
      <w:marTop w:val="0"/>
      <w:marBottom w:val="0"/>
      <w:divBdr>
        <w:top w:val="none" w:sz="0" w:space="0" w:color="auto"/>
        <w:left w:val="none" w:sz="0" w:space="0" w:color="auto"/>
        <w:bottom w:val="none" w:sz="0" w:space="0" w:color="auto"/>
        <w:right w:val="none" w:sz="0" w:space="0" w:color="auto"/>
      </w:divBdr>
    </w:div>
    <w:div w:id="642739629">
      <w:bodyDiv w:val="1"/>
      <w:marLeft w:val="0"/>
      <w:marRight w:val="0"/>
      <w:marTop w:val="0"/>
      <w:marBottom w:val="0"/>
      <w:divBdr>
        <w:top w:val="none" w:sz="0" w:space="0" w:color="auto"/>
        <w:left w:val="none" w:sz="0" w:space="0" w:color="auto"/>
        <w:bottom w:val="none" w:sz="0" w:space="0" w:color="auto"/>
        <w:right w:val="none" w:sz="0" w:space="0" w:color="auto"/>
      </w:divBdr>
    </w:div>
    <w:div w:id="646009087">
      <w:bodyDiv w:val="1"/>
      <w:marLeft w:val="0"/>
      <w:marRight w:val="0"/>
      <w:marTop w:val="0"/>
      <w:marBottom w:val="0"/>
      <w:divBdr>
        <w:top w:val="none" w:sz="0" w:space="0" w:color="auto"/>
        <w:left w:val="none" w:sz="0" w:space="0" w:color="auto"/>
        <w:bottom w:val="none" w:sz="0" w:space="0" w:color="auto"/>
        <w:right w:val="none" w:sz="0" w:space="0" w:color="auto"/>
      </w:divBdr>
    </w:div>
    <w:div w:id="650645079">
      <w:bodyDiv w:val="1"/>
      <w:marLeft w:val="0"/>
      <w:marRight w:val="0"/>
      <w:marTop w:val="0"/>
      <w:marBottom w:val="0"/>
      <w:divBdr>
        <w:top w:val="none" w:sz="0" w:space="0" w:color="auto"/>
        <w:left w:val="none" w:sz="0" w:space="0" w:color="auto"/>
        <w:bottom w:val="none" w:sz="0" w:space="0" w:color="auto"/>
        <w:right w:val="none" w:sz="0" w:space="0" w:color="auto"/>
      </w:divBdr>
    </w:div>
    <w:div w:id="657929103">
      <w:bodyDiv w:val="1"/>
      <w:marLeft w:val="0"/>
      <w:marRight w:val="0"/>
      <w:marTop w:val="0"/>
      <w:marBottom w:val="0"/>
      <w:divBdr>
        <w:top w:val="none" w:sz="0" w:space="0" w:color="auto"/>
        <w:left w:val="none" w:sz="0" w:space="0" w:color="auto"/>
        <w:bottom w:val="none" w:sz="0" w:space="0" w:color="auto"/>
        <w:right w:val="none" w:sz="0" w:space="0" w:color="auto"/>
      </w:divBdr>
    </w:div>
    <w:div w:id="665860910">
      <w:bodyDiv w:val="1"/>
      <w:marLeft w:val="0"/>
      <w:marRight w:val="0"/>
      <w:marTop w:val="0"/>
      <w:marBottom w:val="0"/>
      <w:divBdr>
        <w:top w:val="none" w:sz="0" w:space="0" w:color="auto"/>
        <w:left w:val="none" w:sz="0" w:space="0" w:color="auto"/>
        <w:bottom w:val="none" w:sz="0" w:space="0" w:color="auto"/>
        <w:right w:val="none" w:sz="0" w:space="0" w:color="auto"/>
      </w:divBdr>
    </w:div>
    <w:div w:id="667438121">
      <w:bodyDiv w:val="1"/>
      <w:marLeft w:val="0"/>
      <w:marRight w:val="0"/>
      <w:marTop w:val="0"/>
      <w:marBottom w:val="0"/>
      <w:divBdr>
        <w:top w:val="none" w:sz="0" w:space="0" w:color="auto"/>
        <w:left w:val="none" w:sz="0" w:space="0" w:color="auto"/>
        <w:bottom w:val="none" w:sz="0" w:space="0" w:color="auto"/>
        <w:right w:val="none" w:sz="0" w:space="0" w:color="auto"/>
      </w:divBdr>
    </w:div>
    <w:div w:id="691147450">
      <w:bodyDiv w:val="1"/>
      <w:marLeft w:val="0"/>
      <w:marRight w:val="0"/>
      <w:marTop w:val="0"/>
      <w:marBottom w:val="0"/>
      <w:divBdr>
        <w:top w:val="none" w:sz="0" w:space="0" w:color="auto"/>
        <w:left w:val="none" w:sz="0" w:space="0" w:color="auto"/>
        <w:bottom w:val="none" w:sz="0" w:space="0" w:color="auto"/>
        <w:right w:val="none" w:sz="0" w:space="0" w:color="auto"/>
      </w:divBdr>
    </w:div>
    <w:div w:id="697387998">
      <w:bodyDiv w:val="1"/>
      <w:marLeft w:val="0"/>
      <w:marRight w:val="0"/>
      <w:marTop w:val="0"/>
      <w:marBottom w:val="0"/>
      <w:divBdr>
        <w:top w:val="none" w:sz="0" w:space="0" w:color="auto"/>
        <w:left w:val="none" w:sz="0" w:space="0" w:color="auto"/>
        <w:bottom w:val="none" w:sz="0" w:space="0" w:color="auto"/>
        <w:right w:val="none" w:sz="0" w:space="0" w:color="auto"/>
      </w:divBdr>
    </w:div>
    <w:div w:id="698047654">
      <w:bodyDiv w:val="1"/>
      <w:marLeft w:val="0"/>
      <w:marRight w:val="0"/>
      <w:marTop w:val="0"/>
      <w:marBottom w:val="0"/>
      <w:divBdr>
        <w:top w:val="none" w:sz="0" w:space="0" w:color="auto"/>
        <w:left w:val="none" w:sz="0" w:space="0" w:color="auto"/>
        <w:bottom w:val="none" w:sz="0" w:space="0" w:color="auto"/>
        <w:right w:val="none" w:sz="0" w:space="0" w:color="auto"/>
      </w:divBdr>
    </w:div>
    <w:div w:id="699746330">
      <w:bodyDiv w:val="1"/>
      <w:marLeft w:val="0"/>
      <w:marRight w:val="0"/>
      <w:marTop w:val="0"/>
      <w:marBottom w:val="0"/>
      <w:divBdr>
        <w:top w:val="none" w:sz="0" w:space="0" w:color="auto"/>
        <w:left w:val="none" w:sz="0" w:space="0" w:color="auto"/>
        <w:bottom w:val="none" w:sz="0" w:space="0" w:color="auto"/>
        <w:right w:val="none" w:sz="0" w:space="0" w:color="auto"/>
      </w:divBdr>
    </w:div>
    <w:div w:id="700936661">
      <w:bodyDiv w:val="1"/>
      <w:marLeft w:val="0"/>
      <w:marRight w:val="0"/>
      <w:marTop w:val="0"/>
      <w:marBottom w:val="0"/>
      <w:divBdr>
        <w:top w:val="none" w:sz="0" w:space="0" w:color="auto"/>
        <w:left w:val="none" w:sz="0" w:space="0" w:color="auto"/>
        <w:bottom w:val="none" w:sz="0" w:space="0" w:color="auto"/>
        <w:right w:val="none" w:sz="0" w:space="0" w:color="auto"/>
      </w:divBdr>
    </w:div>
    <w:div w:id="713849775">
      <w:bodyDiv w:val="1"/>
      <w:marLeft w:val="0"/>
      <w:marRight w:val="0"/>
      <w:marTop w:val="0"/>
      <w:marBottom w:val="0"/>
      <w:divBdr>
        <w:top w:val="none" w:sz="0" w:space="0" w:color="auto"/>
        <w:left w:val="none" w:sz="0" w:space="0" w:color="auto"/>
        <w:bottom w:val="none" w:sz="0" w:space="0" w:color="auto"/>
        <w:right w:val="none" w:sz="0" w:space="0" w:color="auto"/>
      </w:divBdr>
    </w:div>
    <w:div w:id="722680751">
      <w:bodyDiv w:val="1"/>
      <w:marLeft w:val="0"/>
      <w:marRight w:val="0"/>
      <w:marTop w:val="0"/>
      <w:marBottom w:val="0"/>
      <w:divBdr>
        <w:top w:val="none" w:sz="0" w:space="0" w:color="auto"/>
        <w:left w:val="none" w:sz="0" w:space="0" w:color="auto"/>
        <w:bottom w:val="none" w:sz="0" w:space="0" w:color="auto"/>
        <w:right w:val="none" w:sz="0" w:space="0" w:color="auto"/>
      </w:divBdr>
    </w:div>
    <w:div w:id="732433497">
      <w:bodyDiv w:val="1"/>
      <w:marLeft w:val="0"/>
      <w:marRight w:val="0"/>
      <w:marTop w:val="0"/>
      <w:marBottom w:val="0"/>
      <w:divBdr>
        <w:top w:val="none" w:sz="0" w:space="0" w:color="auto"/>
        <w:left w:val="none" w:sz="0" w:space="0" w:color="auto"/>
        <w:bottom w:val="none" w:sz="0" w:space="0" w:color="auto"/>
        <w:right w:val="none" w:sz="0" w:space="0" w:color="auto"/>
      </w:divBdr>
    </w:div>
    <w:div w:id="741491596">
      <w:bodyDiv w:val="1"/>
      <w:marLeft w:val="0"/>
      <w:marRight w:val="0"/>
      <w:marTop w:val="0"/>
      <w:marBottom w:val="0"/>
      <w:divBdr>
        <w:top w:val="none" w:sz="0" w:space="0" w:color="auto"/>
        <w:left w:val="none" w:sz="0" w:space="0" w:color="auto"/>
        <w:bottom w:val="none" w:sz="0" w:space="0" w:color="auto"/>
        <w:right w:val="none" w:sz="0" w:space="0" w:color="auto"/>
      </w:divBdr>
    </w:div>
    <w:div w:id="743064243">
      <w:bodyDiv w:val="1"/>
      <w:marLeft w:val="0"/>
      <w:marRight w:val="0"/>
      <w:marTop w:val="0"/>
      <w:marBottom w:val="0"/>
      <w:divBdr>
        <w:top w:val="none" w:sz="0" w:space="0" w:color="auto"/>
        <w:left w:val="none" w:sz="0" w:space="0" w:color="auto"/>
        <w:bottom w:val="none" w:sz="0" w:space="0" w:color="auto"/>
        <w:right w:val="none" w:sz="0" w:space="0" w:color="auto"/>
      </w:divBdr>
    </w:div>
    <w:div w:id="749811657">
      <w:bodyDiv w:val="1"/>
      <w:marLeft w:val="0"/>
      <w:marRight w:val="0"/>
      <w:marTop w:val="0"/>
      <w:marBottom w:val="0"/>
      <w:divBdr>
        <w:top w:val="none" w:sz="0" w:space="0" w:color="auto"/>
        <w:left w:val="none" w:sz="0" w:space="0" w:color="auto"/>
        <w:bottom w:val="none" w:sz="0" w:space="0" w:color="auto"/>
        <w:right w:val="none" w:sz="0" w:space="0" w:color="auto"/>
      </w:divBdr>
    </w:div>
    <w:div w:id="761607995">
      <w:bodyDiv w:val="1"/>
      <w:marLeft w:val="0"/>
      <w:marRight w:val="0"/>
      <w:marTop w:val="0"/>
      <w:marBottom w:val="0"/>
      <w:divBdr>
        <w:top w:val="none" w:sz="0" w:space="0" w:color="auto"/>
        <w:left w:val="none" w:sz="0" w:space="0" w:color="auto"/>
        <w:bottom w:val="none" w:sz="0" w:space="0" w:color="auto"/>
        <w:right w:val="none" w:sz="0" w:space="0" w:color="auto"/>
      </w:divBdr>
    </w:div>
    <w:div w:id="763648783">
      <w:bodyDiv w:val="1"/>
      <w:marLeft w:val="0"/>
      <w:marRight w:val="0"/>
      <w:marTop w:val="0"/>
      <w:marBottom w:val="0"/>
      <w:divBdr>
        <w:top w:val="none" w:sz="0" w:space="0" w:color="auto"/>
        <w:left w:val="none" w:sz="0" w:space="0" w:color="auto"/>
        <w:bottom w:val="none" w:sz="0" w:space="0" w:color="auto"/>
        <w:right w:val="none" w:sz="0" w:space="0" w:color="auto"/>
      </w:divBdr>
    </w:div>
    <w:div w:id="771828392">
      <w:bodyDiv w:val="1"/>
      <w:marLeft w:val="0"/>
      <w:marRight w:val="0"/>
      <w:marTop w:val="0"/>
      <w:marBottom w:val="0"/>
      <w:divBdr>
        <w:top w:val="none" w:sz="0" w:space="0" w:color="auto"/>
        <w:left w:val="none" w:sz="0" w:space="0" w:color="auto"/>
        <w:bottom w:val="none" w:sz="0" w:space="0" w:color="auto"/>
        <w:right w:val="none" w:sz="0" w:space="0" w:color="auto"/>
      </w:divBdr>
    </w:div>
    <w:div w:id="777141066">
      <w:bodyDiv w:val="1"/>
      <w:marLeft w:val="0"/>
      <w:marRight w:val="0"/>
      <w:marTop w:val="0"/>
      <w:marBottom w:val="0"/>
      <w:divBdr>
        <w:top w:val="none" w:sz="0" w:space="0" w:color="auto"/>
        <w:left w:val="none" w:sz="0" w:space="0" w:color="auto"/>
        <w:bottom w:val="none" w:sz="0" w:space="0" w:color="auto"/>
        <w:right w:val="none" w:sz="0" w:space="0" w:color="auto"/>
      </w:divBdr>
    </w:div>
    <w:div w:id="786240962">
      <w:bodyDiv w:val="1"/>
      <w:marLeft w:val="0"/>
      <w:marRight w:val="0"/>
      <w:marTop w:val="0"/>
      <w:marBottom w:val="0"/>
      <w:divBdr>
        <w:top w:val="none" w:sz="0" w:space="0" w:color="auto"/>
        <w:left w:val="none" w:sz="0" w:space="0" w:color="auto"/>
        <w:bottom w:val="none" w:sz="0" w:space="0" w:color="auto"/>
        <w:right w:val="none" w:sz="0" w:space="0" w:color="auto"/>
      </w:divBdr>
    </w:div>
    <w:div w:id="796794665">
      <w:bodyDiv w:val="1"/>
      <w:marLeft w:val="0"/>
      <w:marRight w:val="0"/>
      <w:marTop w:val="0"/>
      <w:marBottom w:val="0"/>
      <w:divBdr>
        <w:top w:val="none" w:sz="0" w:space="0" w:color="auto"/>
        <w:left w:val="none" w:sz="0" w:space="0" w:color="auto"/>
        <w:bottom w:val="none" w:sz="0" w:space="0" w:color="auto"/>
        <w:right w:val="none" w:sz="0" w:space="0" w:color="auto"/>
      </w:divBdr>
    </w:div>
    <w:div w:id="800225842">
      <w:bodyDiv w:val="1"/>
      <w:marLeft w:val="0"/>
      <w:marRight w:val="0"/>
      <w:marTop w:val="0"/>
      <w:marBottom w:val="0"/>
      <w:divBdr>
        <w:top w:val="none" w:sz="0" w:space="0" w:color="auto"/>
        <w:left w:val="none" w:sz="0" w:space="0" w:color="auto"/>
        <w:bottom w:val="none" w:sz="0" w:space="0" w:color="auto"/>
        <w:right w:val="none" w:sz="0" w:space="0" w:color="auto"/>
      </w:divBdr>
    </w:div>
    <w:div w:id="810486677">
      <w:bodyDiv w:val="1"/>
      <w:marLeft w:val="0"/>
      <w:marRight w:val="0"/>
      <w:marTop w:val="0"/>
      <w:marBottom w:val="0"/>
      <w:divBdr>
        <w:top w:val="none" w:sz="0" w:space="0" w:color="auto"/>
        <w:left w:val="none" w:sz="0" w:space="0" w:color="auto"/>
        <w:bottom w:val="none" w:sz="0" w:space="0" w:color="auto"/>
        <w:right w:val="none" w:sz="0" w:space="0" w:color="auto"/>
      </w:divBdr>
    </w:div>
    <w:div w:id="813644347">
      <w:bodyDiv w:val="1"/>
      <w:marLeft w:val="0"/>
      <w:marRight w:val="0"/>
      <w:marTop w:val="0"/>
      <w:marBottom w:val="0"/>
      <w:divBdr>
        <w:top w:val="none" w:sz="0" w:space="0" w:color="auto"/>
        <w:left w:val="none" w:sz="0" w:space="0" w:color="auto"/>
        <w:bottom w:val="none" w:sz="0" w:space="0" w:color="auto"/>
        <w:right w:val="none" w:sz="0" w:space="0" w:color="auto"/>
      </w:divBdr>
    </w:div>
    <w:div w:id="820777312">
      <w:bodyDiv w:val="1"/>
      <w:marLeft w:val="0"/>
      <w:marRight w:val="0"/>
      <w:marTop w:val="0"/>
      <w:marBottom w:val="0"/>
      <w:divBdr>
        <w:top w:val="none" w:sz="0" w:space="0" w:color="auto"/>
        <w:left w:val="none" w:sz="0" w:space="0" w:color="auto"/>
        <w:bottom w:val="none" w:sz="0" w:space="0" w:color="auto"/>
        <w:right w:val="none" w:sz="0" w:space="0" w:color="auto"/>
      </w:divBdr>
    </w:div>
    <w:div w:id="828130146">
      <w:bodyDiv w:val="1"/>
      <w:marLeft w:val="0"/>
      <w:marRight w:val="0"/>
      <w:marTop w:val="0"/>
      <w:marBottom w:val="0"/>
      <w:divBdr>
        <w:top w:val="none" w:sz="0" w:space="0" w:color="auto"/>
        <w:left w:val="none" w:sz="0" w:space="0" w:color="auto"/>
        <w:bottom w:val="none" w:sz="0" w:space="0" w:color="auto"/>
        <w:right w:val="none" w:sz="0" w:space="0" w:color="auto"/>
      </w:divBdr>
    </w:div>
    <w:div w:id="831485993">
      <w:bodyDiv w:val="1"/>
      <w:marLeft w:val="0"/>
      <w:marRight w:val="0"/>
      <w:marTop w:val="0"/>
      <w:marBottom w:val="0"/>
      <w:divBdr>
        <w:top w:val="none" w:sz="0" w:space="0" w:color="auto"/>
        <w:left w:val="none" w:sz="0" w:space="0" w:color="auto"/>
        <w:bottom w:val="none" w:sz="0" w:space="0" w:color="auto"/>
        <w:right w:val="none" w:sz="0" w:space="0" w:color="auto"/>
      </w:divBdr>
    </w:div>
    <w:div w:id="831799135">
      <w:bodyDiv w:val="1"/>
      <w:marLeft w:val="0"/>
      <w:marRight w:val="0"/>
      <w:marTop w:val="0"/>
      <w:marBottom w:val="0"/>
      <w:divBdr>
        <w:top w:val="none" w:sz="0" w:space="0" w:color="auto"/>
        <w:left w:val="none" w:sz="0" w:space="0" w:color="auto"/>
        <w:bottom w:val="none" w:sz="0" w:space="0" w:color="auto"/>
        <w:right w:val="none" w:sz="0" w:space="0" w:color="auto"/>
      </w:divBdr>
    </w:div>
    <w:div w:id="858079666">
      <w:bodyDiv w:val="1"/>
      <w:marLeft w:val="0"/>
      <w:marRight w:val="0"/>
      <w:marTop w:val="0"/>
      <w:marBottom w:val="0"/>
      <w:divBdr>
        <w:top w:val="none" w:sz="0" w:space="0" w:color="auto"/>
        <w:left w:val="none" w:sz="0" w:space="0" w:color="auto"/>
        <w:bottom w:val="none" w:sz="0" w:space="0" w:color="auto"/>
        <w:right w:val="none" w:sz="0" w:space="0" w:color="auto"/>
      </w:divBdr>
    </w:div>
    <w:div w:id="858348102">
      <w:bodyDiv w:val="1"/>
      <w:marLeft w:val="0"/>
      <w:marRight w:val="0"/>
      <w:marTop w:val="0"/>
      <w:marBottom w:val="0"/>
      <w:divBdr>
        <w:top w:val="none" w:sz="0" w:space="0" w:color="auto"/>
        <w:left w:val="none" w:sz="0" w:space="0" w:color="auto"/>
        <w:bottom w:val="none" w:sz="0" w:space="0" w:color="auto"/>
        <w:right w:val="none" w:sz="0" w:space="0" w:color="auto"/>
      </w:divBdr>
    </w:div>
    <w:div w:id="861750931">
      <w:bodyDiv w:val="1"/>
      <w:marLeft w:val="0"/>
      <w:marRight w:val="0"/>
      <w:marTop w:val="0"/>
      <w:marBottom w:val="0"/>
      <w:divBdr>
        <w:top w:val="none" w:sz="0" w:space="0" w:color="auto"/>
        <w:left w:val="none" w:sz="0" w:space="0" w:color="auto"/>
        <w:bottom w:val="none" w:sz="0" w:space="0" w:color="auto"/>
        <w:right w:val="none" w:sz="0" w:space="0" w:color="auto"/>
      </w:divBdr>
    </w:div>
    <w:div w:id="863438615">
      <w:bodyDiv w:val="1"/>
      <w:marLeft w:val="0"/>
      <w:marRight w:val="0"/>
      <w:marTop w:val="0"/>
      <w:marBottom w:val="0"/>
      <w:divBdr>
        <w:top w:val="none" w:sz="0" w:space="0" w:color="auto"/>
        <w:left w:val="none" w:sz="0" w:space="0" w:color="auto"/>
        <w:bottom w:val="none" w:sz="0" w:space="0" w:color="auto"/>
        <w:right w:val="none" w:sz="0" w:space="0" w:color="auto"/>
      </w:divBdr>
    </w:div>
    <w:div w:id="864485665">
      <w:bodyDiv w:val="1"/>
      <w:marLeft w:val="0"/>
      <w:marRight w:val="0"/>
      <w:marTop w:val="0"/>
      <w:marBottom w:val="0"/>
      <w:divBdr>
        <w:top w:val="none" w:sz="0" w:space="0" w:color="auto"/>
        <w:left w:val="none" w:sz="0" w:space="0" w:color="auto"/>
        <w:bottom w:val="none" w:sz="0" w:space="0" w:color="auto"/>
        <w:right w:val="none" w:sz="0" w:space="0" w:color="auto"/>
      </w:divBdr>
    </w:div>
    <w:div w:id="873731272">
      <w:bodyDiv w:val="1"/>
      <w:marLeft w:val="0"/>
      <w:marRight w:val="0"/>
      <w:marTop w:val="0"/>
      <w:marBottom w:val="0"/>
      <w:divBdr>
        <w:top w:val="none" w:sz="0" w:space="0" w:color="auto"/>
        <w:left w:val="none" w:sz="0" w:space="0" w:color="auto"/>
        <w:bottom w:val="none" w:sz="0" w:space="0" w:color="auto"/>
        <w:right w:val="none" w:sz="0" w:space="0" w:color="auto"/>
      </w:divBdr>
    </w:div>
    <w:div w:id="879702753">
      <w:bodyDiv w:val="1"/>
      <w:marLeft w:val="0"/>
      <w:marRight w:val="0"/>
      <w:marTop w:val="0"/>
      <w:marBottom w:val="0"/>
      <w:divBdr>
        <w:top w:val="none" w:sz="0" w:space="0" w:color="auto"/>
        <w:left w:val="none" w:sz="0" w:space="0" w:color="auto"/>
        <w:bottom w:val="none" w:sz="0" w:space="0" w:color="auto"/>
        <w:right w:val="none" w:sz="0" w:space="0" w:color="auto"/>
      </w:divBdr>
    </w:div>
    <w:div w:id="894707412">
      <w:bodyDiv w:val="1"/>
      <w:marLeft w:val="0"/>
      <w:marRight w:val="0"/>
      <w:marTop w:val="0"/>
      <w:marBottom w:val="0"/>
      <w:divBdr>
        <w:top w:val="none" w:sz="0" w:space="0" w:color="auto"/>
        <w:left w:val="none" w:sz="0" w:space="0" w:color="auto"/>
        <w:bottom w:val="none" w:sz="0" w:space="0" w:color="auto"/>
        <w:right w:val="none" w:sz="0" w:space="0" w:color="auto"/>
      </w:divBdr>
    </w:div>
    <w:div w:id="918094911">
      <w:bodyDiv w:val="1"/>
      <w:marLeft w:val="0"/>
      <w:marRight w:val="0"/>
      <w:marTop w:val="0"/>
      <w:marBottom w:val="0"/>
      <w:divBdr>
        <w:top w:val="none" w:sz="0" w:space="0" w:color="auto"/>
        <w:left w:val="none" w:sz="0" w:space="0" w:color="auto"/>
        <w:bottom w:val="none" w:sz="0" w:space="0" w:color="auto"/>
        <w:right w:val="none" w:sz="0" w:space="0" w:color="auto"/>
      </w:divBdr>
    </w:div>
    <w:div w:id="924416393">
      <w:bodyDiv w:val="1"/>
      <w:marLeft w:val="0"/>
      <w:marRight w:val="0"/>
      <w:marTop w:val="0"/>
      <w:marBottom w:val="0"/>
      <w:divBdr>
        <w:top w:val="none" w:sz="0" w:space="0" w:color="auto"/>
        <w:left w:val="none" w:sz="0" w:space="0" w:color="auto"/>
        <w:bottom w:val="none" w:sz="0" w:space="0" w:color="auto"/>
        <w:right w:val="none" w:sz="0" w:space="0" w:color="auto"/>
      </w:divBdr>
    </w:div>
    <w:div w:id="935164318">
      <w:bodyDiv w:val="1"/>
      <w:marLeft w:val="0"/>
      <w:marRight w:val="0"/>
      <w:marTop w:val="0"/>
      <w:marBottom w:val="0"/>
      <w:divBdr>
        <w:top w:val="none" w:sz="0" w:space="0" w:color="auto"/>
        <w:left w:val="none" w:sz="0" w:space="0" w:color="auto"/>
        <w:bottom w:val="none" w:sz="0" w:space="0" w:color="auto"/>
        <w:right w:val="none" w:sz="0" w:space="0" w:color="auto"/>
      </w:divBdr>
    </w:div>
    <w:div w:id="935556300">
      <w:bodyDiv w:val="1"/>
      <w:marLeft w:val="0"/>
      <w:marRight w:val="0"/>
      <w:marTop w:val="0"/>
      <w:marBottom w:val="0"/>
      <w:divBdr>
        <w:top w:val="none" w:sz="0" w:space="0" w:color="auto"/>
        <w:left w:val="none" w:sz="0" w:space="0" w:color="auto"/>
        <w:bottom w:val="none" w:sz="0" w:space="0" w:color="auto"/>
        <w:right w:val="none" w:sz="0" w:space="0" w:color="auto"/>
      </w:divBdr>
    </w:div>
    <w:div w:id="949318529">
      <w:bodyDiv w:val="1"/>
      <w:marLeft w:val="0"/>
      <w:marRight w:val="0"/>
      <w:marTop w:val="0"/>
      <w:marBottom w:val="0"/>
      <w:divBdr>
        <w:top w:val="none" w:sz="0" w:space="0" w:color="auto"/>
        <w:left w:val="none" w:sz="0" w:space="0" w:color="auto"/>
        <w:bottom w:val="none" w:sz="0" w:space="0" w:color="auto"/>
        <w:right w:val="none" w:sz="0" w:space="0" w:color="auto"/>
      </w:divBdr>
    </w:div>
    <w:div w:id="957494060">
      <w:bodyDiv w:val="1"/>
      <w:marLeft w:val="0"/>
      <w:marRight w:val="0"/>
      <w:marTop w:val="0"/>
      <w:marBottom w:val="0"/>
      <w:divBdr>
        <w:top w:val="none" w:sz="0" w:space="0" w:color="auto"/>
        <w:left w:val="none" w:sz="0" w:space="0" w:color="auto"/>
        <w:bottom w:val="none" w:sz="0" w:space="0" w:color="auto"/>
        <w:right w:val="none" w:sz="0" w:space="0" w:color="auto"/>
      </w:divBdr>
    </w:div>
    <w:div w:id="959335353">
      <w:bodyDiv w:val="1"/>
      <w:marLeft w:val="0"/>
      <w:marRight w:val="0"/>
      <w:marTop w:val="0"/>
      <w:marBottom w:val="0"/>
      <w:divBdr>
        <w:top w:val="none" w:sz="0" w:space="0" w:color="auto"/>
        <w:left w:val="none" w:sz="0" w:space="0" w:color="auto"/>
        <w:bottom w:val="none" w:sz="0" w:space="0" w:color="auto"/>
        <w:right w:val="none" w:sz="0" w:space="0" w:color="auto"/>
      </w:divBdr>
    </w:div>
    <w:div w:id="968314434">
      <w:bodyDiv w:val="1"/>
      <w:marLeft w:val="0"/>
      <w:marRight w:val="0"/>
      <w:marTop w:val="0"/>
      <w:marBottom w:val="0"/>
      <w:divBdr>
        <w:top w:val="none" w:sz="0" w:space="0" w:color="auto"/>
        <w:left w:val="none" w:sz="0" w:space="0" w:color="auto"/>
        <w:bottom w:val="none" w:sz="0" w:space="0" w:color="auto"/>
        <w:right w:val="none" w:sz="0" w:space="0" w:color="auto"/>
      </w:divBdr>
    </w:div>
    <w:div w:id="968781584">
      <w:bodyDiv w:val="1"/>
      <w:marLeft w:val="0"/>
      <w:marRight w:val="0"/>
      <w:marTop w:val="0"/>
      <w:marBottom w:val="0"/>
      <w:divBdr>
        <w:top w:val="none" w:sz="0" w:space="0" w:color="auto"/>
        <w:left w:val="none" w:sz="0" w:space="0" w:color="auto"/>
        <w:bottom w:val="none" w:sz="0" w:space="0" w:color="auto"/>
        <w:right w:val="none" w:sz="0" w:space="0" w:color="auto"/>
      </w:divBdr>
      <w:divsChild>
        <w:div w:id="50810380">
          <w:marLeft w:val="0"/>
          <w:marRight w:val="0"/>
          <w:marTop w:val="0"/>
          <w:marBottom w:val="0"/>
          <w:divBdr>
            <w:top w:val="none" w:sz="0" w:space="0" w:color="auto"/>
            <w:left w:val="none" w:sz="0" w:space="0" w:color="auto"/>
            <w:bottom w:val="none" w:sz="0" w:space="0" w:color="auto"/>
            <w:right w:val="none" w:sz="0" w:space="0" w:color="auto"/>
          </w:divBdr>
        </w:div>
      </w:divsChild>
    </w:div>
    <w:div w:id="980888887">
      <w:bodyDiv w:val="1"/>
      <w:marLeft w:val="0"/>
      <w:marRight w:val="0"/>
      <w:marTop w:val="0"/>
      <w:marBottom w:val="0"/>
      <w:divBdr>
        <w:top w:val="none" w:sz="0" w:space="0" w:color="auto"/>
        <w:left w:val="none" w:sz="0" w:space="0" w:color="auto"/>
        <w:bottom w:val="none" w:sz="0" w:space="0" w:color="auto"/>
        <w:right w:val="none" w:sz="0" w:space="0" w:color="auto"/>
      </w:divBdr>
    </w:div>
    <w:div w:id="996686374">
      <w:bodyDiv w:val="1"/>
      <w:marLeft w:val="0"/>
      <w:marRight w:val="0"/>
      <w:marTop w:val="0"/>
      <w:marBottom w:val="0"/>
      <w:divBdr>
        <w:top w:val="none" w:sz="0" w:space="0" w:color="auto"/>
        <w:left w:val="none" w:sz="0" w:space="0" w:color="auto"/>
        <w:bottom w:val="none" w:sz="0" w:space="0" w:color="auto"/>
        <w:right w:val="none" w:sz="0" w:space="0" w:color="auto"/>
      </w:divBdr>
    </w:div>
    <w:div w:id="1000039724">
      <w:bodyDiv w:val="1"/>
      <w:marLeft w:val="0"/>
      <w:marRight w:val="0"/>
      <w:marTop w:val="0"/>
      <w:marBottom w:val="0"/>
      <w:divBdr>
        <w:top w:val="none" w:sz="0" w:space="0" w:color="auto"/>
        <w:left w:val="none" w:sz="0" w:space="0" w:color="auto"/>
        <w:bottom w:val="none" w:sz="0" w:space="0" w:color="auto"/>
        <w:right w:val="none" w:sz="0" w:space="0" w:color="auto"/>
      </w:divBdr>
    </w:div>
    <w:div w:id="1000616580">
      <w:bodyDiv w:val="1"/>
      <w:marLeft w:val="0"/>
      <w:marRight w:val="0"/>
      <w:marTop w:val="0"/>
      <w:marBottom w:val="0"/>
      <w:divBdr>
        <w:top w:val="none" w:sz="0" w:space="0" w:color="auto"/>
        <w:left w:val="none" w:sz="0" w:space="0" w:color="auto"/>
        <w:bottom w:val="none" w:sz="0" w:space="0" w:color="auto"/>
        <w:right w:val="none" w:sz="0" w:space="0" w:color="auto"/>
      </w:divBdr>
    </w:div>
    <w:div w:id="1012802664">
      <w:bodyDiv w:val="1"/>
      <w:marLeft w:val="0"/>
      <w:marRight w:val="0"/>
      <w:marTop w:val="0"/>
      <w:marBottom w:val="0"/>
      <w:divBdr>
        <w:top w:val="none" w:sz="0" w:space="0" w:color="auto"/>
        <w:left w:val="none" w:sz="0" w:space="0" w:color="auto"/>
        <w:bottom w:val="none" w:sz="0" w:space="0" w:color="auto"/>
        <w:right w:val="none" w:sz="0" w:space="0" w:color="auto"/>
      </w:divBdr>
    </w:div>
    <w:div w:id="1015960803">
      <w:bodyDiv w:val="1"/>
      <w:marLeft w:val="0"/>
      <w:marRight w:val="0"/>
      <w:marTop w:val="0"/>
      <w:marBottom w:val="0"/>
      <w:divBdr>
        <w:top w:val="none" w:sz="0" w:space="0" w:color="auto"/>
        <w:left w:val="none" w:sz="0" w:space="0" w:color="auto"/>
        <w:bottom w:val="none" w:sz="0" w:space="0" w:color="auto"/>
        <w:right w:val="none" w:sz="0" w:space="0" w:color="auto"/>
      </w:divBdr>
    </w:div>
    <w:div w:id="1037242567">
      <w:bodyDiv w:val="1"/>
      <w:marLeft w:val="0"/>
      <w:marRight w:val="0"/>
      <w:marTop w:val="0"/>
      <w:marBottom w:val="0"/>
      <w:divBdr>
        <w:top w:val="none" w:sz="0" w:space="0" w:color="auto"/>
        <w:left w:val="none" w:sz="0" w:space="0" w:color="auto"/>
        <w:bottom w:val="none" w:sz="0" w:space="0" w:color="auto"/>
        <w:right w:val="none" w:sz="0" w:space="0" w:color="auto"/>
      </w:divBdr>
    </w:div>
    <w:div w:id="1040939379">
      <w:bodyDiv w:val="1"/>
      <w:marLeft w:val="0"/>
      <w:marRight w:val="0"/>
      <w:marTop w:val="0"/>
      <w:marBottom w:val="0"/>
      <w:divBdr>
        <w:top w:val="none" w:sz="0" w:space="0" w:color="auto"/>
        <w:left w:val="none" w:sz="0" w:space="0" w:color="auto"/>
        <w:bottom w:val="none" w:sz="0" w:space="0" w:color="auto"/>
        <w:right w:val="none" w:sz="0" w:space="0" w:color="auto"/>
      </w:divBdr>
    </w:div>
    <w:div w:id="1043749416">
      <w:bodyDiv w:val="1"/>
      <w:marLeft w:val="0"/>
      <w:marRight w:val="0"/>
      <w:marTop w:val="0"/>
      <w:marBottom w:val="0"/>
      <w:divBdr>
        <w:top w:val="none" w:sz="0" w:space="0" w:color="auto"/>
        <w:left w:val="none" w:sz="0" w:space="0" w:color="auto"/>
        <w:bottom w:val="none" w:sz="0" w:space="0" w:color="auto"/>
        <w:right w:val="none" w:sz="0" w:space="0" w:color="auto"/>
      </w:divBdr>
    </w:div>
    <w:div w:id="1051004534">
      <w:bodyDiv w:val="1"/>
      <w:marLeft w:val="0"/>
      <w:marRight w:val="0"/>
      <w:marTop w:val="0"/>
      <w:marBottom w:val="0"/>
      <w:divBdr>
        <w:top w:val="none" w:sz="0" w:space="0" w:color="auto"/>
        <w:left w:val="none" w:sz="0" w:space="0" w:color="auto"/>
        <w:bottom w:val="none" w:sz="0" w:space="0" w:color="auto"/>
        <w:right w:val="none" w:sz="0" w:space="0" w:color="auto"/>
      </w:divBdr>
    </w:div>
    <w:div w:id="1051417740">
      <w:bodyDiv w:val="1"/>
      <w:marLeft w:val="0"/>
      <w:marRight w:val="0"/>
      <w:marTop w:val="0"/>
      <w:marBottom w:val="0"/>
      <w:divBdr>
        <w:top w:val="none" w:sz="0" w:space="0" w:color="auto"/>
        <w:left w:val="none" w:sz="0" w:space="0" w:color="auto"/>
        <w:bottom w:val="none" w:sz="0" w:space="0" w:color="auto"/>
        <w:right w:val="none" w:sz="0" w:space="0" w:color="auto"/>
      </w:divBdr>
    </w:div>
    <w:div w:id="1064792286">
      <w:bodyDiv w:val="1"/>
      <w:marLeft w:val="0"/>
      <w:marRight w:val="0"/>
      <w:marTop w:val="0"/>
      <w:marBottom w:val="0"/>
      <w:divBdr>
        <w:top w:val="none" w:sz="0" w:space="0" w:color="auto"/>
        <w:left w:val="none" w:sz="0" w:space="0" w:color="auto"/>
        <w:bottom w:val="none" w:sz="0" w:space="0" w:color="auto"/>
        <w:right w:val="none" w:sz="0" w:space="0" w:color="auto"/>
      </w:divBdr>
    </w:div>
    <w:div w:id="1092361627">
      <w:bodyDiv w:val="1"/>
      <w:marLeft w:val="0"/>
      <w:marRight w:val="0"/>
      <w:marTop w:val="0"/>
      <w:marBottom w:val="0"/>
      <w:divBdr>
        <w:top w:val="none" w:sz="0" w:space="0" w:color="auto"/>
        <w:left w:val="none" w:sz="0" w:space="0" w:color="auto"/>
        <w:bottom w:val="none" w:sz="0" w:space="0" w:color="auto"/>
        <w:right w:val="none" w:sz="0" w:space="0" w:color="auto"/>
      </w:divBdr>
    </w:div>
    <w:div w:id="1103067242">
      <w:bodyDiv w:val="1"/>
      <w:marLeft w:val="0"/>
      <w:marRight w:val="0"/>
      <w:marTop w:val="0"/>
      <w:marBottom w:val="0"/>
      <w:divBdr>
        <w:top w:val="none" w:sz="0" w:space="0" w:color="auto"/>
        <w:left w:val="none" w:sz="0" w:space="0" w:color="auto"/>
        <w:bottom w:val="none" w:sz="0" w:space="0" w:color="auto"/>
        <w:right w:val="none" w:sz="0" w:space="0" w:color="auto"/>
      </w:divBdr>
    </w:div>
    <w:div w:id="1111820695">
      <w:bodyDiv w:val="1"/>
      <w:marLeft w:val="0"/>
      <w:marRight w:val="0"/>
      <w:marTop w:val="0"/>
      <w:marBottom w:val="0"/>
      <w:divBdr>
        <w:top w:val="none" w:sz="0" w:space="0" w:color="auto"/>
        <w:left w:val="none" w:sz="0" w:space="0" w:color="auto"/>
        <w:bottom w:val="none" w:sz="0" w:space="0" w:color="auto"/>
        <w:right w:val="none" w:sz="0" w:space="0" w:color="auto"/>
      </w:divBdr>
    </w:div>
    <w:div w:id="1117262021">
      <w:bodyDiv w:val="1"/>
      <w:marLeft w:val="0"/>
      <w:marRight w:val="0"/>
      <w:marTop w:val="0"/>
      <w:marBottom w:val="0"/>
      <w:divBdr>
        <w:top w:val="none" w:sz="0" w:space="0" w:color="auto"/>
        <w:left w:val="none" w:sz="0" w:space="0" w:color="auto"/>
        <w:bottom w:val="none" w:sz="0" w:space="0" w:color="auto"/>
        <w:right w:val="none" w:sz="0" w:space="0" w:color="auto"/>
      </w:divBdr>
    </w:div>
    <w:div w:id="1128089948">
      <w:bodyDiv w:val="1"/>
      <w:marLeft w:val="0"/>
      <w:marRight w:val="0"/>
      <w:marTop w:val="0"/>
      <w:marBottom w:val="0"/>
      <w:divBdr>
        <w:top w:val="none" w:sz="0" w:space="0" w:color="auto"/>
        <w:left w:val="none" w:sz="0" w:space="0" w:color="auto"/>
        <w:bottom w:val="none" w:sz="0" w:space="0" w:color="auto"/>
        <w:right w:val="none" w:sz="0" w:space="0" w:color="auto"/>
      </w:divBdr>
    </w:div>
    <w:div w:id="1139304439">
      <w:bodyDiv w:val="1"/>
      <w:marLeft w:val="0"/>
      <w:marRight w:val="0"/>
      <w:marTop w:val="0"/>
      <w:marBottom w:val="0"/>
      <w:divBdr>
        <w:top w:val="none" w:sz="0" w:space="0" w:color="auto"/>
        <w:left w:val="none" w:sz="0" w:space="0" w:color="auto"/>
        <w:bottom w:val="none" w:sz="0" w:space="0" w:color="auto"/>
        <w:right w:val="none" w:sz="0" w:space="0" w:color="auto"/>
      </w:divBdr>
    </w:div>
    <w:div w:id="1149244933">
      <w:bodyDiv w:val="1"/>
      <w:marLeft w:val="0"/>
      <w:marRight w:val="0"/>
      <w:marTop w:val="0"/>
      <w:marBottom w:val="0"/>
      <w:divBdr>
        <w:top w:val="none" w:sz="0" w:space="0" w:color="auto"/>
        <w:left w:val="none" w:sz="0" w:space="0" w:color="auto"/>
        <w:bottom w:val="none" w:sz="0" w:space="0" w:color="auto"/>
        <w:right w:val="none" w:sz="0" w:space="0" w:color="auto"/>
      </w:divBdr>
    </w:div>
    <w:div w:id="1151291275">
      <w:bodyDiv w:val="1"/>
      <w:marLeft w:val="0"/>
      <w:marRight w:val="0"/>
      <w:marTop w:val="0"/>
      <w:marBottom w:val="0"/>
      <w:divBdr>
        <w:top w:val="none" w:sz="0" w:space="0" w:color="auto"/>
        <w:left w:val="none" w:sz="0" w:space="0" w:color="auto"/>
        <w:bottom w:val="none" w:sz="0" w:space="0" w:color="auto"/>
        <w:right w:val="none" w:sz="0" w:space="0" w:color="auto"/>
      </w:divBdr>
    </w:div>
    <w:div w:id="1161510108">
      <w:bodyDiv w:val="1"/>
      <w:marLeft w:val="0"/>
      <w:marRight w:val="0"/>
      <w:marTop w:val="0"/>
      <w:marBottom w:val="0"/>
      <w:divBdr>
        <w:top w:val="none" w:sz="0" w:space="0" w:color="auto"/>
        <w:left w:val="none" w:sz="0" w:space="0" w:color="auto"/>
        <w:bottom w:val="none" w:sz="0" w:space="0" w:color="auto"/>
        <w:right w:val="none" w:sz="0" w:space="0" w:color="auto"/>
      </w:divBdr>
    </w:div>
    <w:div w:id="1170025069">
      <w:bodyDiv w:val="1"/>
      <w:marLeft w:val="0"/>
      <w:marRight w:val="0"/>
      <w:marTop w:val="0"/>
      <w:marBottom w:val="0"/>
      <w:divBdr>
        <w:top w:val="none" w:sz="0" w:space="0" w:color="auto"/>
        <w:left w:val="none" w:sz="0" w:space="0" w:color="auto"/>
        <w:bottom w:val="none" w:sz="0" w:space="0" w:color="auto"/>
        <w:right w:val="none" w:sz="0" w:space="0" w:color="auto"/>
      </w:divBdr>
    </w:div>
    <w:div w:id="1174959490">
      <w:bodyDiv w:val="1"/>
      <w:marLeft w:val="0"/>
      <w:marRight w:val="0"/>
      <w:marTop w:val="0"/>
      <w:marBottom w:val="0"/>
      <w:divBdr>
        <w:top w:val="none" w:sz="0" w:space="0" w:color="auto"/>
        <w:left w:val="none" w:sz="0" w:space="0" w:color="auto"/>
        <w:bottom w:val="none" w:sz="0" w:space="0" w:color="auto"/>
        <w:right w:val="none" w:sz="0" w:space="0" w:color="auto"/>
      </w:divBdr>
    </w:div>
    <w:div w:id="1175270229">
      <w:bodyDiv w:val="1"/>
      <w:marLeft w:val="0"/>
      <w:marRight w:val="0"/>
      <w:marTop w:val="0"/>
      <w:marBottom w:val="0"/>
      <w:divBdr>
        <w:top w:val="none" w:sz="0" w:space="0" w:color="auto"/>
        <w:left w:val="none" w:sz="0" w:space="0" w:color="auto"/>
        <w:bottom w:val="none" w:sz="0" w:space="0" w:color="auto"/>
        <w:right w:val="none" w:sz="0" w:space="0" w:color="auto"/>
      </w:divBdr>
    </w:div>
    <w:div w:id="1196969072">
      <w:bodyDiv w:val="1"/>
      <w:marLeft w:val="0"/>
      <w:marRight w:val="0"/>
      <w:marTop w:val="0"/>
      <w:marBottom w:val="0"/>
      <w:divBdr>
        <w:top w:val="none" w:sz="0" w:space="0" w:color="auto"/>
        <w:left w:val="none" w:sz="0" w:space="0" w:color="auto"/>
        <w:bottom w:val="none" w:sz="0" w:space="0" w:color="auto"/>
        <w:right w:val="none" w:sz="0" w:space="0" w:color="auto"/>
      </w:divBdr>
    </w:div>
    <w:div w:id="1202480567">
      <w:bodyDiv w:val="1"/>
      <w:marLeft w:val="0"/>
      <w:marRight w:val="0"/>
      <w:marTop w:val="0"/>
      <w:marBottom w:val="0"/>
      <w:divBdr>
        <w:top w:val="none" w:sz="0" w:space="0" w:color="auto"/>
        <w:left w:val="none" w:sz="0" w:space="0" w:color="auto"/>
        <w:bottom w:val="none" w:sz="0" w:space="0" w:color="auto"/>
        <w:right w:val="none" w:sz="0" w:space="0" w:color="auto"/>
      </w:divBdr>
    </w:div>
    <w:div w:id="1206794335">
      <w:bodyDiv w:val="1"/>
      <w:marLeft w:val="0"/>
      <w:marRight w:val="0"/>
      <w:marTop w:val="0"/>
      <w:marBottom w:val="0"/>
      <w:divBdr>
        <w:top w:val="none" w:sz="0" w:space="0" w:color="auto"/>
        <w:left w:val="none" w:sz="0" w:space="0" w:color="auto"/>
        <w:bottom w:val="none" w:sz="0" w:space="0" w:color="auto"/>
        <w:right w:val="none" w:sz="0" w:space="0" w:color="auto"/>
      </w:divBdr>
    </w:div>
    <w:div w:id="1209148983">
      <w:bodyDiv w:val="1"/>
      <w:marLeft w:val="0"/>
      <w:marRight w:val="0"/>
      <w:marTop w:val="0"/>
      <w:marBottom w:val="0"/>
      <w:divBdr>
        <w:top w:val="none" w:sz="0" w:space="0" w:color="auto"/>
        <w:left w:val="none" w:sz="0" w:space="0" w:color="auto"/>
        <w:bottom w:val="none" w:sz="0" w:space="0" w:color="auto"/>
        <w:right w:val="none" w:sz="0" w:space="0" w:color="auto"/>
      </w:divBdr>
    </w:div>
    <w:div w:id="1213887904">
      <w:bodyDiv w:val="1"/>
      <w:marLeft w:val="0"/>
      <w:marRight w:val="0"/>
      <w:marTop w:val="0"/>
      <w:marBottom w:val="0"/>
      <w:divBdr>
        <w:top w:val="none" w:sz="0" w:space="0" w:color="auto"/>
        <w:left w:val="none" w:sz="0" w:space="0" w:color="auto"/>
        <w:bottom w:val="none" w:sz="0" w:space="0" w:color="auto"/>
        <w:right w:val="none" w:sz="0" w:space="0" w:color="auto"/>
      </w:divBdr>
    </w:div>
    <w:div w:id="1217156632">
      <w:bodyDiv w:val="1"/>
      <w:marLeft w:val="0"/>
      <w:marRight w:val="0"/>
      <w:marTop w:val="0"/>
      <w:marBottom w:val="0"/>
      <w:divBdr>
        <w:top w:val="none" w:sz="0" w:space="0" w:color="auto"/>
        <w:left w:val="none" w:sz="0" w:space="0" w:color="auto"/>
        <w:bottom w:val="none" w:sz="0" w:space="0" w:color="auto"/>
        <w:right w:val="none" w:sz="0" w:space="0" w:color="auto"/>
      </w:divBdr>
    </w:div>
    <w:div w:id="1217618400">
      <w:bodyDiv w:val="1"/>
      <w:marLeft w:val="0"/>
      <w:marRight w:val="0"/>
      <w:marTop w:val="0"/>
      <w:marBottom w:val="0"/>
      <w:divBdr>
        <w:top w:val="none" w:sz="0" w:space="0" w:color="auto"/>
        <w:left w:val="none" w:sz="0" w:space="0" w:color="auto"/>
        <w:bottom w:val="none" w:sz="0" w:space="0" w:color="auto"/>
        <w:right w:val="none" w:sz="0" w:space="0" w:color="auto"/>
      </w:divBdr>
      <w:divsChild>
        <w:div w:id="1041252238">
          <w:marLeft w:val="0"/>
          <w:marRight w:val="0"/>
          <w:marTop w:val="0"/>
          <w:marBottom w:val="0"/>
          <w:divBdr>
            <w:top w:val="none" w:sz="0" w:space="0" w:color="auto"/>
            <w:left w:val="none" w:sz="0" w:space="0" w:color="auto"/>
            <w:bottom w:val="none" w:sz="0" w:space="0" w:color="auto"/>
            <w:right w:val="none" w:sz="0" w:space="0" w:color="auto"/>
          </w:divBdr>
        </w:div>
      </w:divsChild>
    </w:div>
    <w:div w:id="1221403064">
      <w:bodyDiv w:val="1"/>
      <w:marLeft w:val="0"/>
      <w:marRight w:val="0"/>
      <w:marTop w:val="0"/>
      <w:marBottom w:val="0"/>
      <w:divBdr>
        <w:top w:val="none" w:sz="0" w:space="0" w:color="auto"/>
        <w:left w:val="none" w:sz="0" w:space="0" w:color="auto"/>
        <w:bottom w:val="none" w:sz="0" w:space="0" w:color="auto"/>
        <w:right w:val="none" w:sz="0" w:space="0" w:color="auto"/>
      </w:divBdr>
    </w:div>
    <w:div w:id="1229150204">
      <w:bodyDiv w:val="1"/>
      <w:marLeft w:val="0"/>
      <w:marRight w:val="0"/>
      <w:marTop w:val="0"/>
      <w:marBottom w:val="0"/>
      <w:divBdr>
        <w:top w:val="none" w:sz="0" w:space="0" w:color="auto"/>
        <w:left w:val="none" w:sz="0" w:space="0" w:color="auto"/>
        <w:bottom w:val="none" w:sz="0" w:space="0" w:color="auto"/>
        <w:right w:val="none" w:sz="0" w:space="0" w:color="auto"/>
      </w:divBdr>
    </w:div>
    <w:div w:id="1234781616">
      <w:bodyDiv w:val="1"/>
      <w:marLeft w:val="0"/>
      <w:marRight w:val="0"/>
      <w:marTop w:val="0"/>
      <w:marBottom w:val="0"/>
      <w:divBdr>
        <w:top w:val="none" w:sz="0" w:space="0" w:color="auto"/>
        <w:left w:val="none" w:sz="0" w:space="0" w:color="auto"/>
        <w:bottom w:val="none" w:sz="0" w:space="0" w:color="auto"/>
        <w:right w:val="none" w:sz="0" w:space="0" w:color="auto"/>
      </w:divBdr>
    </w:div>
    <w:div w:id="1237012878">
      <w:bodyDiv w:val="1"/>
      <w:marLeft w:val="0"/>
      <w:marRight w:val="0"/>
      <w:marTop w:val="0"/>
      <w:marBottom w:val="0"/>
      <w:divBdr>
        <w:top w:val="none" w:sz="0" w:space="0" w:color="auto"/>
        <w:left w:val="none" w:sz="0" w:space="0" w:color="auto"/>
        <w:bottom w:val="none" w:sz="0" w:space="0" w:color="auto"/>
        <w:right w:val="none" w:sz="0" w:space="0" w:color="auto"/>
      </w:divBdr>
    </w:div>
    <w:div w:id="1240557926">
      <w:bodyDiv w:val="1"/>
      <w:marLeft w:val="0"/>
      <w:marRight w:val="0"/>
      <w:marTop w:val="0"/>
      <w:marBottom w:val="0"/>
      <w:divBdr>
        <w:top w:val="none" w:sz="0" w:space="0" w:color="auto"/>
        <w:left w:val="none" w:sz="0" w:space="0" w:color="auto"/>
        <w:bottom w:val="none" w:sz="0" w:space="0" w:color="auto"/>
        <w:right w:val="none" w:sz="0" w:space="0" w:color="auto"/>
      </w:divBdr>
    </w:div>
    <w:div w:id="1244536377">
      <w:bodyDiv w:val="1"/>
      <w:marLeft w:val="0"/>
      <w:marRight w:val="0"/>
      <w:marTop w:val="0"/>
      <w:marBottom w:val="0"/>
      <w:divBdr>
        <w:top w:val="none" w:sz="0" w:space="0" w:color="auto"/>
        <w:left w:val="none" w:sz="0" w:space="0" w:color="auto"/>
        <w:bottom w:val="none" w:sz="0" w:space="0" w:color="auto"/>
        <w:right w:val="none" w:sz="0" w:space="0" w:color="auto"/>
      </w:divBdr>
    </w:div>
    <w:div w:id="1249925987">
      <w:bodyDiv w:val="1"/>
      <w:marLeft w:val="0"/>
      <w:marRight w:val="0"/>
      <w:marTop w:val="0"/>
      <w:marBottom w:val="0"/>
      <w:divBdr>
        <w:top w:val="none" w:sz="0" w:space="0" w:color="auto"/>
        <w:left w:val="none" w:sz="0" w:space="0" w:color="auto"/>
        <w:bottom w:val="none" w:sz="0" w:space="0" w:color="auto"/>
        <w:right w:val="none" w:sz="0" w:space="0" w:color="auto"/>
      </w:divBdr>
    </w:div>
    <w:div w:id="1258321512">
      <w:bodyDiv w:val="1"/>
      <w:marLeft w:val="0"/>
      <w:marRight w:val="0"/>
      <w:marTop w:val="0"/>
      <w:marBottom w:val="0"/>
      <w:divBdr>
        <w:top w:val="none" w:sz="0" w:space="0" w:color="auto"/>
        <w:left w:val="none" w:sz="0" w:space="0" w:color="auto"/>
        <w:bottom w:val="none" w:sz="0" w:space="0" w:color="auto"/>
        <w:right w:val="none" w:sz="0" w:space="0" w:color="auto"/>
      </w:divBdr>
    </w:div>
    <w:div w:id="1261109550">
      <w:bodyDiv w:val="1"/>
      <w:marLeft w:val="0"/>
      <w:marRight w:val="0"/>
      <w:marTop w:val="0"/>
      <w:marBottom w:val="0"/>
      <w:divBdr>
        <w:top w:val="none" w:sz="0" w:space="0" w:color="auto"/>
        <w:left w:val="none" w:sz="0" w:space="0" w:color="auto"/>
        <w:bottom w:val="none" w:sz="0" w:space="0" w:color="auto"/>
        <w:right w:val="none" w:sz="0" w:space="0" w:color="auto"/>
      </w:divBdr>
    </w:div>
    <w:div w:id="1261837280">
      <w:bodyDiv w:val="1"/>
      <w:marLeft w:val="0"/>
      <w:marRight w:val="0"/>
      <w:marTop w:val="0"/>
      <w:marBottom w:val="0"/>
      <w:divBdr>
        <w:top w:val="none" w:sz="0" w:space="0" w:color="auto"/>
        <w:left w:val="none" w:sz="0" w:space="0" w:color="auto"/>
        <w:bottom w:val="none" w:sz="0" w:space="0" w:color="auto"/>
        <w:right w:val="none" w:sz="0" w:space="0" w:color="auto"/>
      </w:divBdr>
    </w:div>
    <w:div w:id="1275136287">
      <w:bodyDiv w:val="1"/>
      <w:marLeft w:val="0"/>
      <w:marRight w:val="0"/>
      <w:marTop w:val="0"/>
      <w:marBottom w:val="0"/>
      <w:divBdr>
        <w:top w:val="none" w:sz="0" w:space="0" w:color="auto"/>
        <w:left w:val="none" w:sz="0" w:space="0" w:color="auto"/>
        <w:bottom w:val="none" w:sz="0" w:space="0" w:color="auto"/>
        <w:right w:val="none" w:sz="0" w:space="0" w:color="auto"/>
      </w:divBdr>
    </w:div>
    <w:div w:id="1277641964">
      <w:bodyDiv w:val="1"/>
      <w:marLeft w:val="0"/>
      <w:marRight w:val="0"/>
      <w:marTop w:val="0"/>
      <w:marBottom w:val="0"/>
      <w:divBdr>
        <w:top w:val="none" w:sz="0" w:space="0" w:color="auto"/>
        <w:left w:val="none" w:sz="0" w:space="0" w:color="auto"/>
        <w:bottom w:val="none" w:sz="0" w:space="0" w:color="auto"/>
        <w:right w:val="none" w:sz="0" w:space="0" w:color="auto"/>
      </w:divBdr>
    </w:div>
    <w:div w:id="1279607078">
      <w:bodyDiv w:val="1"/>
      <w:marLeft w:val="0"/>
      <w:marRight w:val="0"/>
      <w:marTop w:val="0"/>
      <w:marBottom w:val="0"/>
      <w:divBdr>
        <w:top w:val="none" w:sz="0" w:space="0" w:color="auto"/>
        <w:left w:val="none" w:sz="0" w:space="0" w:color="auto"/>
        <w:bottom w:val="none" w:sz="0" w:space="0" w:color="auto"/>
        <w:right w:val="none" w:sz="0" w:space="0" w:color="auto"/>
      </w:divBdr>
    </w:div>
    <w:div w:id="1298880429">
      <w:bodyDiv w:val="1"/>
      <w:marLeft w:val="0"/>
      <w:marRight w:val="0"/>
      <w:marTop w:val="0"/>
      <w:marBottom w:val="0"/>
      <w:divBdr>
        <w:top w:val="none" w:sz="0" w:space="0" w:color="auto"/>
        <w:left w:val="none" w:sz="0" w:space="0" w:color="auto"/>
        <w:bottom w:val="none" w:sz="0" w:space="0" w:color="auto"/>
        <w:right w:val="none" w:sz="0" w:space="0" w:color="auto"/>
      </w:divBdr>
    </w:div>
    <w:div w:id="1300915488">
      <w:bodyDiv w:val="1"/>
      <w:marLeft w:val="0"/>
      <w:marRight w:val="0"/>
      <w:marTop w:val="0"/>
      <w:marBottom w:val="0"/>
      <w:divBdr>
        <w:top w:val="none" w:sz="0" w:space="0" w:color="auto"/>
        <w:left w:val="none" w:sz="0" w:space="0" w:color="auto"/>
        <w:bottom w:val="none" w:sz="0" w:space="0" w:color="auto"/>
        <w:right w:val="none" w:sz="0" w:space="0" w:color="auto"/>
      </w:divBdr>
    </w:div>
    <w:div w:id="1301569783">
      <w:bodyDiv w:val="1"/>
      <w:marLeft w:val="0"/>
      <w:marRight w:val="0"/>
      <w:marTop w:val="0"/>
      <w:marBottom w:val="0"/>
      <w:divBdr>
        <w:top w:val="none" w:sz="0" w:space="0" w:color="auto"/>
        <w:left w:val="none" w:sz="0" w:space="0" w:color="auto"/>
        <w:bottom w:val="none" w:sz="0" w:space="0" w:color="auto"/>
        <w:right w:val="none" w:sz="0" w:space="0" w:color="auto"/>
      </w:divBdr>
    </w:div>
    <w:div w:id="1319766647">
      <w:bodyDiv w:val="1"/>
      <w:marLeft w:val="0"/>
      <w:marRight w:val="0"/>
      <w:marTop w:val="0"/>
      <w:marBottom w:val="0"/>
      <w:divBdr>
        <w:top w:val="none" w:sz="0" w:space="0" w:color="auto"/>
        <w:left w:val="none" w:sz="0" w:space="0" w:color="auto"/>
        <w:bottom w:val="none" w:sz="0" w:space="0" w:color="auto"/>
        <w:right w:val="none" w:sz="0" w:space="0" w:color="auto"/>
      </w:divBdr>
    </w:div>
    <w:div w:id="1325015090">
      <w:bodyDiv w:val="1"/>
      <w:marLeft w:val="0"/>
      <w:marRight w:val="0"/>
      <w:marTop w:val="0"/>
      <w:marBottom w:val="0"/>
      <w:divBdr>
        <w:top w:val="none" w:sz="0" w:space="0" w:color="auto"/>
        <w:left w:val="none" w:sz="0" w:space="0" w:color="auto"/>
        <w:bottom w:val="none" w:sz="0" w:space="0" w:color="auto"/>
        <w:right w:val="none" w:sz="0" w:space="0" w:color="auto"/>
      </w:divBdr>
    </w:div>
    <w:div w:id="1327977334">
      <w:bodyDiv w:val="1"/>
      <w:marLeft w:val="0"/>
      <w:marRight w:val="0"/>
      <w:marTop w:val="0"/>
      <w:marBottom w:val="0"/>
      <w:divBdr>
        <w:top w:val="none" w:sz="0" w:space="0" w:color="auto"/>
        <w:left w:val="none" w:sz="0" w:space="0" w:color="auto"/>
        <w:bottom w:val="none" w:sz="0" w:space="0" w:color="auto"/>
        <w:right w:val="none" w:sz="0" w:space="0" w:color="auto"/>
      </w:divBdr>
    </w:div>
    <w:div w:id="1334143939">
      <w:bodyDiv w:val="1"/>
      <w:marLeft w:val="0"/>
      <w:marRight w:val="0"/>
      <w:marTop w:val="0"/>
      <w:marBottom w:val="0"/>
      <w:divBdr>
        <w:top w:val="none" w:sz="0" w:space="0" w:color="auto"/>
        <w:left w:val="none" w:sz="0" w:space="0" w:color="auto"/>
        <w:bottom w:val="none" w:sz="0" w:space="0" w:color="auto"/>
        <w:right w:val="none" w:sz="0" w:space="0" w:color="auto"/>
      </w:divBdr>
    </w:div>
    <w:div w:id="1336886192">
      <w:bodyDiv w:val="1"/>
      <w:marLeft w:val="0"/>
      <w:marRight w:val="0"/>
      <w:marTop w:val="0"/>
      <w:marBottom w:val="0"/>
      <w:divBdr>
        <w:top w:val="none" w:sz="0" w:space="0" w:color="auto"/>
        <w:left w:val="none" w:sz="0" w:space="0" w:color="auto"/>
        <w:bottom w:val="none" w:sz="0" w:space="0" w:color="auto"/>
        <w:right w:val="none" w:sz="0" w:space="0" w:color="auto"/>
      </w:divBdr>
    </w:div>
    <w:div w:id="1342388534">
      <w:bodyDiv w:val="1"/>
      <w:marLeft w:val="0"/>
      <w:marRight w:val="0"/>
      <w:marTop w:val="0"/>
      <w:marBottom w:val="0"/>
      <w:divBdr>
        <w:top w:val="none" w:sz="0" w:space="0" w:color="auto"/>
        <w:left w:val="none" w:sz="0" w:space="0" w:color="auto"/>
        <w:bottom w:val="none" w:sz="0" w:space="0" w:color="auto"/>
        <w:right w:val="none" w:sz="0" w:space="0" w:color="auto"/>
      </w:divBdr>
    </w:div>
    <w:div w:id="1349403508">
      <w:bodyDiv w:val="1"/>
      <w:marLeft w:val="0"/>
      <w:marRight w:val="0"/>
      <w:marTop w:val="0"/>
      <w:marBottom w:val="0"/>
      <w:divBdr>
        <w:top w:val="none" w:sz="0" w:space="0" w:color="auto"/>
        <w:left w:val="none" w:sz="0" w:space="0" w:color="auto"/>
        <w:bottom w:val="none" w:sz="0" w:space="0" w:color="auto"/>
        <w:right w:val="none" w:sz="0" w:space="0" w:color="auto"/>
      </w:divBdr>
    </w:div>
    <w:div w:id="1350065726">
      <w:bodyDiv w:val="1"/>
      <w:marLeft w:val="0"/>
      <w:marRight w:val="0"/>
      <w:marTop w:val="0"/>
      <w:marBottom w:val="0"/>
      <w:divBdr>
        <w:top w:val="none" w:sz="0" w:space="0" w:color="auto"/>
        <w:left w:val="none" w:sz="0" w:space="0" w:color="auto"/>
        <w:bottom w:val="none" w:sz="0" w:space="0" w:color="auto"/>
        <w:right w:val="none" w:sz="0" w:space="0" w:color="auto"/>
      </w:divBdr>
    </w:div>
    <w:div w:id="1355112053">
      <w:bodyDiv w:val="1"/>
      <w:marLeft w:val="0"/>
      <w:marRight w:val="0"/>
      <w:marTop w:val="0"/>
      <w:marBottom w:val="0"/>
      <w:divBdr>
        <w:top w:val="none" w:sz="0" w:space="0" w:color="auto"/>
        <w:left w:val="none" w:sz="0" w:space="0" w:color="auto"/>
        <w:bottom w:val="none" w:sz="0" w:space="0" w:color="auto"/>
        <w:right w:val="none" w:sz="0" w:space="0" w:color="auto"/>
      </w:divBdr>
    </w:div>
    <w:div w:id="1368678876">
      <w:bodyDiv w:val="1"/>
      <w:marLeft w:val="0"/>
      <w:marRight w:val="0"/>
      <w:marTop w:val="0"/>
      <w:marBottom w:val="0"/>
      <w:divBdr>
        <w:top w:val="none" w:sz="0" w:space="0" w:color="auto"/>
        <w:left w:val="none" w:sz="0" w:space="0" w:color="auto"/>
        <w:bottom w:val="none" w:sz="0" w:space="0" w:color="auto"/>
        <w:right w:val="none" w:sz="0" w:space="0" w:color="auto"/>
      </w:divBdr>
    </w:div>
    <w:div w:id="1393117037">
      <w:bodyDiv w:val="1"/>
      <w:marLeft w:val="0"/>
      <w:marRight w:val="0"/>
      <w:marTop w:val="0"/>
      <w:marBottom w:val="0"/>
      <w:divBdr>
        <w:top w:val="none" w:sz="0" w:space="0" w:color="auto"/>
        <w:left w:val="none" w:sz="0" w:space="0" w:color="auto"/>
        <w:bottom w:val="none" w:sz="0" w:space="0" w:color="auto"/>
        <w:right w:val="none" w:sz="0" w:space="0" w:color="auto"/>
      </w:divBdr>
    </w:div>
    <w:div w:id="1396195203">
      <w:bodyDiv w:val="1"/>
      <w:marLeft w:val="0"/>
      <w:marRight w:val="0"/>
      <w:marTop w:val="0"/>
      <w:marBottom w:val="0"/>
      <w:divBdr>
        <w:top w:val="none" w:sz="0" w:space="0" w:color="auto"/>
        <w:left w:val="none" w:sz="0" w:space="0" w:color="auto"/>
        <w:bottom w:val="none" w:sz="0" w:space="0" w:color="auto"/>
        <w:right w:val="none" w:sz="0" w:space="0" w:color="auto"/>
      </w:divBdr>
    </w:div>
    <w:div w:id="1396664984">
      <w:bodyDiv w:val="1"/>
      <w:marLeft w:val="0"/>
      <w:marRight w:val="0"/>
      <w:marTop w:val="0"/>
      <w:marBottom w:val="0"/>
      <w:divBdr>
        <w:top w:val="none" w:sz="0" w:space="0" w:color="auto"/>
        <w:left w:val="none" w:sz="0" w:space="0" w:color="auto"/>
        <w:bottom w:val="none" w:sz="0" w:space="0" w:color="auto"/>
        <w:right w:val="none" w:sz="0" w:space="0" w:color="auto"/>
      </w:divBdr>
    </w:div>
    <w:div w:id="1408655025">
      <w:bodyDiv w:val="1"/>
      <w:marLeft w:val="0"/>
      <w:marRight w:val="0"/>
      <w:marTop w:val="0"/>
      <w:marBottom w:val="0"/>
      <w:divBdr>
        <w:top w:val="none" w:sz="0" w:space="0" w:color="auto"/>
        <w:left w:val="none" w:sz="0" w:space="0" w:color="auto"/>
        <w:bottom w:val="none" w:sz="0" w:space="0" w:color="auto"/>
        <w:right w:val="none" w:sz="0" w:space="0" w:color="auto"/>
      </w:divBdr>
    </w:div>
    <w:div w:id="1409187343">
      <w:bodyDiv w:val="1"/>
      <w:marLeft w:val="0"/>
      <w:marRight w:val="0"/>
      <w:marTop w:val="0"/>
      <w:marBottom w:val="0"/>
      <w:divBdr>
        <w:top w:val="none" w:sz="0" w:space="0" w:color="auto"/>
        <w:left w:val="none" w:sz="0" w:space="0" w:color="auto"/>
        <w:bottom w:val="none" w:sz="0" w:space="0" w:color="auto"/>
        <w:right w:val="none" w:sz="0" w:space="0" w:color="auto"/>
      </w:divBdr>
    </w:div>
    <w:div w:id="1420250940">
      <w:bodyDiv w:val="1"/>
      <w:marLeft w:val="0"/>
      <w:marRight w:val="0"/>
      <w:marTop w:val="0"/>
      <w:marBottom w:val="0"/>
      <w:divBdr>
        <w:top w:val="none" w:sz="0" w:space="0" w:color="auto"/>
        <w:left w:val="none" w:sz="0" w:space="0" w:color="auto"/>
        <w:bottom w:val="none" w:sz="0" w:space="0" w:color="auto"/>
        <w:right w:val="none" w:sz="0" w:space="0" w:color="auto"/>
      </w:divBdr>
    </w:div>
    <w:div w:id="1420828633">
      <w:bodyDiv w:val="1"/>
      <w:marLeft w:val="0"/>
      <w:marRight w:val="0"/>
      <w:marTop w:val="0"/>
      <w:marBottom w:val="0"/>
      <w:divBdr>
        <w:top w:val="none" w:sz="0" w:space="0" w:color="auto"/>
        <w:left w:val="none" w:sz="0" w:space="0" w:color="auto"/>
        <w:bottom w:val="none" w:sz="0" w:space="0" w:color="auto"/>
        <w:right w:val="none" w:sz="0" w:space="0" w:color="auto"/>
      </w:divBdr>
      <w:divsChild>
        <w:div w:id="1023244769">
          <w:marLeft w:val="0"/>
          <w:marRight w:val="0"/>
          <w:marTop w:val="0"/>
          <w:marBottom w:val="0"/>
          <w:divBdr>
            <w:top w:val="none" w:sz="0" w:space="0" w:color="auto"/>
            <w:left w:val="none" w:sz="0" w:space="0" w:color="auto"/>
            <w:bottom w:val="none" w:sz="0" w:space="0" w:color="auto"/>
            <w:right w:val="none" w:sz="0" w:space="0" w:color="auto"/>
          </w:divBdr>
        </w:div>
      </w:divsChild>
    </w:div>
    <w:div w:id="1423527153">
      <w:bodyDiv w:val="1"/>
      <w:marLeft w:val="0"/>
      <w:marRight w:val="0"/>
      <w:marTop w:val="0"/>
      <w:marBottom w:val="0"/>
      <w:divBdr>
        <w:top w:val="none" w:sz="0" w:space="0" w:color="auto"/>
        <w:left w:val="none" w:sz="0" w:space="0" w:color="auto"/>
        <w:bottom w:val="none" w:sz="0" w:space="0" w:color="auto"/>
        <w:right w:val="none" w:sz="0" w:space="0" w:color="auto"/>
      </w:divBdr>
    </w:div>
    <w:div w:id="1430352445">
      <w:bodyDiv w:val="1"/>
      <w:marLeft w:val="0"/>
      <w:marRight w:val="0"/>
      <w:marTop w:val="0"/>
      <w:marBottom w:val="0"/>
      <w:divBdr>
        <w:top w:val="none" w:sz="0" w:space="0" w:color="auto"/>
        <w:left w:val="none" w:sz="0" w:space="0" w:color="auto"/>
        <w:bottom w:val="none" w:sz="0" w:space="0" w:color="auto"/>
        <w:right w:val="none" w:sz="0" w:space="0" w:color="auto"/>
      </w:divBdr>
    </w:div>
    <w:div w:id="1439056988">
      <w:bodyDiv w:val="1"/>
      <w:marLeft w:val="0"/>
      <w:marRight w:val="0"/>
      <w:marTop w:val="0"/>
      <w:marBottom w:val="0"/>
      <w:divBdr>
        <w:top w:val="none" w:sz="0" w:space="0" w:color="auto"/>
        <w:left w:val="none" w:sz="0" w:space="0" w:color="auto"/>
        <w:bottom w:val="none" w:sz="0" w:space="0" w:color="auto"/>
        <w:right w:val="none" w:sz="0" w:space="0" w:color="auto"/>
      </w:divBdr>
    </w:div>
    <w:div w:id="1452938482">
      <w:bodyDiv w:val="1"/>
      <w:marLeft w:val="0"/>
      <w:marRight w:val="0"/>
      <w:marTop w:val="0"/>
      <w:marBottom w:val="0"/>
      <w:divBdr>
        <w:top w:val="none" w:sz="0" w:space="0" w:color="auto"/>
        <w:left w:val="none" w:sz="0" w:space="0" w:color="auto"/>
        <w:bottom w:val="none" w:sz="0" w:space="0" w:color="auto"/>
        <w:right w:val="none" w:sz="0" w:space="0" w:color="auto"/>
      </w:divBdr>
    </w:div>
    <w:div w:id="1466237864">
      <w:bodyDiv w:val="1"/>
      <w:marLeft w:val="0"/>
      <w:marRight w:val="0"/>
      <w:marTop w:val="0"/>
      <w:marBottom w:val="0"/>
      <w:divBdr>
        <w:top w:val="none" w:sz="0" w:space="0" w:color="auto"/>
        <w:left w:val="none" w:sz="0" w:space="0" w:color="auto"/>
        <w:bottom w:val="none" w:sz="0" w:space="0" w:color="auto"/>
        <w:right w:val="none" w:sz="0" w:space="0" w:color="auto"/>
      </w:divBdr>
    </w:div>
    <w:div w:id="1483505162">
      <w:bodyDiv w:val="1"/>
      <w:marLeft w:val="0"/>
      <w:marRight w:val="0"/>
      <w:marTop w:val="0"/>
      <w:marBottom w:val="0"/>
      <w:divBdr>
        <w:top w:val="none" w:sz="0" w:space="0" w:color="auto"/>
        <w:left w:val="none" w:sz="0" w:space="0" w:color="auto"/>
        <w:bottom w:val="none" w:sz="0" w:space="0" w:color="auto"/>
        <w:right w:val="none" w:sz="0" w:space="0" w:color="auto"/>
      </w:divBdr>
    </w:div>
    <w:div w:id="1485199557">
      <w:bodyDiv w:val="1"/>
      <w:marLeft w:val="0"/>
      <w:marRight w:val="0"/>
      <w:marTop w:val="0"/>
      <w:marBottom w:val="0"/>
      <w:divBdr>
        <w:top w:val="none" w:sz="0" w:space="0" w:color="auto"/>
        <w:left w:val="none" w:sz="0" w:space="0" w:color="auto"/>
        <w:bottom w:val="none" w:sz="0" w:space="0" w:color="auto"/>
        <w:right w:val="none" w:sz="0" w:space="0" w:color="auto"/>
      </w:divBdr>
    </w:div>
    <w:div w:id="1488746670">
      <w:bodyDiv w:val="1"/>
      <w:marLeft w:val="0"/>
      <w:marRight w:val="0"/>
      <w:marTop w:val="0"/>
      <w:marBottom w:val="0"/>
      <w:divBdr>
        <w:top w:val="none" w:sz="0" w:space="0" w:color="auto"/>
        <w:left w:val="none" w:sz="0" w:space="0" w:color="auto"/>
        <w:bottom w:val="none" w:sz="0" w:space="0" w:color="auto"/>
        <w:right w:val="none" w:sz="0" w:space="0" w:color="auto"/>
      </w:divBdr>
    </w:div>
    <w:div w:id="1492984134">
      <w:bodyDiv w:val="1"/>
      <w:marLeft w:val="0"/>
      <w:marRight w:val="0"/>
      <w:marTop w:val="0"/>
      <w:marBottom w:val="0"/>
      <w:divBdr>
        <w:top w:val="none" w:sz="0" w:space="0" w:color="auto"/>
        <w:left w:val="none" w:sz="0" w:space="0" w:color="auto"/>
        <w:bottom w:val="none" w:sz="0" w:space="0" w:color="auto"/>
        <w:right w:val="none" w:sz="0" w:space="0" w:color="auto"/>
      </w:divBdr>
    </w:div>
    <w:div w:id="1508203655">
      <w:bodyDiv w:val="1"/>
      <w:marLeft w:val="0"/>
      <w:marRight w:val="0"/>
      <w:marTop w:val="0"/>
      <w:marBottom w:val="0"/>
      <w:divBdr>
        <w:top w:val="none" w:sz="0" w:space="0" w:color="auto"/>
        <w:left w:val="none" w:sz="0" w:space="0" w:color="auto"/>
        <w:bottom w:val="none" w:sz="0" w:space="0" w:color="auto"/>
        <w:right w:val="none" w:sz="0" w:space="0" w:color="auto"/>
      </w:divBdr>
    </w:div>
    <w:div w:id="1542787461">
      <w:bodyDiv w:val="1"/>
      <w:marLeft w:val="0"/>
      <w:marRight w:val="0"/>
      <w:marTop w:val="0"/>
      <w:marBottom w:val="0"/>
      <w:divBdr>
        <w:top w:val="none" w:sz="0" w:space="0" w:color="auto"/>
        <w:left w:val="none" w:sz="0" w:space="0" w:color="auto"/>
        <w:bottom w:val="none" w:sz="0" w:space="0" w:color="auto"/>
        <w:right w:val="none" w:sz="0" w:space="0" w:color="auto"/>
      </w:divBdr>
    </w:div>
    <w:div w:id="1550647775">
      <w:bodyDiv w:val="1"/>
      <w:marLeft w:val="0"/>
      <w:marRight w:val="0"/>
      <w:marTop w:val="0"/>
      <w:marBottom w:val="0"/>
      <w:divBdr>
        <w:top w:val="none" w:sz="0" w:space="0" w:color="auto"/>
        <w:left w:val="none" w:sz="0" w:space="0" w:color="auto"/>
        <w:bottom w:val="none" w:sz="0" w:space="0" w:color="auto"/>
        <w:right w:val="none" w:sz="0" w:space="0" w:color="auto"/>
      </w:divBdr>
    </w:div>
    <w:div w:id="1567841266">
      <w:bodyDiv w:val="1"/>
      <w:marLeft w:val="0"/>
      <w:marRight w:val="0"/>
      <w:marTop w:val="0"/>
      <w:marBottom w:val="0"/>
      <w:divBdr>
        <w:top w:val="none" w:sz="0" w:space="0" w:color="auto"/>
        <w:left w:val="none" w:sz="0" w:space="0" w:color="auto"/>
        <w:bottom w:val="none" w:sz="0" w:space="0" w:color="auto"/>
        <w:right w:val="none" w:sz="0" w:space="0" w:color="auto"/>
      </w:divBdr>
    </w:div>
    <w:div w:id="1580170918">
      <w:bodyDiv w:val="1"/>
      <w:marLeft w:val="0"/>
      <w:marRight w:val="0"/>
      <w:marTop w:val="0"/>
      <w:marBottom w:val="0"/>
      <w:divBdr>
        <w:top w:val="none" w:sz="0" w:space="0" w:color="auto"/>
        <w:left w:val="none" w:sz="0" w:space="0" w:color="auto"/>
        <w:bottom w:val="none" w:sz="0" w:space="0" w:color="auto"/>
        <w:right w:val="none" w:sz="0" w:space="0" w:color="auto"/>
      </w:divBdr>
    </w:div>
    <w:div w:id="1589927149">
      <w:bodyDiv w:val="1"/>
      <w:marLeft w:val="0"/>
      <w:marRight w:val="0"/>
      <w:marTop w:val="0"/>
      <w:marBottom w:val="0"/>
      <w:divBdr>
        <w:top w:val="none" w:sz="0" w:space="0" w:color="auto"/>
        <w:left w:val="none" w:sz="0" w:space="0" w:color="auto"/>
        <w:bottom w:val="none" w:sz="0" w:space="0" w:color="auto"/>
        <w:right w:val="none" w:sz="0" w:space="0" w:color="auto"/>
      </w:divBdr>
    </w:div>
    <w:div w:id="1591113889">
      <w:bodyDiv w:val="1"/>
      <w:marLeft w:val="0"/>
      <w:marRight w:val="0"/>
      <w:marTop w:val="0"/>
      <w:marBottom w:val="0"/>
      <w:divBdr>
        <w:top w:val="none" w:sz="0" w:space="0" w:color="auto"/>
        <w:left w:val="none" w:sz="0" w:space="0" w:color="auto"/>
        <w:bottom w:val="none" w:sz="0" w:space="0" w:color="auto"/>
        <w:right w:val="none" w:sz="0" w:space="0" w:color="auto"/>
      </w:divBdr>
    </w:div>
    <w:div w:id="1594699750">
      <w:bodyDiv w:val="1"/>
      <w:marLeft w:val="0"/>
      <w:marRight w:val="0"/>
      <w:marTop w:val="0"/>
      <w:marBottom w:val="0"/>
      <w:divBdr>
        <w:top w:val="none" w:sz="0" w:space="0" w:color="auto"/>
        <w:left w:val="none" w:sz="0" w:space="0" w:color="auto"/>
        <w:bottom w:val="none" w:sz="0" w:space="0" w:color="auto"/>
        <w:right w:val="none" w:sz="0" w:space="0" w:color="auto"/>
      </w:divBdr>
    </w:div>
    <w:div w:id="1607271129">
      <w:bodyDiv w:val="1"/>
      <w:marLeft w:val="0"/>
      <w:marRight w:val="0"/>
      <w:marTop w:val="0"/>
      <w:marBottom w:val="0"/>
      <w:divBdr>
        <w:top w:val="none" w:sz="0" w:space="0" w:color="auto"/>
        <w:left w:val="none" w:sz="0" w:space="0" w:color="auto"/>
        <w:bottom w:val="none" w:sz="0" w:space="0" w:color="auto"/>
        <w:right w:val="none" w:sz="0" w:space="0" w:color="auto"/>
      </w:divBdr>
    </w:div>
    <w:div w:id="1610434875">
      <w:bodyDiv w:val="1"/>
      <w:marLeft w:val="0"/>
      <w:marRight w:val="0"/>
      <w:marTop w:val="0"/>
      <w:marBottom w:val="0"/>
      <w:divBdr>
        <w:top w:val="none" w:sz="0" w:space="0" w:color="auto"/>
        <w:left w:val="none" w:sz="0" w:space="0" w:color="auto"/>
        <w:bottom w:val="none" w:sz="0" w:space="0" w:color="auto"/>
        <w:right w:val="none" w:sz="0" w:space="0" w:color="auto"/>
      </w:divBdr>
    </w:div>
    <w:div w:id="1611545059">
      <w:bodyDiv w:val="1"/>
      <w:marLeft w:val="0"/>
      <w:marRight w:val="0"/>
      <w:marTop w:val="0"/>
      <w:marBottom w:val="0"/>
      <w:divBdr>
        <w:top w:val="none" w:sz="0" w:space="0" w:color="auto"/>
        <w:left w:val="none" w:sz="0" w:space="0" w:color="auto"/>
        <w:bottom w:val="none" w:sz="0" w:space="0" w:color="auto"/>
        <w:right w:val="none" w:sz="0" w:space="0" w:color="auto"/>
      </w:divBdr>
    </w:div>
    <w:div w:id="1629044051">
      <w:bodyDiv w:val="1"/>
      <w:marLeft w:val="0"/>
      <w:marRight w:val="0"/>
      <w:marTop w:val="0"/>
      <w:marBottom w:val="0"/>
      <w:divBdr>
        <w:top w:val="none" w:sz="0" w:space="0" w:color="auto"/>
        <w:left w:val="none" w:sz="0" w:space="0" w:color="auto"/>
        <w:bottom w:val="none" w:sz="0" w:space="0" w:color="auto"/>
        <w:right w:val="none" w:sz="0" w:space="0" w:color="auto"/>
      </w:divBdr>
    </w:div>
    <w:div w:id="1633561665">
      <w:bodyDiv w:val="1"/>
      <w:marLeft w:val="0"/>
      <w:marRight w:val="0"/>
      <w:marTop w:val="0"/>
      <w:marBottom w:val="0"/>
      <w:divBdr>
        <w:top w:val="none" w:sz="0" w:space="0" w:color="auto"/>
        <w:left w:val="none" w:sz="0" w:space="0" w:color="auto"/>
        <w:bottom w:val="none" w:sz="0" w:space="0" w:color="auto"/>
        <w:right w:val="none" w:sz="0" w:space="0" w:color="auto"/>
      </w:divBdr>
    </w:div>
    <w:div w:id="1635869310">
      <w:bodyDiv w:val="1"/>
      <w:marLeft w:val="0"/>
      <w:marRight w:val="0"/>
      <w:marTop w:val="0"/>
      <w:marBottom w:val="0"/>
      <w:divBdr>
        <w:top w:val="none" w:sz="0" w:space="0" w:color="auto"/>
        <w:left w:val="none" w:sz="0" w:space="0" w:color="auto"/>
        <w:bottom w:val="none" w:sz="0" w:space="0" w:color="auto"/>
        <w:right w:val="none" w:sz="0" w:space="0" w:color="auto"/>
      </w:divBdr>
    </w:div>
    <w:div w:id="1648893524">
      <w:bodyDiv w:val="1"/>
      <w:marLeft w:val="0"/>
      <w:marRight w:val="0"/>
      <w:marTop w:val="0"/>
      <w:marBottom w:val="0"/>
      <w:divBdr>
        <w:top w:val="none" w:sz="0" w:space="0" w:color="auto"/>
        <w:left w:val="none" w:sz="0" w:space="0" w:color="auto"/>
        <w:bottom w:val="none" w:sz="0" w:space="0" w:color="auto"/>
        <w:right w:val="none" w:sz="0" w:space="0" w:color="auto"/>
      </w:divBdr>
    </w:div>
    <w:div w:id="1650401489">
      <w:bodyDiv w:val="1"/>
      <w:marLeft w:val="0"/>
      <w:marRight w:val="0"/>
      <w:marTop w:val="0"/>
      <w:marBottom w:val="0"/>
      <w:divBdr>
        <w:top w:val="none" w:sz="0" w:space="0" w:color="auto"/>
        <w:left w:val="none" w:sz="0" w:space="0" w:color="auto"/>
        <w:bottom w:val="none" w:sz="0" w:space="0" w:color="auto"/>
        <w:right w:val="none" w:sz="0" w:space="0" w:color="auto"/>
      </w:divBdr>
    </w:div>
    <w:div w:id="1656034436">
      <w:bodyDiv w:val="1"/>
      <w:marLeft w:val="0"/>
      <w:marRight w:val="0"/>
      <w:marTop w:val="0"/>
      <w:marBottom w:val="0"/>
      <w:divBdr>
        <w:top w:val="none" w:sz="0" w:space="0" w:color="auto"/>
        <w:left w:val="none" w:sz="0" w:space="0" w:color="auto"/>
        <w:bottom w:val="none" w:sz="0" w:space="0" w:color="auto"/>
        <w:right w:val="none" w:sz="0" w:space="0" w:color="auto"/>
      </w:divBdr>
    </w:div>
    <w:div w:id="1665282266">
      <w:bodyDiv w:val="1"/>
      <w:marLeft w:val="0"/>
      <w:marRight w:val="0"/>
      <w:marTop w:val="0"/>
      <w:marBottom w:val="0"/>
      <w:divBdr>
        <w:top w:val="none" w:sz="0" w:space="0" w:color="auto"/>
        <w:left w:val="none" w:sz="0" w:space="0" w:color="auto"/>
        <w:bottom w:val="none" w:sz="0" w:space="0" w:color="auto"/>
        <w:right w:val="none" w:sz="0" w:space="0" w:color="auto"/>
      </w:divBdr>
    </w:div>
    <w:div w:id="1669365183">
      <w:bodyDiv w:val="1"/>
      <w:marLeft w:val="0"/>
      <w:marRight w:val="0"/>
      <w:marTop w:val="0"/>
      <w:marBottom w:val="0"/>
      <w:divBdr>
        <w:top w:val="none" w:sz="0" w:space="0" w:color="auto"/>
        <w:left w:val="none" w:sz="0" w:space="0" w:color="auto"/>
        <w:bottom w:val="none" w:sz="0" w:space="0" w:color="auto"/>
        <w:right w:val="none" w:sz="0" w:space="0" w:color="auto"/>
      </w:divBdr>
    </w:div>
    <w:div w:id="1687781337">
      <w:bodyDiv w:val="1"/>
      <w:marLeft w:val="0"/>
      <w:marRight w:val="0"/>
      <w:marTop w:val="0"/>
      <w:marBottom w:val="0"/>
      <w:divBdr>
        <w:top w:val="none" w:sz="0" w:space="0" w:color="auto"/>
        <w:left w:val="none" w:sz="0" w:space="0" w:color="auto"/>
        <w:bottom w:val="none" w:sz="0" w:space="0" w:color="auto"/>
        <w:right w:val="none" w:sz="0" w:space="0" w:color="auto"/>
      </w:divBdr>
    </w:div>
    <w:div w:id="1704593736">
      <w:bodyDiv w:val="1"/>
      <w:marLeft w:val="0"/>
      <w:marRight w:val="0"/>
      <w:marTop w:val="0"/>
      <w:marBottom w:val="0"/>
      <w:divBdr>
        <w:top w:val="none" w:sz="0" w:space="0" w:color="auto"/>
        <w:left w:val="none" w:sz="0" w:space="0" w:color="auto"/>
        <w:bottom w:val="none" w:sz="0" w:space="0" w:color="auto"/>
        <w:right w:val="none" w:sz="0" w:space="0" w:color="auto"/>
      </w:divBdr>
    </w:div>
    <w:div w:id="1717001072">
      <w:bodyDiv w:val="1"/>
      <w:marLeft w:val="0"/>
      <w:marRight w:val="0"/>
      <w:marTop w:val="0"/>
      <w:marBottom w:val="0"/>
      <w:divBdr>
        <w:top w:val="none" w:sz="0" w:space="0" w:color="auto"/>
        <w:left w:val="none" w:sz="0" w:space="0" w:color="auto"/>
        <w:bottom w:val="none" w:sz="0" w:space="0" w:color="auto"/>
        <w:right w:val="none" w:sz="0" w:space="0" w:color="auto"/>
      </w:divBdr>
    </w:div>
    <w:div w:id="1727487073">
      <w:bodyDiv w:val="1"/>
      <w:marLeft w:val="0"/>
      <w:marRight w:val="0"/>
      <w:marTop w:val="0"/>
      <w:marBottom w:val="0"/>
      <w:divBdr>
        <w:top w:val="none" w:sz="0" w:space="0" w:color="auto"/>
        <w:left w:val="none" w:sz="0" w:space="0" w:color="auto"/>
        <w:bottom w:val="none" w:sz="0" w:space="0" w:color="auto"/>
        <w:right w:val="none" w:sz="0" w:space="0" w:color="auto"/>
      </w:divBdr>
    </w:div>
    <w:div w:id="1737120301">
      <w:bodyDiv w:val="1"/>
      <w:marLeft w:val="0"/>
      <w:marRight w:val="0"/>
      <w:marTop w:val="0"/>
      <w:marBottom w:val="0"/>
      <w:divBdr>
        <w:top w:val="none" w:sz="0" w:space="0" w:color="auto"/>
        <w:left w:val="none" w:sz="0" w:space="0" w:color="auto"/>
        <w:bottom w:val="none" w:sz="0" w:space="0" w:color="auto"/>
        <w:right w:val="none" w:sz="0" w:space="0" w:color="auto"/>
      </w:divBdr>
    </w:div>
    <w:div w:id="1738085219">
      <w:bodyDiv w:val="1"/>
      <w:marLeft w:val="0"/>
      <w:marRight w:val="0"/>
      <w:marTop w:val="0"/>
      <w:marBottom w:val="0"/>
      <w:divBdr>
        <w:top w:val="none" w:sz="0" w:space="0" w:color="auto"/>
        <w:left w:val="none" w:sz="0" w:space="0" w:color="auto"/>
        <w:bottom w:val="none" w:sz="0" w:space="0" w:color="auto"/>
        <w:right w:val="none" w:sz="0" w:space="0" w:color="auto"/>
      </w:divBdr>
    </w:div>
    <w:div w:id="1740178355">
      <w:bodyDiv w:val="1"/>
      <w:marLeft w:val="0"/>
      <w:marRight w:val="0"/>
      <w:marTop w:val="0"/>
      <w:marBottom w:val="0"/>
      <w:divBdr>
        <w:top w:val="none" w:sz="0" w:space="0" w:color="auto"/>
        <w:left w:val="none" w:sz="0" w:space="0" w:color="auto"/>
        <w:bottom w:val="none" w:sz="0" w:space="0" w:color="auto"/>
        <w:right w:val="none" w:sz="0" w:space="0" w:color="auto"/>
      </w:divBdr>
    </w:div>
    <w:div w:id="1742561483">
      <w:bodyDiv w:val="1"/>
      <w:marLeft w:val="0"/>
      <w:marRight w:val="0"/>
      <w:marTop w:val="0"/>
      <w:marBottom w:val="0"/>
      <w:divBdr>
        <w:top w:val="none" w:sz="0" w:space="0" w:color="auto"/>
        <w:left w:val="none" w:sz="0" w:space="0" w:color="auto"/>
        <w:bottom w:val="none" w:sz="0" w:space="0" w:color="auto"/>
        <w:right w:val="none" w:sz="0" w:space="0" w:color="auto"/>
      </w:divBdr>
    </w:div>
    <w:div w:id="1753507733">
      <w:bodyDiv w:val="1"/>
      <w:marLeft w:val="0"/>
      <w:marRight w:val="0"/>
      <w:marTop w:val="0"/>
      <w:marBottom w:val="0"/>
      <w:divBdr>
        <w:top w:val="none" w:sz="0" w:space="0" w:color="auto"/>
        <w:left w:val="none" w:sz="0" w:space="0" w:color="auto"/>
        <w:bottom w:val="none" w:sz="0" w:space="0" w:color="auto"/>
        <w:right w:val="none" w:sz="0" w:space="0" w:color="auto"/>
      </w:divBdr>
    </w:div>
    <w:div w:id="1773892437">
      <w:bodyDiv w:val="1"/>
      <w:marLeft w:val="0"/>
      <w:marRight w:val="0"/>
      <w:marTop w:val="0"/>
      <w:marBottom w:val="0"/>
      <w:divBdr>
        <w:top w:val="none" w:sz="0" w:space="0" w:color="auto"/>
        <w:left w:val="none" w:sz="0" w:space="0" w:color="auto"/>
        <w:bottom w:val="none" w:sz="0" w:space="0" w:color="auto"/>
        <w:right w:val="none" w:sz="0" w:space="0" w:color="auto"/>
      </w:divBdr>
    </w:div>
    <w:div w:id="1781141526">
      <w:bodyDiv w:val="1"/>
      <w:marLeft w:val="0"/>
      <w:marRight w:val="0"/>
      <w:marTop w:val="0"/>
      <w:marBottom w:val="0"/>
      <w:divBdr>
        <w:top w:val="none" w:sz="0" w:space="0" w:color="auto"/>
        <w:left w:val="none" w:sz="0" w:space="0" w:color="auto"/>
        <w:bottom w:val="none" w:sz="0" w:space="0" w:color="auto"/>
        <w:right w:val="none" w:sz="0" w:space="0" w:color="auto"/>
      </w:divBdr>
    </w:div>
    <w:div w:id="1794056975">
      <w:bodyDiv w:val="1"/>
      <w:marLeft w:val="0"/>
      <w:marRight w:val="0"/>
      <w:marTop w:val="0"/>
      <w:marBottom w:val="0"/>
      <w:divBdr>
        <w:top w:val="none" w:sz="0" w:space="0" w:color="auto"/>
        <w:left w:val="none" w:sz="0" w:space="0" w:color="auto"/>
        <w:bottom w:val="none" w:sz="0" w:space="0" w:color="auto"/>
        <w:right w:val="none" w:sz="0" w:space="0" w:color="auto"/>
      </w:divBdr>
    </w:div>
    <w:div w:id="1807357377">
      <w:bodyDiv w:val="1"/>
      <w:marLeft w:val="0"/>
      <w:marRight w:val="0"/>
      <w:marTop w:val="0"/>
      <w:marBottom w:val="0"/>
      <w:divBdr>
        <w:top w:val="none" w:sz="0" w:space="0" w:color="auto"/>
        <w:left w:val="none" w:sz="0" w:space="0" w:color="auto"/>
        <w:bottom w:val="none" w:sz="0" w:space="0" w:color="auto"/>
        <w:right w:val="none" w:sz="0" w:space="0" w:color="auto"/>
      </w:divBdr>
    </w:div>
    <w:div w:id="1808431498">
      <w:bodyDiv w:val="1"/>
      <w:marLeft w:val="0"/>
      <w:marRight w:val="0"/>
      <w:marTop w:val="0"/>
      <w:marBottom w:val="0"/>
      <w:divBdr>
        <w:top w:val="none" w:sz="0" w:space="0" w:color="auto"/>
        <w:left w:val="none" w:sz="0" w:space="0" w:color="auto"/>
        <w:bottom w:val="none" w:sz="0" w:space="0" w:color="auto"/>
        <w:right w:val="none" w:sz="0" w:space="0" w:color="auto"/>
      </w:divBdr>
    </w:div>
    <w:div w:id="1814365873">
      <w:bodyDiv w:val="1"/>
      <w:marLeft w:val="0"/>
      <w:marRight w:val="0"/>
      <w:marTop w:val="0"/>
      <w:marBottom w:val="0"/>
      <w:divBdr>
        <w:top w:val="none" w:sz="0" w:space="0" w:color="auto"/>
        <w:left w:val="none" w:sz="0" w:space="0" w:color="auto"/>
        <w:bottom w:val="none" w:sz="0" w:space="0" w:color="auto"/>
        <w:right w:val="none" w:sz="0" w:space="0" w:color="auto"/>
      </w:divBdr>
    </w:div>
    <w:div w:id="1816295989">
      <w:bodyDiv w:val="1"/>
      <w:marLeft w:val="0"/>
      <w:marRight w:val="0"/>
      <w:marTop w:val="0"/>
      <w:marBottom w:val="0"/>
      <w:divBdr>
        <w:top w:val="none" w:sz="0" w:space="0" w:color="auto"/>
        <w:left w:val="none" w:sz="0" w:space="0" w:color="auto"/>
        <w:bottom w:val="none" w:sz="0" w:space="0" w:color="auto"/>
        <w:right w:val="none" w:sz="0" w:space="0" w:color="auto"/>
      </w:divBdr>
    </w:div>
    <w:div w:id="1817183247">
      <w:bodyDiv w:val="1"/>
      <w:marLeft w:val="0"/>
      <w:marRight w:val="0"/>
      <w:marTop w:val="0"/>
      <w:marBottom w:val="0"/>
      <w:divBdr>
        <w:top w:val="none" w:sz="0" w:space="0" w:color="auto"/>
        <w:left w:val="none" w:sz="0" w:space="0" w:color="auto"/>
        <w:bottom w:val="none" w:sz="0" w:space="0" w:color="auto"/>
        <w:right w:val="none" w:sz="0" w:space="0" w:color="auto"/>
      </w:divBdr>
    </w:div>
    <w:div w:id="1825773696">
      <w:bodyDiv w:val="1"/>
      <w:marLeft w:val="0"/>
      <w:marRight w:val="0"/>
      <w:marTop w:val="0"/>
      <w:marBottom w:val="0"/>
      <w:divBdr>
        <w:top w:val="none" w:sz="0" w:space="0" w:color="auto"/>
        <w:left w:val="none" w:sz="0" w:space="0" w:color="auto"/>
        <w:bottom w:val="none" w:sz="0" w:space="0" w:color="auto"/>
        <w:right w:val="none" w:sz="0" w:space="0" w:color="auto"/>
      </w:divBdr>
    </w:div>
    <w:div w:id="1826774080">
      <w:bodyDiv w:val="1"/>
      <w:marLeft w:val="0"/>
      <w:marRight w:val="0"/>
      <w:marTop w:val="0"/>
      <w:marBottom w:val="0"/>
      <w:divBdr>
        <w:top w:val="none" w:sz="0" w:space="0" w:color="auto"/>
        <w:left w:val="none" w:sz="0" w:space="0" w:color="auto"/>
        <w:bottom w:val="none" w:sz="0" w:space="0" w:color="auto"/>
        <w:right w:val="none" w:sz="0" w:space="0" w:color="auto"/>
      </w:divBdr>
    </w:div>
    <w:div w:id="1839350211">
      <w:bodyDiv w:val="1"/>
      <w:marLeft w:val="0"/>
      <w:marRight w:val="0"/>
      <w:marTop w:val="0"/>
      <w:marBottom w:val="0"/>
      <w:divBdr>
        <w:top w:val="none" w:sz="0" w:space="0" w:color="auto"/>
        <w:left w:val="none" w:sz="0" w:space="0" w:color="auto"/>
        <w:bottom w:val="none" w:sz="0" w:space="0" w:color="auto"/>
        <w:right w:val="none" w:sz="0" w:space="0" w:color="auto"/>
      </w:divBdr>
    </w:div>
    <w:div w:id="1850295729">
      <w:bodyDiv w:val="1"/>
      <w:marLeft w:val="0"/>
      <w:marRight w:val="0"/>
      <w:marTop w:val="0"/>
      <w:marBottom w:val="0"/>
      <w:divBdr>
        <w:top w:val="none" w:sz="0" w:space="0" w:color="auto"/>
        <w:left w:val="none" w:sz="0" w:space="0" w:color="auto"/>
        <w:bottom w:val="none" w:sz="0" w:space="0" w:color="auto"/>
        <w:right w:val="none" w:sz="0" w:space="0" w:color="auto"/>
      </w:divBdr>
    </w:div>
    <w:div w:id="1874152865">
      <w:bodyDiv w:val="1"/>
      <w:marLeft w:val="0"/>
      <w:marRight w:val="0"/>
      <w:marTop w:val="0"/>
      <w:marBottom w:val="0"/>
      <w:divBdr>
        <w:top w:val="none" w:sz="0" w:space="0" w:color="auto"/>
        <w:left w:val="none" w:sz="0" w:space="0" w:color="auto"/>
        <w:bottom w:val="none" w:sz="0" w:space="0" w:color="auto"/>
        <w:right w:val="none" w:sz="0" w:space="0" w:color="auto"/>
      </w:divBdr>
    </w:div>
    <w:div w:id="1903371492">
      <w:bodyDiv w:val="1"/>
      <w:marLeft w:val="0"/>
      <w:marRight w:val="0"/>
      <w:marTop w:val="0"/>
      <w:marBottom w:val="0"/>
      <w:divBdr>
        <w:top w:val="none" w:sz="0" w:space="0" w:color="auto"/>
        <w:left w:val="none" w:sz="0" w:space="0" w:color="auto"/>
        <w:bottom w:val="none" w:sz="0" w:space="0" w:color="auto"/>
        <w:right w:val="none" w:sz="0" w:space="0" w:color="auto"/>
      </w:divBdr>
    </w:div>
    <w:div w:id="1909265332">
      <w:bodyDiv w:val="1"/>
      <w:marLeft w:val="0"/>
      <w:marRight w:val="0"/>
      <w:marTop w:val="0"/>
      <w:marBottom w:val="0"/>
      <w:divBdr>
        <w:top w:val="none" w:sz="0" w:space="0" w:color="auto"/>
        <w:left w:val="none" w:sz="0" w:space="0" w:color="auto"/>
        <w:bottom w:val="none" w:sz="0" w:space="0" w:color="auto"/>
        <w:right w:val="none" w:sz="0" w:space="0" w:color="auto"/>
      </w:divBdr>
    </w:div>
    <w:div w:id="1911696135">
      <w:bodyDiv w:val="1"/>
      <w:marLeft w:val="0"/>
      <w:marRight w:val="0"/>
      <w:marTop w:val="0"/>
      <w:marBottom w:val="0"/>
      <w:divBdr>
        <w:top w:val="none" w:sz="0" w:space="0" w:color="auto"/>
        <w:left w:val="none" w:sz="0" w:space="0" w:color="auto"/>
        <w:bottom w:val="none" w:sz="0" w:space="0" w:color="auto"/>
        <w:right w:val="none" w:sz="0" w:space="0" w:color="auto"/>
      </w:divBdr>
    </w:div>
    <w:div w:id="1954632219">
      <w:bodyDiv w:val="1"/>
      <w:marLeft w:val="0"/>
      <w:marRight w:val="0"/>
      <w:marTop w:val="0"/>
      <w:marBottom w:val="0"/>
      <w:divBdr>
        <w:top w:val="none" w:sz="0" w:space="0" w:color="auto"/>
        <w:left w:val="none" w:sz="0" w:space="0" w:color="auto"/>
        <w:bottom w:val="none" w:sz="0" w:space="0" w:color="auto"/>
        <w:right w:val="none" w:sz="0" w:space="0" w:color="auto"/>
      </w:divBdr>
    </w:div>
    <w:div w:id="1964001713">
      <w:bodyDiv w:val="1"/>
      <w:marLeft w:val="0"/>
      <w:marRight w:val="0"/>
      <w:marTop w:val="0"/>
      <w:marBottom w:val="0"/>
      <w:divBdr>
        <w:top w:val="none" w:sz="0" w:space="0" w:color="auto"/>
        <w:left w:val="none" w:sz="0" w:space="0" w:color="auto"/>
        <w:bottom w:val="none" w:sz="0" w:space="0" w:color="auto"/>
        <w:right w:val="none" w:sz="0" w:space="0" w:color="auto"/>
      </w:divBdr>
    </w:div>
    <w:div w:id="1978296504">
      <w:bodyDiv w:val="1"/>
      <w:marLeft w:val="0"/>
      <w:marRight w:val="0"/>
      <w:marTop w:val="0"/>
      <w:marBottom w:val="0"/>
      <w:divBdr>
        <w:top w:val="none" w:sz="0" w:space="0" w:color="auto"/>
        <w:left w:val="none" w:sz="0" w:space="0" w:color="auto"/>
        <w:bottom w:val="none" w:sz="0" w:space="0" w:color="auto"/>
        <w:right w:val="none" w:sz="0" w:space="0" w:color="auto"/>
      </w:divBdr>
    </w:div>
    <w:div w:id="2018656455">
      <w:bodyDiv w:val="1"/>
      <w:marLeft w:val="0"/>
      <w:marRight w:val="0"/>
      <w:marTop w:val="0"/>
      <w:marBottom w:val="0"/>
      <w:divBdr>
        <w:top w:val="none" w:sz="0" w:space="0" w:color="auto"/>
        <w:left w:val="none" w:sz="0" w:space="0" w:color="auto"/>
        <w:bottom w:val="none" w:sz="0" w:space="0" w:color="auto"/>
        <w:right w:val="none" w:sz="0" w:space="0" w:color="auto"/>
      </w:divBdr>
    </w:div>
    <w:div w:id="2023583224">
      <w:bodyDiv w:val="1"/>
      <w:marLeft w:val="0"/>
      <w:marRight w:val="0"/>
      <w:marTop w:val="0"/>
      <w:marBottom w:val="0"/>
      <w:divBdr>
        <w:top w:val="none" w:sz="0" w:space="0" w:color="auto"/>
        <w:left w:val="none" w:sz="0" w:space="0" w:color="auto"/>
        <w:bottom w:val="none" w:sz="0" w:space="0" w:color="auto"/>
        <w:right w:val="none" w:sz="0" w:space="0" w:color="auto"/>
      </w:divBdr>
    </w:div>
    <w:div w:id="2024358947">
      <w:bodyDiv w:val="1"/>
      <w:marLeft w:val="0"/>
      <w:marRight w:val="0"/>
      <w:marTop w:val="0"/>
      <w:marBottom w:val="0"/>
      <w:divBdr>
        <w:top w:val="none" w:sz="0" w:space="0" w:color="auto"/>
        <w:left w:val="none" w:sz="0" w:space="0" w:color="auto"/>
        <w:bottom w:val="none" w:sz="0" w:space="0" w:color="auto"/>
        <w:right w:val="none" w:sz="0" w:space="0" w:color="auto"/>
      </w:divBdr>
    </w:div>
    <w:div w:id="2025475436">
      <w:bodyDiv w:val="1"/>
      <w:marLeft w:val="0"/>
      <w:marRight w:val="0"/>
      <w:marTop w:val="0"/>
      <w:marBottom w:val="0"/>
      <w:divBdr>
        <w:top w:val="none" w:sz="0" w:space="0" w:color="auto"/>
        <w:left w:val="none" w:sz="0" w:space="0" w:color="auto"/>
        <w:bottom w:val="none" w:sz="0" w:space="0" w:color="auto"/>
        <w:right w:val="none" w:sz="0" w:space="0" w:color="auto"/>
      </w:divBdr>
    </w:div>
    <w:div w:id="2043241282">
      <w:bodyDiv w:val="1"/>
      <w:marLeft w:val="0"/>
      <w:marRight w:val="0"/>
      <w:marTop w:val="0"/>
      <w:marBottom w:val="0"/>
      <w:divBdr>
        <w:top w:val="none" w:sz="0" w:space="0" w:color="auto"/>
        <w:left w:val="none" w:sz="0" w:space="0" w:color="auto"/>
        <w:bottom w:val="none" w:sz="0" w:space="0" w:color="auto"/>
        <w:right w:val="none" w:sz="0" w:space="0" w:color="auto"/>
      </w:divBdr>
    </w:div>
    <w:div w:id="2049181348">
      <w:bodyDiv w:val="1"/>
      <w:marLeft w:val="0"/>
      <w:marRight w:val="0"/>
      <w:marTop w:val="0"/>
      <w:marBottom w:val="0"/>
      <w:divBdr>
        <w:top w:val="none" w:sz="0" w:space="0" w:color="auto"/>
        <w:left w:val="none" w:sz="0" w:space="0" w:color="auto"/>
        <w:bottom w:val="none" w:sz="0" w:space="0" w:color="auto"/>
        <w:right w:val="none" w:sz="0" w:space="0" w:color="auto"/>
      </w:divBdr>
    </w:div>
    <w:div w:id="2051296593">
      <w:bodyDiv w:val="1"/>
      <w:marLeft w:val="0"/>
      <w:marRight w:val="0"/>
      <w:marTop w:val="0"/>
      <w:marBottom w:val="0"/>
      <w:divBdr>
        <w:top w:val="none" w:sz="0" w:space="0" w:color="auto"/>
        <w:left w:val="none" w:sz="0" w:space="0" w:color="auto"/>
        <w:bottom w:val="none" w:sz="0" w:space="0" w:color="auto"/>
        <w:right w:val="none" w:sz="0" w:space="0" w:color="auto"/>
      </w:divBdr>
    </w:div>
    <w:div w:id="2070421179">
      <w:bodyDiv w:val="1"/>
      <w:marLeft w:val="0"/>
      <w:marRight w:val="0"/>
      <w:marTop w:val="0"/>
      <w:marBottom w:val="0"/>
      <w:divBdr>
        <w:top w:val="none" w:sz="0" w:space="0" w:color="auto"/>
        <w:left w:val="none" w:sz="0" w:space="0" w:color="auto"/>
        <w:bottom w:val="none" w:sz="0" w:space="0" w:color="auto"/>
        <w:right w:val="none" w:sz="0" w:space="0" w:color="auto"/>
      </w:divBdr>
    </w:div>
    <w:div w:id="2073505737">
      <w:bodyDiv w:val="1"/>
      <w:marLeft w:val="0"/>
      <w:marRight w:val="0"/>
      <w:marTop w:val="0"/>
      <w:marBottom w:val="0"/>
      <w:divBdr>
        <w:top w:val="none" w:sz="0" w:space="0" w:color="auto"/>
        <w:left w:val="none" w:sz="0" w:space="0" w:color="auto"/>
        <w:bottom w:val="none" w:sz="0" w:space="0" w:color="auto"/>
        <w:right w:val="none" w:sz="0" w:space="0" w:color="auto"/>
      </w:divBdr>
    </w:div>
    <w:div w:id="2084061573">
      <w:bodyDiv w:val="1"/>
      <w:marLeft w:val="0"/>
      <w:marRight w:val="0"/>
      <w:marTop w:val="0"/>
      <w:marBottom w:val="0"/>
      <w:divBdr>
        <w:top w:val="none" w:sz="0" w:space="0" w:color="auto"/>
        <w:left w:val="none" w:sz="0" w:space="0" w:color="auto"/>
        <w:bottom w:val="none" w:sz="0" w:space="0" w:color="auto"/>
        <w:right w:val="none" w:sz="0" w:space="0" w:color="auto"/>
      </w:divBdr>
    </w:div>
    <w:div w:id="2095659679">
      <w:bodyDiv w:val="1"/>
      <w:marLeft w:val="0"/>
      <w:marRight w:val="0"/>
      <w:marTop w:val="0"/>
      <w:marBottom w:val="0"/>
      <w:divBdr>
        <w:top w:val="none" w:sz="0" w:space="0" w:color="auto"/>
        <w:left w:val="none" w:sz="0" w:space="0" w:color="auto"/>
        <w:bottom w:val="none" w:sz="0" w:space="0" w:color="auto"/>
        <w:right w:val="none" w:sz="0" w:space="0" w:color="auto"/>
      </w:divBdr>
    </w:div>
    <w:div w:id="2101873382">
      <w:bodyDiv w:val="1"/>
      <w:marLeft w:val="0"/>
      <w:marRight w:val="0"/>
      <w:marTop w:val="0"/>
      <w:marBottom w:val="0"/>
      <w:divBdr>
        <w:top w:val="none" w:sz="0" w:space="0" w:color="auto"/>
        <w:left w:val="none" w:sz="0" w:space="0" w:color="auto"/>
        <w:bottom w:val="none" w:sz="0" w:space="0" w:color="auto"/>
        <w:right w:val="none" w:sz="0" w:space="0" w:color="auto"/>
      </w:divBdr>
    </w:div>
    <w:div w:id="2114935998">
      <w:bodyDiv w:val="1"/>
      <w:marLeft w:val="0"/>
      <w:marRight w:val="0"/>
      <w:marTop w:val="0"/>
      <w:marBottom w:val="0"/>
      <w:divBdr>
        <w:top w:val="none" w:sz="0" w:space="0" w:color="auto"/>
        <w:left w:val="none" w:sz="0" w:space="0" w:color="auto"/>
        <w:bottom w:val="none" w:sz="0" w:space="0" w:color="auto"/>
        <w:right w:val="none" w:sz="0" w:space="0" w:color="auto"/>
      </w:divBdr>
    </w:div>
    <w:div w:id="2120566342">
      <w:bodyDiv w:val="1"/>
      <w:marLeft w:val="0"/>
      <w:marRight w:val="0"/>
      <w:marTop w:val="0"/>
      <w:marBottom w:val="0"/>
      <w:divBdr>
        <w:top w:val="none" w:sz="0" w:space="0" w:color="auto"/>
        <w:left w:val="none" w:sz="0" w:space="0" w:color="auto"/>
        <w:bottom w:val="none" w:sz="0" w:space="0" w:color="auto"/>
        <w:right w:val="none" w:sz="0" w:space="0" w:color="auto"/>
      </w:divBdr>
    </w:div>
    <w:div w:id="2123330867">
      <w:bodyDiv w:val="1"/>
      <w:marLeft w:val="0"/>
      <w:marRight w:val="0"/>
      <w:marTop w:val="0"/>
      <w:marBottom w:val="0"/>
      <w:divBdr>
        <w:top w:val="none" w:sz="0" w:space="0" w:color="auto"/>
        <w:left w:val="none" w:sz="0" w:space="0" w:color="auto"/>
        <w:bottom w:val="none" w:sz="0" w:space="0" w:color="auto"/>
        <w:right w:val="none" w:sz="0" w:space="0" w:color="auto"/>
      </w:divBdr>
    </w:div>
    <w:div w:id="2136218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emf"/><Relationship Id="rId34" Type="http://schemas.openxmlformats.org/officeDocument/2006/relationships/hyperlink" Target="https://www.health.govt.nz/publication/gambling-behaviours-and-associated-risk-factors-17-year-old-pacific-youth" TargetMode="External"/><Relationship Id="rId42" Type="http://schemas.openxmlformats.org/officeDocument/2006/relationships/hyperlink" Target="https://www.dia.govt.nz/onlinegamblingconsultation" TargetMode="External"/><Relationship Id="rId47" Type="http://schemas.openxmlformats.org/officeDocument/2006/relationships/hyperlink" Target="https://www.health.govt.nz/publication/capping-problem-gambling-nz-effectiveness-local-government-policy-interventions" TargetMode="External"/><Relationship Id="rId50" Type="http://schemas.openxmlformats.org/officeDocument/2006/relationships/hyperlink" Target="https://doi.org/10.1080/14459795.2017.1331252" TargetMode="External"/><Relationship Id="rId55" Type="http://schemas.openxmlformats.org/officeDocument/2006/relationships/hyperlink" Target="https://doi.org/10.1007/s10899-018-9799-2" TargetMode="External"/><Relationship Id="rId63" Type="http://schemas.openxmlformats.org/officeDocument/2006/relationships/hyperlink" Target="https://www.health.govt.nz/publication/mixed-methods-analysis-gambling-harm-women-new-zealand" TargetMode="External"/><Relationship Id="rId68" Type="http://schemas.openxmlformats.org/officeDocument/2006/relationships/hyperlink" Target="http://dx.doi.org/10.4309/jgi.2019.41.2" TargetMode="External"/><Relationship Id="rId76" Type="http://schemas.openxmlformats.org/officeDocument/2006/relationships/hyperlink" Target="https://www.health.govt.nz/publication/gambling-and-problem-gambling-results-2011-12-new-zealand-health-survey" TargetMode="External"/><Relationship Id="rId84" Type="http://schemas.openxmlformats.org/officeDocument/2006/relationships/hyperlink" Target="https://kupe.hpa.org.nz/" TargetMode="External"/><Relationship Id="rId89" Type="http://schemas.openxmlformats.org/officeDocument/2006/relationships/hyperlink" Target="https://doi.org/10.1080/1177083X.2019.1640752" TargetMode="External"/><Relationship Id="rId97"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yperlink" Target="https://www.tabnz.org/sites/default/files/documents/tab21780%20AR%202020%20f%20web%20%281%29.pdf" TargetMode="External"/><Relationship Id="rId92" Type="http://schemas.openxmlformats.org/officeDocument/2006/relationships/image" Target="media/image14.gif"/><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dia.govt.nz/diawebsite.nsf/wpg_URL/Resource-material-Our-Research-and-Reports-New-Zealand-Gaming-Survey?OpenDocument" TargetMode="Externa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yperlink" Target="https://openrepository.aut.ac.nz/handle/10292/2009" TargetMode="External"/><Relationship Id="rId37" Type="http://schemas.openxmlformats.org/officeDocument/2006/relationships/hyperlink" Target="https://doi.org/10.1007/s11469-018-9933-5" TargetMode="External"/><Relationship Id="rId40" Type="http://schemas.openxmlformats.org/officeDocument/2006/relationships/hyperlink" Target="https://www.dia.govt.nz/diawebsite.nsf/wpg_URL/Services-Casino-and-Non-Casino-Gaming-Gambling-Consultation-Archive" TargetMode="External"/><Relationship Id="rId45" Type="http://schemas.openxmlformats.org/officeDocument/2006/relationships/hyperlink" Target="https://www.dia.govt.nz/press.nsf/d77da9b523f12931cc256ac5000d19b6/3c7f05df2a9cfe76cc258695007f7f24!OpenDocument" TargetMode="External"/><Relationship Id="rId53" Type="http://schemas.openxmlformats.org/officeDocument/2006/relationships/hyperlink" Target="https://doi.org/10.1007/s10899-017-9677-3" TargetMode="External"/><Relationship Id="rId58" Type="http://schemas.openxmlformats.org/officeDocument/2006/relationships/hyperlink" Target="https://www.health.govt.nz/system/files/documents/publications/hp7137-strategy-minimise-gambling-harm-jun19.pdf" TargetMode="External"/><Relationship Id="rId66" Type="http://schemas.openxmlformats.org/officeDocument/2006/relationships/hyperlink" Target="https://www.pgf.nz/downloads/assets/13448/1/pgf0033" TargetMode="External"/><Relationship Id="rId74" Type="http://schemas.openxmlformats.org/officeDocument/2006/relationships/hyperlink" Target="https://www.hpa.org.nz/research-library/research-publications/online-gambling-in-new-zealand-results-from-the-2018-health-and-lifestyles-survey" TargetMode="External"/><Relationship Id="rId79" Type="http://schemas.openxmlformats.org/officeDocument/2006/relationships/hyperlink" Target="https://www.health.govt.nz/publication/gambling-harm-reduction-needs-assessment" TargetMode="External"/><Relationship Id="rId87" Type="http://schemas.openxmlformats.org/officeDocument/2006/relationships/hyperlink" Target="https://doi.org/10.1080/14459795.2014.922112" TargetMode="External"/><Relationship Id="rId5" Type="http://schemas.openxmlformats.org/officeDocument/2006/relationships/numbering" Target="numbering.xml"/><Relationship Id="rId61" Type="http://schemas.openxmlformats.org/officeDocument/2006/relationships/hyperlink" Target="http://dx.doi.org/10.4309/jgi.2004.12.6" TargetMode="External"/><Relationship Id="rId82" Type="http://schemas.openxmlformats.org/officeDocument/2006/relationships/hyperlink" Target="https://doi.org/10.1007/s10899-009-9129-9" TargetMode="External"/><Relationship Id="rId90" Type="http://schemas.openxmlformats.org/officeDocument/2006/relationships/hyperlink" Target="http://dx.doi.org/10.4309/jgi.2003.9.7" TargetMode="External"/><Relationship Id="rId95" Type="http://schemas.openxmlformats.org/officeDocument/2006/relationships/header" Target="header5.xml"/><Relationship Id="rId19" Type="http://schemas.openxmlformats.org/officeDocument/2006/relationships/image" Target="media/image8.jp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yperlink" Target="https://www.health.govt.nz/publication/new-zealand-national-gambling-study-wave-4-2015" TargetMode="External"/><Relationship Id="rId30" Type="http://schemas.openxmlformats.org/officeDocument/2006/relationships/hyperlink" Target="https://www.dia.govt.nz/diawebsite.nsf/wpg_URL/Resource-material-Our-Research-and-Reports-New-Zealand-Gaming-Survey?OpenDocument" TargetMode="External"/><Relationship Id="rId35" Type="http://schemas.openxmlformats.org/officeDocument/2006/relationships/hyperlink" Target="https://www.health.govt.nz/publication/new-zealand-national-gambling-study-correspondence-between-changes-gambling-and-gambling-risk-levels" TargetMode="External"/><Relationship Id="rId43" Type="http://schemas.openxmlformats.org/officeDocument/2006/relationships/hyperlink" Target="https://www.dia.govt.nz/gambling-statistics-expenditure" TargetMode="External"/><Relationship Id="rId48" Type="http://schemas.openxmlformats.org/officeDocument/2006/relationships/hyperlink" Target="https://doi.org/10.1007/s10899-013-9362-0" TargetMode="External"/><Relationship Id="rId56" Type="http://schemas.openxmlformats.org/officeDocument/2006/relationships/hyperlink" Target="https://mylotto.co.nz/about-us/reports-and-statements" TargetMode="External"/><Relationship Id="rId64" Type="http://schemas.openxmlformats.org/officeDocument/2006/relationships/hyperlink" Target="http://www.legislation.govt.nz/act/public/2003/0051/latest/DLM207497.html" TargetMode="External"/><Relationship Id="rId69" Type="http://schemas.openxmlformats.org/officeDocument/2006/relationships/hyperlink" Target="https://scanmail.trustwave.com/?c=15517&amp;d=spq34GE8AZfBqAzOn0XEtY08L7pRbUrihElv9mDvUA&amp;u=https%3a%2f%2fwww%2epc%2egov%2eau%2finquiries%2fcompleted%2fgambling%2freport%2fgambling1%2epdf" TargetMode="External"/><Relationship Id="rId77" Type="http://schemas.openxmlformats.org/officeDocument/2006/relationships/hyperlink" Target="https://www.health.govt.nz/publication/youth-gambling-health-and-wellbeing-new-zealand-secondary-school-students-2012"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eb.archive.org/web/20060211095053/http:/arphs.govt.nz/publications/TonganGambling/Tongan_Gambling_Download.asp" TargetMode="External"/><Relationship Id="rId72" Type="http://schemas.openxmlformats.org/officeDocument/2006/relationships/hyperlink" Target="http://web.archive.org/web/20051030031510/http:/www.manukau.govt.nz/documents/gambling.pdf" TargetMode="External"/><Relationship Id="rId80" Type="http://schemas.openxmlformats.org/officeDocument/2006/relationships/hyperlink" Target="https://www.health.govt.nz/our-work/national-telehealth-service" TargetMode="External"/><Relationship Id="rId85" Type="http://schemas.openxmlformats.org/officeDocument/2006/relationships/hyperlink" Target="https://www.hpa.org.nz/research-library/research-publications/the-impact-of-lockdown-on-health-risk-behaviours" TargetMode="External"/><Relationship Id="rId93" Type="http://schemas.openxmlformats.org/officeDocument/2006/relationships/header" Target="header4.xml"/><Relationship Id="rId98"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hyperlink" Target="https://www.health.govt.nz/publication/new-zealand-national-gambling-qualitative-phase" TargetMode="External"/><Relationship Id="rId38" Type="http://schemas.openxmlformats.org/officeDocument/2006/relationships/hyperlink" Target="https://doi.org/10.1016/S2468-2667(20)30290-5" TargetMode="External"/><Relationship Id="rId46" Type="http://schemas.openxmlformats.org/officeDocument/2006/relationships/hyperlink" Target="http://www.maramatanga.co.nz/sites/default/files/Dyall%20web%20ready_0.pdf" TargetMode="External"/><Relationship Id="rId59" Type="http://schemas.openxmlformats.org/officeDocument/2006/relationships/hyperlink" Target="https://www.health.govt.nz/our-work/mental-health-and-addiction/addiction/gambling/service-user-data/intervention-client-data" TargetMode="External"/><Relationship Id="rId67" Type="http://schemas.openxmlformats.org/officeDocument/2006/relationships/hyperlink" Target="http://hapai.co.nz/sites/default/files/White%20Paper%20Ending%20community%20sector%20dependence%20on%20pokie%20funding.pdf" TargetMode="External"/><Relationship Id="rId20" Type="http://schemas.openxmlformats.org/officeDocument/2006/relationships/image" Target="media/image9.emf"/><Relationship Id="rId41" Type="http://schemas.openxmlformats.org/officeDocument/2006/relationships/hyperlink" Target="https://www.dia.govt.nz/Services-Casino-and-Non-Casino-Gaming-Problem-Gambling" TargetMode="External"/><Relationship Id="rId54" Type="http://schemas.openxmlformats.org/officeDocument/2006/relationships/hyperlink" Target="https://doi.org/10.1007/s10899-019-09895-4" TargetMode="External"/><Relationship Id="rId62" Type="http://schemas.openxmlformats.org/officeDocument/2006/relationships/hyperlink" Target="https://nzier.org.nz/publication/the-retail-employment-and-tax-costs-of-class-4-gambling-in-new-zealand" TargetMode="External"/><Relationship Id="rId70" Type="http://schemas.openxmlformats.org/officeDocument/2006/relationships/hyperlink" Target="https://doi.org/10.1007/s10899-008-9113-9" TargetMode="External"/><Relationship Id="rId75" Type="http://schemas.openxmlformats.org/officeDocument/2006/relationships/hyperlink" Target="https://doi.org/10.1007/s10899-019-09876-7" TargetMode="External"/><Relationship Id="rId83" Type="http://schemas.openxmlformats.org/officeDocument/2006/relationships/hyperlink" Target="https://kupe.hpa.org.nz/" TargetMode="External"/><Relationship Id="rId88" Type="http://schemas.openxmlformats.org/officeDocument/2006/relationships/hyperlink" Target="https://www.hpa.org.nz/research-library/research-publications/new-zealanders-participation-in-gambling-0" TargetMode="External"/><Relationship Id="rId91" Type="http://schemas.openxmlformats.org/officeDocument/2006/relationships/footer" Target="foot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hyperlink" Target="https://www.health.govt.nz/publication/new-zealand-2012-national-gambling-study-gambling-harm-and-problem-gambling" TargetMode="External"/><Relationship Id="rId36" Type="http://schemas.openxmlformats.org/officeDocument/2006/relationships/hyperlink" Target="https://www.health.govt.nz/publication/assessment-social-impacts-gambling-new-zealand" TargetMode="External"/><Relationship Id="rId49" Type="http://schemas.openxmlformats.org/officeDocument/2006/relationships/hyperlink" Target="http://www.gamblingcommission.govt.nz/GCwebsite.nsf/wpg_URL/Reports-Annual-Reports-Index!OpenDocument" TargetMode="External"/><Relationship Id="rId57" Type="http://schemas.openxmlformats.org/officeDocument/2006/relationships/hyperlink" Target="https://www.moh.govt.nz/notebook/nbbooks.nsf/0/253B4A3BB4F7CA47CC2575F2006F9519?opendocument" TargetMode="External"/><Relationship Id="rId10" Type="http://schemas.openxmlformats.org/officeDocument/2006/relationships/endnotes" Target="endnotes.xml"/><Relationship Id="rId31" Type="http://schemas.openxmlformats.org/officeDocument/2006/relationships/hyperlink" Target="https://www.health.govt.nz/publication/problem-gambling-barriers-help-seeking-behaviours" TargetMode="External"/><Relationship Id="rId44" Type="http://schemas.openxmlformats.org/officeDocument/2006/relationships/hyperlink" Target="https://www.dia.govt.nz/gambling-statistics-gmp-dashboard" TargetMode="External"/><Relationship Id="rId52" Type="http://schemas.openxmlformats.org/officeDocument/2006/relationships/hyperlink" Target="https://doi.org/10.1023/a:1023005115932" TargetMode="External"/><Relationship Id="rId60" Type="http://schemas.openxmlformats.org/officeDocument/2006/relationships/hyperlink" Target="https://link.springer.com/article/10.1007/s10899-018-9781-z" TargetMode="External"/><Relationship Id="rId65" Type="http://schemas.openxmlformats.org/officeDocument/2006/relationships/hyperlink" Target="https://www.fmhs.auckland.ac.nz/assets/fmhs/faculty/Centre%20for%20Gambling%20Studies/documents/2000perese_samoan_people.pdf" TargetMode="External"/><Relationship Id="rId73" Type="http://schemas.openxmlformats.org/officeDocument/2006/relationships/hyperlink" Target="https://doi.org/10.17060/ijodaep.2019.n1.v1.1421" TargetMode="External"/><Relationship Id="rId78" Type="http://schemas.openxmlformats.org/officeDocument/2006/relationships/hyperlink" Target="https://doi.org/10.1007/s10899-018-9810-y" TargetMode="External"/><Relationship Id="rId81" Type="http://schemas.openxmlformats.org/officeDocument/2006/relationships/hyperlink" Target="https://doi.org/10.3389/fpsyt.2019.00588" TargetMode="External"/><Relationship Id="rId86" Type="http://schemas.openxmlformats.org/officeDocument/2006/relationships/hyperlink" Target="https://aifs.gov.au/agrc/publications/pre-commitment-self-exclusion" TargetMode="External"/><Relationship Id="rId94" Type="http://schemas.openxmlformats.org/officeDocument/2006/relationships/footer" Target="footer5.xml"/><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s://www.dia.govt.nz/diawebsite.nsf/wpg_URL/Resource-material-Our-Research-and-Reports-Participation-in-Gambling?OpenDocu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er5.xml.rels><?xml version="1.0" encoding="UTF-8" standalone="yes"?>
<Relationships xmlns="http://schemas.openxmlformats.org/package/2006/relationships"><Relationship Id="rId1" Type="http://schemas.openxmlformats.org/officeDocument/2006/relationships/image" Target="media/image13.jpe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er7.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s://kupe.hpa.org.nz/" TargetMode="External"/><Relationship Id="rId3" Type="http://schemas.openxmlformats.org/officeDocument/2006/relationships/hyperlink" Target="https://www.health.govt.nz/system/files/documents/publications/informing-2015-gambling-harm-needs-assessmnt-jul15.pdf" TargetMode="External"/><Relationship Id="rId7" Type="http://schemas.openxmlformats.org/officeDocument/2006/relationships/hyperlink" Target="https://www.skycityentertainmentgroup.com/media-centre/asxnzx-announcement-launch-of-offshore-skycity-online-gaming-site-090819" TargetMode="External"/><Relationship Id="rId12" Type="http://schemas.openxmlformats.org/officeDocument/2006/relationships/hyperlink" Target="https://www.health.govt.nz/our-work/mental-health-and-addiction/addiction/gambling/gambling-research-and-evaluation/funding-opportunities-gambling-harm-reduction-research-and-evaluation" TargetMode="External"/><Relationship Id="rId2" Type="http://schemas.openxmlformats.org/officeDocument/2006/relationships/hyperlink" Target="http://www.health.govt.nz/system/files/documents/publications/gambling-harm-report-jul2012.pdf" TargetMode="External"/><Relationship Id="rId1" Type="http://schemas.openxmlformats.org/officeDocument/2006/relationships/hyperlink" Target="http://www.health.govt.nz/publication/informing-2009-problem-gambling-needs-assessment-report-ministry-health-0" TargetMode="External"/><Relationship Id="rId6" Type="http://schemas.openxmlformats.org/officeDocument/2006/relationships/hyperlink" Target="https://www.legislation.govt.nz/act/public/2003/0051/latest/DLM208240.html" TargetMode="External"/><Relationship Id="rId11" Type="http://schemas.openxmlformats.org/officeDocument/2006/relationships/hyperlink" Target="https://www.health.govt.nz/publication/strategy-prevent-and-minimise-gambling-harm-2019-20-2021-22" TargetMode="External"/><Relationship Id="rId5" Type="http://schemas.openxmlformats.org/officeDocument/2006/relationships/hyperlink" Target="https://www.legislation.govt.nz/act/public/2020/0028/latest/whole.html" TargetMode="External"/><Relationship Id="rId10" Type="http://schemas.openxmlformats.org/officeDocument/2006/relationships/hyperlink" Target="https://www.health.govt.nz/publication/nzdep2013-index-deprivation" TargetMode="External"/><Relationship Id="rId4" Type="http://schemas.openxmlformats.org/officeDocument/2006/relationships/hyperlink" Target="https://www.health.govt.nz/publication/gambling-harm-reduction-needs-assessment" TargetMode="External"/><Relationship Id="rId9" Type="http://schemas.openxmlformats.org/officeDocument/2006/relationships/hyperlink" Target="https://kupe.hpa.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3336610515657"/>
          <c:y val="6.8217054263565891E-2"/>
          <c:w val="0.84101530229568577"/>
          <c:h val="0.78791771958737711"/>
        </c:manualLayout>
      </c:layout>
      <c:lineChart>
        <c:grouping val="standard"/>
        <c:varyColors val="0"/>
        <c:ser>
          <c:idx val="0"/>
          <c:order val="0"/>
          <c:spPr>
            <a:ln w="28575" cap="rnd">
              <a:solidFill>
                <a:schemeClr val="accent1"/>
              </a:solidFill>
              <a:round/>
            </a:ln>
            <a:effectLst/>
          </c:spPr>
          <c:marker>
            <c:symbol val="none"/>
          </c:marker>
          <c:dLbls>
            <c:dLbl>
              <c:idx val="0"/>
              <c:layout>
                <c:manualLayout>
                  <c:x val="-4.4593088071348964E-2"/>
                  <c:y val="0.14883720930232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37-4ADA-B4FE-819DE8EE0B49}"/>
                </c:ext>
              </c:extLst>
            </c:dLbl>
            <c:dLbl>
              <c:idx val="1"/>
              <c:delete val="1"/>
              <c:extLst>
                <c:ext xmlns:c15="http://schemas.microsoft.com/office/drawing/2012/chart" uri="{CE6537A1-D6FC-4f65-9D91-7224C49458BB}"/>
                <c:ext xmlns:c16="http://schemas.microsoft.com/office/drawing/2014/chart" uri="{C3380CC4-5D6E-409C-BE32-E72D297353CC}">
                  <c16:uniqueId val="{00000002-0B37-4ADA-B4FE-819DE8EE0B49}"/>
                </c:ext>
              </c:extLst>
            </c:dLbl>
            <c:dLbl>
              <c:idx val="2"/>
              <c:delete val="1"/>
              <c:extLst>
                <c:ext xmlns:c15="http://schemas.microsoft.com/office/drawing/2012/chart" uri="{CE6537A1-D6FC-4f65-9D91-7224C49458BB}"/>
                <c:ext xmlns:c16="http://schemas.microsoft.com/office/drawing/2014/chart" uri="{C3380CC4-5D6E-409C-BE32-E72D297353CC}">
                  <c16:uniqueId val="{00000003-0B37-4ADA-B4FE-819DE8EE0B49}"/>
                </c:ext>
              </c:extLst>
            </c:dLbl>
            <c:dLbl>
              <c:idx val="3"/>
              <c:delete val="1"/>
              <c:extLst>
                <c:ext xmlns:c15="http://schemas.microsoft.com/office/drawing/2012/chart" uri="{CE6537A1-D6FC-4f65-9D91-7224C49458BB}"/>
                <c:ext xmlns:c16="http://schemas.microsoft.com/office/drawing/2014/chart" uri="{C3380CC4-5D6E-409C-BE32-E72D297353CC}">
                  <c16:uniqueId val="{00000004-0B37-4ADA-B4FE-819DE8EE0B49}"/>
                </c:ext>
              </c:extLst>
            </c:dLbl>
            <c:dLbl>
              <c:idx val="4"/>
              <c:delete val="1"/>
              <c:extLst>
                <c:ext xmlns:c15="http://schemas.microsoft.com/office/drawing/2012/chart" uri="{CE6537A1-D6FC-4f65-9D91-7224C49458BB}"/>
                <c:ext xmlns:c16="http://schemas.microsoft.com/office/drawing/2014/chart" uri="{C3380CC4-5D6E-409C-BE32-E72D297353CC}">
                  <c16:uniqueId val="{00000005-0B37-4ADA-B4FE-819DE8EE0B49}"/>
                </c:ext>
              </c:extLst>
            </c:dLbl>
            <c:dLbl>
              <c:idx val="5"/>
              <c:delete val="1"/>
              <c:extLst>
                <c:ext xmlns:c15="http://schemas.microsoft.com/office/drawing/2012/chart" uri="{CE6537A1-D6FC-4f65-9D91-7224C49458BB}"/>
                <c:ext xmlns:c16="http://schemas.microsoft.com/office/drawing/2014/chart" uri="{C3380CC4-5D6E-409C-BE32-E72D297353CC}">
                  <c16:uniqueId val="{00000006-0B37-4ADA-B4FE-819DE8EE0B49}"/>
                </c:ext>
              </c:extLst>
            </c:dLbl>
            <c:dLbl>
              <c:idx val="6"/>
              <c:layout>
                <c:manualLayout>
                  <c:x val="-3.716090672612412E-2"/>
                  <c:y val="-0.16124031007751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37-4ADA-B4FE-819DE8EE0B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2006</c:v>
                </c:pt>
                <c:pt idx="1">
                  <c:v>2008</c:v>
                </c:pt>
                <c:pt idx="2">
                  <c:v>2010</c:v>
                </c:pt>
                <c:pt idx="3">
                  <c:v>2012</c:v>
                </c:pt>
                <c:pt idx="4">
                  <c:v>2014</c:v>
                </c:pt>
                <c:pt idx="5">
                  <c:v>2016</c:v>
                </c:pt>
                <c:pt idx="6">
                  <c:v>2018</c:v>
                </c:pt>
              </c:numCache>
            </c:numRef>
          </c:cat>
          <c:val>
            <c:numRef>
              <c:f>Sheet1!$B$2:$B$8</c:f>
              <c:numCache>
                <c:formatCode>General</c:formatCode>
                <c:ptCount val="7"/>
                <c:pt idx="0">
                  <c:v>72.7</c:v>
                </c:pt>
                <c:pt idx="1">
                  <c:v>64</c:v>
                </c:pt>
                <c:pt idx="2">
                  <c:v>67.7</c:v>
                </c:pt>
                <c:pt idx="3">
                  <c:v>50.6</c:v>
                </c:pt>
                <c:pt idx="4">
                  <c:v>52.4</c:v>
                </c:pt>
                <c:pt idx="5">
                  <c:v>52.9</c:v>
                </c:pt>
                <c:pt idx="6">
                  <c:v>45.4</c:v>
                </c:pt>
              </c:numCache>
            </c:numRef>
          </c:val>
          <c:smooth val="0"/>
          <c:extLst>
            <c:ext xmlns:c16="http://schemas.microsoft.com/office/drawing/2014/chart" uri="{C3380CC4-5D6E-409C-BE32-E72D297353CC}">
              <c16:uniqueId val="{00000000-0B37-4ADA-B4FE-819DE8EE0B49}"/>
            </c:ext>
          </c:extLst>
        </c:ser>
        <c:dLbls>
          <c:showLegendKey val="0"/>
          <c:showVal val="0"/>
          <c:showCatName val="0"/>
          <c:showSerName val="0"/>
          <c:showPercent val="0"/>
          <c:showBubbleSize val="0"/>
        </c:dLbls>
        <c:smooth val="0"/>
        <c:axId val="883853808"/>
        <c:axId val="883854224"/>
      </c:lineChart>
      <c:catAx>
        <c:axId val="88385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854224"/>
        <c:crosses val="autoZero"/>
        <c:auto val="1"/>
        <c:lblAlgn val="ctr"/>
        <c:lblOffset val="100"/>
        <c:noMultiLvlLbl val="0"/>
      </c:catAx>
      <c:valAx>
        <c:axId val="883854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solidFill>
                      <a:sysClr val="windowText" lastClr="000000"/>
                    </a:solidFill>
                  </a:rPr>
                  <a:t>Unadjusted prevalence (%)</a:t>
                </a:r>
              </a:p>
            </c:rich>
          </c:tx>
          <c:layout>
            <c:manualLayout>
              <c:xMode val="edge"/>
              <c:yMode val="edge"/>
              <c:x val="2.9728725380899292E-2"/>
              <c:y val="0.104547885002746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85380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alatest Colours">
      <a:dk1>
        <a:srgbClr val="000000"/>
      </a:dk1>
      <a:lt1>
        <a:srgbClr val="FFFFFF"/>
      </a:lt1>
      <a:dk2>
        <a:srgbClr val="757070"/>
      </a:dk2>
      <a:lt2>
        <a:srgbClr val="F2F2F2"/>
      </a:lt2>
      <a:accent1>
        <a:srgbClr val="364D79"/>
      </a:accent1>
      <a:accent2>
        <a:srgbClr val="953735"/>
      </a:accent2>
      <a:accent3>
        <a:srgbClr val="6F748F"/>
      </a:accent3>
      <a:accent4>
        <a:srgbClr val="D99694"/>
      </a:accent4>
      <a:accent5>
        <a:srgbClr val="9193A7"/>
      </a:accent5>
      <a:accent6>
        <a:srgbClr val="E8BFBE"/>
      </a:accent6>
      <a:hlink>
        <a:srgbClr val="364D79"/>
      </a:hlink>
      <a:folHlink>
        <a:srgbClr val="6F3B55"/>
      </a:folHlink>
    </a:clrScheme>
    <a:fontScheme name="Malatest International">
      <a:majorFont>
        <a:latin typeface="Acumin Pro"/>
        <a:ea typeface=""/>
        <a:cs typeface=""/>
      </a:majorFont>
      <a:minorFont>
        <a:latin typeface="Acumin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BA77D7CF804044887C9E6FB5E413B1" ma:contentTypeVersion="13" ma:contentTypeDescription="Create a new document." ma:contentTypeScope="" ma:versionID="c36ecd157e33d41fa4940c3da2106028">
  <xsd:schema xmlns:xsd="http://www.w3.org/2001/XMLSchema" xmlns:xs="http://www.w3.org/2001/XMLSchema" xmlns:p="http://schemas.microsoft.com/office/2006/metadata/properties" xmlns:ns3="912cedb3-7f04-47c0-a283-ea387d34e08f" xmlns:ns4="0f0bb6d3-c6e2-424a-aae7-13be560512f7" targetNamespace="http://schemas.microsoft.com/office/2006/metadata/properties" ma:root="true" ma:fieldsID="4c9b9dc77491d973fe6383480cdfd76b" ns3:_="" ns4:_="">
    <xsd:import namespace="912cedb3-7f04-47c0-a283-ea387d34e08f"/>
    <xsd:import namespace="0f0bb6d3-c6e2-424a-aae7-13be560512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cedb3-7f04-47c0-a283-ea387d34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bb6d3-c6e2-424a-aae7-13be560512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7AC3E-90FD-44E0-95C8-ECCBE681A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cedb3-7f04-47c0-a283-ea387d34e08f"/>
    <ds:schemaRef ds:uri="0f0bb6d3-c6e2-424a-aae7-13be560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FFE17-2BDF-45CC-B1BC-68C2AACA4C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D182C8-4655-498F-A918-F24CB9009FD3}">
  <ds:schemaRefs>
    <ds:schemaRef ds:uri="http://schemas.microsoft.com/sharepoint/v3/contenttype/forms"/>
  </ds:schemaRefs>
</ds:datastoreItem>
</file>

<file path=customXml/itemProps4.xml><?xml version="1.0" encoding="utf-8"?>
<ds:datastoreItem xmlns:ds="http://schemas.openxmlformats.org/officeDocument/2006/customXml" ds:itemID="{20F08CAF-4E8D-4BDC-9FDC-CEEE6D44C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87</Pages>
  <Words>29472</Words>
  <Characters>167991</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197069</CharactersWithSpaces>
  <SharedDoc>false</SharedDoc>
  <HLinks>
    <vt:vector size="468" baseType="variant">
      <vt:variant>
        <vt:i4>4390986</vt:i4>
      </vt:variant>
      <vt:variant>
        <vt:i4>504</vt:i4>
      </vt:variant>
      <vt:variant>
        <vt:i4>0</vt:i4>
      </vt:variant>
      <vt:variant>
        <vt:i4>5</vt:i4>
      </vt:variant>
      <vt:variant>
        <vt:lpwstr>https://doi.org/10.1080/1177083X.2019.1640752</vt:lpwstr>
      </vt:variant>
      <vt:variant>
        <vt:lpwstr/>
      </vt:variant>
      <vt:variant>
        <vt:i4>5570599</vt:i4>
      </vt:variant>
      <vt:variant>
        <vt:i4>501</vt:i4>
      </vt:variant>
      <vt:variant>
        <vt:i4>0</vt:i4>
      </vt:variant>
      <vt:variant>
        <vt:i4>5</vt:i4>
      </vt:variant>
      <vt:variant>
        <vt:lpwstr>https://www.hpa.org.nz/sites/default/files/2014 HLS gambling participation report_FINAL.pdf</vt:lpwstr>
      </vt:variant>
      <vt:variant>
        <vt:lpwstr/>
      </vt:variant>
      <vt:variant>
        <vt:i4>262223</vt:i4>
      </vt:variant>
      <vt:variant>
        <vt:i4>498</vt:i4>
      </vt:variant>
      <vt:variant>
        <vt:i4>0</vt:i4>
      </vt:variant>
      <vt:variant>
        <vt:i4>5</vt:i4>
      </vt:variant>
      <vt:variant>
        <vt:lpwstr>https://doi.org/10.1080/14459795.2014.922112</vt:lpwstr>
      </vt:variant>
      <vt:variant>
        <vt:lpwstr/>
      </vt:variant>
      <vt:variant>
        <vt:i4>6291510</vt:i4>
      </vt:variant>
      <vt:variant>
        <vt:i4>495</vt:i4>
      </vt:variant>
      <vt:variant>
        <vt:i4>0</vt:i4>
      </vt:variant>
      <vt:variant>
        <vt:i4>5</vt:i4>
      </vt:variant>
      <vt:variant>
        <vt:lpwstr>https://aifs.gov.au/agrc/publications/pre-commitment-self-exclusion</vt:lpwstr>
      </vt:variant>
      <vt:variant>
        <vt:lpwstr/>
      </vt:variant>
      <vt:variant>
        <vt:i4>7209084</vt:i4>
      </vt:variant>
      <vt:variant>
        <vt:i4>492</vt:i4>
      </vt:variant>
      <vt:variant>
        <vt:i4>0</vt:i4>
      </vt:variant>
      <vt:variant>
        <vt:i4>5</vt:i4>
      </vt:variant>
      <vt:variant>
        <vt:lpwstr>https://www.hpa.org.nz/research-library/research-publications/the-impact-of-lockdown-on-health-risk-behaviours</vt:lpwstr>
      </vt:variant>
      <vt:variant>
        <vt:lpwstr/>
      </vt:variant>
      <vt:variant>
        <vt:i4>3670141</vt:i4>
      </vt:variant>
      <vt:variant>
        <vt:i4>489</vt:i4>
      </vt:variant>
      <vt:variant>
        <vt:i4>0</vt:i4>
      </vt:variant>
      <vt:variant>
        <vt:i4>5</vt:i4>
      </vt:variant>
      <vt:variant>
        <vt:lpwstr>https://kupe.hpa.org.nz/</vt:lpwstr>
      </vt:variant>
      <vt:variant>
        <vt:lpwstr>!/gambling/gambling-participation/hls-online-gambling-on-overseas-websites</vt:lpwstr>
      </vt:variant>
      <vt:variant>
        <vt:i4>4849692</vt:i4>
      </vt:variant>
      <vt:variant>
        <vt:i4>486</vt:i4>
      </vt:variant>
      <vt:variant>
        <vt:i4>0</vt:i4>
      </vt:variant>
      <vt:variant>
        <vt:i4>5</vt:i4>
      </vt:variant>
      <vt:variant>
        <vt:lpwstr>https://kupe.hpa.org.nz/</vt:lpwstr>
      </vt:variant>
      <vt:variant>
        <vt:lpwstr>!/gambling/gambling-harm</vt:lpwstr>
      </vt:variant>
      <vt:variant>
        <vt:i4>786463</vt:i4>
      </vt:variant>
      <vt:variant>
        <vt:i4>483</vt:i4>
      </vt:variant>
      <vt:variant>
        <vt:i4>0</vt:i4>
      </vt:variant>
      <vt:variant>
        <vt:i4>5</vt:i4>
      </vt:variant>
      <vt:variant>
        <vt:lpwstr>https://doi.org/10.1007/s10899-009-9129-9</vt:lpwstr>
      </vt:variant>
      <vt:variant>
        <vt:lpwstr/>
      </vt:variant>
      <vt:variant>
        <vt:i4>655380</vt:i4>
      </vt:variant>
      <vt:variant>
        <vt:i4>480</vt:i4>
      </vt:variant>
      <vt:variant>
        <vt:i4>0</vt:i4>
      </vt:variant>
      <vt:variant>
        <vt:i4>5</vt:i4>
      </vt:variant>
      <vt:variant>
        <vt:lpwstr>https://doi.org/10.3389/fpsyt.2019.00588</vt:lpwstr>
      </vt:variant>
      <vt:variant>
        <vt:lpwstr/>
      </vt:variant>
      <vt:variant>
        <vt:i4>91</vt:i4>
      </vt:variant>
      <vt:variant>
        <vt:i4>477</vt:i4>
      </vt:variant>
      <vt:variant>
        <vt:i4>0</vt:i4>
      </vt:variant>
      <vt:variant>
        <vt:i4>5</vt:i4>
      </vt:variant>
      <vt:variant>
        <vt:lpwstr>https://www.health.govt.nz/system/files/documents/publications/offshore-gambling-nzers-study.docx</vt:lpwstr>
      </vt:variant>
      <vt:variant>
        <vt:lpwstr/>
      </vt:variant>
      <vt:variant>
        <vt:i4>4063278</vt:i4>
      </vt:variant>
      <vt:variant>
        <vt:i4>474</vt:i4>
      </vt:variant>
      <vt:variant>
        <vt:i4>0</vt:i4>
      </vt:variant>
      <vt:variant>
        <vt:i4>5</vt:i4>
      </vt:variant>
      <vt:variant>
        <vt:lpwstr>https://www.health.govt.nz/system/files/documents/pages/nts-evaluation-phase-3-report-20-05-20.pdf</vt:lpwstr>
      </vt:variant>
      <vt:variant>
        <vt:lpwstr/>
      </vt:variant>
      <vt:variant>
        <vt:i4>6881289</vt:i4>
      </vt:variant>
      <vt:variant>
        <vt:i4>471</vt:i4>
      </vt:variant>
      <vt:variant>
        <vt:i4>0</vt:i4>
      </vt:variant>
      <vt:variant>
        <vt:i4>5</vt:i4>
      </vt:variant>
      <vt:variant>
        <vt:lpwstr>https://natlib-primo.hosted.exlibrisgroup.com/primo-explore/search?query=any,contains,9918231156902836&amp;tab=catalogue&amp;search_scope=NLNZ&amp;vid=NLNZ&amp;offset=0</vt:lpwstr>
      </vt:variant>
      <vt:variant>
        <vt:lpwstr/>
      </vt:variant>
      <vt:variant>
        <vt:i4>917534</vt:i4>
      </vt:variant>
      <vt:variant>
        <vt:i4>468</vt:i4>
      </vt:variant>
      <vt:variant>
        <vt:i4>0</vt:i4>
      </vt:variant>
      <vt:variant>
        <vt:i4>5</vt:i4>
      </vt:variant>
      <vt:variant>
        <vt:lpwstr>https://doi.org/10.1007/s10899-018-9810-y</vt:lpwstr>
      </vt:variant>
      <vt:variant>
        <vt:lpwstr/>
      </vt:variant>
      <vt:variant>
        <vt:i4>1376345</vt:i4>
      </vt:variant>
      <vt:variant>
        <vt:i4>465</vt:i4>
      </vt:variant>
      <vt:variant>
        <vt:i4>0</vt:i4>
      </vt:variant>
      <vt:variant>
        <vt:i4>5</vt:i4>
      </vt:variant>
      <vt:variant>
        <vt:lpwstr>https://www.health.govt.nz/publication/youth-gambling-health-and-wellbeing-new-zealand-secondary-school-students-2012</vt:lpwstr>
      </vt:variant>
      <vt:variant>
        <vt:lpwstr/>
      </vt:variant>
      <vt:variant>
        <vt:i4>7143527</vt:i4>
      </vt:variant>
      <vt:variant>
        <vt:i4>462</vt:i4>
      </vt:variant>
      <vt:variant>
        <vt:i4>0</vt:i4>
      </vt:variant>
      <vt:variant>
        <vt:i4>5</vt:i4>
      </vt:variant>
      <vt:variant>
        <vt:lpwstr>https://www.health.govt.nz/publication/gambling-and-problem-gambling-results-2011-12-new-zealand-health-survey</vt:lpwstr>
      </vt:variant>
      <vt:variant>
        <vt:lpwstr/>
      </vt:variant>
      <vt:variant>
        <vt:i4>2293813</vt:i4>
      </vt:variant>
      <vt:variant>
        <vt:i4>459</vt:i4>
      </vt:variant>
      <vt:variant>
        <vt:i4>0</vt:i4>
      </vt:variant>
      <vt:variant>
        <vt:i4>5</vt:i4>
      </vt:variant>
      <vt:variant>
        <vt:lpwstr>https://doi.org/10.1007/s10899-019-09876-7</vt:lpwstr>
      </vt:variant>
      <vt:variant>
        <vt:lpwstr/>
      </vt:variant>
      <vt:variant>
        <vt:i4>196702</vt:i4>
      </vt:variant>
      <vt:variant>
        <vt:i4>456</vt:i4>
      </vt:variant>
      <vt:variant>
        <vt:i4>0</vt:i4>
      </vt:variant>
      <vt:variant>
        <vt:i4>5</vt:i4>
      </vt:variant>
      <vt:variant>
        <vt:lpwstr>https://www.hpa.org.nz/sites/default/files/Online_Gambling_Report_HLS_2018.pdf</vt:lpwstr>
      </vt:variant>
      <vt:variant>
        <vt:lpwstr/>
      </vt:variant>
      <vt:variant>
        <vt:i4>5898314</vt:i4>
      </vt:variant>
      <vt:variant>
        <vt:i4>453</vt:i4>
      </vt:variant>
      <vt:variant>
        <vt:i4>0</vt:i4>
      </vt:variant>
      <vt:variant>
        <vt:i4>5</vt:i4>
      </vt:variant>
      <vt:variant>
        <vt:lpwstr>https://doi.org/10.17060/ijodaep.2019.n1.v1.1421</vt:lpwstr>
      </vt:variant>
      <vt:variant>
        <vt:lpwstr/>
      </vt:variant>
      <vt:variant>
        <vt:i4>917525</vt:i4>
      </vt:variant>
      <vt:variant>
        <vt:i4>450</vt:i4>
      </vt:variant>
      <vt:variant>
        <vt:i4>0</vt:i4>
      </vt:variant>
      <vt:variant>
        <vt:i4>5</vt:i4>
      </vt:variant>
      <vt:variant>
        <vt:lpwstr>https://doi.org/10.1007/s10899-008-9113-</vt:lpwstr>
      </vt:variant>
      <vt:variant>
        <vt:lpwstr/>
      </vt:variant>
      <vt:variant>
        <vt:i4>7078004</vt:i4>
      </vt:variant>
      <vt:variant>
        <vt:i4>447</vt:i4>
      </vt:variant>
      <vt:variant>
        <vt:i4>0</vt:i4>
      </vt:variant>
      <vt:variant>
        <vt:i4>5</vt:i4>
      </vt:variant>
      <vt:variant>
        <vt:lpwstr>https://scanmail.trustwave.com/?c=15517&amp;d=spq34GE8AZfBqAzOn0XEtY08L7pRbUrihElv9mDvUA&amp;u=https%3a%2f%2fwww%2epc%2egov%2eau%2finquiries%2fcompleted%2fgambling%2freport%2fgambling1%2epdf</vt:lpwstr>
      </vt:variant>
      <vt:variant>
        <vt:lpwstr/>
      </vt:variant>
      <vt:variant>
        <vt:i4>3932286</vt:i4>
      </vt:variant>
      <vt:variant>
        <vt:i4>444</vt:i4>
      </vt:variant>
      <vt:variant>
        <vt:i4>0</vt:i4>
      </vt:variant>
      <vt:variant>
        <vt:i4>5</vt:i4>
      </vt:variant>
      <vt:variant>
        <vt:lpwstr>http://dx.doi.org/10.4309/jgi.2019.41.2</vt:lpwstr>
      </vt:variant>
      <vt:variant>
        <vt:lpwstr/>
      </vt:variant>
      <vt:variant>
        <vt:i4>2228273</vt:i4>
      </vt:variant>
      <vt:variant>
        <vt:i4>441</vt:i4>
      </vt:variant>
      <vt:variant>
        <vt:i4>0</vt:i4>
      </vt:variant>
      <vt:variant>
        <vt:i4>5</vt:i4>
      </vt:variant>
      <vt:variant>
        <vt:lpwstr>http://hapai.co.nz/sites/default/files/White Paper Ending community sector dependence on pokie funding.pdf</vt:lpwstr>
      </vt:variant>
      <vt:variant>
        <vt:lpwstr/>
      </vt:variant>
      <vt:variant>
        <vt:i4>3932285</vt:i4>
      </vt:variant>
      <vt:variant>
        <vt:i4>438</vt:i4>
      </vt:variant>
      <vt:variant>
        <vt:i4>0</vt:i4>
      </vt:variant>
      <vt:variant>
        <vt:i4>5</vt:i4>
      </vt:variant>
      <vt:variant>
        <vt:lpwstr>https://www.pgf.nz/downloads/assets/13448/1/pgf0033</vt:lpwstr>
      </vt:variant>
      <vt:variant>
        <vt:lpwstr/>
      </vt:variant>
      <vt:variant>
        <vt:i4>4456458</vt:i4>
      </vt:variant>
      <vt:variant>
        <vt:i4>435</vt:i4>
      </vt:variant>
      <vt:variant>
        <vt:i4>0</vt:i4>
      </vt:variant>
      <vt:variant>
        <vt:i4>5</vt:i4>
      </vt:variant>
      <vt:variant>
        <vt:lpwstr>https://www.fmhs.auckland.ac.nz/assets/fmhs/faculty/Centre for Gambling Studies/documents/2000perese_samoan_people.pdf</vt:lpwstr>
      </vt:variant>
      <vt:variant>
        <vt:lpwstr/>
      </vt:variant>
      <vt:variant>
        <vt:i4>5701643</vt:i4>
      </vt:variant>
      <vt:variant>
        <vt:i4>432</vt:i4>
      </vt:variant>
      <vt:variant>
        <vt:i4>0</vt:i4>
      </vt:variant>
      <vt:variant>
        <vt:i4>5</vt:i4>
      </vt:variant>
      <vt:variant>
        <vt:lpwstr>http://www.legislation.govt.nz/act/public/2003/0051/latest/DLM207497.html</vt:lpwstr>
      </vt:variant>
      <vt:variant>
        <vt:lpwstr/>
      </vt:variant>
      <vt:variant>
        <vt:i4>655454</vt:i4>
      </vt:variant>
      <vt:variant>
        <vt:i4>429</vt:i4>
      </vt:variant>
      <vt:variant>
        <vt:i4>0</vt:i4>
      </vt:variant>
      <vt:variant>
        <vt:i4>5</vt:i4>
      </vt:variant>
      <vt:variant>
        <vt:lpwstr>https://www.health.govt.nz/publication/mixed-methods-analysis-gambling-harm-women-new-zealand</vt:lpwstr>
      </vt:variant>
      <vt:variant>
        <vt:lpwstr/>
      </vt:variant>
      <vt:variant>
        <vt:i4>2883676</vt:i4>
      </vt:variant>
      <vt:variant>
        <vt:i4>426</vt:i4>
      </vt:variant>
      <vt:variant>
        <vt:i4>0</vt:i4>
      </vt:variant>
      <vt:variant>
        <vt:i4>5</vt:i4>
      </vt:variant>
      <vt:variant>
        <vt:lpwstr>https://img.scoop.co.nz/media/pdfs/2008/Final_Report__Diverting_gambling_losses_22_June.pdf</vt:lpwstr>
      </vt:variant>
      <vt:variant>
        <vt:lpwstr/>
      </vt:variant>
      <vt:variant>
        <vt:i4>3407996</vt:i4>
      </vt:variant>
      <vt:variant>
        <vt:i4>423</vt:i4>
      </vt:variant>
      <vt:variant>
        <vt:i4>0</vt:i4>
      </vt:variant>
      <vt:variant>
        <vt:i4>5</vt:i4>
      </vt:variant>
      <vt:variant>
        <vt:lpwstr>http://dx.doi.org/10.4309/jgi.2004.12.6</vt:lpwstr>
      </vt:variant>
      <vt:variant>
        <vt:lpwstr/>
      </vt:variant>
      <vt:variant>
        <vt:i4>8323124</vt:i4>
      </vt:variant>
      <vt:variant>
        <vt:i4>420</vt:i4>
      </vt:variant>
      <vt:variant>
        <vt:i4>0</vt:i4>
      </vt:variant>
      <vt:variant>
        <vt:i4>5</vt:i4>
      </vt:variant>
      <vt:variant>
        <vt:lpwstr>https://www.health.govt.nz/system/files/documents/publications/hp7137-strategy-minimise-gambling-harm-jun19.pdf</vt:lpwstr>
      </vt:variant>
      <vt:variant>
        <vt:lpwstr/>
      </vt:variant>
      <vt:variant>
        <vt:i4>5308483</vt:i4>
      </vt:variant>
      <vt:variant>
        <vt:i4>417</vt:i4>
      </vt:variant>
      <vt:variant>
        <vt:i4>0</vt:i4>
      </vt:variant>
      <vt:variant>
        <vt:i4>5</vt:i4>
      </vt:variant>
      <vt:variant>
        <vt:lpwstr>https://assets.mylotto.co.nz/assets/uploads/4763d7e0-1f13-11eb-928a-937a1d7ded1d.pdf</vt:lpwstr>
      </vt:variant>
      <vt:variant>
        <vt:lpwstr/>
      </vt:variant>
      <vt:variant>
        <vt:i4>393240</vt:i4>
      </vt:variant>
      <vt:variant>
        <vt:i4>414</vt:i4>
      </vt:variant>
      <vt:variant>
        <vt:i4>0</vt:i4>
      </vt:variant>
      <vt:variant>
        <vt:i4>5</vt:i4>
      </vt:variant>
      <vt:variant>
        <vt:lpwstr>https://doi.org/10.1007/s10899-018-9799-2</vt:lpwstr>
      </vt:variant>
      <vt:variant>
        <vt:lpwstr/>
      </vt:variant>
      <vt:variant>
        <vt:i4>2293819</vt:i4>
      </vt:variant>
      <vt:variant>
        <vt:i4>411</vt:i4>
      </vt:variant>
      <vt:variant>
        <vt:i4>0</vt:i4>
      </vt:variant>
      <vt:variant>
        <vt:i4>5</vt:i4>
      </vt:variant>
      <vt:variant>
        <vt:lpwstr>https://doi.org/10.1007/s10899-019-09895-4</vt:lpwstr>
      </vt:variant>
      <vt:variant>
        <vt:lpwstr/>
      </vt:variant>
      <vt:variant>
        <vt:i4>458775</vt:i4>
      </vt:variant>
      <vt:variant>
        <vt:i4>408</vt:i4>
      </vt:variant>
      <vt:variant>
        <vt:i4>0</vt:i4>
      </vt:variant>
      <vt:variant>
        <vt:i4>5</vt:i4>
      </vt:variant>
      <vt:variant>
        <vt:lpwstr>https://doi.org/10.1007/s10899-017-9677-3</vt:lpwstr>
      </vt:variant>
      <vt:variant>
        <vt:lpwstr/>
      </vt:variant>
      <vt:variant>
        <vt:i4>3080246</vt:i4>
      </vt:variant>
      <vt:variant>
        <vt:i4>405</vt:i4>
      </vt:variant>
      <vt:variant>
        <vt:i4>0</vt:i4>
      </vt:variant>
      <vt:variant>
        <vt:i4>5</vt:i4>
      </vt:variant>
      <vt:variant>
        <vt:lpwstr>https://doi.org/10.1023/a:1023005115932</vt:lpwstr>
      </vt:variant>
      <vt:variant>
        <vt:lpwstr/>
      </vt:variant>
      <vt:variant>
        <vt:i4>131142</vt:i4>
      </vt:variant>
      <vt:variant>
        <vt:i4>402</vt:i4>
      </vt:variant>
      <vt:variant>
        <vt:i4>0</vt:i4>
      </vt:variant>
      <vt:variant>
        <vt:i4>5</vt:i4>
      </vt:variant>
      <vt:variant>
        <vt:lpwstr>https://doi.org/10.1080/14459795.2017.1331252</vt:lpwstr>
      </vt:variant>
      <vt:variant>
        <vt:lpwstr/>
      </vt:variant>
      <vt:variant>
        <vt:i4>3735586</vt:i4>
      </vt:variant>
      <vt:variant>
        <vt:i4>399</vt:i4>
      </vt:variant>
      <vt:variant>
        <vt:i4>0</vt:i4>
      </vt:variant>
      <vt:variant>
        <vt:i4>5</vt:i4>
      </vt:variant>
      <vt:variant>
        <vt:lpwstr>http://www.gamblingcommission.govt.nz/GCwebsite.nsf/Files/AnnualReport2020/$file/REPORT OF THE GAMBLING COMMISSION FOR THE YEAR ENDED 30 JUNE 2020 (FINAL).pdf</vt:lpwstr>
      </vt:variant>
      <vt:variant>
        <vt:lpwstr/>
      </vt:variant>
      <vt:variant>
        <vt:i4>131095</vt:i4>
      </vt:variant>
      <vt:variant>
        <vt:i4>396</vt:i4>
      </vt:variant>
      <vt:variant>
        <vt:i4>0</vt:i4>
      </vt:variant>
      <vt:variant>
        <vt:i4>5</vt:i4>
      </vt:variant>
      <vt:variant>
        <vt:lpwstr>https://doi.org/10.1007/s10899-013-9362-0</vt:lpwstr>
      </vt:variant>
      <vt:variant>
        <vt:lpwstr/>
      </vt:variant>
      <vt:variant>
        <vt:i4>2818068</vt:i4>
      </vt:variant>
      <vt:variant>
        <vt:i4>393</vt:i4>
      </vt:variant>
      <vt:variant>
        <vt:i4>0</vt:i4>
      </vt:variant>
      <vt:variant>
        <vt:i4>5</vt:i4>
      </vt:variant>
      <vt:variant>
        <vt:lpwstr>http://www.maramatanga.co.nz/sites/default/files/Dyall web ready_0.pdf</vt:lpwstr>
      </vt:variant>
      <vt:variant>
        <vt:lpwstr/>
      </vt:variant>
      <vt:variant>
        <vt:i4>4587595</vt:i4>
      </vt:variant>
      <vt:variant>
        <vt:i4>390</vt:i4>
      </vt:variant>
      <vt:variant>
        <vt:i4>0</vt:i4>
      </vt:variant>
      <vt:variant>
        <vt:i4>5</vt:i4>
      </vt:variant>
      <vt:variant>
        <vt:lpwstr>https://www.dia.govt.nz/press.nsf/d77da9b523f12931cc256ac5000d19b6/3c7f05df2a9cfe76cc258695007f7f24!OpenDocument</vt:lpwstr>
      </vt:variant>
      <vt:variant>
        <vt:lpwstr/>
      </vt:variant>
      <vt:variant>
        <vt:i4>7143548</vt:i4>
      </vt:variant>
      <vt:variant>
        <vt:i4>387</vt:i4>
      </vt:variant>
      <vt:variant>
        <vt:i4>0</vt:i4>
      </vt:variant>
      <vt:variant>
        <vt:i4>5</vt:i4>
      </vt:variant>
      <vt:variant>
        <vt:lpwstr>https://catalogue.data.govt.nz/dataset/gaming-machine-profits-gmp-dashboard</vt:lpwstr>
      </vt:variant>
      <vt:variant>
        <vt:lpwstr/>
      </vt:variant>
      <vt:variant>
        <vt:i4>6684715</vt:i4>
      </vt:variant>
      <vt:variant>
        <vt:i4>384</vt:i4>
      </vt:variant>
      <vt:variant>
        <vt:i4>0</vt:i4>
      </vt:variant>
      <vt:variant>
        <vt:i4>5</vt:i4>
      </vt:variant>
      <vt:variant>
        <vt:lpwstr>https://www.dia.govt.nz/gambling-statistics-expenditure</vt:lpwstr>
      </vt:variant>
      <vt:variant>
        <vt:lpwstr/>
      </vt:variant>
      <vt:variant>
        <vt:i4>2883687</vt:i4>
      </vt:variant>
      <vt:variant>
        <vt:i4>381</vt:i4>
      </vt:variant>
      <vt:variant>
        <vt:i4>0</vt:i4>
      </vt:variant>
      <vt:variant>
        <vt:i4>5</vt:i4>
      </vt:variant>
      <vt:variant>
        <vt:lpwstr>https://doi.org/www.dia.govt.nz/gambling-statistics-historical-data-venues-machine-numbers</vt:lpwstr>
      </vt:variant>
      <vt:variant>
        <vt:lpwstr/>
      </vt:variant>
      <vt:variant>
        <vt:i4>6553716</vt:i4>
      </vt:variant>
      <vt:variant>
        <vt:i4>378</vt:i4>
      </vt:variant>
      <vt:variant>
        <vt:i4>0</vt:i4>
      </vt:variant>
      <vt:variant>
        <vt:i4>5</vt:i4>
      </vt:variant>
      <vt:variant>
        <vt:lpwstr>https://www.dia.govt.nz/diawebsite.nsf/Files/Online-Gambling-Consultation/$file/Online-Gambling-in-New-Zealand-Discussion-Document.pdf</vt:lpwstr>
      </vt:variant>
      <vt:variant>
        <vt:lpwstr/>
      </vt:variant>
      <vt:variant>
        <vt:i4>4915281</vt:i4>
      </vt:variant>
      <vt:variant>
        <vt:i4>375</vt:i4>
      </vt:variant>
      <vt:variant>
        <vt:i4>0</vt:i4>
      </vt:variant>
      <vt:variant>
        <vt:i4>5</vt:i4>
      </vt:variant>
      <vt:variant>
        <vt:lpwstr>https://www.dia.govt.nz/diawebsite.nsf/Files/Problem-Gambling-Multi-Venue-Exclusion/$file/MVE-report-recommendations.docx</vt:lpwstr>
      </vt:variant>
      <vt:variant>
        <vt:lpwstr/>
      </vt:variant>
      <vt:variant>
        <vt:i4>7798907</vt:i4>
      </vt:variant>
      <vt:variant>
        <vt:i4>372</vt:i4>
      </vt:variant>
      <vt:variant>
        <vt:i4>0</vt:i4>
      </vt:variant>
      <vt:variant>
        <vt:i4>5</vt:i4>
      </vt:variant>
      <vt:variant>
        <vt:lpwstr>https://www.dia.govt.nz/diawebsite.nsf/Files/Class-4-Gambling-review-2016/$file/Class4-review-discussion-document-2016.docx</vt:lpwstr>
      </vt:variant>
      <vt:variant>
        <vt:lpwstr/>
      </vt:variant>
      <vt:variant>
        <vt:i4>327694</vt:i4>
      </vt:variant>
      <vt:variant>
        <vt:i4>369</vt:i4>
      </vt:variant>
      <vt:variant>
        <vt:i4>0</vt:i4>
      </vt:variant>
      <vt:variant>
        <vt:i4>5</vt:i4>
      </vt:variant>
      <vt:variant>
        <vt:lpwstr>https://doi.org/10.1016/S2468-2667(20)30290-5</vt:lpwstr>
      </vt:variant>
      <vt:variant>
        <vt:lpwstr/>
      </vt:variant>
      <vt:variant>
        <vt:i4>18</vt:i4>
      </vt:variant>
      <vt:variant>
        <vt:i4>366</vt:i4>
      </vt:variant>
      <vt:variant>
        <vt:i4>0</vt:i4>
      </vt:variant>
      <vt:variant>
        <vt:i4>5</vt:i4>
      </vt:variant>
      <vt:variant>
        <vt:lpwstr>https://doi.org/10.1007/s11469-018-9933-5</vt:lpwstr>
      </vt:variant>
      <vt:variant>
        <vt:lpwstr/>
      </vt:variant>
      <vt:variant>
        <vt:i4>2293857</vt:i4>
      </vt:variant>
      <vt:variant>
        <vt:i4>363</vt:i4>
      </vt:variant>
      <vt:variant>
        <vt:i4>0</vt:i4>
      </vt:variant>
      <vt:variant>
        <vt:i4>5</vt:i4>
      </vt:variant>
      <vt:variant>
        <vt:lpwstr>https://www.health.govt.nz/system/files/documents/publications/social-impacts-gambling-nz08.pdf</vt:lpwstr>
      </vt:variant>
      <vt:variant>
        <vt:lpwstr/>
      </vt:variant>
      <vt:variant>
        <vt:i4>196629</vt:i4>
      </vt:variant>
      <vt:variant>
        <vt:i4>360</vt:i4>
      </vt:variant>
      <vt:variant>
        <vt:i4>0</vt:i4>
      </vt:variant>
      <vt:variant>
        <vt:i4>5</vt:i4>
      </vt:variant>
      <vt:variant>
        <vt:lpwstr>https://www.health.govt.nz/system/files/documents/publications/pif-youth-age-17-study.pdf</vt:lpwstr>
      </vt:variant>
      <vt:variant>
        <vt:lpwstr/>
      </vt:variant>
      <vt:variant>
        <vt:i4>786451</vt:i4>
      </vt:variant>
      <vt:variant>
        <vt:i4>357</vt:i4>
      </vt:variant>
      <vt:variant>
        <vt:i4>0</vt:i4>
      </vt:variant>
      <vt:variant>
        <vt:i4>5</vt:i4>
      </vt:variant>
      <vt:variant>
        <vt:lpwstr>https://www.health.govt.nz/system/files/documents/publications/new-zealand-national-gambling-study-qualitative-phase-9oct2019.pdf</vt:lpwstr>
      </vt:variant>
      <vt:variant>
        <vt:lpwstr/>
      </vt:variant>
      <vt:variant>
        <vt:i4>3342447</vt:i4>
      </vt:variant>
      <vt:variant>
        <vt:i4>354</vt:i4>
      </vt:variant>
      <vt:variant>
        <vt:i4>0</vt:i4>
      </vt:variant>
      <vt:variant>
        <vt:i4>5</vt:i4>
      </vt:variant>
      <vt:variant>
        <vt:lpwstr>https://www.health.govt.nz/system/files/documents/publications/barriers-help-seeking-behaviours.pdf</vt:lpwstr>
      </vt:variant>
      <vt:variant>
        <vt:lpwstr/>
      </vt:variant>
      <vt:variant>
        <vt:i4>1572947</vt:i4>
      </vt:variant>
      <vt:variant>
        <vt:i4>351</vt:i4>
      </vt:variant>
      <vt:variant>
        <vt:i4>0</vt:i4>
      </vt:variant>
      <vt:variant>
        <vt:i4>5</vt:i4>
      </vt:variant>
      <vt:variant>
        <vt:lpwstr>https://www.dia.govt.nz/pubforms.nsf/URL/TakingthePulse.pdf/$file/TakingthePulse.pdf</vt:lpwstr>
      </vt:variant>
      <vt:variant>
        <vt:lpwstr/>
      </vt:variant>
      <vt:variant>
        <vt:i4>8257589</vt:i4>
      </vt:variant>
      <vt:variant>
        <vt:i4>348</vt:i4>
      </vt:variant>
      <vt:variant>
        <vt:i4>0</vt:i4>
      </vt:variant>
      <vt:variant>
        <vt:i4>5</vt:i4>
      </vt:variant>
      <vt:variant>
        <vt:lpwstr>https://www.dia.govt.nz/Pubforms.nsf/URL/Vol5Pt1.pdf/$file/Vol5Pt1.pdf</vt:lpwstr>
      </vt:variant>
      <vt:variant>
        <vt:lpwstr/>
      </vt:variant>
      <vt:variant>
        <vt:i4>7274555</vt:i4>
      </vt:variant>
      <vt:variant>
        <vt:i4>345</vt:i4>
      </vt:variant>
      <vt:variant>
        <vt:i4>0</vt:i4>
      </vt:variant>
      <vt:variant>
        <vt:i4>5</vt:i4>
      </vt:variant>
      <vt:variant>
        <vt:lpwstr>https://www.health.govt.nz/system/files/documents/publications/national-gambling-study-report-2.pdf</vt:lpwstr>
      </vt:variant>
      <vt:variant>
        <vt:lpwstr/>
      </vt:variant>
      <vt:variant>
        <vt:i4>393217</vt:i4>
      </vt:variant>
      <vt:variant>
        <vt:i4>342</vt:i4>
      </vt:variant>
      <vt:variant>
        <vt:i4>0</vt:i4>
      </vt:variant>
      <vt:variant>
        <vt:i4>5</vt:i4>
      </vt:variant>
      <vt:variant>
        <vt:lpwstr>https://www.health.govt.nz/system/files/documents/publications/national-gambling-study-report-6-aug18.pdf</vt:lpwstr>
      </vt:variant>
      <vt:variant>
        <vt:lpwstr/>
      </vt:variant>
      <vt:variant>
        <vt:i4>1835060</vt:i4>
      </vt:variant>
      <vt:variant>
        <vt:i4>239</vt:i4>
      </vt:variant>
      <vt:variant>
        <vt:i4>0</vt:i4>
      </vt:variant>
      <vt:variant>
        <vt:i4>5</vt:i4>
      </vt:variant>
      <vt:variant>
        <vt:lpwstr/>
      </vt:variant>
      <vt:variant>
        <vt:lpwstr>_Toc69803391</vt:lpwstr>
      </vt:variant>
      <vt:variant>
        <vt:i4>1900596</vt:i4>
      </vt:variant>
      <vt:variant>
        <vt:i4>233</vt:i4>
      </vt:variant>
      <vt:variant>
        <vt:i4>0</vt:i4>
      </vt:variant>
      <vt:variant>
        <vt:i4>5</vt:i4>
      </vt:variant>
      <vt:variant>
        <vt:lpwstr/>
      </vt:variant>
      <vt:variant>
        <vt:lpwstr>_Toc69803390</vt:lpwstr>
      </vt:variant>
      <vt:variant>
        <vt:i4>1310773</vt:i4>
      </vt:variant>
      <vt:variant>
        <vt:i4>227</vt:i4>
      </vt:variant>
      <vt:variant>
        <vt:i4>0</vt:i4>
      </vt:variant>
      <vt:variant>
        <vt:i4>5</vt:i4>
      </vt:variant>
      <vt:variant>
        <vt:lpwstr/>
      </vt:variant>
      <vt:variant>
        <vt:lpwstr>_Toc69803389</vt:lpwstr>
      </vt:variant>
      <vt:variant>
        <vt:i4>1376309</vt:i4>
      </vt:variant>
      <vt:variant>
        <vt:i4>221</vt:i4>
      </vt:variant>
      <vt:variant>
        <vt:i4>0</vt:i4>
      </vt:variant>
      <vt:variant>
        <vt:i4>5</vt:i4>
      </vt:variant>
      <vt:variant>
        <vt:lpwstr/>
      </vt:variant>
      <vt:variant>
        <vt:lpwstr>_Toc69803388</vt:lpwstr>
      </vt:variant>
      <vt:variant>
        <vt:i4>1703989</vt:i4>
      </vt:variant>
      <vt:variant>
        <vt:i4>215</vt:i4>
      </vt:variant>
      <vt:variant>
        <vt:i4>0</vt:i4>
      </vt:variant>
      <vt:variant>
        <vt:i4>5</vt:i4>
      </vt:variant>
      <vt:variant>
        <vt:lpwstr/>
      </vt:variant>
      <vt:variant>
        <vt:lpwstr>_Toc69803387</vt:lpwstr>
      </vt:variant>
      <vt:variant>
        <vt:i4>1769525</vt:i4>
      </vt:variant>
      <vt:variant>
        <vt:i4>209</vt:i4>
      </vt:variant>
      <vt:variant>
        <vt:i4>0</vt:i4>
      </vt:variant>
      <vt:variant>
        <vt:i4>5</vt:i4>
      </vt:variant>
      <vt:variant>
        <vt:lpwstr/>
      </vt:variant>
      <vt:variant>
        <vt:lpwstr>_Toc69803386</vt:lpwstr>
      </vt:variant>
      <vt:variant>
        <vt:i4>1572917</vt:i4>
      </vt:variant>
      <vt:variant>
        <vt:i4>203</vt:i4>
      </vt:variant>
      <vt:variant>
        <vt:i4>0</vt:i4>
      </vt:variant>
      <vt:variant>
        <vt:i4>5</vt:i4>
      </vt:variant>
      <vt:variant>
        <vt:lpwstr/>
      </vt:variant>
      <vt:variant>
        <vt:lpwstr>_Toc69803385</vt:lpwstr>
      </vt:variant>
      <vt:variant>
        <vt:i4>1638453</vt:i4>
      </vt:variant>
      <vt:variant>
        <vt:i4>197</vt:i4>
      </vt:variant>
      <vt:variant>
        <vt:i4>0</vt:i4>
      </vt:variant>
      <vt:variant>
        <vt:i4>5</vt:i4>
      </vt:variant>
      <vt:variant>
        <vt:lpwstr/>
      </vt:variant>
      <vt:variant>
        <vt:lpwstr>_Toc69803384</vt:lpwstr>
      </vt:variant>
      <vt:variant>
        <vt:i4>1966133</vt:i4>
      </vt:variant>
      <vt:variant>
        <vt:i4>191</vt:i4>
      </vt:variant>
      <vt:variant>
        <vt:i4>0</vt:i4>
      </vt:variant>
      <vt:variant>
        <vt:i4>5</vt:i4>
      </vt:variant>
      <vt:variant>
        <vt:lpwstr/>
      </vt:variant>
      <vt:variant>
        <vt:lpwstr>_Toc69803383</vt:lpwstr>
      </vt:variant>
      <vt:variant>
        <vt:i4>2031669</vt:i4>
      </vt:variant>
      <vt:variant>
        <vt:i4>185</vt:i4>
      </vt:variant>
      <vt:variant>
        <vt:i4>0</vt:i4>
      </vt:variant>
      <vt:variant>
        <vt:i4>5</vt:i4>
      </vt:variant>
      <vt:variant>
        <vt:lpwstr/>
      </vt:variant>
      <vt:variant>
        <vt:lpwstr>_Toc69803382</vt:lpwstr>
      </vt:variant>
      <vt:variant>
        <vt:i4>1835061</vt:i4>
      </vt:variant>
      <vt:variant>
        <vt:i4>179</vt:i4>
      </vt:variant>
      <vt:variant>
        <vt:i4>0</vt:i4>
      </vt:variant>
      <vt:variant>
        <vt:i4>5</vt:i4>
      </vt:variant>
      <vt:variant>
        <vt:lpwstr/>
      </vt:variant>
      <vt:variant>
        <vt:lpwstr>_Toc69803381</vt:lpwstr>
      </vt:variant>
      <vt:variant>
        <vt:i4>1900597</vt:i4>
      </vt:variant>
      <vt:variant>
        <vt:i4>170</vt:i4>
      </vt:variant>
      <vt:variant>
        <vt:i4>0</vt:i4>
      </vt:variant>
      <vt:variant>
        <vt:i4>5</vt:i4>
      </vt:variant>
      <vt:variant>
        <vt:lpwstr/>
      </vt:variant>
      <vt:variant>
        <vt:lpwstr>_Toc69803380</vt:lpwstr>
      </vt:variant>
      <vt:variant>
        <vt:i4>1310778</vt:i4>
      </vt:variant>
      <vt:variant>
        <vt:i4>164</vt:i4>
      </vt:variant>
      <vt:variant>
        <vt:i4>0</vt:i4>
      </vt:variant>
      <vt:variant>
        <vt:i4>5</vt:i4>
      </vt:variant>
      <vt:variant>
        <vt:lpwstr/>
      </vt:variant>
      <vt:variant>
        <vt:lpwstr>_Toc69803379</vt:lpwstr>
      </vt:variant>
      <vt:variant>
        <vt:i4>1376314</vt:i4>
      </vt:variant>
      <vt:variant>
        <vt:i4>158</vt:i4>
      </vt:variant>
      <vt:variant>
        <vt:i4>0</vt:i4>
      </vt:variant>
      <vt:variant>
        <vt:i4>5</vt:i4>
      </vt:variant>
      <vt:variant>
        <vt:lpwstr/>
      </vt:variant>
      <vt:variant>
        <vt:lpwstr>_Toc69803378</vt:lpwstr>
      </vt:variant>
      <vt:variant>
        <vt:i4>1703994</vt:i4>
      </vt:variant>
      <vt:variant>
        <vt:i4>152</vt:i4>
      </vt:variant>
      <vt:variant>
        <vt:i4>0</vt:i4>
      </vt:variant>
      <vt:variant>
        <vt:i4>5</vt:i4>
      </vt:variant>
      <vt:variant>
        <vt:lpwstr/>
      </vt:variant>
      <vt:variant>
        <vt:lpwstr>_Toc69803377</vt:lpwstr>
      </vt:variant>
      <vt:variant>
        <vt:i4>4522060</vt:i4>
      </vt:variant>
      <vt:variant>
        <vt:i4>24</vt:i4>
      </vt:variant>
      <vt:variant>
        <vt:i4>0</vt:i4>
      </vt:variant>
      <vt:variant>
        <vt:i4>5</vt:i4>
      </vt:variant>
      <vt:variant>
        <vt:lpwstr>https://www.health.govt.nz/our-work/mental-health-and-addiction/addiction/gambling/gambling-research-and-evaluation/funding-opportunities-gambling-harm-reduction-research-and-evaluation</vt:lpwstr>
      </vt:variant>
      <vt:variant>
        <vt:lpwstr/>
      </vt:variant>
      <vt:variant>
        <vt:i4>7208992</vt:i4>
      </vt:variant>
      <vt:variant>
        <vt:i4>21</vt:i4>
      </vt:variant>
      <vt:variant>
        <vt:i4>0</vt:i4>
      </vt:variant>
      <vt:variant>
        <vt:i4>5</vt:i4>
      </vt:variant>
      <vt:variant>
        <vt:lpwstr>https://www.health.govt.nz/publication/strategy-prevent-and-minimise-gambling-harm-2019-20-2021-22</vt:lpwstr>
      </vt:variant>
      <vt:variant>
        <vt:lpwstr/>
      </vt:variant>
      <vt:variant>
        <vt:i4>6094941</vt:i4>
      </vt:variant>
      <vt:variant>
        <vt:i4>18</vt:i4>
      </vt:variant>
      <vt:variant>
        <vt:i4>0</vt:i4>
      </vt:variant>
      <vt:variant>
        <vt:i4>5</vt:i4>
      </vt:variant>
      <vt:variant>
        <vt:lpwstr>https://kupe.hpa.org.nz/</vt:lpwstr>
      </vt:variant>
      <vt:variant>
        <vt:lpwstr>!/gambling/gambling-harm/hls-gamblers-pgsi-moderate-risk-and-problem</vt:lpwstr>
      </vt:variant>
      <vt:variant>
        <vt:i4>393228</vt:i4>
      </vt:variant>
      <vt:variant>
        <vt:i4>15</vt:i4>
      </vt:variant>
      <vt:variant>
        <vt:i4>0</vt:i4>
      </vt:variant>
      <vt:variant>
        <vt:i4>5</vt:i4>
      </vt:variant>
      <vt:variant>
        <vt:lpwstr>https://www.skycityentertainmentgroup.com/our-business</vt:lpwstr>
      </vt:variant>
      <vt:variant>
        <vt:lpwstr>:~:text=In%20August%202019%2C%20SkyCity%20launched,its%20land%2Dbased%20casino%20operations</vt:lpwstr>
      </vt:variant>
      <vt:variant>
        <vt:i4>3145783</vt:i4>
      </vt:variant>
      <vt:variant>
        <vt:i4>9</vt:i4>
      </vt:variant>
      <vt:variant>
        <vt:i4>0</vt:i4>
      </vt:variant>
      <vt:variant>
        <vt:i4>5</vt:i4>
      </vt:variant>
      <vt:variant>
        <vt:lpwstr>https://www.health.govt.nz/publication/gambling-harm-reduction-needs-assessment</vt:lpwstr>
      </vt:variant>
      <vt:variant>
        <vt:lpwstr/>
      </vt:variant>
      <vt:variant>
        <vt:i4>5242965</vt:i4>
      </vt:variant>
      <vt:variant>
        <vt:i4>6</vt:i4>
      </vt:variant>
      <vt:variant>
        <vt:i4>0</vt:i4>
      </vt:variant>
      <vt:variant>
        <vt:i4>5</vt:i4>
      </vt:variant>
      <vt:variant>
        <vt:lpwstr>https://www.health.govt.nz/system/files/documents/publications/informing-2015-gambling-harm-needs-assessmnt-jul15.pdf</vt:lpwstr>
      </vt:variant>
      <vt:variant>
        <vt:lpwstr/>
      </vt:variant>
      <vt:variant>
        <vt:i4>2621539</vt:i4>
      </vt:variant>
      <vt:variant>
        <vt:i4>3</vt:i4>
      </vt:variant>
      <vt:variant>
        <vt:i4>0</vt:i4>
      </vt:variant>
      <vt:variant>
        <vt:i4>5</vt:i4>
      </vt:variant>
      <vt:variant>
        <vt:lpwstr>http://www.health.govt.nz/system/files/documents/publications/gambling-harm-report-jul2012.pdf</vt:lpwstr>
      </vt:variant>
      <vt:variant>
        <vt:lpwstr/>
      </vt:variant>
      <vt:variant>
        <vt:i4>2687079</vt:i4>
      </vt:variant>
      <vt:variant>
        <vt:i4>0</vt:i4>
      </vt:variant>
      <vt:variant>
        <vt:i4>0</vt:i4>
      </vt:variant>
      <vt:variant>
        <vt:i4>5</vt:i4>
      </vt:variant>
      <vt:variant>
        <vt:lpwstr>http://www.health.govt.nz/publication/informing-2009-problem-gambling-needs-assessment-report-ministry-health-0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Harm Needs Assessment 2021</dc:title>
  <dc:subject/>
  <dc:creator>Malatest International</dc:creator>
  <cp:keywords/>
  <dc:description/>
  <cp:lastModifiedBy>Ministry of Health</cp:lastModifiedBy>
  <cp:revision>8</cp:revision>
  <cp:lastPrinted>2021-07-06T02:00:00Z</cp:lastPrinted>
  <dcterms:created xsi:type="dcterms:W3CDTF">2021-07-06T01:59:00Z</dcterms:created>
  <dcterms:modified xsi:type="dcterms:W3CDTF">2021-08-30T02:32:00Z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0x0101003ABA77D7CF804044887C9E6FB5E413B1</vt:lpwstr>
  </property>
  <property fmtid="{D5CDD505-2E9C-101B-9397-08002B2CF9AE}" pid="3" name="RWProjectId">
    <vt:lpwstr>ap:600de78ec9e77c000154f59c</vt:lpwstr>
  </property>
</Properties>
</file>