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8D82" w14:textId="65E30620" w:rsidR="00C14031" w:rsidRPr="00D126AB" w:rsidRDefault="00452EA6" w:rsidP="00CC3FF8">
      <w:pPr>
        <w:pStyle w:val="Heading1"/>
      </w:pPr>
      <w:r w:rsidRPr="00D126AB">
        <w:t>FAQ – PPDF process</w:t>
      </w:r>
    </w:p>
    <w:p w14:paraId="516EE320" w14:textId="77777777" w:rsidR="00452EA6" w:rsidRPr="00D126AB" w:rsidRDefault="00452EA6">
      <w:pPr>
        <w:rPr>
          <w:rFonts w:cstheme="minorHAnsi"/>
          <w:b/>
          <w:bCs/>
          <w:sz w:val="28"/>
          <w:szCs w:val="28"/>
        </w:rPr>
      </w:pPr>
    </w:p>
    <w:p w14:paraId="61A229B8" w14:textId="56CE694D" w:rsidR="00FA3DA6" w:rsidRPr="00D126AB" w:rsidRDefault="00FA3DA6" w:rsidP="00CC3FF8">
      <w:pPr>
        <w:pStyle w:val="Heading2"/>
      </w:pPr>
      <w:r w:rsidRPr="00D126AB">
        <w:t xml:space="preserve">Why is a </w:t>
      </w:r>
      <w:r w:rsidR="007C0576" w:rsidRPr="00D126AB">
        <w:t xml:space="preserve">process and </w:t>
      </w:r>
      <w:r w:rsidR="00E26997" w:rsidRPr="00D126AB">
        <w:t>a</w:t>
      </w:r>
      <w:r w:rsidR="001C351B" w:rsidRPr="00D126AB">
        <w:t xml:space="preserve"> </w:t>
      </w:r>
      <w:r w:rsidR="00E26997" w:rsidRPr="00D126AB">
        <w:t>self-assessment</w:t>
      </w:r>
      <w:r w:rsidR="001C351B" w:rsidRPr="00D126AB">
        <w:t xml:space="preserve"> tool</w:t>
      </w:r>
      <w:r w:rsidR="00E26997" w:rsidRPr="00D126AB">
        <w:t xml:space="preserve"> </w:t>
      </w:r>
      <w:r w:rsidR="00E26997" w:rsidRPr="00CC3FF8">
        <w:t>for</w:t>
      </w:r>
      <w:r w:rsidR="00E26997" w:rsidRPr="00D126AB">
        <w:t xml:space="preserve"> PPDF</w:t>
      </w:r>
      <w:r w:rsidRPr="00D126AB">
        <w:t xml:space="preserve"> being developed now?</w:t>
      </w:r>
    </w:p>
    <w:p w14:paraId="03BBFEA5" w14:textId="10AE66C6" w:rsidR="00F02748" w:rsidRPr="00D126AB" w:rsidRDefault="001C27B3" w:rsidP="00F02748">
      <w:pPr>
        <w:rPr>
          <w:rFonts w:cstheme="minorHAnsi"/>
        </w:rPr>
      </w:pPr>
      <w:r w:rsidRPr="00D126AB">
        <w:rPr>
          <w:rFonts w:cstheme="minorHAnsi"/>
        </w:rPr>
        <w:t xml:space="preserve">This </w:t>
      </w:r>
      <w:r w:rsidR="00F06B04" w:rsidRPr="00D126AB">
        <w:rPr>
          <w:rFonts w:cstheme="minorHAnsi"/>
        </w:rPr>
        <w:t xml:space="preserve">is following on the </w:t>
      </w:r>
      <w:r w:rsidR="00452EA6" w:rsidRPr="00D126AB">
        <w:rPr>
          <w:rFonts w:cstheme="minorHAnsi"/>
        </w:rPr>
        <w:t xml:space="preserve">nine </w:t>
      </w:r>
      <w:r w:rsidR="00F06B04" w:rsidRPr="00D126AB">
        <w:rPr>
          <w:rFonts w:cstheme="minorHAnsi"/>
        </w:rPr>
        <w:t>recommendations of the PPDF review conducted in 20</w:t>
      </w:r>
      <w:r w:rsidR="00F17DA4">
        <w:rPr>
          <w:rFonts w:cstheme="minorHAnsi"/>
        </w:rPr>
        <w:t>18</w:t>
      </w:r>
      <w:r w:rsidR="00F02748" w:rsidRPr="00D126AB">
        <w:rPr>
          <w:rFonts w:cstheme="minorHAnsi"/>
        </w:rPr>
        <w:t>:</w:t>
      </w:r>
    </w:p>
    <w:p w14:paraId="01C52D45" w14:textId="5E24BFB4" w:rsidR="00F02748" w:rsidRPr="00D126AB" w:rsidRDefault="00F02748" w:rsidP="00F02748">
      <w:pPr>
        <w:rPr>
          <w:rFonts w:cstheme="minorHAnsi"/>
        </w:rPr>
      </w:pPr>
      <w:r w:rsidRPr="00D126AB">
        <w:rPr>
          <w:rFonts w:cstheme="minorHAnsi"/>
        </w:rPr>
        <w:t xml:space="preserve"> 1. The Ministry should continue to invest in capacity and capability development for Pacific providers. The review has found this to be needed and an effective way to increase capacity and capability for these providers who have an important and unique role.</w:t>
      </w:r>
    </w:p>
    <w:p w14:paraId="68392F55" w14:textId="2C73A10D" w:rsidR="00F02748" w:rsidRPr="00F02748" w:rsidRDefault="00F02748" w:rsidP="00F02748">
      <w:pPr>
        <w:rPr>
          <w:rFonts w:cstheme="minorHAnsi"/>
        </w:rPr>
      </w:pPr>
      <w:r w:rsidRPr="00F02748">
        <w:rPr>
          <w:rFonts w:cstheme="minorHAnsi"/>
        </w:rPr>
        <w:t> 2. Strengthen strategic and operational alignment for PPDF across social sectors and within health.</w:t>
      </w:r>
    </w:p>
    <w:p w14:paraId="74D9AD4D" w14:textId="77777777" w:rsidR="00F02748" w:rsidRPr="00F02748" w:rsidRDefault="00F02748" w:rsidP="00F02748">
      <w:pPr>
        <w:numPr>
          <w:ilvl w:val="0"/>
          <w:numId w:val="1"/>
        </w:numPr>
        <w:rPr>
          <w:rFonts w:cstheme="minorHAnsi"/>
        </w:rPr>
      </w:pPr>
      <w:r w:rsidRPr="00F02748">
        <w:rPr>
          <w:rFonts w:cstheme="minorHAnsi"/>
        </w:rPr>
        <w:t xml:space="preserve">Greater cross-government collaboration around supporting Pacific providers across </w:t>
      </w:r>
      <w:proofErr w:type="gramStart"/>
      <w:r w:rsidRPr="00F02748">
        <w:rPr>
          <w:rFonts w:cstheme="minorHAnsi"/>
        </w:rPr>
        <w:t>all of</w:t>
      </w:r>
      <w:proofErr w:type="gramEnd"/>
      <w:r w:rsidRPr="00F02748">
        <w:rPr>
          <w:rFonts w:cstheme="minorHAnsi"/>
        </w:rPr>
        <w:t xml:space="preserve"> the social sector (health, education and social development).</w:t>
      </w:r>
    </w:p>
    <w:p w14:paraId="5DDA674B" w14:textId="18EA5DF6" w:rsidR="00F02748" w:rsidRPr="00F02748" w:rsidRDefault="00F02748" w:rsidP="00F02748">
      <w:pPr>
        <w:numPr>
          <w:ilvl w:val="0"/>
          <w:numId w:val="1"/>
        </w:numPr>
        <w:rPr>
          <w:rFonts w:cstheme="minorHAnsi"/>
        </w:rPr>
      </w:pPr>
      <w:r w:rsidRPr="00F02748">
        <w:rPr>
          <w:rFonts w:cstheme="minorHAnsi"/>
        </w:rPr>
        <w:t xml:space="preserve">Ministry, district health boards (DHBs) and Pacific health providers will benefit from a stronger articulation of the alignment between the government’s priorities (eg, equity in health), the New Zealand Health Strategy (Ministry of Health 2016), </w:t>
      </w:r>
      <w:proofErr w:type="spellStart"/>
      <w:r w:rsidRPr="00F02748">
        <w:rPr>
          <w:rFonts w:cstheme="minorHAnsi"/>
        </w:rPr>
        <w:t>ʼAla</w:t>
      </w:r>
      <w:proofErr w:type="spellEnd"/>
      <w:r w:rsidRPr="00F02748">
        <w:rPr>
          <w:rFonts w:cstheme="minorHAnsi"/>
        </w:rPr>
        <w:t xml:space="preserve"> </w:t>
      </w:r>
      <w:proofErr w:type="spellStart"/>
      <w:r w:rsidRPr="00F02748">
        <w:rPr>
          <w:rFonts w:cstheme="minorHAnsi"/>
        </w:rPr>
        <w:t>Mo’ui</w:t>
      </w:r>
      <w:proofErr w:type="spellEnd"/>
      <w:r w:rsidRPr="00F02748">
        <w:rPr>
          <w:rFonts w:cstheme="minorHAnsi"/>
        </w:rPr>
        <w:t>: Pathways to Pacific Health and Wellbeing 2014–18</w:t>
      </w:r>
      <w:r w:rsidR="00A636E5" w:rsidRPr="00D126AB">
        <w:rPr>
          <w:rStyle w:val="FootnoteReference"/>
          <w:rFonts w:cstheme="minorHAnsi"/>
        </w:rPr>
        <w:footnoteReference w:id="1"/>
      </w:r>
      <w:r w:rsidR="00A636E5" w:rsidRPr="00D126AB">
        <w:rPr>
          <w:rFonts w:cstheme="minorHAnsi"/>
        </w:rPr>
        <w:t xml:space="preserve"> </w:t>
      </w:r>
      <w:r w:rsidRPr="00F02748">
        <w:rPr>
          <w:rFonts w:cstheme="minorHAnsi"/>
        </w:rPr>
        <w:t>(Ministry of Health 2014) and local DHB priorities.</w:t>
      </w:r>
    </w:p>
    <w:p w14:paraId="1EB9A00F" w14:textId="77777777" w:rsidR="00F02748" w:rsidRPr="00F02748" w:rsidRDefault="00F02748" w:rsidP="00F02748">
      <w:pPr>
        <w:numPr>
          <w:ilvl w:val="0"/>
          <w:numId w:val="1"/>
        </w:numPr>
        <w:rPr>
          <w:rFonts w:cstheme="minorHAnsi"/>
        </w:rPr>
      </w:pPr>
      <w:r w:rsidRPr="00F02748">
        <w:rPr>
          <w:rFonts w:cstheme="minorHAnsi"/>
        </w:rPr>
        <w:t xml:space="preserve">Take a </w:t>
      </w:r>
      <w:proofErr w:type="gramStart"/>
      <w:r w:rsidRPr="00F02748">
        <w:rPr>
          <w:rFonts w:cstheme="minorHAnsi"/>
        </w:rPr>
        <w:t>systems</w:t>
      </w:r>
      <w:proofErr w:type="gramEnd"/>
      <w:r w:rsidRPr="00F02748">
        <w:rPr>
          <w:rFonts w:cstheme="minorHAnsi"/>
        </w:rPr>
        <w:t xml:space="preserve"> view to investment in Pacific providers - including strengthening the relationship with DHBs/PHOs to better align PPDF investment with other sources of funding important for provider development and financial viability.</w:t>
      </w:r>
    </w:p>
    <w:p w14:paraId="34F5626A" w14:textId="78172893" w:rsidR="00F02748" w:rsidRPr="00F02748" w:rsidRDefault="00F02748" w:rsidP="00F02748">
      <w:pPr>
        <w:rPr>
          <w:rFonts w:cstheme="minorHAnsi"/>
        </w:rPr>
      </w:pPr>
      <w:r w:rsidRPr="00F02748">
        <w:rPr>
          <w:rFonts w:cstheme="minorHAnsi"/>
        </w:rPr>
        <w:t> 3. Increase clarity and transparency of PPDF investment parameters</w:t>
      </w:r>
    </w:p>
    <w:p w14:paraId="44CD4723" w14:textId="77777777" w:rsidR="00F02748" w:rsidRPr="00F02748" w:rsidRDefault="00F02748" w:rsidP="00F02748">
      <w:pPr>
        <w:numPr>
          <w:ilvl w:val="0"/>
          <w:numId w:val="2"/>
        </w:numPr>
        <w:rPr>
          <w:rFonts w:cstheme="minorHAnsi"/>
        </w:rPr>
      </w:pPr>
      <w:r w:rsidRPr="00F02748">
        <w:rPr>
          <w:rFonts w:cstheme="minorHAnsi"/>
        </w:rPr>
        <w:t>Clearer criteria for: (</w:t>
      </w:r>
      <w:proofErr w:type="spellStart"/>
      <w:r w:rsidRPr="00F02748">
        <w:rPr>
          <w:rFonts w:cstheme="minorHAnsi"/>
        </w:rPr>
        <w:t>i</w:t>
      </w:r>
      <w:proofErr w:type="spellEnd"/>
      <w:r w:rsidRPr="00F02748">
        <w:rPr>
          <w:rFonts w:cstheme="minorHAnsi"/>
        </w:rPr>
        <w:t>) provider eligibility to access PPDF (ii) eligibility and process for Collective membership (iii) the types of activities qualify as investment in capacity and capability development.</w:t>
      </w:r>
    </w:p>
    <w:p w14:paraId="122EE043" w14:textId="77777777" w:rsidR="00F02748" w:rsidRPr="00F02748" w:rsidRDefault="00F02748" w:rsidP="00F02748">
      <w:pPr>
        <w:numPr>
          <w:ilvl w:val="0"/>
          <w:numId w:val="2"/>
        </w:numPr>
        <w:rPr>
          <w:rFonts w:cstheme="minorHAnsi"/>
        </w:rPr>
      </w:pPr>
      <w:r w:rsidRPr="00F02748">
        <w:rPr>
          <w:rFonts w:cstheme="minorHAnsi"/>
        </w:rPr>
        <w:t>Ensure a clear articulation of the vision, purpose, goals, and key outcomes expected by the Ministry from PPDF investment.</w:t>
      </w:r>
    </w:p>
    <w:p w14:paraId="2B5E15F3" w14:textId="77777777" w:rsidR="00F02748" w:rsidRPr="00F02748" w:rsidRDefault="00F02748" w:rsidP="00F02748">
      <w:pPr>
        <w:numPr>
          <w:ilvl w:val="0"/>
          <w:numId w:val="2"/>
        </w:numPr>
        <w:rPr>
          <w:rFonts w:cstheme="minorHAnsi"/>
        </w:rPr>
      </w:pPr>
      <w:r w:rsidRPr="00F02748">
        <w:rPr>
          <w:rFonts w:cstheme="minorHAnsi"/>
        </w:rPr>
        <w:t>Strengthen monitoring and reporting requirements</w:t>
      </w:r>
    </w:p>
    <w:p w14:paraId="537CDA2D" w14:textId="6CA313E8" w:rsidR="00F02748" w:rsidRPr="00F02748" w:rsidRDefault="00F02748" w:rsidP="00F02748">
      <w:pPr>
        <w:numPr>
          <w:ilvl w:val="0"/>
          <w:numId w:val="2"/>
        </w:numPr>
        <w:rPr>
          <w:rFonts w:cstheme="minorHAnsi"/>
        </w:rPr>
      </w:pPr>
      <w:r w:rsidRPr="00F02748">
        <w:rPr>
          <w:rFonts w:cstheme="minorHAnsi"/>
        </w:rPr>
        <w:t>Contract terms with Collectives</w:t>
      </w:r>
      <w:r w:rsidR="00F62D4F">
        <w:rPr>
          <w:rStyle w:val="FootnoteReference"/>
          <w:rFonts w:cstheme="minorHAnsi"/>
        </w:rPr>
        <w:footnoteReference w:id="2"/>
      </w:r>
      <w:r w:rsidRPr="00F02748">
        <w:rPr>
          <w:rFonts w:cstheme="minorHAnsi"/>
        </w:rPr>
        <w:t xml:space="preserve"> and individual providers should be increased to at least 3 years to better enable providers to plan and to allow for the investment to bed in. This will also reduce the administrative burden.</w:t>
      </w:r>
    </w:p>
    <w:p w14:paraId="77CAD473" w14:textId="77777777" w:rsidR="00F02748" w:rsidRPr="00F02748" w:rsidRDefault="00F02748" w:rsidP="00F02748">
      <w:pPr>
        <w:rPr>
          <w:rFonts w:cstheme="minorHAnsi"/>
        </w:rPr>
      </w:pPr>
      <w:r w:rsidRPr="00F02748">
        <w:rPr>
          <w:rFonts w:cstheme="minorHAnsi"/>
        </w:rPr>
        <w:t>4. Strengthen the method to allocate PPDF funding to each region (with consideration to proportionality to need and equity).</w:t>
      </w:r>
    </w:p>
    <w:p w14:paraId="68D167A8" w14:textId="2A64CE92" w:rsidR="00F02748" w:rsidRPr="00F02748" w:rsidRDefault="00F02748" w:rsidP="00F02748">
      <w:pPr>
        <w:rPr>
          <w:rFonts w:cstheme="minorHAnsi"/>
        </w:rPr>
      </w:pPr>
      <w:r w:rsidRPr="00F02748">
        <w:rPr>
          <w:rFonts w:cstheme="minorHAnsi"/>
        </w:rPr>
        <w:t> 5. Develop an appropriate Needs Assessment Tool tailored for Pacific health providers to guide investment at the provider level to better assist identification of priority areas for capacity and capability development.</w:t>
      </w:r>
    </w:p>
    <w:p w14:paraId="5C965B54" w14:textId="707FF6C8" w:rsidR="00F02748" w:rsidRPr="00F02748" w:rsidRDefault="00F02748" w:rsidP="00F02748">
      <w:pPr>
        <w:rPr>
          <w:rFonts w:cstheme="minorHAnsi"/>
        </w:rPr>
      </w:pPr>
      <w:r w:rsidRPr="00F02748">
        <w:rPr>
          <w:rFonts w:cstheme="minorHAnsi"/>
        </w:rPr>
        <w:t> 6. PPDF future investment should continue to fund all the focus areas of capacity and capability deve</w:t>
      </w:r>
      <w:r w:rsidRPr="00D126AB">
        <w:rPr>
          <w:rFonts w:cstheme="minorHAnsi"/>
        </w:rPr>
        <w:t>l</w:t>
      </w:r>
      <w:r w:rsidRPr="00F02748">
        <w:rPr>
          <w:rFonts w:cstheme="minorHAnsi"/>
        </w:rPr>
        <w:t>opment (see full recommendations for details).</w:t>
      </w:r>
    </w:p>
    <w:p w14:paraId="52937376" w14:textId="32122093" w:rsidR="00F02748" w:rsidRPr="00F02748" w:rsidRDefault="00F02748" w:rsidP="00F02748">
      <w:pPr>
        <w:rPr>
          <w:rFonts w:cstheme="minorHAnsi"/>
        </w:rPr>
      </w:pPr>
      <w:r w:rsidRPr="00F02748">
        <w:rPr>
          <w:rFonts w:cstheme="minorHAnsi"/>
        </w:rPr>
        <w:t> 7. Increase the profile and accessibility of information on the PPDF.</w:t>
      </w:r>
    </w:p>
    <w:p w14:paraId="7EA82711" w14:textId="62E9B8D1" w:rsidR="00F02748" w:rsidRPr="00F02748" w:rsidRDefault="00F02748" w:rsidP="00F02748">
      <w:pPr>
        <w:rPr>
          <w:rFonts w:cstheme="minorHAnsi"/>
        </w:rPr>
      </w:pPr>
      <w:r w:rsidRPr="00F02748">
        <w:rPr>
          <w:rFonts w:cstheme="minorHAnsi"/>
        </w:rPr>
        <w:lastRenderedPageBreak/>
        <w:t> 8. Explore the next steps to best support the sustainability and development of Pacific health providers. It is suggested that this includes a more in-depth discussion on supporting providers’ different and evolving development and partnership needs.</w:t>
      </w:r>
    </w:p>
    <w:p w14:paraId="6C16301B" w14:textId="68B84FC2" w:rsidR="00F02748" w:rsidRDefault="00F02748" w:rsidP="00F02748">
      <w:pPr>
        <w:rPr>
          <w:rFonts w:cstheme="minorHAnsi"/>
        </w:rPr>
      </w:pPr>
      <w:r w:rsidRPr="00F02748">
        <w:rPr>
          <w:rFonts w:cstheme="minorHAnsi"/>
        </w:rPr>
        <w:t> 9. Establish a post-review implementation plan to follow up on the recommendations.</w:t>
      </w:r>
    </w:p>
    <w:p w14:paraId="558FB9B1" w14:textId="1DA392D5" w:rsidR="00966365" w:rsidRPr="00D126AB" w:rsidRDefault="00966365" w:rsidP="00F02748">
      <w:pPr>
        <w:rPr>
          <w:rFonts w:cstheme="minorHAnsi"/>
        </w:rPr>
      </w:pPr>
      <w:r>
        <w:rPr>
          <w:rFonts w:cstheme="minorHAnsi"/>
        </w:rPr>
        <w:t xml:space="preserve">Note that some of the recommendations have been adapted to the current contracting and strategic </w:t>
      </w:r>
      <w:r w:rsidR="008455C2">
        <w:rPr>
          <w:rFonts w:cstheme="minorHAnsi"/>
        </w:rPr>
        <w:t>environment</w:t>
      </w:r>
      <w:r>
        <w:rPr>
          <w:rFonts w:cstheme="minorHAnsi"/>
        </w:rPr>
        <w:t xml:space="preserve"> (e.g. contracting no longer done via Collectives, </w:t>
      </w:r>
      <w:r w:rsidR="008455C2">
        <w:rPr>
          <w:rFonts w:cstheme="minorHAnsi"/>
        </w:rPr>
        <w:t xml:space="preserve">Ola </w:t>
      </w:r>
      <w:proofErr w:type="spellStart"/>
      <w:r w:rsidR="008455C2">
        <w:rPr>
          <w:rFonts w:cstheme="minorHAnsi"/>
        </w:rPr>
        <w:t>Manuia</w:t>
      </w:r>
      <w:proofErr w:type="spellEnd"/>
      <w:r w:rsidR="008455C2">
        <w:rPr>
          <w:rFonts w:cstheme="minorHAnsi"/>
        </w:rPr>
        <w:t xml:space="preserve"> is the new Pacific Health Action Plan)</w:t>
      </w:r>
    </w:p>
    <w:p w14:paraId="6C6983C7" w14:textId="20660177" w:rsidR="00F06C9C" w:rsidRPr="00D126AB" w:rsidRDefault="00F06C9C" w:rsidP="00F02748">
      <w:pPr>
        <w:rPr>
          <w:rFonts w:cstheme="minorHAnsi"/>
        </w:rPr>
      </w:pPr>
      <w:r w:rsidRPr="00D126AB">
        <w:rPr>
          <w:rFonts w:cstheme="minorHAnsi"/>
        </w:rPr>
        <w:t xml:space="preserve">A full copy of the </w:t>
      </w:r>
      <w:r w:rsidR="00D126AB" w:rsidRPr="00D126AB">
        <w:rPr>
          <w:rFonts w:cstheme="minorHAnsi"/>
        </w:rPr>
        <w:t xml:space="preserve">PPDF </w:t>
      </w:r>
      <w:r w:rsidRPr="00D126AB">
        <w:rPr>
          <w:rFonts w:cstheme="minorHAnsi"/>
        </w:rPr>
        <w:t>review can be accessed at</w:t>
      </w:r>
      <w:r w:rsidR="007E76AA" w:rsidRPr="00D126AB">
        <w:rPr>
          <w:rFonts w:cstheme="minorHAnsi"/>
        </w:rPr>
        <w:t xml:space="preserve"> </w:t>
      </w:r>
      <w:hyperlink r:id="rId11" w:history="1">
        <w:r w:rsidR="007E76AA" w:rsidRPr="00D126AB">
          <w:rPr>
            <w:rStyle w:val="Hyperlink"/>
            <w:rFonts w:cstheme="minorHAnsi"/>
          </w:rPr>
          <w:t>https://www.health.govt.nz/publication/review-ministry-health-pacific-provider-development-fund-2018</w:t>
        </w:r>
      </w:hyperlink>
    </w:p>
    <w:p w14:paraId="14C8C9ED" w14:textId="690E04AE" w:rsidR="0030145E" w:rsidRPr="0030145E" w:rsidRDefault="00385C05" w:rsidP="0030145E">
      <w:pPr>
        <w:rPr>
          <w:rFonts w:cstheme="minorHAnsi"/>
        </w:rPr>
      </w:pPr>
      <w:r w:rsidRPr="00D02D46">
        <w:rPr>
          <w:rFonts w:cstheme="minorHAnsi"/>
        </w:rPr>
        <w:t>I</w:t>
      </w:r>
      <w:r w:rsidR="00D02D46">
        <w:rPr>
          <w:rFonts w:cstheme="minorHAnsi"/>
        </w:rPr>
        <w:t>n</w:t>
      </w:r>
      <w:r w:rsidRPr="00D02D46">
        <w:rPr>
          <w:rFonts w:cstheme="minorHAnsi"/>
        </w:rPr>
        <w:t xml:space="preserve"> </w:t>
      </w:r>
      <w:r w:rsidR="00D02D46">
        <w:rPr>
          <w:rFonts w:cstheme="minorHAnsi"/>
        </w:rPr>
        <w:t>line with the recommendation from</w:t>
      </w:r>
      <w:r w:rsidRPr="00D02D46">
        <w:rPr>
          <w:rFonts w:cstheme="minorHAnsi"/>
        </w:rPr>
        <w:t xml:space="preserve"> the Review, the Ministry wants to</w:t>
      </w:r>
      <w:r w:rsidR="00D02D46" w:rsidRPr="00D02D46">
        <w:rPr>
          <w:rFonts w:cstheme="minorHAnsi"/>
        </w:rPr>
        <w:t xml:space="preserve"> d</w:t>
      </w:r>
      <w:r w:rsidR="0030145E" w:rsidRPr="0030145E">
        <w:rPr>
          <w:rFonts w:cstheme="minorHAnsi"/>
        </w:rPr>
        <w:t>evelop a process to distribute PPDF that:</w:t>
      </w:r>
    </w:p>
    <w:p w14:paraId="75F75453" w14:textId="77777777" w:rsidR="0030145E" w:rsidRPr="0030145E" w:rsidRDefault="0030145E" w:rsidP="0030145E">
      <w:pPr>
        <w:numPr>
          <w:ilvl w:val="1"/>
          <w:numId w:val="6"/>
        </w:numPr>
        <w:rPr>
          <w:rFonts w:cstheme="minorHAnsi"/>
        </w:rPr>
      </w:pPr>
      <w:r w:rsidRPr="0030145E">
        <w:rPr>
          <w:rFonts w:cstheme="minorHAnsi"/>
        </w:rPr>
        <w:t>is fair and transparent.</w:t>
      </w:r>
    </w:p>
    <w:p w14:paraId="2C6ADC14" w14:textId="77777777" w:rsidR="0030145E" w:rsidRPr="0030145E" w:rsidRDefault="0030145E" w:rsidP="0030145E">
      <w:pPr>
        <w:numPr>
          <w:ilvl w:val="1"/>
          <w:numId w:val="6"/>
        </w:numPr>
        <w:rPr>
          <w:rFonts w:cstheme="minorHAnsi"/>
        </w:rPr>
      </w:pPr>
      <w:r w:rsidRPr="0030145E">
        <w:rPr>
          <w:rFonts w:cstheme="minorHAnsi"/>
        </w:rPr>
        <w:t>is flexible.</w:t>
      </w:r>
    </w:p>
    <w:p w14:paraId="1A89C2B6" w14:textId="77777777" w:rsidR="0030145E" w:rsidRPr="0030145E" w:rsidRDefault="0030145E" w:rsidP="0030145E">
      <w:pPr>
        <w:numPr>
          <w:ilvl w:val="1"/>
          <w:numId w:val="6"/>
        </w:numPr>
        <w:rPr>
          <w:rFonts w:cstheme="minorHAnsi"/>
        </w:rPr>
      </w:pPr>
      <w:r w:rsidRPr="0030145E">
        <w:rPr>
          <w:rFonts w:cstheme="minorHAnsi"/>
        </w:rPr>
        <w:t>meets the needs of Pacific health providers.</w:t>
      </w:r>
    </w:p>
    <w:p w14:paraId="31FF729F" w14:textId="77777777" w:rsidR="0030145E" w:rsidRPr="0030145E" w:rsidRDefault="0030145E" w:rsidP="0030145E">
      <w:pPr>
        <w:numPr>
          <w:ilvl w:val="1"/>
          <w:numId w:val="6"/>
        </w:numPr>
        <w:rPr>
          <w:rFonts w:cstheme="minorHAnsi"/>
        </w:rPr>
      </w:pPr>
      <w:r w:rsidRPr="0030145E">
        <w:rPr>
          <w:rFonts w:cstheme="minorHAnsi"/>
        </w:rPr>
        <w:t>will benefit Pacific communities receiving health services.</w:t>
      </w:r>
    </w:p>
    <w:p w14:paraId="2FDD0193" w14:textId="13FECABF" w:rsidR="0030145E" w:rsidRPr="0030145E" w:rsidRDefault="0030145E" w:rsidP="0030145E">
      <w:pPr>
        <w:numPr>
          <w:ilvl w:val="1"/>
          <w:numId w:val="6"/>
        </w:numPr>
        <w:rPr>
          <w:rFonts w:cstheme="minorHAnsi"/>
        </w:rPr>
      </w:pPr>
      <w:r w:rsidRPr="0030145E">
        <w:rPr>
          <w:rFonts w:cstheme="minorHAnsi"/>
        </w:rPr>
        <w:t>is high trust</w:t>
      </w:r>
      <w:r>
        <w:rPr>
          <w:rFonts w:cstheme="minorHAnsi"/>
        </w:rPr>
        <w:t>.</w:t>
      </w:r>
    </w:p>
    <w:p w14:paraId="4C9226A3" w14:textId="77777777" w:rsidR="0030145E" w:rsidRPr="0030145E" w:rsidRDefault="0030145E" w:rsidP="0030145E">
      <w:pPr>
        <w:numPr>
          <w:ilvl w:val="1"/>
          <w:numId w:val="6"/>
        </w:numPr>
        <w:rPr>
          <w:rFonts w:cstheme="minorHAnsi"/>
        </w:rPr>
      </w:pPr>
      <w:r w:rsidRPr="0030145E">
        <w:rPr>
          <w:rFonts w:cstheme="minorHAnsi"/>
        </w:rPr>
        <w:t>is long term.</w:t>
      </w:r>
    </w:p>
    <w:p w14:paraId="015CBCF6" w14:textId="33B1A1C9" w:rsidR="00C14031" w:rsidRPr="00D126AB" w:rsidRDefault="00D02D46" w:rsidP="00CC3FF8">
      <w:pPr>
        <w:pStyle w:val="Heading2"/>
      </w:pPr>
      <w:r>
        <w:t>Why were</w:t>
      </w:r>
      <w:r w:rsidR="00C14031" w:rsidRPr="00D126AB">
        <w:t xml:space="preserve"> these Capacity and Capability areas</w:t>
      </w:r>
      <w:r w:rsidR="00193FD2" w:rsidRPr="00D126AB">
        <w:t xml:space="preserve"> </w:t>
      </w:r>
      <w:r>
        <w:t xml:space="preserve">utilised </w:t>
      </w:r>
      <w:r w:rsidR="00193FD2" w:rsidRPr="00D126AB">
        <w:t>for the tool</w:t>
      </w:r>
      <w:r w:rsidR="00C14031" w:rsidRPr="00D126AB">
        <w:t>?</w:t>
      </w:r>
    </w:p>
    <w:p w14:paraId="2404BDD3" w14:textId="689101EA" w:rsidR="00C14031" w:rsidRPr="00D126AB" w:rsidRDefault="007E76AA">
      <w:pPr>
        <w:rPr>
          <w:rFonts w:cstheme="minorHAnsi"/>
        </w:rPr>
      </w:pPr>
      <w:r w:rsidRPr="00D126AB">
        <w:rPr>
          <w:rFonts w:cstheme="minorHAnsi"/>
        </w:rPr>
        <w:t xml:space="preserve">These Capacity and Capacity areas are based on </w:t>
      </w:r>
      <w:r w:rsidR="00405CF4" w:rsidRPr="00D126AB">
        <w:rPr>
          <w:rFonts w:cstheme="minorHAnsi"/>
        </w:rPr>
        <w:t>similar tools available (e.g. MSD</w:t>
      </w:r>
      <w:r w:rsidR="001C351B" w:rsidRPr="00D126AB">
        <w:rPr>
          <w:rFonts w:cstheme="minorHAnsi"/>
        </w:rPr>
        <w:t xml:space="preserve"> capacity and capability self-assessment tool</w:t>
      </w:r>
      <w:r w:rsidR="00405CF4" w:rsidRPr="00D126AB">
        <w:rPr>
          <w:rFonts w:cstheme="minorHAnsi"/>
        </w:rPr>
        <w:t xml:space="preserve">, previous PPDF </w:t>
      </w:r>
      <w:r w:rsidR="001C351B" w:rsidRPr="00D126AB">
        <w:rPr>
          <w:rFonts w:cstheme="minorHAnsi"/>
        </w:rPr>
        <w:t xml:space="preserve">self-assessment </w:t>
      </w:r>
      <w:r w:rsidR="00405CF4" w:rsidRPr="00D126AB">
        <w:rPr>
          <w:rFonts w:cstheme="minorHAnsi"/>
        </w:rPr>
        <w:t>tools, M</w:t>
      </w:r>
      <w:r w:rsidR="00193FD2" w:rsidRPr="00D126AB">
        <w:rPr>
          <w:rFonts w:cstheme="minorHAnsi"/>
        </w:rPr>
        <w:t xml:space="preserve">āori Provider Development Scheme).  </w:t>
      </w:r>
      <w:r w:rsidR="008A35BE" w:rsidRPr="00D126AB">
        <w:rPr>
          <w:rFonts w:cstheme="minorHAnsi"/>
        </w:rPr>
        <w:t>T</w:t>
      </w:r>
      <w:r w:rsidR="00193FD2" w:rsidRPr="00D126AB">
        <w:rPr>
          <w:rFonts w:cstheme="minorHAnsi"/>
        </w:rPr>
        <w:t>he tool</w:t>
      </w:r>
      <w:r w:rsidR="008A35BE" w:rsidRPr="00D126AB">
        <w:rPr>
          <w:rFonts w:cstheme="minorHAnsi"/>
        </w:rPr>
        <w:t xml:space="preserve"> has however</w:t>
      </w:r>
      <w:r w:rsidR="00193FD2" w:rsidRPr="00D126AB">
        <w:rPr>
          <w:rFonts w:cstheme="minorHAnsi"/>
        </w:rPr>
        <w:t xml:space="preserve"> been adapted to </w:t>
      </w:r>
      <w:r w:rsidR="007F59E6">
        <w:rPr>
          <w:rFonts w:cstheme="minorHAnsi"/>
        </w:rPr>
        <w:t xml:space="preserve">better </w:t>
      </w:r>
      <w:r w:rsidR="00193FD2" w:rsidRPr="00D126AB">
        <w:rPr>
          <w:rFonts w:cstheme="minorHAnsi"/>
        </w:rPr>
        <w:t>meet the needs of Pacific health providers</w:t>
      </w:r>
      <w:r w:rsidR="00E26997" w:rsidRPr="00D126AB">
        <w:rPr>
          <w:rFonts w:cstheme="minorHAnsi"/>
        </w:rPr>
        <w:t>.</w:t>
      </w:r>
    </w:p>
    <w:p w14:paraId="7A061C5D" w14:textId="77777777" w:rsidR="00D02D46" w:rsidRDefault="00D02D46">
      <w:pPr>
        <w:rPr>
          <w:rFonts w:cstheme="minorHAnsi"/>
          <w:b/>
          <w:bCs/>
        </w:rPr>
      </w:pPr>
    </w:p>
    <w:p w14:paraId="0FFCE293" w14:textId="6F5DBC1A" w:rsidR="00C14031" w:rsidRDefault="00C14031" w:rsidP="00CC3FF8">
      <w:pPr>
        <w:pStyle w:val="Heading2"/>
      </w:pPr>
      <w:r w:rsidRPr="00D126AB">
        <w:t>How was the funding breakdown per regions worked out?</w:t>
      </w:r>
    </w:p>
    <w:p w14:paraId="3B7A6132" w14:textId="77777777" w:rsidR="007C4893" w:rsidRDefault="00F03E7C" w:rsidP="00F03E7C">
      <w:pPr>
        <w:rPr>
          <w:rFonts w:cstheme="minorHAnsi"/>
        </w:rPr>
      </w:pPr>
      <w:r w:rsidRPr="00D126AB">
        <w:rPr>
          <w:rFonts w:cstheme="minorHAnsi"/>
        </w:rPr>
        <w:t xml:space="preserve">An average across the three different data sources </w:t>
      </w:r>
      <w:r>
        <w:rPr>
          <w:rFonts w:cstheme="minorHAnsi"/>
        </w:rPr>
        <w:t xml:space="preserve">was utilised to </w:t>
      </w:r>
      <w:r w:rsidR="007C4893">
        <w:rPr>
          <w:rFonts w:cstheme="minorHAnsi"/>
        </w:rPr>
        <w:t>work out the breakdown per region.  These are:</w:t>
      </w:r>
    </w:p>
    <w:p w14:paraId="5EC1A0BD" w14:textId="45C6BB9F" w:rsidR="007C4893" w:rsidRDefault="007C4893" w:rsidP="007C4893">
      <w:pPr>
        <w:pStyle w:val="ListParagraph"/>
        <w:numPr>
          <w:ilvl w:val="0"/>
          <w:numId w:val="5"/>
        </w:numPr>
        <w:rPr>
          <w:rFonts w:cstheme="minorHAnsi"/>
        </w:rPr>
      </w:pPr>
      <w:r>
        <w:rPr>
          <w:rFonts w:cstheme="minorHAnsi"/>
        </w:rPr>
        <w:t>Population size based on 2018 census data,</w:t>
      </w:r>
    </w:p>
    <w:p w14:paraId="74189C4C" w14:textId="00ED3095" w:rsidR="007C4893" w:rsidRDefault="00D86EA2" w:rsidP="007C4893">
      <w:pPr>
        <w:pStyle w:val="ListParagraph"/>
        <w:numPr>
          <w:ilvl w:val="0"/>
          <w:numId w:val="5"/>
        </w:numPr>
        <w:rPr>
          <w:rFonts w:cstheme="minorHAnsi"/>
        </w:rPr>
      </w:pPr>
      <w:r>
        <w:rPr>
          <w:rFonts w:cstheme="minorHAnsi"/>
        </w:rPr>
        <w:t>Number of Pacific health providers per region based on 2020/21 fund allocation, and</w:t>
      </w:r>
    </w:p>
    <w:p w14:paraId="266D7881" w14:textId="63C8A59E" w:rsidR="00D86EA2" w:rsidRDefault="00D86EA2" w:rsidP="007C4893">
      <w:pPr>
        <w:pStyle w:val="ListParagraph"/>
        <w:numPr>
          <w:ilvl w:val="0"/>
          <w:numId w:val="5"/>
        </w:numPr>
        <w:rPr>
          <w:rFonts w:cstheme="minorHAnsi"/>
        </w:rPr>
      </w:pPr>
      <w:r>
        <w:rPr>
          <w:rFonts w:cstheme="minorHAnsi"/>
        </w:rPr>
        <w:t xml:space="preserve">Pacific peoples enrolled </w:t>
      </w:r>
      <w:r w:rsidR="007F59E6">
        <w:rPr>
          <w:rFonts w:cstheme="minorHAnsi"/>
        </w:rPr>
        <w:t>population (</w:t>
      </w:r>
      <w:r>
        <w:rPr>
          <w:rFonts w:cstheme="minorHAnsi"/>
        </w:rPr>
        <w:t>as at October 2020)</w:t>
      </w:r>
      <w:r w:rsidR="007F59E6">
        <w:rPr>
          <w:rFonts w:cstheme="minorHAnsi"/>
        </w:rPr>
        <w:t>.</w:t>
      </w:r>
    </w:p>
    <w:p w14:paraId="435952F2" w14:textId="77777777" w:rsidR="007F59E6" w:rsidRDefault="002E6218" w:rsidP="00F03E7C">
      <w:pPr>
        <w:rPr>
          <w:rFonts w:cstheme="minorHAnsi"/>
        </w:rPr>
      </w:pPr>
      <w:r>
        <w:rPr>
          <w:rFonts w:cstheme="minorHAnsi"/>
        </w:rPr>
        <w:t>The average across</w:t>
      </w:r>
      <w:r w:rsidR="007F59E6">
        <w:rPr>
          <w:rFonts w:cstheme="minorHAnsi"/>
        </w:rPr>
        <w:t xml:space="preserve"> the</w:t>
      </w:r>
      <w:r>
        <w:rPr>
          <w:rFonts w:cstheme="minorHAnsi"/>
        </w:rPr>
        <w:t xml:space="preserve"> three data sources provides </w:t>
      </w:r>
      <w:r w:rsidR="00F03E7C" w:rsidRPr="00D126AB">
        <w:rPr>
          <w:rFonts w:cstheme="minorHAnsi"/>
        </w:rPr>
        <w:t>a fairer distribution of funds considering three key factors relevant for Pacific providers and Pacific communities</w:t>
      </w:r>
      <w:r w:rsidR="007F59E6">
        <w:rPr>
          <w:rFonts w:cstheme="minorHAnsi"/>
        </w:rPr>
        <w:t>:</w:t>
      </w:r>
    </w:p>
    <w:p w14:paraId="00923903" w14:textId="77777777" w:rsidR="007F59E6" w:rsidRDefault="00F03E7C" w:rsidP="007F59E6">
      <w:pPr>
        <w:pStyle w:val="ListParagraph"/>
        <w:numPr>
          <w:ilvl w:val="0"/>
          <w:numId w:val="5"/>
        </w:numPr>
        <w:rPr>
          <w:rFonts w:cstheme="minorHAnsi"/>
        </w:rPr>
      </w:pPr>
      <w:r w:rsidRPr="007F59E6">
        <w:rPr>
          <w:rFonts w:cstheme="minorHAnsi"/>
        </w:rPr>
        <w:t>population size,</w:t>
      </w:r>
    </w:p>
    <w:p w14:paraId="37C4A54A" w14:textId="77777777" w:rsidR="007F59E6" w:rsidRDefault="00F03E7C" w:rsidP="007F59E6">
      <w:pPr>
        <w:pStyle w:val="ListParagraph"/>
        <w:numPr>
          <w:ilvl w:val="0"/>
          <w:numId w:val="5"/>
        </w:numPr>
        <w:rPr>
          <w:rFonts w:cstheme="minorHAnsi"/>
        </w:rPr>
      </w:pPr>
      <w:r w:rsidRPr="007F59E6">
        <w:rPr>
          <w:rFonts w:cstheme="minorHAnsi"/>
        </w:rPr>
        <w:t>enrolled population size</w:t>
      </w:r>
      <w:r w:rsidR="007F59E6">
        <w:rPr>
          <w:rFonts w:cstheme="minorHAnsi"/>
        </w:rPr>
        <w:t>,</w:t>
      </w:r>
      <w:r w:rsidRPr="007F59E6">
        <w:rPr>
          <w:rFonts w:cstheme="minorHAnsi"/>
        </w:rPr>
        <w:t xml:space="preserve"> and</w:t>
      </w:r>
    </w:p>
    <w:p w14:paraId="10B33CFF" w14:textId="0E05E3E6" w:rsidR="00F03E7C" w:rsidRPr="007F59E6" w:rsidRDefault="00F03E7C" w:rsidP="007F59E6">
      <w:pPr>
        <w:pStyle w:val="ListParagraph"/>
        <w:numPr>
          <w:ilvl w:val="0"/>
          <w:numId w:val="5"/>
        </w:numPr>
        <w:rPr>
          <w:rFonts w:cstheme="minorHAnsi"/>
        </w:rPr>
      </w:pPr>
      <w:r w:rsidRPr="007F59E6">
        <w:rPr>
          <w:rFonts w:cstheme="minorHAnsi"/>
        </w:rPr>
        <w:t>number of Pacific health providers.</w:t>
      </w:r>
    </w:p>
    <w:p w14:paraId="723E81B6" w14:textId="6C468FF8" w:rsidR="00AB6584" w:rsidRPr="00D126AB" w:rsidRDefault="00E03110" w:rsidP="00F03E7C">
      <w:pPr>
        <w:rPr>
          <w:rFonts w:cstheme="minorHAnsi"/>
        </w:rPr>
      </w:pPr>
      <w:r>
        <w:rPr>
          <w:rFonts w:cstheme="minorHAnsi"/>
        </w:rPr>
        <w:t>A breakdown of each data source is provided below for reference:</w:t>
      </w:r>
    </w:p>
    <w:p w14:paraId="2EF12FA0" w14:textId="3559B82B" w:rsidR="00DC602E" w:rsidRPr="00C21CCB" w:rsidRDefault="00DC602E" w:rsidP="00C21CCB">
      <w:pPr>
        <w:rPr>
          <w:rFonts w:cstheme="minorHAnsi"/>
          <w:i/>
          <w:iCs/>
          <w:u w:val="single"/>
        </w:rPr>
      </w:pPr>
      <w:r w:rsidRPr="00C21CCB">
        <w:rPr>
          <w:rFonts w:cstheme="minorHAnsi"/>
          <w:i/>
          <w:iCs/>
          <w:u w:val="single"/>
        </w:rPr>
        <w:t>Population size based on 2018 census data</w:t>
      </w:r>
    </w:p>
    <w:tbl>
      <w:tblPr>
        <w:tblW w:w="7508" w:type="dxa"/>
        <w:tblLook w:val="04A0" w:firstRow="1" w:lastRow="0" w:firstColumn="1" w:lastColumn="0" w:noHBand="0" w:noVBand="1"/>
      </w:tblPr>
      <w:tblGrid>
        <w:gridCol w:w="4390"/>
        <w:gridCol w:w="3118"/>
      </w:tblGrid>
      <w:tr w:rsidR="00372B83" w:rsidRPr="00372B83" w14:paraId="5454C578" w14:textId="77777777" w:rsidTr="00CC0919">
        <w:trPr>
          <w:trHeight w:val="457"/>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81371" w14:textId="77777777" w:rsidR="00372B83" w:rsidRPr="00372B83" w:rsidRDefault="00372B83" w:rsidP="00372B83">
            <w:pPr>
              <w:spacing w:after="0" w:line="240" w:lineRule="auto"/>
              <w:ind w:firstLineChars="100" w:firstLine="221"/>
              <w:rPr>
                <w:rFonts w:eastAsia="Times New Roman" w:cstheme="minorHAnsi"/>
                <w:b/>
                <w:bCs/>
                <w:color w:val="0B0C0C"/>
                <w:lang w:eastAsia="en-NZ"/>
              </w:rPr>
            </w:pPr>
            <w:r w:rsidRPr="00372B83">
              <w:rPr>
                <w:rFonts w:eastAsia="Times New Roman" w:cstheme="minorHAnsi"/>
                <w:b/>
                <w:bCs/>
                <w:color w:val="0B0C0C"/>
                <w:lang w:eastAsia="en-NZ"/>
              </w:rPr>
              <w:lastRenderedPageBreak/>
              <w:t>Region</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FEC83F" w14:textId="4F114FCF" w:rsidR="00372B83" w:rsidRPr="00372B83" w:rsidRDefault="00CC0919" w:rsidP="00CC0919">
            <w:pPr>
              <w:spacing w:after="0" w:line="240" w:lineRule="auto"/>
              <w:rPr>
                <w:rFonts w:eastAsia="Times New Roman" w:cstheme="minorHAnsi"/>
                <w:b/>
                <w:bCs/>
                <w:color w:val="0B0C0C"/>
                <w:lang w:eastAsia="en-NZ"/>
              </w:rPr>
            </w:pPr>
            <w:r w:rsidRPr="00D126AB">
              <w:rPr>
                <w:rFonts w:eastAsia="Times New Roman" w:cstheme="minorHAnsi"/>
                <w:b/>
                <w:bCs/>
                <w:color w:val="0B0C0C"/>
                <w:lang w:eastAsia="en-NZ"/>
              </w:rPr>
              <w:t>Percentage of Pacific peoples</w:t>
            </w:r>
          </w:p>
        </w:tc>
      </w:tr>
      <w:tr w:rsidR="00372B83" w:rsidRPr="00372B83" w14:paraId="58B80EC3" w14:textId="77777777" w:rsidTr="00CC0919">
        <w:trPr>
          <w:trHeight w:val="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5328695B" w14:textId="77777777"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Northland Region</w:t>
            </w:r>
          </w:p>
        </w:tc>
        <w:tc>
          <w:tcPr>
            <w:tcW w:w="3118" w:type="dxa"/>
            <w:tcBorders>
              <w:top w:val="nil"/>
              <w:left w:val="nil"/>
              <w:bottom w:val="single" w:sz="4" w:space="0" w:color="auto"/>
              <w:right w:val="single" w:sz="4" w:space="0" w:color="auto"/>
            </w:tcBorders>
            <w:shd w:val="clear" w:color="000000" w:fill="FFFFFF"/>
            <w:vAlign w:val="center"/>
            <w:hideMark/>
          </w:tcPr>
          <w:p w14:paraId="505E9CF4" w14:textId="4358AA20"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2</w:t>
            </w:r>
            <w:r w:rsidR="00CC0919" w:rsidRPr="00D126AB">
              <w:rPr>
                <w:rFonts w:eastAsia="Times New Roman" w:cstheme="minorHAnsi"/>
                <w:color w:val="0B0C0C"/>
                <w:lang w:eastAsia="en-NZ"/>
              </w:rPr>
              <w:t>%</w:t>
            </w:r>
          </w:p>
        </w:tc>
      </w:tr>
      <w:tr w:rsidR="00372B83" w:rsidRPr="00372B83" w14:paraId="5B027F1E" w14:textId="77777777" w:rsidTr="00CC0919">
        <w:trPr>
          <w:trHeight w:val="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281B2BAE" w14:textId="77777777"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Auckland Region</w:t>
            </w:r>
          </w:p>
        </w:tc>
        <w:tc>
          <w:tcPr>
            <w:tcW w:w="3118" w:type="dxa"/>
            <w:tcBorders>
              <w:top w:val="nil"/>
              <w:left w:val="nil"/>
              <w:bottom w:val="single" w:sz="4" w:space="0" w:color="auto"/>
              <w:right w:val="single" w:sz="4" w:space="0" w:color="auto"/>
            </w:tcBorders>
            <w:shd w:val="clear" w:color="000000" w:fill="FFFFFF"/>
            <w:vAlign w:val="center"/>
            <w:hideMark/>
          </w:tcPr>
          <w:p w14:paraId="356767B6" w14:textId="3B83636B"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63.9</w:t>
            </w:r>
            <w:r w:rsidR="00CC0919" w:rsidRPr="00D126AB">
              <w:rPr>
                <w:rFonts w:eastAsia="Times New Roman" w:cstheme="minorHAnsi"/>
                <w:color w:val="0B0C0C"/>
                <w:lang w:eastAsia="en-NZ"/>
              </w:rPr>
              <w:t>%</w:t>
            </w:r>
          </w:p>
        </w:tc>
      </w:tr>
      <w:tr w:rsidR="00372B83" w:rsidRPr="00372B83" w14:paraId="149EDA5A" w14:textId="77777777" w:rsidTr="00CC0919">
        <w:trPr>
          <w:trHeight w:val="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09D37F1D" w14:textId="77777777"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Waikato Region</w:t>
            </w:r>
          </w:p>
        </w:tc>
        <w:tc>
          <w:tcPr>
            <w:tcW w:w="3118" w:type="dxa"/>
            <w:tcBorders>
              <w:top w:val="nil"/>
              <w:left w:val="nil"/>
              <w:bottom w:val="single" w:sz="4" w:space="0" w:color="auto"/>
              <w:right w:val="single" w:sz="4" w:space="0" w:color="auto"/>
            </w:tcBorders>
            <w:shd w:val="clear" w:color="000000" w:fill="FFFFFF"/>
            <w:vAlign w:val="center"/>
            <w:hideMark/>
          </w:tcPr>
          <w:p w14:paraId="11C02D84" w14:textId="3A89D8E3"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5.4</w:t>
            </w:r>
            <w:r w:rsidR="00CC0919" w:rsidRPr="00D126AB">
              <w:rPr>
                <w:rFonts w:eastAsia="Times New Roman" w:cstheme="minorHAnsi"/>
                <w:color w:val="0B0C0C"/>
                <w:lang w:eastAsia="en-NZ"/>
              </w:rPr>
              <w:t>%</w:t>
            </w:r>
          </w:p>
        </w:tc>
      </w:tr>
      <w:tr w:rsidR="00372B83" w:rsidRPr="00372B83" w14:paraId="167411C5" w14:textId="77777777" w:rsidTr="00CC0919">
        <w:trPr>
          <w:trHeight w:val="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2D2B676B" w14:textId="77777777"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Bay of Plenty Region</w:t>
            </w:r>
          </w:p>
        </w:tc>
        <w:tc>
          <w:tcPr>
            <w:tcW w:w="3118" w:type="dxa"/>
            <w:tcBorders>
              <w:top w:val="nil"/>
              <w:left w:val="nil"/>
              <w:bottom w:val="single" w:sz="4" w:space="0" w:color="auto"/>
              <w:right w:val="single" w:sz="4" w:space="0" w:color="auto"/>
            </w:tcBorders>
            <w:shd w:val="clear" w:color="000000" w:fill="FFFFFF"/>
            <w:vAlign w:val="center"/>
            <w:hideMark/>
          </w:tcPr>
          <w:p w14:paraId="752B3A9A" w14:textId="55524E36"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2.9</w:t>
            </w:r>
            <w:r w:rsidR="00CC0919" w:rsidRPr="00D126AB">
              <w:rPr>
                <w:rFonts w:eastAsia="Times New Roman" w:cstheme="minorHAnsi"/>
                <w:color w:val="0B0C0C"/>
                <w:lang w:eastAsia="en-NZ"/>
              </w:rPr>
              <w:t>%</w:t>
            </w:r>
          </w:p>
        </w:tc>
      </w:tr>
      <w:tr w:rsidR="00372B83" w:rsidRPr="00372B83" w14:paraId="2AC2DD3B" w14:textId="77777777" w:rsidTr="00CC0919">
        <w:trPr>
          <w:trHeight w:val="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7DDA74BA" w14:textId="77777777"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Gisborne Region</w:t>
            </w:r>
          </w:p>
        </w:tc>
        <w:tc>
          <w:tcPr>
            <w:tcW w:w="3118" w:type="dxa"/>
            <w:tcBorders>
              <w:top w:val="nil"/>
              <w:left w:val="nil"/>
              <w:bottom w:val="single" w:sz="4" w:space="0" w:color="auto"/>
              <w:right w:val="single" w:sz="4" w:space="0" w:color="auto"/>
            </w:tcBorders>
            <w:shd w:val="clear" w:color="000000" w:fill="FFFFFF"/>
            <w:vAlign w:val="center"/>
            <w:hideMark/>
          </w:tcPr>
          <w:p w14:paraId="40BCEC52" w14:textId="518F4DF9"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0.6</w:t>
            </w:r>
            <w:r w:rsidR="00CC0919" w:rsidRPr="00D126AB">
              <w:rPr>
                <w:rFonts w:eastAsia="Times New Roman" w:cstheme="minorHAnsi"/>
                <w:color w:val="0B0C0C"/>
                <w:lang w:eastAsia="en-NZ"/>
              </w:rPr>
              <w:t>%</w:t>
            </w:r>
          </w:p>
        </w:tc>
      </w:tr>
      <w:tr w:rsidR="00372B83" w:rsidRPr="00372B83" w14:paraId="5EDA5B41" w14:textId="77777777" w:rsidTr="00CC0919">
        <w:trPr>
          <w:trHeight w:val="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10ADF94D" w14:textId="3242D281"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Hawke</w:t>
            </w:r>
            <w:r w:rsidR="00DD5AB0" w:rsidRPr="00D126AB">
              <w:rPr>
                <w:rFonts w:eastAsia="Times New Roman" w:cstheme="minorHAnsi"/>
                <w:color w:val="0B0C0C"/>
                <w:lang w:eastAsia="en-NZ"/>
              </w:rPr>
              <w:t>’</w:t>
            </w:r>
            <w:r w:rsidRPr="00372B83">
              <w:rPr>
                <w:rFonts w:eastAsia="Times New Roman" w:cstheme="minorHAnsi"/>
                <w:color w:val="0B0C0C"/>
                <w:lang w:eastAsia="en-NZ"/>
              </w:rPr>
              <w:t>s Bay Region</w:t>
            </w:r>
          </w:p>
        </w:tc>
        <w:tc>
          <w:tcPr>
            <w:tcW w:w="3118" w:type="dxa"/>
            <w:tcBorders>
              <w:top w:val="nil"/>
              <w:left w:val="nil"/>
              <w:bottom w:val="single" w:sz="4" w:space="0" w:color="auto"/>
              <w:right w:val="single" w:sz="4" w:space="0" w:color="auto"/>
            </w:tcBorders>
            <w:shd w:val="clear" w:color="000000" w:fill="FFFFFF"/>
            <w:vAlign w:val="center"/>
            <w:hideMark/>
          </w:tcPr>
          <w:p w14:paraId="7D41C2C8" w14:textId="01AF39EE"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2.5</w:t>
            </w:r>
            <w:r w:rsidR="00CC0919" w:rsidRPr="00D126AB">
              <w:rPr>
                <w:rFonts w:eastAsia="Times New Roman" w:cstheme="minorHAnsi"/>
                <w:color w:val="0B0C0C"/>
                <w:lang w:eastAsia="en-NZ"/>
              </w:rPr>
              <w:t>%</w:t>
            </w:r>
          </w:p>
        </w:tc>
      </w:tr>
      <w:tr w:rsidR="00372B83" w:rsidRPr="00372B83" w14:paraId="469AAA2D" w14:textId="77777777" w:rsidTr="00CC0919">
        <w:trPr>
          <w:trHeight w:val="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79EBBC54" w14:textId="77777777"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Taranaki Region</w:t>
            </w:r>
          </w:p>
        </w:tc>
        <w:tc>
          <w:tcPr>
            <w:tcW w:w="3118" w:type="dxa"/>
            <w:tcBorders>
              <w:top w:val="nil"/>
              <w:left w:val="nil"/>
              <w:bottom w:val="single" w:sz="4" w:space="0" w:color="auto"/>
              <w:right w:val="single" w:sz="4" w:space="0" w:color="auto"/>
            </w:tcBorders>
            <w:shd w:val="clear" w:color="000000" w:fill="FFFFFF"/>
            <w:vAlign w:val="center"/>
            <w:hideMark/>
          </w:tcPr>
          <w:p w14:paraId="63A4DC0C" w14:textId="3A4E053A"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0.7</w:t>
            </w:r>
            <w:r w:rsidR="00CC0919" w:rsidRPr="00D126AB">
              <w:rPr>
                <w:rFonts w:eastAsia="Times New Roman" w:cstheme="minorHAnsi"/>
                <w:color w:val="0B0C0C"/>
                <w:lang w:eastAsia="en-NZ"/>
              </w:rPr>
              <w:t>%</w:t>
            </w:r>
          </w:p>
        </w:tc>
      </w:tr>
      <w:tr w:rsidR="00372B83" w:rsidRPr="00372B83" w14:paraId="7CD72F7A" w14:textId="77777777" w:rsidTr="00CC0919">
        <w:trPr>
          <w:trHeight w:val="57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367F56D1" w14:textId="77777777" w:rsidR="00372B83" w:rsidRPr="00372B83" w:rsidRDefault="00372B83" w:rsidP="00372B83">
            <w:pPr>
              <w:spacing w:after="0" w:line="240" w:lineRule="auto"/>
              <w:ind w:firstLineChars="100" w:firstLine="220"/>
              <w:rPr>
                <w:rFonts w:eastAsia="Times New Roman" w:cstheme="minorHAnsi"/>
                <w:color w:val="0B0C0C"/>
                <w:lang w:eastAsia="en-NZ"/>
              </w:rPr>
            </w:pPr>
            <w:proofErr w:type="spellStart"/>
            <w:r w:rsidRPr="00372B83">
              <w:rPr>
                <w:rFonts w:eastAsia="Times New Roman" w:cstheme="minorHAnsi"/>
                <w:color w:val="0B0C0C"/>
                <w:lang w:eastAsia="en-NZ"/>
              </w:rPr>
              <w:t>Manawatū</w:t>
            </w:r>
            <w:proofErr w:type="spellEnd"/>
            <w:r w:rsidRPr="00372B83">
              <w:rPr>
                <w:rFonts w:eastAsia="Times New Roman" w:cstheme="minorHAnsi"/>
                <w:color w:val="0B0C0C"/>
                <w:lang w:eastAsia="en-NZ"/>
              </w:rPr>
              <w:t>-Whanganui Region</w:t>
            </w:r>
          </w:p>
        </w:tc>
        <w:tc>
          <w:tcPr>
            <w:tcW w:w="3118" w:type="dxa"/>
            <w:tcBorders>
              <w:top w:val="nil"/>
              <w:left w:val="nil"/>
              <w:bottom w:val="single" w:sz="4" w:space="0" w:color="auto"/>
              <w:right w:val="single" w:sz="4" w:space="0" w:color="auto"/>
            </w:tcBorders>
            <w:shd w:val="clear" w:color="000000" w:fill="FFFFFF"/>
            <w:vAlign w:val="center"/>
            <w:hideMark/>
          </w:tcPr>
          <w:p w14:paraId="4E325AEE" w14:textId="5E2B4A87"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2.7</w:t>
            </w:r>
            <w:r w:rsidR="00CC0919" w:rsidRPr="00D126AB">
              <w:rPr>
                <w:rFonts w:eastAsia="Times New Roman" w:cstheme="minorHAnsi"/>
                <w:color w:val="0B0C0C"/>
                <w:lang w:eastAsia="en-NZ"/>
              </w:rPr>
              <w:t>%</w:t>
            </w:r>
          </w:p>
        </w:tc>
      </w:tr>
      <w:tr w:rsidR="00372B83" w:rsidRPr="00372B83" w14:paraId="1A26D087" w14:textId="77777777" w:rsidTr="00CC0919">
        <w:trPr>
          <w:trHeight w:val="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66456569" w14:textId="77777777"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Wellington Region</w:t>
            </w:r>
          </w:p>
        </w:tc>
        <w:tc>
          <w:tcPr>
            <w:tcW w:w="3118" w:type="dxa"/>
            <w:tcBorders>
              <w:top w:val="nil"/>
              <w:left w:val="nil"/>
              <w:bottom w:val="single" w:sz="4" w:space="0" w:color="auto"/>
              <w:right w:val="single" w:sz="4" w:space="0" w:color="auto"/>
            </w:tcBorders>
            <w:shd w:val="clear" w:color="000000" w:fill="FFFFFF"/>
            <w:vAlign w:val="center"/>
            <w:hideMark/>
          </w:tcPr>
          <w:p w14:paraId="0F50645C" w14:textId="7B275C8A"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11.2</w:t>
            </w:r>
            <w:r w:rsidR="00CC0919" w:rsidRPr="00D126AB">
              <w:rPr>
                <w:rFonts w:eastAsia="Times New Roman" w:cstheme="minorHAnsi"/>
                <w:color w:val="0B0C0C"/>
                <w:lang w:eastAsia="en-NZ"/>
              </w:rPr>
              <w:t>%</w:t>
            </w:r>
          </w:p>
        </w:tc>
      </w:tr>
      <w:tr w:rsidR="00372B83" w:rsidRPr="00372B83" w14:paraId="11376F15" w14:textId="77777777" w:rsidTr="00CC0919">
        <w:trPr>
          <w:trHeight w:val="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5E1A79DF" w14:textId="77777777"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Tasman Region</w:t>
            </w:r>
          </w:p>
        </w:tc>
        <w:tc>
          <w:tcPr>
            <w:tcW w:w="3118" w:type="dxa"/>
            <w:tcBorders>
              <w:top w:val="nil"/>
              <w:left w:val="nil"/>
              <w:bottom w:val="single" w:sz="4" w:space="0" w:color="auto"/>
              <w:right w:val="single" w:sz="4" w:space="0" w:color="auto"/>
            </w:tcBorders>
            <w:shd w:val="clear" w:color="000000" w:fill="FFFFFF"/>
            <w:vAlign w:val="center"/>
            <w:hideMark/>
          </w:tcPr>
          <w:p w14:paraId="38C24E02" w14:textId="301617A4"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0.2</w:t>
            </w:r>
            <w:r w:rsidR="00CC0919" w:rsidRPr="00D126AB">
              <w:rPr>
                <w:rFonts w:eastAsia="Times New Roman" w:cstheme="minorHAnsi"/>
                <w:color w:val="0B0C0C"/>
                <w:lang w:eastAsia="en-NZ"/>
              </w:rPr>
              <w:t>%</w:t>
            </w:r>
          </w:p>
        </w:tc>
      </w:tr>
      <w:tr w:rsidR="00372B83" w:rsidRPr="00372B83" w14:paraId="2B6E8DF0" w14:textId="77777777" w:rsidTr="00CC0919">
        <w:trPr>
          <w:trHeight w:val="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16AD2FA1" w14:textId="77777777"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Nelson Region</w:t>
            </w:r>
          </w:p>
        </w:tc>
        <w:tc>
          <w:tcPr>
            <w:tcW w:w="3118" w:type="dxa"/>
            <w:tcBorders>
              <w:top w:val="nil"/>
              <w:left w:val="nil"/>
              <w:bottom w:val="single" w:sz="4" w:space="0" w:color="auto"/>
              <w:right w:val="single" w:sz="4" w:space="0" w:color="auto"/>
            </w:tcBorders>
            <w:shd w:val="clear" w:color="000000" w:fill="FFFFFF"/>
            <w:vAlign w:val="center"/>
            <w:hideMark/>
          </w:tcPr>
          <w:p w14:paraId="0D08F368" w14:textId="5A95ABA5"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0.3</w:t>
            </w:r>
            <w:r w:rsidR="00CC0919" w:rsidRPr="00D126AB">
              <w:rPr>
                <w:rFonts w:eastAsia="Times New Roman" w:cstheme="minorHAnsi"/>
                <w:color w:val="0B0C0C"/>
                <w:lang w:eastAsia="en-NZ"/>
              </w:rPr>
              <w:t>%</w:t>
            </w:r>
          </w:p>
        </w:tc>
      </w:tr>
      <w:tr w:rsidR="00372B83" w:rsidRPr="00372B83" w14:paraId="2831E69B" w14:textId="77777777" w:rsidTr="00CC0919">
        <w:trPr>
          <w:trHeight w:val="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4B47E9A8" w14:textId="77777777"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Marlborough Region</w:t>
            </w:r>
          </w:p>
        </w:tc>
        <w:tc>
          <w:tcPr>
            <w:tcW w:w="3118" w:type="dxa"/>
            <w:tcBorders>
              <w:top w:val="nil"/>
              <w:left w:val="nil"/>
              <w:bottom w:val="single" w:sz="4" w:space="0" w:color="auto"/>
              <w:right w:val="single" w:sz="4" w:space="0" w:color="auto"/>
            </w:tcBorders>
            <w:shd w:val="clear" w:color="000000" w:fill="FFFFFF"/>
            <w:vAlign w:val="center"/>
            <w:hideMark/>
          </w:tcPr>
          <w:p w14:paraId="20DBB816" w14:textId="3AE6B434"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0.4</w:t>
            </w:r>
            <w:r w:rsidR="00CC0919" w:rsidRPr="00D126AB">
              <w:rPr>
                <w:rFonts w:eastAsia="Times New Roman" w:cstheme="minorHAnsi"/>
                <w:color w:val="0B0C0C"/>
                <w:lang w:eastAsia="en-NZ"/>
              </w:rPr>
              <w:t>%</w:t>
            </w:r>
          </w:p>
        </w:tc>
      </w:tr>
      <w:tr w:rsidR="00372B83" w:rsidRPr="00372B83" w14:paraId="619B79E7" w14:textId="77777777" w:rsidTr="00CC0919">
        <w:trPr>
          <w:trHeight w:val="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1D688E25" w14:textId="77777777"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West Coast Region</w:t>
            </w:r>
          </w:p>
        </w:tc>
        <w:tc>
          <w:tcPr>
            <w:tcW w:w="3118" w:type="dxa"/>
            <w:tcBorders>
              <w:top w:val="nil"/>
              <w:left w:val="nil"/>
              <w:bottom w:val="single" w:sz="4" w:space="0" w:color="auto"/>
              <w:right w:val="single" w:sz="4" w:space="0" w:color="auto"/>
            </w:tcBorders>
            <w:shd w:val="clear" w:color="000000" w:fill="FFFFFF"/>
            <w:vAlign w:val="center"/>
            <w:hideMark/>
          </w:tcPr>
          <w:p w14:paraId="4F21E002" w14:textId="3F9C11DF"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0.1</w:t>
            </w:r>
            <w:r w:rsidR="00CC0919" w:rsidRPr="00D126AB">
              <w:rPr>
                <w:rFonts w:eastAsia="Times New Roman" w:cstheme="minorHAnsi"/>
                <w:color w:val="0B0C0C"/>
                <w:lang w:eastAsia="en-NZ"/>
              </w:rPr>
              <w:t>%</w:t>
            </w:r>
          </w:p>
        </w:tc>
      </w:tr>
      <w:tr w:rsidR="00372B83" w:rsidRPr="00372B83" w14:paraId="477A322A" w14:textId="77777777" w:rsidTr="00CC0919">
        <w:trPr>
          <w:trHeight w:val="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24A07035" w14:textId="77777777"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Canterbury Region</w:t>
            </w:r>
          </w:p>
        </w:tc>
        <w:tc>
          <w:tcPr>
            <w:tcW w:w="3118" w:type="dxa"/>
            <w:tcBorders>
              <w:top w:val="nil"/>
              <w:left w:val="nil"/>
              <w:bottom w:val="single" w:sz="4" w:space="0" w:color="auto"/>
              <w:right w:val="single" w:sz="4" w:space="0" w:color="auto"/>
            </w:tcBorders>
            <w:shd w:val="clear" w:color="000000" w:fill="FFFFFF"/>
            <w:vAlign w:val="center"/>
            <w:hideMark/>
          </w:tcPr>
          <w:p w14:paraId="39FD5A33" w14:textId="61666FD3"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5</w:t>
            </w:r>
            <w:r w:rsidR="00CC0919" w:rsidRPr="00D126AB">
              <w:rPr>
                <w:rFonts w:eastAsia="Times New Roman" w:cstheme="minorHAnsi"/>
                <w:color w:val="0B0C0C"/>
                <w:lang w:eastAsia="en-NZ"/>
              </w:rPr>
              <w:t>%</w:t>
            </w:r>
          </w:p>
        </w:tc>
      </w:tr>
      <w:tr w:rsidR="00372B83" w:rsidRPr="00372B83" w14:paraId="45FB224D" w14:textId="77777777" w:rsidTr="00CC0919">
        <w:trPr>
          <w:trHeight w:val="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35E354B8" w14:textId="77777777"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Otago Region</w:t>
            </w:r>
          </w:p>
        </w:tc>
        <w:tc>
          <w:tcPr>
            <w:tcW w:w="3118" w:type="dxa"/>
            <w:tcBorders>
              <w:top w:val="nil"/>
              <w:left w:val="nil"/>
              <w:bottom w:val="single" w:sz="4" w:space="0" w:color="auto"/>
              <w:right w:val="single" w:sz="4" w:space="0" w:color="auto"/>
            </w:tcBorders>
            <w:shd w:val="clear" w:color="000000" w:fill="FFFFFF"/>
            <w:vAlign w:val="center"/>
            <w:hideMark/>
          </w:tcPr>
          <w:p w14:paraId="6D35DA0D" w14:textId="31DCED5C"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1.6</w:t>
            </w:r>
            <w:r w:rsidR="00CC0919" w:rsidRPr="00D126AB">
              <w:rPr>
                <w:rFonts w:eastAsia="Times New Roman" w:cstheme="minorHAnsi"/>
                <w:color w:val="0B0C0C"/>
                <w:lang w:eastAsia="en-NZ"/>
              </w:rPr>
              <w:t>%</w:t>
            </w:r>
          </w:p>
        </w:tc>
      </w:tr>
      <w:tr w:rsidR="00372B83" w:rsidRPr="00372B83" w14:paraId="00D62523" w14:textId="77777777" w:rsidTr="00CC0919">
        <w:trPr>
          <w:trHeight w:val="30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4E5FCE4C" w14:textId="77777777"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Southland Region</w:t>
            </w:r>
          </w:p>
        </w:tc>
        <w:tc>
          <w:tcPr>
            <w:tcW w:w="3118" w:type="dxa"/>
            <w:tcBorders>
              <w:top w:val="nil"/>
              <w:left w:val="nil"/>
              <w:bottom w:val="single" w:sz="4" w:space="0" w:color="auto"/>
              <w:right w:val="single" w:sz="4" w:space="0" w:color="auto"/>
            </w:tcBorders>
            <w:shd w:val="clear" w:color="000000" w:fill="FFFFFF"/>
            <w:vAlign w:val="center"/>
            <w:hideMark/>
          </w:tcPr>
          <w:p w14:paraId="4C7A09C8" w14:textId="038AB7FE" w:rsidR="00372B83" w:rsidRPr="00372B83" w:rsidRDefault="00372B83" w:rsidP="00372B83">
            <w:pPr>
              <w:spacing w:after="0" w:line="240" w:lineRule="auto"/>
              <w:ind w:firstLineChars="100" w:firstLine="220"/>
              <w:rPr>
                <w:rFonts w:eastAsia="Times New Roman" w:cstheme="minorHAnsi"/>
                <w:color w:val="0B0C0C"/>
                <w:lang w:eastAsia="en-NZ"/>
              </w:rPr>
            </w:pPr>
            <w:r w:rsidRPr="00372B83">
              <w:rPr>
                <w:rFonts w:eastAsia="Times New Roman" w:cstheme="minorHAnsi"/>
                <w:color w:val="0B0C0C"/>
                <w:lang w:eastAsia="en-NZ"/>
              </w:rPr>
              <w:t>0.7</w:t>
            </w:r>
            <w:r w:rsidR="00CC0919" w:rsidRPr="00D126AB">
              <w:rPr>
                <w:rFonts w:eastAsia="Times New Roman" w:cstheme="minorHAnsi"/>
                <w:color w:val="0B0C0C"/>
                <w:lang w:eastAsia="en-NZ"/>
              </w:rPr>
              <w:t>%</w:t>
            </w:r>
          </w:p>
        </w:tc>
      </w:tr>
    </w:tbl>
    <w:p w14:paraId="068AD8DF" w14:textId="24218C73" w:rsidR="00372B83" w:rsidRPr="00D126AB" w:rsidRDefault="00372B83" w:rsidP="00372B83">
      <w:pPr>
        <w:rPr>
          <w:rFonts w:cstheme="minorHAnsi"/>
        </w:rPr>
      </w:pPr>
    </w:p>
    <w:p w14:paraId="422D4103" w14:textId="4EBD8698" w:rsidR="00DC602E" w:rsidRPr="00C21CCB" w:rsidRDefault="00DC602E" w:rsidP="00C21CCB">
      <w:pPr>
        <w:rPr>
          <w:rFonts w:cstheme="minorHAnsi"/>
        </w:rPr>
      </w:pPr>
      <w:r w:rsidRPr="00C21CCB">
        <w:rPr>
          <w:rFonts w:cstheme="minorHAnsi"/>
          <w:i/>
          <w:iCs/>
          <w:u w:val="single"/>
        </w:rPr>
        <w:t>Number of Pacific health providers per region</w:t>
      </w:r>
      <w:r w:rsidR="00DD7C62" w:rsidRPr="00C21CCB">
        <w:rPr>
          <w:rFonts w:cstheme="minorHAnsi"/>
          <w:i/>
          <w:iCs/>
          <w:u w:val="single"/>
        </w:rPr>
        <w:t xml:space="preserve"> (as per </w:t>
      </w:r>
      <w:r w:rsidR="00142011" w:rsidRPr="00C21CCB">
        <w:rPr>
          <w:rFonts w:cstheme="minorHAnsi"/>
          <w:i/>
          <w:iCs/>
          <w:u w:val="single"/>
        </w:rPr>
        <w:t>2020/21</w:t>
      </w:r>
      <w:r w:rsidR="001C351B" w:rsidRPr="00C21CCB">
        <w:rPr>
          <w:rFonts w:cstheme="minorHAnsi"/>
          <w:i/>
          <w:iCs/>
          <w:u w:val="single"/>
        </w:rPr>
        <w:t xml:space="preserve"> funding</w:t>
      </w:r>
      <w:r w:rsidR="00142011" w:rsidRPr="00C21CCB">
        <w:rPr>
          <w:rFonts w:cstheme="minorHAnsi"/>
          <w:i/>
          <w:iCs/>
          <w:u w:val="single"/>
        </w:rPr>
        <w:t xml:space="preserve"> allocation</w:t>
      </w:r>
      <w:r w:rsidR="00C21CCB">
        <w:rPr>
          <w:rFonts w:cstheme="minorHAnsi"/>
          <w:i/>
          <w:iCs/>
          <w:u w:val="single"/>
        </w:rPr>
        <w:t>)</w:t>
      </w:r>
    </w:p>
    <w:tbl>
      <w:tblPr>
        <w:tblW w:w="7508" w:type="dxa"/>
        <w:tblLook w:val="04A0" w:firstRow="1" w:lastRow="0" w:firstColumn="1" w:lastColumn="0" w:noHBand="0" w:noVBand="1"/>
      </w:tblPr>
      <w:tblGrid>
        <w:gridCol w:w="3539"/>
        <w:gridCol w:w="3969"/>
      </w:tblGrid>
      <w:tr w:rsidR="007109BA" w:rsidRPr="00D126AB" w14:paraId="7B6C630E" w14:textId="77777777" w:rsidTr="00CC0919">
        <w:trPr>
          <w:trHeight w:val="900"/>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ECAA9" w14:textId="77777777" w:rsidR="007109BA" w:rsidRPr="00372B83" w:rsidRDefault="007109BA" w:rsidP="002232F4">
            <w:pPr>
              <w:spacing w:after="0" w:line="240" w:lineRule="auto"/>
              <w:ind w:firstLineChars="100" w:firstLine="221"/>
              <w:rPr>
                <w:rFonts w:eastAsia="Times New Roman" w:cstheme="minorHAnsi"/>
                <w:b/>
                <w:bCs/>
                <w:color w:val="0B0C0C"/>
                <w:lang w:eastAsia="en-NZ"/>
              </w:rPr>
            </w:pPr>
            <w:r w:rsidRPr="00372B83">
              <w:rPr>
                <w:rFonts w:eastAsia="Times New Roman" w:cstheme="minorHAnsi"/>
                <w:b/>
                <w:bCs/>
                <w:color w:val="0B0C0C"/>
                <w:lang w:eastAsia="en-NZ"/>
              </w:rPr>
              <w:t>Region</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E17C5B" w14:textId="0CEDA49B" w:rsidR="007109BA" w:rsidRPr="00372B83" w:rsidRDefault="007109BA" w:rsidP="00CC0919">
            <w:pPr>
              <w:spacing w:after="0" w:line="240" w:lineRule="auto"/>
              <w:rPr>
                <w:rFonts w:eastAsia="Times New Roman" w:cstheme="minorHAnsi"/>
                <w:b/>
                <w:bCs/>
                <w:color w:val="0B0C0C"/>
                <w:lang w:eastAsia="en-NZ"/>
              </w:rPr>
            </w:pPr>
            <w:r w:rsidRPr="00D126AB">
              <w:rPr>
                <w:rFonts w:eastAsia="Times New Roman" w:cstheme="minorHAnsi"/>
                <w:b/>
                <w:bCs/>
                <w:color w:val="0B0C0C"/>
                <w:lang w:eastAsia="en-NZ"/>
              </w:rPr>
              <w:t>Percentage of total number of Pacific Health Providers</w:t>
            </w:r>
          </w:p>
        </w:tc>
      </w:tr>
      <w:tr w:rsidR="007109BA" w:rsidRPr="00D126AB" w14:paraId="264A4191" w14:textId="77777777" w:rsidTr="002232F4">
        <w:trPr>
          <w:trHeight w:val="3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821128A" w14:textId="316F444D" w:rsidR="007109BA" w:rsidRPr="00372B83" w:rsidRDefault="00584878" w:rsidP="002232F4">
            <w:pPr>
              <w:spacing w:after="0" w:line="240" w:lineRule="auto"/>
              <w:ind w:firstLineChars="100" w:firstLine="220"/>
              <w:rPr>
                <w:rFonts w:eastAsia="Times New Roman" w:cstheme="minorHAnsi"/>
                <w:color w:val="0B0C0C"/>
                <w:lang w:eastAsia="en-NZ"/>
              </w:rPr>
            </w:pPr>
            <w:r w:rsidRPr="00D126AB">
              <w:rPr>
                <w:rFonts w:eastAsia="Times New Roman" w:cstheme="minorHAnsi"/>
                <w:color w:val="0B0C0C"/>
                <w:lang w:eastAsia="en-NZ"/>
              </w:rPr>
              <w:t>Auckland</w:t>
            </w:r>
          </w:p>
        </w:tc>
        <w:tc>
          <w:tcPr>
            <w:tcW w:w="3969" w:type="dxa"/>
            <w:tcBorders>
              <w:top w:val="nil"/>
              <w:left w:val="nil"/>
              <w:bottom w:val="single" w:sz="4" w:space="0" w:color="auto"/>
              <w:right w:val="single" w:sz="4" w:space="0" w:color="auto"/>
            </w:tcBorders>
            <w:shd w:val="clear" w:color="000000" w:fill="FFFFFF"/>
            <w:vAlign w:val="center"/>
            <w:hideMark/>
          </w:tcPr>
          <w:p w14:paraId="77D0F4BF" w14:textId="6F563C40" w:rsidR="007109BA" w:rsidRPr="00372B83" w:rsidRDefault="00584878" w:rsidP="002232F4">
            <w:pPr>
              <w:spacing w:after="0" w:line="240" w:lineRule="auto"/>
              <w:ind w:firstLineChars="100" w:firstLine="220"/>
              <w:rPr>
                <w:rFonts w:eastAsia="Times New Roman" w:cstheme="minorHAnsi"/>
                <w:color w:val="0B0C0C"/>
                <w:lang w:eastAsia="en-NZ"/>
              </w:rPr>
            </w:pPr>
            <w:r w:rsidRPr="00D126AB">
              <w:rPr>
                <w:rFonts w:eastAsia="Times New Roman" w:cstheme="minorHAnsi"/>
                <w:color w:val="0B0C0C"/>
                <w:lang w:eastAsia="en-NZ"/>
              </w:rPr>
              <w:t>56%</w:t>
            </w:r>
          </w:p>
        </w:tc>
      </w:tr>
      <w:tr w:rsidR="007109BA" w:rsidRPr="00D126AB" w14:paraId="0AD71014" w14:textId="77777777" w:rsidTr="002232F4">
        <w:trPr>
          <w:trHeight w:val="3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C22D06" w14:textId="2B810826" w:rsidR="007109BA" w:rsidRPr="00372B83" w:rsidRDefault="00584878" w:rsidP="002232F4">
            <w:pPr>
              <w:spacing w:after="0" w:line="240" w:lineRule="auto"/>
              <w:ind w:firstLineChars="100" w:firstLine="220"/>
              <w:rPr>
                <w:rFonts w:eastAsia="Times New Roman" w:cstheme="minorHAnsi"/>
                <w:color w:val="0B0C0C"/>
                <w:lang w:eastAsia="en-NZ"/>
              </w:rPr>
            </w:pPr>
            <w:r w:rsidRPr="00D126AB">
              <w:rPr>
                <w:rFonts w:eastAsia="Times New Roman" w:cstheme="minorHAnsi"/>
                <w:color w:val="0B0C0C"/>
                <w:lang w:eastAsia="en-NZ"/>
              </w:rPr>
              <w:t>Midlands</w:t>
            </w:r>
          </w:p>
        </w:tc>
        <w:tc>
          <w:tcPr>
            <w:tcW w:w="3969" w:type="dxa"/>
            <w:tcBorders>
              <w:top w:val="nil"/>
              <w:left w:val="nil"/>
              <w:bottom w:val="single" w:sz="4" w:space="0" w:color="auto"/>
              <w:right w:val="single" w:sz="4" w:space="0" w:color="auto"/>
            </w:tcBorders>
            <w:shd w:val="clear" w:color="000000" w:fill="FFFFFF"/>
            <w:vAlign w:val="center"/>
            <w:hideMark/>
          </w:tcPr>
          <w:p w14:paraId="7945EE62" w14:textId="3385DBC7" w:rsidR="007109BA" w:rsidRPr="00372B83" w:rsidRDefault="00D50493" w:rsidP="002232F4">
            <w:pPr>
              <w:spacing w:after="0" w:line="240" w:lineRule="auto"/>
              <w:ind w:firstLineChars="100" w:firstLine="220"/>
              <w:rPr>
                <w:rFonts w:eastAsia="Times New Roman" w:cstheme="minorHAnsi"/>
                <w:color w:val="0B0C0C"/>
                <w:lang w:eastAsia="en-NZ"/>
              </w:rPr>
            </w:pPr>
            <w:r w:rsidRPr="00D126AB">
              <w:rPr>
                <w:rFonts w:eastAsia="Times New Roman" w:cstheme="minorHAnsi"/>
                <w:color w:val="0B0C0C"/>
                <w:lang w:eastAsia="en-NZ"/>
              </w:rPr>
              <w:t>19%</w:t>
            </w:r>
          </w:p>
        </w:tc>
      </w:tr>
      <w:tr w:rsidR="007109BA" w:rsidRPr="00D126AB" w14:paraId="76F03B38" w14:textId="77777777" w:rsidTr="002232F4">
        <w:trPr>
          <w:trHeight w:val="300"/>
        </w:trPr>
        <w:tc>
          <w:tcPr>
            <w:tcW w:w="3539" w:type="dxa"/>
            <w:tcBorders>
              <w:top w:val="nil"/>
              <w:left w:val="single" w:sz="4" w:space="0" w:color="auto"/>
              <w:bottom w:val="single" w:sz="4" w:space="0" w:color="auto"/>
              <w:right w:val="single" w:sz="4" w:space="0" w:color="auto"/>
            </w:tcBorders>
            <w:shd w:val="clear" w:color="000000" w:fill="FFFFFF"/>
            <w:vAlign w:val="center"/>
          </w:tcPr>
          <w:p w14:paraId="419FCF61" w14:textId="73B37134" w:rsidR="007109BA" w:rsidRPr="00D126AB" w:rsidRDefault="00584878" w:rsidP="002232F4">
            <w:pPr>
              <w:spacing w:after="0" w:line="240" w:lineRule="auto"/>
              <w:ind w:firstLineChars="100" w:firstLine="220"/>
              <w:rPr>
                <w:rFonts w:eastAsia="Times New Roman" w:cstheme="minorHAnsi"/>
                <w:color w:val="0B0C0C"/>
                <w:lang w:eastAsia="en-NZ"/>
              </w:rPr>
            </w:pPr>
            <w:r w:rsidRPr="00D126AB">
              <w:rPr>
                <w:rFonts w:eastAsia="Times New Roman" w:cstheme="minorHAnsi"/>
                <w:color w:val="0B0C0C"/>
                <w:lang w:eastAsia="en-NZ"/>
              </w:rPr>
              <w:t xml:space="preserve">Wellington </w:t>
            </w:r>
          </w:p>
        </w:tc>
        <w:tc>
          <w:tcPr>
            <w:tcW w:w="3969" w:type="dxa"/>
            <w:tcBorders>
              <w:top w:val="nil"/>
              <w:left w:val="nil"/>
              <w:bottom w:val="single" w:sz="4" w:space="0" w:color="auto"/>
              <w:right w:val="single" w:sz="4" w:space="0" w:color="auto"/>
            </w:tcBorders>
            <w:shd w:val="clear" w:color="000000" w:fill="FFFFFF"/>
            <w:vAlign w:val="center"/>
          </w:tcPr>
          <w:p w14:paraId="2AE38EF6" w14:textId="3B5B2614" w:rsidR="007109BA" w:rsidRPr="00D126AB" w:rsidRDefault="00D50493" w:rsidP="002232F4">
            <w:pPr>
              <w:spacing w:after="0" w:line="240" w:lineRule="auto"/>
              <w:ind w:firstLineChars="100" w:firstLine="220"/>
              <w:rPr>
                <w:rFonts w:eastAsia="Times New Roman" w:cstheme="minorHAnsi"/>
                <w:color w:val="0B0C0C"/>
                <w:lang w:eastAsia="en-NZ"/>
              </w:rPr>
            </w:pPr>
            <w:r w:rsidRPr="00D126AB">
              <w:rPr>
                <w:rFonts w:eastAsia="Times New Roman" w:cstheme="minorHAnsi"/>
                <w:color w:val="0B0C0C"/>
                <w:lang w:eastAsia="en-NZ"/>
              </w:rPr>
              <w:t>15%</w:t>
            </w:r>
          </w:p>
        </w:tc>
      </w:tr>
      <w:tr w:rsidR="007109BA" w:rsidRPr="00D126AB" w14:paraId="248777B7" w14:textId="77777777" w:rsidTr="002232F4">
        <w:trPr>
          <w:trHeight w:val="3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7908716" w14:textId="46877CD2" w:rsidR="007109BA" w:rsidRPr="00372B83" w:rsidRDefault="00584878" w:rsidP="002232F4">
            <w:pPr>
              <w:spacing w:after="0" w:line="240" w:lineRule="auto"/>
              <w:ind w:firstLineChars="100" w:firstLine="220"/>
              <w:rPr>
                <w:rFonts w:eastAsia="Times New Roman" w:cstheme="minorHAnsi"/>
                <w:color w:val="0B0C0C"/>
                <w:lang w:eastAsia="en-NZ"/>
              </w:rPr>
            </w:pPr>
            <w:r w:rsidRPr="00D126AB">
              <w:rPr>
                <w:rFonts w:eastAsia="Times New Roman" w:cstheme="minorHAnsi"/>
                <w:color w:val="0B0C0C"/>
                <w:lang w:eastAsia="en-NZ"/>
              </w:rPr>
              <w:t>South Island</w:t>
            </w:r>
          </w:p>
        </w:tc>
        <w:tc>
          <w:tcPr>
            <w:tcW w:w="3969" w:type="dxa"/>
            <w:tcBorders>
              <w:top w:val="nil"/>
              <w:left w:val="nil"/>
              <w:bottom w:val="single" w:sz="4" w:space="0" w:color="auto"/>
              <w:right w:val="single" w:sz="4" w:space="0" w:color="auto"/>
            </w:tcBorders>
            <w:shd w:val="clear" w:color="000000" w:fill="FFFFFF"/>
            <w:vAlign w:val="center"/>
            <w:hideMark/>
          </w:tcPr>
          <w:p w14:paraId="7E9B3D31" w14:textId="353EADC4" w:rsidR="007109BA" w:rsidRPr="00372B83" w:rsidRDefault="00D50493" w:rsidP="002232F4">
            <w:pPr>
              <w:spacing w:after="0" w:line="240" w:lineRule="auto"/>
              <w:ind w:firstLineChars="100" w:firstLine="220"/>
              <w:rPr>
                <w:rFonts w:eastAsia="Times New Roman" w:cstheme="minorHAnsi"/>
                <w:color w:val="0B0C0C"/>
                <w:lang w:eastAsia="en-NZ"/>
              </w:rPr>
            </w:pPr>
            <w:r w:rsidRPr="00D126AB">
              <w:rPr>
                <w:rFonts w:eastAsia="Times New Roman" w:cstheme="minorHAnsi"/>
                <w:color w:val="0B0C0C"/>
                <w:lang w:eastAsia="en-NZ"/>
              </w:rPr>
              <w:t>11%</w:t>
            </w:r>
          </w:p>
        </w:tc>
      </w:tr>
    </w:tbl>
    <w:p w14:paraId="5AB4CCDA" w14:textId="6F6678C4" w:rsidR="00372B83" w:rsidRPr="00D126AB" w:rsidRDefault="00372B83" w:rsidP="00372B83">
      <w:pPr>
        <w:rPr>
          <w:rFonts w:cstheme="minorHAnsi"/>
        </w:rPr>
      </w:pPr>
    </w:p>
    <w:p w14:paraId="7A997C84" w14:textId="13EBD7B8" w:rsidR="00142011" w:rsidRPr="00C21CCB" w:rsidRDefault="00142011" w:rsidP="00C21CCB">
      <w:pPr>
        <w:rPr>
          <w:rFonts w:cstheme="minorHAnsi"/>
          <w:i/>
          <w:iCs/>
          <w:u w:val="single"/>
        </w:rPr>
      </w:pPr>
      <w:r w:rsidRPr="00C21CCB">
        <w:rPr>
          <w:rFonts w:cstheme="minorHAnsi"/>
          <w:i/>
          <w:iCs/>
          <w:u w:val="single"/>
        </w:rPr>
        <w:t xml:space="preserve">Pacific </w:t>
      </w:r>
      <w:r w:rsidR="00F27CB5" w:rsidRPr="00C21CCB">
        <w:rPr>
          <w:rFonts w:cstheme="minorHAnsi"/>
          <w:i/>
          <w:iCs/>
          <w:u w:val="single"/>
        </w:rPr>
        <w:t>peoples enrolled population</w:t>
      </w:r>
      <w:r w:rsidR="00E162B1" w:rsidRPr="00C21CCB">
        <w:rPr>
          <w:rFonts w:cstheme="minorHAnsi"/>
          <w:i/>
          <w:iCs/>
          <w:u w:val="single"/>
        </w:rPr>
        <w:t xml:space="preserve"> (as at October 2020)</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678"/>
      </w:tblGrid>
      <w:tr w:rsidR="00AA0F78" w:rsidRPr="00AA0F78" w14:paraId="1C64F124" w14:textId="77777777" w:rsidTr="00E03110">
        <w:trPr>
          <w:trHeight w:val="508"/>
        </w:trPr>
        <w:tc>
          <w:tcPr>
            <w:tcW w:w="2972" w:type="dxa"/>
            <w:shd w:val="clear" w:color="000000" w:fill="BFBFBF"/>
            <w:vAlign w:val="center"/>
            <w:hideMark/>
          </w:tcPr>
          <w:p w14:paraId="1CDE6303" w14:textId="77777777" w:rsidR="00AA0F78" w:rsidRPr="00E03110" w:rsidRDefault="00AA0F78" w:rsidP="00AA0F78">
            <w:pPr>
              <w:spacing w:after="0" w:line="240" w:lineRule="auto"/>
              <w:rPr>
                <w:rFonts w:eastAsia="Times New Roman" w:cstheme="minorHAnsi"/>
                <w:b/>
                <w:bCs/>
                <w:lang w:eastAsia="en-NZ"/>
              </w:rPr>
            </w:pPr>
            <w:r w:rsidRPr="00E03110">
              <w:rPr>
                <w:rFonts w:eastAsia="Times New Roman" w:cstheme="minorHAnsi"/>
                <w:b/>
                <w:bCs/>
                <w:lang w:eastAsia="en-NZ"/>
              </w:rPr>
              <w:t>DHB of Domicile</w:t>
            </w:r>
          </w:p>
        </w:tc>
        <w:tc>
          <w:tcPr>
            <w:tcW w:w="4678" w:type="dxa"/>
            <w:shd w:val="clear" w:color="000000" w:fill="BFBFBF"/>
            <w:noWrap/>
            <w:vAlign w:val="bottom"/>
            <w:hideMark/>
          </w:tcPr>
          <w:p w14:paraId="1A89328C" w14:textId="77777777" w:rsidR="00AA0F78" w:rsidRPr="00E03110" w:rsidRDefault="00AA0F78" w:rsidP="00AA0F78">
            <w:pPr>
              <w:spacing w:after="0" w:line="240" w:lineRule="auto"/>
              <w:rPr>
                <w:rFonts w:eastAsia="Times New Roman" w:cstheme="minorHAnsi"/>
                <w:b/>
                <w:bCs/>
                <w:color w:val="000000"/>
                <w:lang w:eastAsia="en-NZ"/>
              </w:rPr>
            </w:pPr>
            <w:r w:rsidRPr="00E03110">
              <w:rPr>
                <w:rFonts w:eastAsia="Times New Roman" w:cstheme="minorHAnsi"/>
                <w:b/>
                <w:bCs/>
                <w:color w:val="000000"/>
                <w:lang w:eastAsia="en-NZ"/>
              </w:rPr>
              <w:t>Percentage of total Pacific</w:t>
            </w:r>
          </w:p>
        </w:tc>
      </w:tr>
      <w:tr w:rsidR="00AA0F78" w:rsidRPr="00AA0F78" w14:paraId="47B65865" w14:textId="77777777" w:rsidTr="001C351B">
        <w:trPr>
          <w:trHeight w:val="300"/>
        </w:trPr>
        <w:tc>
          <w:tcPr>
            <w:tcW w:w="2972" w:type="dxa"/>
            <w:shd w:val="clear" w:color="000000" w:fill="FFFFFF"/>
            <w:noWrap/>
            <w:vAlign w:val="center"/>
            <w:hideMark/>
          </w:tcPr>
          <w:p w14:paraId="6783A21B"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Auckland</w:t>
            </w:r>
          </w:p>
        </w:tc>
        <w:tc>
          <w:tcPr>
            <w:tcW w:w="4678" w:type="dxa"/>
            <w:shd w:val="clear" w:color="auto" w:fill="auto"/>
            <w:noWrap/>
            <w:vAlign w:val="bottom"/>
            <w:hideMark/>
          </w:tcPr>
          <w:p w14:paraId="3FEED035"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16.06%</w:t>
            </w:r>
          </w:p>
        </w:tc>
      </w:tr>
      <w:tr w:rsidR="00AA0F78" w:rsidRPr="00AA0F78" w14:paraId="71F47BC4" w14:textId="77777777" w:rsidTr="001C351B">
        <w:trPr>
          <w:trHeight w:val="300"/>
        </w:trPr>
        <w:tc>
          <w:tcPr>
            <w:tcW w:w="2972" w:type="dxa"/>
            <w:shd w:val="clear" w:color="000000" w:fill="FFFFFF"/>
            <w:noWrap/>
            <w:vAlign w:val="center"/>
            <w:hideMark/>
          </w:tcPr>
          <w:p w14:paraId="3969FE0C"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Bay of Plenty</w:t>
            </w:r>
          </w:p>
        </w:tc>
        <w:tc>
          <w:tcPr>
            <w:tcW w:w="4678" w:type="dxa"/>
            <w:shd w:val="clear" w:color="auto" w:fill="auto"/>
            <w:noWrap/>
            <w:vAlign w:val="bottom"/>
            <w:hideMark/>
          </w:tcPr>
          <w:p w14:paraId="3243E6A8"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1.25%</w:t>
            </w:r>
          </w:p>
        </w:tc>
      </w:tr>
      <w:tr w:rsidR="00AA0F78" w:rsidRPr="00AA0F78" w14:paraId="7B3547E5" w14:textId="77777777" w:rsidTr="001C351B">
        <w:trPr>
          <w:trHeight w:val="300"/>
        </w:trPr>
        <w:tc>
          <w:tcPr>
            <w:tcW w:w="2972" w:type="dxa"/>
            <w:shd w:val="clear" w:color="000000" w:fill="FFFFFF"/>
            <w:noWrap/>
            <w:vAlign w:val="center"/>
            <w:hideMark/>
          </w:tcPr>
          <w:p w14:paraId="4B3D0C02"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Canterbury</w:t>
            </w:r>
          </w:p>
        </w:tc>
        <w:tc>
          <w:tcPr>
            <w:tcW w:w="4678" w:type="dxa"/>
            <w:shd w:val="clear" w:color="auto" w:fill="auto"/>
            <w:noWrap/>
            <w:vAlign w:val="bottom"/>
            <w:hideMark/>
          </w:tcPr>
          <w:p w14:paraId="000281AC"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4.59%</w:t>
            </w:r>
          </w:p>
        </w:tc>
      </w:tr>
      <w:tr w:rsidR="00AA0F78" w:rsidRPr="00AA0F78" w14:paraId="0A12EDBA" w14:textId="77777777" w:rsidTr="001C351B">
        <w:trPr>
          <w:trHeight w:val="300"/>
        </w:trPr>
        <w:tc>
          <w:tcPr>
            <w:tcW w:w="2972" w:type="dxa"/>
            <w:shd w:val="clear" w:color="000000" w:fill="FFFFFF"/>
            <w:noWrap/>
            <w:vAlign w:val="center"/>
            <w:hideMark/>
          </w:tcPr>
          <w:p w14:paraId="46142709"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Capital and Coast</w:t>
            </w:r>
          </w:p>
        </w:tc>
        <w:tc>
          <w:tcPr>
            <w:tcW w:w="4678" w:type="dxa"/>
            <w:shd w:val="clear" w:color="auto" w:fill="auto"/>
            <w:noWrap/>
            <w:vAlign w:val="bottom"/>
            <w:hideMark/>
          </w:tcPr>
          <w:p w14:paraId="0E2A5BDD"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6.52%</w:t>
            </w:r>
          </w:p>
        </w:tc>
      </w:tr>
      <w:tr w:rsidR="00AA0F78" w:rsidRPr="00AA0F78" w14:paraId="676F2A7C" w14:textId="77777777" w:rsidTr="001C351B">
        <w:trPr>
          <w:trHeight w:val="300"/>
        </w:trPr>
        <w:tc>
          <w:tcPr>
            <w:tcW w:w="2972" w:type="dxa"/>
            <w:shd w:val="clear" w:color="000000" w:fill="FFFFFF"/>
            <w:noWrap/>
            <w:vAlign w:val="center"/>
            <w:hideMark/>
          </w:tcPr>
          <w:p w14:paraId="1336B424"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Counties Manukau</w:t>
            </w:r>
          </w:p>
        </w:tc>
        <w:tc>
          <w:tcPr>
            <w:tcW w:w="4678" w:type="dxa"/>
            <w:shd w:val="clear" w:color="auto" w:fill="auto"/>
            <w:noWrap/>
            <w:vAlign w:val="bottom"/>
            <w:hideMark/>
          </w:tcPr>
          <w:p w14:paraId="34A98C11"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41.23%</w:t>
            </w:r>
          </w:p>
        </w:tc>
      </w:tr>
      <w:tr w:rsidR="00AA0F78" w:rsidRPr="00AA0F78" w14:paraId="549E4602" w14:textId="77777777" w:rsidTr="001C351B">
        <w:trPr>
          <w:trHeight w:val="300"/>
        </w:trPr>
        <w:tc>
          <w:tcPr>
            <w:tcW w:w="2972" w:type="dxa"/>
            <w:shd w:val="clear" w:color="000000" w:fill="FFFFFF"/>
            <w:noWrap/>
            <w:vAlign w:val="center"/>
            <w:hideMark/>
          </w:tcPr>
          <w:p w14:paraId="2EBDCDBC"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Hawkes Bay</w:t>
            </w:r>
          </w:p>
        </w:tc>
        <w:tc>
          <w:tcPr>
            <w:tcW w:w="4678" w:type="dxa"/>
            <w:shd w:val="clear" w:color="auto" w:fill="auto"/>
            <w:noWrap/>
            <w:vAlign w:val="bottom"/>
            <w:hideMark/>
          </w:tcPr>
          <w:p w14:paraId="428A7459"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1.79%</w:t>
            </w:r>
          </w:p>
        </w:tc>
      </w:tr>
      <w:tr w:rsidR="00AA0F78" w:rsidRPr="00AA0F78" w14:paraId="2FF40A23" w14:textId="77777777" w:rsidTr="001C351B">
        <w:trPr>
          <w:trHeight w:val="300"/>
        </w:trPr>
        <w:tc>
          <w:tcPr>
            <w:tcW w:w="2972" w:type="dxa"/>
            <w:shd w:val="clear" w:color="000000" w:fill="FFFFFF"/>
            <w:noWrap/>
            <w:vAlign w:val="center"/>
            <w:hideMark/>
          </w:tcPr>
          <w:p w14:paraId="56F0A619"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Hutt Valley</w:t>
            </w:r>
          </w:p>
        </w:tc>
        <w:tc>
          <w:tcPr>
            <w:tcW w:w="4678" w:type="dxa"/>
            <w:shd w:val="clear" w:color="auto" w:fill="auto"/>
            <w:noWrap/>
            <w:vAlign w:val="bottom"/>
            <w:hideMark/>
          </w:tcPr>
          <w:p w14:paraId="6920F215"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3.41%</w:t>
            </w:r>
          </w:p>
        </w:tc>
      </w:tr>
      <w:tr w:rsidR="00AA0F78" w:rsidRPr="00AA0F78" w14:paraId="0037235B" w14:textId="77777777" w:rsidTr="001C351B">
        <w:trPr>
          <w:trHeight w:val="300"/>
        </w:trPr>
        <w:tc>
          <w:tcPr>
            <w:tcW w:w="2972" w:type="dxa"/>
            <w:shd w:val="clear" w:color="000000" w:fill="FFFFFF"/>
            <w:noWrap/>
            <w:vAlign w:val="center"/>
            <w:hideMark/>
          </w:tcPr>
          <w:p w14:paraId="4035B9E1"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Lakes</w:t>
            </w:r>
          </w:p>
        </w:tc>
        <w:tc>
          <w:tcPr>
            <w:tcW w:w="4678" w:type="dxa"/>
            <w:shd w:val="clear" w:color="auto" w:fill="auto"/>
            <w:noWrap/>
            <w:vAlign w:val="bottom"/>
            <w:hideMark/>
          </w:tcPr>
          <w:p w14:paraId="6828CC6B"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0.79%</w:t>
            </w:r>
          </w:p>
        </w:tc>
      </w:tr>
      <w:tr w:rsidR="00AA0F78" w:rsidRPr="00AA0F78" w14:paraId="1305A6B2" w14:textId="77777777" w:rsidTr="001C351B">
        <w:trPr>
          <w:trHeight w:val="300"/>
        </w:trPr>
        <w:tc>
          <w:tcPr>
            <w:tcW w:w="2972" w:type="dxa"/>
            <w:shd w:val="clear" w:color="000000" w:fill="FFFFFF"/>
            <w:noWrap/>
            <w:vAlign w:val="center"/>
            <w:hideMark/>
          </w:tcPr>
          <w:p w14:paraId="5E53FE8C" w14:textId="77777777" w:rsidR="00AA0F78" w:rsidRPr="00E03110" w:rsidRDefault="00AA0F78" w:rsidP="00AA0F78">
            <w:pPr>
              <w:spacing w:after="0" w:line="240" w:lineRule="auto"/>
              <w:rPr>
                <w:rFonts w:eastAsia="Times New Roman" w:cstheme="minorHAnsi"/>
                <w:lang w:eastAsia="en-NZ"/>
              </w:rPr>
            </w:pPr>
            <w:proofErr w:type="spellStart"/>
            <w:r w:rsidRPr="00E03110">
              <w:rPr>
                <w:rFonts w:eastAsia="Times New Roman" w:cstheme="minorHAnsi"/>
                <w:lang w:eastAsia="en-NZ"/>
              </w:rPr>
              <w:t>MidCentral</w:t>
            </w:r>
            <w:proofErr w:type="spellEnd"/>
          </w:p>
        </w:tc>
        <w:tc>
          <w:tcPr>
            <w:tcW w:w="4678" w:type="dxa"/>
            <w:shd w:val="clear" w:color="auto" w:fill="auto"/>
            <w:noWrap/>
            <w:vAlign w:val="bottom"/>
            <w:hideMark/>
          </w:tcPr>
          <w:p w14:paraId="57592C4F"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1.58%</w:t>
            </w:r>
          </w:p>
        </w:tc>
      </w:tr>
      <w:tr w:rsidR="00AA0F78" w:rsidRPr="00AA0F78" w14:paraId="5092FA7B" w14:textId="77777777" w:rsidTr="001C351B">
        <w:trPr>
          <w:trHeight w:val="300"/>
        </w:trPr>
        <w:tc>
          <w:tcPr>
            <w:tcW w:w="2972" w:type="dxa"/>
            <w:shd w:val="clear" w:color="000000" w:fill="FFFFFF"/>
            <w:noWrap/>
            <w:vAlign w:val="center"/>
            <w:hideMark/>
          </w:tcPr>
          <w:p w14:paraId="5AD8C5E4"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Nelson Marlborough</w:t>
            </w:r>
          </w:p>
        </w:tc>
        <w:tc>
          <w:tcPr>
            <w:tcW w:w="4678" w:type="dxa"/>
            <w:shd w:val="clear" w:color="auto" w:fill="auto"/>
            <w:noWrap/>
            <w:vAlign w:val="bottom"/>
            <w:hideMark/>
          </w:tcPr>
          <w:p w14:paraId="492CA3C1"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0.71%</w:t>
            </w:r>
          </w:p>
        </w:tc>
      </w:tr>
      <w:tr w:rsidR="00AA0F78" w:rsidRPr="00AA0F78" w14:paraId="3EF075AD" w14:textId="77777777" w:rsidTr="001C351B">
        <w:trPr>
          <w:trHeight w:val="300"/>
        </w:trPr>
        <w:tc>
          <w:tcPr>
            <w:tcW w:w="2972" w:type="dxa"/>
            <w:shd w:val="clear" w:color="000000" w:fill="FFFFFF"/>
            <w:noWrap/>
            <w:vAlign w:val="center"/>
            <w:hideMark/>
          </w:tcPr>
          <w:p w14:paraId="31A01295"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Northland</w:t>
            </w:r>
          </w:p>
        </w:tc>
        <w:tc>
          <w:tcPr>
            <w:tcW w:w="4678" w:type="dxa"/>
            <w:shd w:val="clear" w:color="auto" w:fill="auto"/>
            <w:noWrap/>
            <w:vAlign w:val="bottom"/>
            <w:hideMark/>
          </w:tcPr>
          <w:p w14:paraId="64F5A60F"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1.05%</w:t>
            </w:r>
          </w:p>
        </w:tc>
      </w:tr>
      <w:tr w:rsidR="00AA0F78" w:rsidRPr="00AA0F78" w14:paraId="74CB36F9" w14:textId="77777777" w:rsidTr="001C351B">
        <w:trPr>
          <w:trHeight w:val="300"/>
        </w:trPr>
        <w:tc>
          <w:tcPr>
            <w:tcW w:w="2972" w:type="dxa"/>
            <w:shd w:val="clear" w:color="000000" w:fill="FFFFFF"/>
            <w:noWrap/>
            <w:vAlign w:val="center"/>
            <w:hideMark/>
          </w:tcPr>
          <w:p w14:paraId="29DF3ABA"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South Canterbury</w:t>
            </w:r>
          </w:p>
        </w:tc>
        <w:tc>
          <w:tcPr>
            <w:tcW w:w="4678" w:type="dxa"/>
            <w:shd w:val="clear" w:color="auto" w:fill="auto"/>
            <w:noWrap/>
            <w:vAlign w:val="bottom"/>
            <w:hideMark/>
          </w:tcPr>
          <w:p w14:paraId="73DCB2FB"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0.31%</w:t>
            </w:r>
          </w:p>
        </w:tc>
      </w:tr>
      <w:tr w:rsidR="00AA0F78" w:rsidRPr="00AA0F78" w14:paraId="163E3C00" w14:textId="77777777" w:rsidTr="001C351B">
        <w:trPr>
          <w:trHeight w:val="300"/>
        </w:trPr>
        <w:tc>
          <w:tcPr>
            <w:tcW w:w="2972" w:type="dxa"/>
            <w:shd w:val="clear" w:color="000000" w:fill="FFFFFF"/>
            <w:noWrap/>
            <w:vAlign w:val="center"/>
            <w:hideMark/>
          </w:tcPr>
          <w:p w14:paraId="3308EEF6"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lastRenderedPageBreak/>
              <w:t>Southern</w:t>
            </w:r>
          </w:p>
        </w:tc>
        <w:tc>
          <w:tcPr>
            <w:tcW w:w="4678" w:type="dxa"/>
            <w:shd w:val="clear" w:color="auto" w:fill="auto"/>
            <w:noWrap/>
            <w:vAlign w:val="bottom"/>
            <w:hideMark/>
          </w:tcPr>
          <w:p w14:paraId="78C41A9F"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2.16%</w:t>
            </w:r>
          </w:p>
        </w:tc>
      </w:tr>
      <w:tr w:rsidR="00AA0F78" w:rsidRPr="00AA0F78" w14:paraId="5089BA63" w14:textId="77777777" w:rsidTr="001C351B">
        <w:trPr>
          <w:trHeight w:val="300"/>
        </w:trPr>
        <w:tc>
          <w:tcPr>
            <w:tcW w:w="2972" w:type="dxa"/>
            <w:shd w:val="clear" w:color="000000" w:fill="FFFFFF"/>
            <w:noWrap/>
            <w:vAlign w:val="center"/>
            <w:hideMark/>
          </w:tcPr>
          <w:p w14:paraId="6C9097C0" w14:textId="77777777" w:rsidR="00AA0F78" w:rsidRPr="00E03110" w:rsidRDefault="00AA0F78" w:rsidP="00AA0F78">
            <w:pPr>
              <w:spacing w:after="0" w:line="240" w:lineRule="auto"/>
              <w:rPr>
                <w:rFonts w:eastAsia="Times New Roman" w:cstheme="minorHAnsi"/>
                <w:lang w:eastAsia="en-NZ"/>
              </w:rPr>
            </w:pPr>
            <w:proofErr w:type="spellStart"/>
            <w:r w:rsidRPr="00E03110">
              <w:rPr>
                <w:rFonts w:eastAsia="Times New Roman" w:cstheme="minorHAnsi"/>
                <w:lang w:eastAsia="en-NZ"/>
              </w:rPr>
              <w:t>Tairawhiti</w:t>
            </w:r>
            <w:proofErr w:type="spellEnd"/>
          </w:p>
        </w:tc>
        <w:tc>
          <w:tcPr>
            <w:tcW w:w="4678" w:type="dxa"/>
            <w:shd w:val="clear" w:color="auto" w:fill="auto"/>
            <w:noWrap/>
            <w:vAlign w:val="bottom"/>
            <w:hideMark/>
          </w:tcPr>
          <w:p w14:paraId="021A9318"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0.30%</w:t>
            </w:r>
          </w:p>
        </w:tc>
      </w:tr>
      <w:tr w:rsidR="00AA0F78" w:rsidRPr="00AA0F78" w14:paraId="47235757" w14:textId="77777777" w:rsidTr="001C351B">
        <w:trPr>
          <w:trHeight w:val="300"/>
        </w:trPr>
        <w:tc>
          <w:tcPr>
            <w:tcW w:w="2972" w:type="dxa"/>
            <w:shd w:val="clear" w:color="000000" w:fill="FFFFFF"/>
            <w:noWrap/>
            <w:vAlign w:val="center"/>
            <w:hideMark/>
          </w:tcPr>
          <w:p w14:paraId="4EC04A6C"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Taranaki</w:t>
            </w:r>
          </w:p>
        </w:tc>
        <w:tc>
          <w:tcPr>
            <w:tcW w:w="4678" w:type="dxa"/>
            <w:shd w:val="clear" w:color="auto" w:fill="auto"/>
            <w:noWrap/>
            <w:vAlign w:val="bottom"/>
            <w:hideMark/>
          </w:tcPr>
          <w:p w14:paraId="41F3F5A3"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0.45%</w:t>
            </w:r>
          </w:p>
        </w:tc>
      </w:tr>
      <w:tr w:rsidR="00AA0F78" w:rsidRPr="00AA0F78" w14:paraId="76827D3C" w14:textId="77777777" w:rsidTr="001C351B">
        <w:trPr>
          <w:trHeight w:val="300"/>
        </w:trPr>
        <w:tc>
          <w:tcPr>
            <w:tcW w:w="2972" w:type="dxa"/>
            <w:shd w:val="clear" w:color="000000" w:fill="FFFFFF"/>
            <w:noWrap/>
            <w:vAlign w:val="center"/>
            <w:hideMark/>
          </w:tcPr>
          <w:p w14:paraId="31DA7860"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Waikato</w:t>
            </w:r>
          </w:p>
        </w:tc>
        <w:tc>
          <w:tcPr>
            <w:tcW w:w="4678" w:type="dxa"/>
            <w:shd w:val="clear" w:color="auto" w:fill="auto"/>
            <w:noWrap/>
            <w:vAlign w:val="bottom"/>
            <w:hideMark/>
          </w:tcPr>
          <w:p w14:paraId="2548D790"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3.76%</w:t>
            </w:r>
          </w:p>
        </w:tc>
      </w:tr>
      <w:tr w:rsidR="00AA0F78" w:rsidRPr="00AA0F78" w14:paraId="74A270FD" w14:textId="77777777" w:rsidTr="001C351B">
        <w:trPr>
          <w:trHeight w:val="300"/>
        </w:trPr>
        <w:tc>
          <w:tcPr>
            <w:tcW w:w="2972" w:type="dxa"/>
            <w:shd w:val="clear" w:color="000000" w:fill="FFFFFF"/>
            <w:noWrap/>
            <w:vAlign w:val="center"/>
            <w:hideMark/>
          </w:tcPr>
          <w:p w14:paraId="070B6368"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Wairarapa</w:t>
            </w:r>
          </w:p>
        </w:tc>
        <w:tc>
          <w:tcPr>
            <w:tcW w:w="4678" w:type="dxa"/>
            <w:shd w:val="clear" w:color="auto" w:fill="auto"/>
            <w:noWrap/>
            <w:vAlign w:val="bottom"/>
            <w:hideMark/>
          </w:tcPr>
          <w:p w14:paraId="5AF142F4"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0.29%</w:t>
            </w:r>
          </w:p>
        </w:tc>
      </w:tr>
      <w:tr w:rsidR="00AA0F78" w:rsidRPr="00AA0F78" w14:paraId="38057BBC" w14:textId="77777777" w:rsidTr="001C351B">
        <w:trPr>
          <w:trHeight w:val="300"/>
        </w:trPr>
        <w:tc>
          <w:tcPr>
            <w:tcW w:w="2972" w:type="dxa"/>
            <w:shd w:val="clear" w:color="000000" w:fill="FFFFFF"/>
            <w:noWrap/>
            <w:vAlign w:val="center"/>
            <w:hideMark/>
          </w:tcPr>
          <w:p w14:paraId="16D59EC3"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Waitemata</w:t>
            </w:r>
          </w:p>
        </w:tc>
        <w:tc>
          <w:tcPr>
            <w:tcW w:w="4678" w:type="dxa"/>
            <w:shd w:val="clear" w:color="auto" w:fill="auto"/>
            <w:noWrap/>
            <w:vAlign w:val="bottom"/>
            <w:hideMark/>
          </w:tcPr>
          <w:p w14:paraId="1C385444"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13.16%</w:t>
            </w:r>
          </w:p>
        </w:tc>
      </w:tr>
      <w:tr w:rsidR="00AA0F78" w:rsidRPr="00AA0F78" w14:paraId="0A63F96D" w14:textId="77777777" w:rsidTr="001C351B">
        <w:trPr>
          <w:trHeight w:val="300"/>
        </w:trPr>
        <w:tc>
          <w:tcPr>
            <w:tcW w:w="2972" w:type="dxa"/>
            <w:shd w:val="clear" w:color="000000" w:fill="FFFFFF"/>
            <w:noWrap/>
            <w:vAlign w:val="center"/>
            <w:hideMark/>
          </w:tcPr>
          <w:p w14:paraId="4568BCA1"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West Coast</w:t>
            </w:r>
          </w:p>
        </w:tc>
        <w:tc>
          <w:tcPr>
            <w:tcW w:w="4678" w:type="dxa"/>
            <w:shd w:val="clear" w:color="auto" w:fill="auto"/>
            <w:noWrap/>
            <w:vAlign w:val="bottom"/>
            <w:hideMark/>
          </w:tcPr>
          <w:p w14:paraId="5E194474"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0.10%</w:t>
            </w:r>
          </w:p>
        </w:tc>
      </w:tr>
      <w:tr w:rsidR="00AA0F78" w:rsidRPr="00AA0F78" w14:paraId="4D0D7D0D" w14:textId="77777777" w:rsidTr="001C351B">
        <w:trPr>
          <w:trHeight w:val="300"/>
        </w:trPr>
        <w:tc>
          <w:tcPr>
            <w:tcW w:w="2972" w:type="dxa"/>
            <w:shd w:val="clear" w:color="000000" w:fill="FFFFFF"/>
            <w:noWrap/>
            <w:vAlign w:val="center"/>
            <w:hideMark/>
          </w:tcPr>
          <w:p w14:paraId="38647190" w14:textId="77777777" w:rsidR="00AA0F78" w:rsidRPr="00E03110" w:rsidRDefault="00AA0F78" w:rsidP="00AA0F78">
            <w:pPr>
              <w:spacing w:after="0" w:line="240" w:lineRule="auto"/>
              <w:rPr>
                <w:rFonts w:eastAsia="Times New Roman" w:cstheme="minorHAnsi"/>
                <w:lang w:eastAsia="en-NZ"/>
              </w:rPr>
            </w:pPr>
            <w:r w:rsidRPr="00E03110">
              <w:rPr>
                <w:rFonts w:eastAsia="Times New Roman" w:cstheme="minorHAnsi"/>
                <w:lang w:eastAsia="en-NZ"/>
              </w:rPr>
              <w:t>Whanganui</w:t>
            </w:r>
          </w:p>
        </w:tc>
        <w:tc>
          <w:tcPr>
            <w:tcW w:w="4678" w:type="dxa"/>
            <w:shd w:val="clear" w:color="auto" w:fill="auto"/>
            <w:noWrap/>
            <w:vAlign w:val="bottom"/>
            <w:hideMark/>
          </w:tcPr>
          <w:p w14:paraId="0065662D" w14:textId="77777777" w:rsidR="00AA0F78" w:rsidRPr="00E03110" w:rsidRDefault="00AA0F78" w:rsidP="00AA0F78">
            <w:pPr>
              <w:spacing w:after="0" w:line="240" w:lineRule="auto"/>
              <w:jc w:val="right"/>
              <w:rPr>
                <w:rFonts w:eastAsia="Times New Roman" w:cstheme="minorHAnsi"/>
                <w:color w:val="000000"/>
                <w:lang w:eastAsia="en-NZ"/>
              </w:rPr>
            </w:pPr>
            <w:r w:rsidRPr="00E03110">
              <w:rPr>
                <w:rFonts w:eastAsia="Times New Roman" w:cstheme="minorHAnsi"/>
                <w:color w:val="000000"/>
                <w:lang w:eastAsia="en-NZ"/>
              </w:rPr>
              <w:t>0.49%</w:t>
            </w:r>
          </w:p>
        </w:tc>
      </w:tr>
    </w:tbl>
    <w:p w14:paraId="4261D20E" w14:textId="3DC4410C" w:rsidR="009745E4" w:rsidRPr="00D126AB" w:rsidRDefault="009745E4">
      <w:pPr>
        <w:rPr>
          <w:rFonts w:cstheme="minorHAnsi"/>
        </w:rPr>
      </w:pPr>
    </w:p>
    <w:p w14:paraId="2D0051A9" w14:textId="481BF78E" w:rsidR="009745E4" w:rsidRPr="00D126AB" w:rsidRDefault="006A0EDF">
      <w:pPr>
        <w:rPr>
          <w:rFonts w:cstheme="minorHAnsi"/>
        </w:rPr>
      </w:pPr>
      <w:r w:rsidRPr="00D126AB">
        <w:rPr>
          <w:rFonts w:cstheme="minorHAnsi"/>
        </w:rPr>
        <w:t xml:space="preserve">An average across the three data sources was then utilised to provide </w:t>
      </w:r>
      <w:r w:rsidR="001C351B" w:rsidRPr="00D126AB">
        <w:rPr>
          <w:rFonts w:cstheme="minorHAnsi"/>
        </w:rPr>
        <w:t>the fund breakdown:</w:t>
      </w:r>
    </w:p>
    <w:tbl>
      <w:tblPr>
        <w:tblStyle w:val="TableGrid"/>
        <w:tblW w:w="0" w:type="auto"/>
        <w:tblLook w:val="04A0" w:firstRow="1" w:lastRow="0" w:firstColumn="1" w:lastColumn="0" w:noHBand="0" w:noVBand="1"/>
      </w:tblPr>
      <w:tblGrid>
        <w:gridCol w:w="2263"/>
        <w:gridCol w:w="2694"/>
        <w:gridCol w:w="2693"/>
      </w:tblGrid>
      <w:tr w:rsidR="00B86AE2" w:rsidRPr="00D126AB" w14:paraId="26F71148" w14:textId="77777777" w:rsidTr="00CC0919">
        <w:tc>
          <w:tcPr>
            <w:tcW w:w="2263" w:type="dxa"/>
            <w:shd w:val="clear" w:color="auto" w:fill="D9D9D9" w:themeFill="background1" w:themeFillShade="D9"/>
          </w:tcPr>
          <w:p w14:paraId="562E4C77" w14:textId="552E1D15" w:rsidR="00B86AE2" w:rsidRPr="00D126AB" w:rsidRDefault="00020673">
            <w:pPr>
              <w:rPr>
                <w:rFonts w:cstheme="minorHAnsi"/>
                <w:b/>
                <w:bCs/>
              </w:rPr>
            </w:pPr>
            <w:r w:rsidRPr="00D126AB">
              <w:rPr>
                <w:rFonts w:cstheme="minorHAnsi"/>
                <w:b/>
                <w:bCs/>
              </w:rPr>
              <w:t>Region</w:t>
            </w:r>
          </w:p>
        </w:tc>
        <w:tc>
          <w:tcPr>
            <w:tcW w:w="2694" w:type="dxa"/>
            <w:shd w:val="clear" w:color="auto" w:fill="D9D9D9" w:themeFill="background1" w:themeFillShade="D9"/>
          </w:tcPr>
          <w:p w14:paraId="49385689" w14:textId="1E5F7A17" w:rsidR="00B86AE2" w:rsidRPr="00D126AB" w:rsidRDefault="00020673">
            <w:pPr>
              <w:rPr>
                <w:rFonts w:cstheme="minorHAnsi"/>
                <w:b/>
                <w:bCs/>
              </w:rPr>
            </w:pPr>
            <w:r w:rsidRPr="00D126AB">
              <w:rPr>
                <w:rFonts w:cstheme="minorHAnsi"/>
                <w:b/>
                <w:bCs/>
              </w:rPr>
              <w:t>DHB areas included in each region</w:t>
            </w:r>
          </w:p>
        </w:tc>
        <w:tc>
          <w:tcPr>
            <w:tcW w:w="2693" w:type="dxa"/>
            <w:shd w:val="clear" w:color="auto" w:fill="D9D9D9" w:themeFill="background1" w:themeFillShade="D9"/>
          </w:tcPr>
          <w:p w14:paraId="115C8F6D" w14:textId="7FA2ACAC" w:rsidR="00B86AE2" w:rsidRPr="00D126AB" w:rsidRDefault="00020673">
            <w:pPr>
              <w:rPr>
                <w:rFonts w:cstheme="minorHAnsi"/>
                <w:b/>
                <w:bCs/>
              </w:rPr>
            </w:pPr>
            <w:r w:rsidRPr="00D126AB">
              <w:rPr>
                <w:rFonts w:cstheme="minorHAnsi"/>
                <w:b/>
                <w:bCs/>
              </w:rPr>
              <w:t>Percentage of funds</w:t>
            </w:r>
          </w:p>
        </w:tc>
      </w:tr>
      <w:tr w:rsidR="00B86AE2" w:rsidRPr="00D126AB" w14:paraId="7711D4A2" w14:textId="77777777" w:rsidTr="00020673">
        <w:tc>
          <w:tcPr>
            <w:tcW w:w="2263" w:type="dxa"/>
          </w:tcPr>
          <w:p w14:paraId="6F5EB1F9" w14:textId="3BF75569" w:rsidR="00B86AE2" w:rsidRPr="00D126AB" w:rsidRDefault="00020673">
            <w:pPr>
              <w:rPr>
                <w:rFonts w:cstheme="minorHAnsi"/>
              </w:rPr>
            </w:pPr>
            <w:r w:rsidRPr="00D126AB">
              <w:rPr>
                <w:rFonts w:cstheme="minorHAnsi"/>
              </w:rPr>
              <w:t>Auckland</w:t>
            </w:r>
          </w:p>
        </w:tc>
        <w:tc>
          <w:tcPr>
            <w:tcW w:w="2694" w:type="dxa"/>
          </w:tcPr>
          <w:p w14:paraId="1EDE8DDA" w14:textId="15B3700A" w:rsidR="00B86AE2" w:rsidRPr="00D126AB" w:rsidRDefault="008E56CC">
            <w:pPr>
              <w:rPr>
                <w:rFonts w:cstheme="minorHAnsi"/>
                <w:color w:val="000000"/>
              </w:rPr>
            </w:pPr>
            <w:r w:rsidRPr="00D126AB">
              <w:rPr>
                <w:rFonts w:cstheme="minorHAnsi"/>
                <w:color w:val="000000"/>
              </w:rPr>
              <w:t>Northland, Auckland, Waitemata, Counties Manukau</w:t>
            </w:r>
          </w:p>
        </w:tc>
        <w:tc>
          <w:tcPr>
            <w:tcW w:w="2693" w:type="dxa"/>
          </w:tcPr>
          <w:p w14:paraId="5AF4A95A" w14:textId="153C5CC6" w:rsidR="00B86AE2" w:rsidRPr="00D126AB" w:rsidRDefault="008E56CC">
            <w:pPr>
              <w:rPr>
                <w:rFonts w:cstheme="minorHAnsi"/>
              </w:rPr>
            </w:pPr>
            <w:r w:rsidRPr="00D126AB">
              <w:rPr>
                <w:rFonts w:cstheme="minorHAnsi"/>
              </w:rPr>
              <w:t>64.28%</w:t>
            </w:r>
          </w:p>
        </w:tc>
      </w:tr>
      <w:tr w:rsidR="00B86AE2" w:rsidRPr="00D126AB" w14:paraId="20A2DE0E" w14:textId="77777777" w:rsidTr="00020673">
        <w:tc>
          <w:tcPr>
            <w:tcW w:w="2263" w:type="dxa"/>
          </w:tcPr>
          <w:p w14:paraId="02173D1F" w14:textId="0C2E44B2" w:rsidR="00B86AE2" w:rsidRPr="00D126AB" w:rsidRDefault="00020673">
            <w:pPr>
              <w:rPr>
                <w:rFonts w:cstheme="minorHAnsi"/>
              </w:rPr>
            </w:pPr>
            <w:r w:rsidRPr="00D126AB">
              <w:rPr>
                <w:rFonts w:cstheme="minorHAnsi"/>
              </w:rPr>
              <w:t>Midlands</w:t>
            </w:r>
          </w:p>
        </w:tc>
        <w:tc>
          <w:tcPr>
            <w:tcW w:w="2694" w:type="dxa"/>
          </w:tcPr>
          <w:p w14:paraId="509081E3" w14:textId="3A7586EF" w:rsidR="00B86AE2" w:rsidRPr="00D126AB" w:rsidRDefault="008E56CC">
            <w:pPr>
              <w:rPr>
                <w:rFonts w:cstheme="minorHAnsi"/>
                <w:color w:val="000000"/>
              </w:rPr>
            </w:pPr>
            <w:r w:rsidRPr="00D126AB">
              <w:rPr>
                <w:rFonts w:cstheme="minorHAnsi"/>
                <w:color w:val="000000"/>
              </w:rPr>
              <w:t xml:space="preserve">Bay of Plenty, </w:t>
            </w:r>
            <w:proofErr w:type="spellStart"/>
            <w:r w:rsidRPr="00D126AB">
              <w:rPr>
                <w:rFonts w:cstheme="minorHAnsi"/>
                <w:color w:val="000000"/>
              </w:rPr>
              <w:t>Tairawhiti</w:t>
            </w:r>
            <w:proofErr w:type="spellEnd"/>
            <w:r w:rsidRPr="00D126AB">
              <w:rPr>
                <w:rFonts w:cstheme="minorHAnsi"/>
                <w:color w:val="000000"/>
              </w:rPr>
              <w:t>, Waikato, Lakes, Taranaki, Hawkes Bay</w:t>
            </w:r>
          </w:p>
        </w:tc>
        <w:tc>
          <w:tcPr>
            <w:tcW w:w="2693" w:type="dxa"/>
          </w:tcPr>
          <w:p w14:paraId="52D3C113" w14:textId="1EC73BCC" w:rsidR="00B86AE2" w:rsidRPr="00D126AB" w:rsidRDefault="00CC0919">
            <w:pPr>
              <w:rPr>
                <w:rFonts w:cstheme="minorHAnsi"/>
              </w:rPr>
            </w:pPr>
            <w:r w:rsidRPr="00D126AB">
              <w:rPr>
                <w:rFonts w:cstheme="minorHAnsi"/>
              </w:rPr>
              <w:t>12.98%</w:t>
            </w:r>
          </w:p>
        </w:tc>
      </w:tr>
      <w:tr w:rsidR="00B86AE2" w:rsidRPr="00D126AB" w14:paraId="7BB8523B" w14:textId="77777777" w:rsidTr="00020673">
        <w:tc>
          <w:tcPr>
            <w:tcW w:w="2263" w:type="dxa"/>
          </w:tcPr>
          <w:p w14:paraId="472CB387" w14:textId="1593A636" w:rsidR="00B86AE2" w:rsidRPr="00D126AB" w:rsidRDefault="00020673">
            <w:pPr>
              <w:rPr>
                <w:rFonts w:cstheme="minorHAnsi"/>
              </w:rPr>
            </w:pPr>
            <w:r w:rsidRPr="00D126AB">
              <w:rPr>
                <w:rFonts w:cstheme="minorHAnsi"/>
              </w:rPr>
              <w:t>Wellington</w:t>
            </w:r>
          </w:p>
        </w:tc>
        <w:tc>
          <w:tcPr>
            <w:tcW w:w="2694" w:type="dxa"/>
          </w:tcPr>
          <w:p w14:paraId="18F02FD1" w14:textId="323D069A" w:rsidR="00B86AE2" w:rsidRPr="00D126AB" w:rsidRDefault="008E56CC">
            <w:pPr>
              <w:rPr>
                <w:rFonts w:cstheme="minorHAnsi"/>
                <w:color w:val="000000"/>
              </w:rPr>
            </w:pPr>
            <w:r w:rsidRPr="00D126AB">
              <w:rPr>
                <w:rFonts w:cstheme="minorHAnsi"/>
                <w:color w:val="000000"/>
              </w:rPr>
              <w:t>Whanganui, Mid Central, Hutt, Wairarapa, Capital and Coast</w:t>
            </w:r>
          </w:p>
        </w:tc>
        <w:tc>
          <w:tcPr>
            <w:tcW w:w="2693" w:type="dxa"/>
          </w:tcPr>
          <w:p w14:paraId="51671C5F" w14:textId="727D4CA2" w:rsidR="00B86AE2" w:rsidRPr="00D126AB" w:rsidRDefault="00CC0919">
            <w:pPr>
              <w:rPr>
                <w:rFonts w:cstheme="minorHAnsi"/>
              </w:rPr>
            </w:pPr>
            <w:r w:rsidRPr="00D126AB">
              <w:rPr>
                <w:rFonts w:cstheme="minorHAnsi"/>
              </w:rPr>
              <w:t>13.66%</w:t>
            </w:r>
          </w:p>
        </w:tc>
      </w:tr>
      <w:tr w:rsidR="00B86AE2" w:rsidRPr="00D126AB" w14:paraId="5F960A4B" w14:textId="77777777" w:rsidTr="00020673">
        <w:tc>
          <w:tcPr>
            <w:tcW w:w="2263" w:type="dxa"/>
          </w:tcPr>
          <w:p w14:paraId="232D84FF" w14:textId="1AE2A387" w:rsidR="00B86AE2" w:rsidRPr="00D126AB" w:rsidRDefault="00020673">
            <w:pPr>
              <w:rPr>
                <w:rFonts w:cstheme="minorHAnsi"/>
              </w:rPr>
            </w:pPr>
            <w:r w:rsidRPr="00D126AB">
              <w:rPr>
                <w:rFonts w:cstheme="minorHAnsi"/>
              </w:rPr>
              <w:t>South Island</w:t>
            </w:r>
          </w:p>
        </w:tc>
        <w:tc>
          <w:tcPr>
            <w:tcW w:w="2694" w:type="dxa"/>
          </w:tcPr>
          <w:p w14:paraId="2453F02C" w14:textId="4466945E" w:rsidR="00B86AE2" w:rsidRPr="00D126AB" w:rsidRDefault="008E56CC">
            <w:pPr>
              <w:rPr>
                <w:rFonts w:cstheme="minorHAnsi"/>
                <w:color w:val="000000"/>
              </w:rPr>
            </w:pPr>
            <w:r w:rsidRPr="00D126AB">
              <w:rPr>
                <w:rFonts w:cstheme="minorHAnsi"/>
                <w:color w:val="000000"/>
              </w:rPr>
              <w:t>Nelson Marlborough, West Coast, Canterbury, South Canterbury, Southern</w:t>
            </w:r>
          </w:p>
        </w:tc>
        <w:tc>
          <w:tcPr>
            <w:tcW w:w="2693" w:type="dxa"/>
          </w:tcPr>
          <w:p w14:paraId="4331910A" w14:textId="2450CAF7" w:rsidR="00B86AE2" w:rsidRPr="00D126AB" w:rsidRDefault="00CC0919">
            <w:pPr>
              <w:rPr>
                <w:rFonts w:cstheme="minorHAnsi"/>
              </w:rPr>
            </w:pPr>
            <w:r w:rsidRPr="00D126AB">
              <w:rPr>
                <w:rFonts w:cstheme="minorHAnsi"/>
              </w:rPr>
              <w:t>9.09%</w:t>
            </w:r>
          </w:p>
        </w:tc>
      </w:tr>
    </w:tbl>
    <w:p w14:paraId="34087BA1" w14:textId="7BC14F61" w:rsidR="006A0EDF" w:rsidRPr="00D126AB" w:rsidRDefault="006A0EDF">
      <w:pPr>
        <w:rPr>
          <w:rFonts w:cstheme="minorHAnsi"/>
        </w:rPr>
      </w:pPr>
    </w:p>
    <w:p w14:paraId="645BFE88" w14:textId="394624A0" w:rsidR="00C14031" w:rsidRPr="00D126AB" w:rsidRDefault="00C14031" w:rsidP="00CC3FF8">
      <w:pPr>
        <w:pStyle w:val="Heading2"/>
      </w:pPr>
      <w:r w:rsidRPr="00D126AB">
        <w:t>Why is the Ministry utilising a tiering system for Pacific providers?  How was the system developed?</w:t>
      </w:r>
    </w:p>
    <w:p w14:paraId="4A06BA0C" w14:textId="23B4A8C2" w:rsidR="00C14031" w:rsidRDefault="00EE238A">
      <w:pPr>
        <w:rPr>
          <w:rFonts w:cstheme="minorHAnsi"/>
        </w:rPr>
      </w:pPr>
      <w:r>
        <w:rPr>
          <w:rFonts w:cstheme="minorHAnsi"/>
        </w:rPr>
        <w:t>The tiering system</w:t>
      </w:r>
      <w:r w:rsidR="008E6874">
        <w:rPr>
          <w:rFonts w:cstheme="minorHAnsi"/>
        </w:rPr>
        <w:t xml:space="preserve"> recognises that organisations can be at significant different stages of organisational development.  We would like all providers to have a closer relationship with the </w:t>
      </w:r>
      <w:proofErr w:type="gramStart"/>
      <w:r w:rsidR="008E6874">
        <w:rPr>
          <w:rFonts w:cstheme="minorHAnsi"/>
        </w:rPr>
        <w:t>Ministry</w:t>
      </w:r>
      <w:proofErr w:type="gramEnd"/>
      <w:r w:rsidR="008E6874">
        <w:rPr>
          <w:rFonts w:cstheme="minorHAnsi"/>
        </w:rPr>
        <w:t xml:space="preserve"> but we recognise that providers may need additional support to develop and implement an organisational plan. </w:t>
      </w:r>
      <w:r w:rsidR="00E80C4D" w:rsidRPr="00D126AB">
        <w:rPr>
          <w:rFonts w:cstheme="minorHAnsi"/>
        </w:rPr>
        <w:t>Th</w:t>
      </w:r>
      <w:r w:rsidR="001C351B" w:rsidRPr="00D126AB">
        <w:rPr>
          <w:rFonts w:cstheme="minorHAnsi"/>
        </w:rPr>
        <w:t>e tiering system</w:t>
      </w:r>
      <w:r w:rsidR="00E80C4D" w:rsidRPr="00D126AB">
        <w:rPr>
          <w:rFonts w:cstheme="minorHAnsi"/>
        </w:rPr>
        <w:t xml:space="preserve"> is not designed to penalise </w:t>
      </w:r>
      <w:r w:rsidR="001C351B" w:rsidRPr="00D126AB">
        <w:rPr>
          <w:rFonts w:cstheme="minorHAnsi"/>
        </w:rPr>
        <w:t>P</w:t>
      </w:r>
      <w:r w:rsidR="00E80C4D" w:rsidRPr="00D126AB">
        <w:rPr>
          <w:rFonts w:cstheme="minorHAnsi"/>
        </w:rPr>
        <w:t>acific health providers,</w:t>
      </w:r>
      <w:r w:rsidR="001C351B" w:rsidRPr="00D126AB">
        <w:rPr>
          <w:rFonts w:cstheme="minorHAnsi"/>
        </w:rPr>
        <w:t xml:space="preserve"> but to provide the appropriate level of support. T</w:t>
      </w:r>
      <w:r w:rsidR="00E80C4D" w:rsidRPr="00D126AB">
        <w:rPr>
          <w:rFonts w:cstheme="minorHAnsi"/>
        </w:rPr>
        <w:t xml:space="preserve">here will be </w:t>
      </w:r>
      <w:r w:rsidR="00632DFB" w:rsidRPr="00D126AB">
        <w:rPr>
          <w:rFonts w:cstheme="minorHAnsi"/>
        </w:rPr>
        <w:t>continuous</w:t>
      </w:r>
      <w:r w:rsidR="00E80C4D" w:rsidRPr="00D126AB">
        <w:rPr>
          <w:rFonts w:cstheme="minorHAnsi"/>
        </w:rPr>
        <w:t xml:space="preserve"> opportunities (i.e. at the end of an agreement) to revisit </w:t>
      </w:r>
      <w:r w:rsidR="00632DFB" w:rsidRPr="00D126AB">
        <w:rPr>
          <w:rFonts w:cstheme="minorHAnsi"/>
        </w:rPr>
        <w:t>a provider’s tier.</w:t>
      </w:r>
    </w:p>
    <w:p w14:paraId="22BE1450" w14:textId="7DD2BC7B" w:rsidR="00C14031" w:rsidRPr="00D126AB" w:rsidRDefault="00C14031" w:rsidP="00CC3FF8">
      <w:pPr>
        <w:pStyle w:val="Heading2"/>
      </w:pPr>
      <w:r w:rsidRPr="00D126AB">
        <w:t>Do providers which serve a large Pacific population but are not owned / governed by Pacific quality for funding?</w:t>
      </w:r>
    </w:p>
    <w:p w14:paraId="5466510B" w14:textId="68876EE8" w:rsidR="009745E4" w:rsidRPr="00D126AB" w:rsidRDefault="001569C3">
      <w:pPr>
        <w:rPr>
          <w:rFonts w:cstheme="minorHAnsi"/>
        </w:rPr>
      </w:pPr>
      <w:r w:rsidRPr="00D126AB">
        <w:rPr>
          <w:rFonts w:cstheme="minorHAnsi"/>
        </w:rPr>
        <w:t>No. The criteria for PPDF</w:t>
      </w:r>
      <w:r w:rsidR="00F30441">
        <w:rPr>
          <w:rFonts w:cstheme="minorHAnsi"/>
        </w:rPr>
        <w:t xml:space="preserve"> (as per Cabinet decision)</w:t>
      </w:r>
      <w:r w:rsidRPr="00D126AB">
        <w:rPr>
          <w:rFonts w:cstheme="minorHAnsi"/>
        </w:rPr>
        <w:t xml:space="preserve"> are:</w:t>
      </w:r>
    </w:p>
    <w:p w14:paraId="1B46D7CA" w14:textId="77777777" w:rsidR="00B62DE2" w:rsidRPr="00B62DE2" w:rsidRDefault="00B62DE2" w:rsidP="00B62DE2">
      <w:pPr>
        <w:numPr>
          <w:ilvl w:val="0"/>
          <w:numId w:val="4"/>
        </w:numPr>
        <w:rPr>
          <w:rFonts w:cstheme="minorHAnsi"/>
        </w:rPr>
      </w:pPr>
      <w:r w:rsidRPr="00B62DE2">
        <w:rPr>
          <w:rFonts w:cstheme="minorHAnsi"/>
        </w:rPr>
        <w:t>Be an existing Pacific health service provider (i.e. a provider that is owned and governed by Pacific peoples and provides service primarily, but not exclusively, for Pacific people)</w:t>
      </w:r>
    </w:p>
    <w:p w14:paraId="07D10F71" w14:textId="77777777" w:rsidR="00B62DE2" w:rsidRPr="00B62DE2" w:rsidRDefault="00B62DE2" w:rsidP="00B62DE2">
      <w:pPr>
        <w:numPr>
          <w:ilvl w:val="0"/>
          <w:numId w:val="4"/>
        </w:numPr>
        <w:rPr>
          <w:rFonts w:cstheme="minorHAnsi"/>
        </w:rPr>
      </w:pPr>
      <w:r w:rsidRPr="00B62DE2">
        <w:rPr>
          <w:rFonts w:cstheme="minorHAnsi"/>
        </w:rPr>
        <w:t>Hold a health service contract within the last 18 months, and</w:t>
      </w:r>
    </w:p>
    <w:p w14:paraId="7A4A1839" w14:textId="77777777" w:rsidR="00B62DE2" w:rsidRPr="00B62DE2" w:rsidRDefault="00B62DE2" w:rsidP="00B62DE2">
      <w:pPr>
        <w:numPr>
          <w:ilvl w:val="0"/>
          <w:numId w:val="4"/>
        </w:numPr>
        <w:rPr>
          <w:rFonts w:cstheme="minorHAnsi"/>
        </w:rPr>
      </w:pPr>
      <w:r w:rsidRPr="00B62DE2">
        <w:rPr>
          <w:rFonts w:cstheme="minorHAnsi"/>
        </w:rPr>
        <w:t>Be a legal entity.</w:t>
      </w:r>
    </w:p>
    <w:p w14:paraId="4A21A418" w14:textId="3FEDD066" w:rsidR="00C14031" w:rsidRDefault="00683000">
      <w:pPr>
        <w:rPr>
          <w:rFonts w:cstheme="minorHAnsi"/>
        </w:rPr>
      </w:pPr>
      <w:r w:rsidRPr="00D126AB">
        <w:rPr>
          <w:rFonts w:cstheme="minorHAnsi"/>
        </w:rPr>
        <w:t>So, unless a provider is owned and governed by Pacific, they do not qualify for PPDF.</w:t>
      </w:r>
    </w:p>
    <w:p w14:paraId="46E2FAB9" w14:textId="77777777" w:rsidR="00B22A85" w:rsidRDefault="00B22A85">
      <w:pPr>
        <w:rPr>
          <w:rFonts w:cstheme="minorHAnsi"/>
          <w:b/>
          <w:bCs/>
        </w:rPr>
      </w:pPr>
    </w:p>
    <w:p w14:paraId="0FE8EF9A" w14:textId="1DEDCD20" w:rsidR="00DC156A" w:rsidRPr="00DC156A" w:rsidRDefault="00DC156A" w:rsidP="00CC3FF8">
      <w:pPr>
        <w:pStyle w:val="Heading2"/>
      </w:pPr>
      <w:r w:rsidRPr="00DC156A">
        <w:lastRenderedPageBreak/>
        <w:t>What is meant by a Pacific health service provider?</w:t>
      </w:r>
    </w:p>
    <w:p w14:paraId="584FAA96" w14:textId="1B93B91D" w:rsidR="00DC156A" w:rsidRPr="00D126AB" w:rsidRDefault="00DC156A">
      <w:pPr>
        <w:rPr>
          <w:rFonts w:cstheme="minorHAnsi"/>
        </w:rPr>
      </w:pPr>
      <w:r>
        <w:rPr>
          <w:rFonts w:cstheme="minorHAnsi"/>
        </w:rPr>
        <w:t>It means that only</w:t>
      </w:r>
      <w:r w:rsidR="00872799">
        <w:rPr>
          <w:rFonts w:cstheme="minorHAnsi"/>
        </w:rPr>
        <w:t xml:space="preserve"> Pacific health</w:t>
      </w:r>
      <w:r>
        <w:rPr>
          <w:rFonts w:cstheme="minorHAnsi"/>
        </w:rPr>
        <w:t xml:space="preserve"> providers which </w:t>
      </w:r>
      <w:r w:rsidR="00872799">
        <w:rPr>
          <w:rFonts w:cstheme="minorHAnsi"/>
        </w:rPr>
        <w:t>are funded by</w:t>
      </w:r>
      <w:r>
        <w:rPr>
          <w:rFonts w:cstheme="minorHAnsi"/>
        </w:rPr>
        <w:t xml:space="preserve"> either by the Ministry of Health, a District Health Board, or a Primary Health Organisation </w:t>
      </w:r>
      <w:r w:rsidR="00872799">
        <w:rPr>
          <w:rFonts w:cstheme="minorHAnsi"/>
        </w:rPr>
        <w:t>qualify for PPDF.</w:t>
      </w:r>
    </w:p>
    <w:p w14:paraId="4654BB54" w14:textId="72E289FB" w:rsidR="00C14031" w:rsidRPr="00D126AB" w:rsidRDefault="00347819" w:rsidP="00CC3FF8">
      <w:pPr>
        <w:pStyle w:val="Heading2"/>
      </w:pPr>
      <w:r w:rsidRPr="00D126AB">
        <w:t xml:space="preserve">Given that contracts </w:t>
      </w:r>
      <w:r w:rsidR="001155EE" w:rsidRPr="00D126AB">
        <w:t>are likely to</w:t>
      </w:r>
      <w:r w:rsidRPr="00D126AB">
        <w:t xml:space="preserve"> have different terms, how often will the Ministry go through the PPDF process?</w:t>
      </w:r>
    </w:p>
    <w:p w14:paraId="35D92E53" w14:textId="21F03C92" w:rsidR="00347819" w:rsidRPr="00D126AB" w:rsidRDefault="00B62DE2">
      <w:pPr>
        <w:rPr>
          <w:rFonts w:cstheme="minorHAnsi"/>
        </w:rPr>
      </w:pPr>
      <w:r w:rsidRPr="00D126AB">
        <w:rPr>
          <w:rFonts w:cstheme="minorHAnsi"/>
        </w:rPr>
        <w:t>The process will be run annually. This is to ensure that any new Pacific health providers have an opportunity to apply for funds, and providers which may have an annual agreement, have an opportunity to re-apply.</w:t>
      </w:r>
    </w:p>
    <w:p w14:paraId="234C351D" w14:textId="13A819C1" w:rsidR="00347819" w:rsidRPr="00D126AB" w:rsidRDefault="00347819" w:rsidP="00CC3FF8">
      <w:pPr>
        <w:pStyle w:val="Heading2"/>
      </w:pPr>
      <w:r w:rsidRPr="00D126AB">
        <w:t xml:space="preserve">Can providers which received multi-year fund (e.g. </w:t>
      </w:r>
      <w:r w:rsidR="00DC156A">
        <w:t>3</w:t>
      </w:r>
      <w:r w:rsidRPr="00D126AB">
        <w:t xml:space="preserve"> years) apply for more funding while their contract is </w:t>
      </w:r>
      <w:r w:rsidR="00F16DC5" w:rsidRPr="00D126AB">
        <w:t>active?</w:t>
      </w:r>
    </w:p>
    <w:p w14:paraId="0CB9808D" w14:textId="73C05000" w:rsidR="00347819" w:rsidRPr="00D126AB" w:rsidRDefault="00B773B3">
      <w:pPr>
        <w:rPr>
          <w:rFonts w:cstheme="minorHAnsi"/>
        </w:rPr>
      </w:pPr>
      <w:r w:rsidRPr="00D126AB">
        <w:rPr>
          <w:rFonts w:cstheme="minorHAnsi"/>
        </w:rPr>
        <w:t xml:space="preserve">No. </w:t>
      </w:r>
      <w:r w:rsidR="00A34BAD" w:rsidRPr="00D126AB">
        <w:rPr>
          <w:rFonts w:cstheme="minorHAnsi"/>
        </w:rPr>
        <w:t xml:space="preserve"> No additional PPDF will be distribute to Pacific health providers which have an active contract.</w:t>
      </w:r>
    </w:p>
    <w:p w14:paraId="030C83A1" w14:textId="77777777" w:rsidR="00872799" w:rsidRDefault="00872799">
      <w:pPr>
        <w:rPr>
          <w:rFonts w:cstheme="minorHAnsi"/>
          <w:b/>
          <w:bCs/>
        </w:rPr>
      </w:pPr>
    </w:p>
    <w:p w14:paraId="3B3704DE" w14:textId="6951D2AF" w:rsidR="007C1E9E" w:rsidRPr="00D126AB" w:rsidRDefault="007C1E9E" w:rsidP="00CC3FF8">
      <w:pPr>
        <w:pStyle w:val="Heading2"/>
      </w:pPr>
      <w:r w:rsidRPr="00D126AB">
        <w:t>Will there be an opportunity to apply for PPDF outside of the</w:t>
      </w:r>
      <w:r w:rsidR="00E338E9" w:rsidRPr="00D126AB">
        <w:t xml:space="preserve"> annual</w:t>
      </w:r>
      <w:r w:rsidRPr="00D126AB">
        <w:t xml:space="preserve"> PPDF process?</w:t>
      </w:r>
    </w:p>
    <w:p w14:paraId="518A736E" w14:textId="550D55BF" w:rsidR="00803542" w:rsidRPr="00D126AB" w:rsidRDefault="007C1E9E">
      <w:pPr>
        <w:rPr>
          <w:rFonts w:cstheme="minorHAnsi"/>
        </w:rPr>
      </w:pPr>
      <w:r w:rsidRPr="00D126AB">
        <w:rPr>
          <w:rFonts w:cstheme="minorHAnsi"/>
        </w:rPr>
        <w:t xml:space="preserve">No. </w:t>
      </w:r>
      <w:r w:rsidR="00076F1F" w:rsidRPr="00D126AB">
        <w:rPr>
          <w:rFonts w:cstheme="minorHAnsi"/>
        </w:rPr>
        <w:t xml:space="preserve">The annual process will provide a fair and transparent way for providers </w:t>
      </w:r>
      <w:r w:rsidR="009041C8" w:rsidRPr="00D126AB">
        <w:rPr>
          <w:rFonts w:cstheme="minorHAnsi"/>
        </w:rPr>
        <w:t xml:space="preserve">to apply for funding.  </w:t>
      </w:r>
    </w:p>
    <w:p w14:paraId="7DD88D33" w14:textId="77777777" w:rsidR="00DC156A" w:rsidRDefault="00DC156A">
      <w:pPr>
        <w:rPr>
          <w:rFonts w:cstheme="minorHAnsi"/>
          <w:b/>
          <w:bCs/>
        </w:rPr>
      </w:pPr>
    </w:p>
    <w:p w14:paraId="22FA8776" w14:textId="5B1CE05F" w:rsidR="001B6FCE" w:rsidRPr="00D126AB" w:rsidRDefault="001B6FCE" w:rsidP="00CC3FF8">
      <w:pPr>
        <w:pStyle w:val="Heading2"/>
      </w:pPr>
      <w:r w:rsidRPr="00D126AB">
        <w:t>Who was in the Steering Committee and how were members selected?</w:t>
      </w:r>
    </w:p>
    <w:p w14:paraId="6F186AFD" w14:textId="5DB01878" w:rsidR="001B6FCE" w:rsidRPr="00D126AB" w:rsidRDefault="00C54339">
      <w:pPr>
        <w:rPr>
          <w:rFonts w:cstheme="minorHAnsi"/>
        </w:rPr>
      </w:pPr>
      <w:r w:rsidRPr="00D126AB">
        <w:rPr>
          <w:rFonts w:cstheme="minorHAnsi"/>
        </w:rPr>
        <w:t>The Steering C</w:t>
      </w:r>
      <w:r w:rsidR="00803542" w:rsidRPr="00D126AB">
        <w:rPr>
          <w:rFonts w:cstheme="minorHAnsi"/>
        </w:rPr>
        <w:t>ommittee members are:</w:t>
      </w:r>
    </w:p>
    <w:tbl>
      <w:tblPr>
        <w:tblStyle w:val="TableGrid"/>
        <w:tblW w:w="0" w:type="auto"/>
        <w:tblLook w:val="04A0" w:firstRow="1" w:lastRow="0" w:firstColumn="1" w:lastColumn="0" w:noHBand="0" w:noVBand="1"/>
      </w:tblPr>
      <w:tblGrid>
        <w:gridCol w:w="2122"/>
        <w:gridCol w:w="4677"/>
      </w:tblGrid>
      <w:tr w:rsidR="00531E80" w:rsidRPr="00D126AB" w14:paraId="34B2F954" w14:textId="77777777" w:rsidTr="002232F4">
        <w:tc>
          <w:tcPr>
            <w:tcW w:w="2122" w:type="dxa"/>
            <w:shd w:val="clear" w:color="auto" w:fill="BFBFBF" w:themeFill="background1" w:themeFillShade="BF"/>
          </w:tcPr>
          <w:p w14:paraId="205581CE" w14:textId="77777777" w:rsidR="00531E80" w:rsidRPr="00D126AB" w:rsidRDefault="00531E80" w:rsidP="002232F4">
            <w:pPr>
              <w:rPr>
                <w:rFonts w:cstheme="minorHAnsi"/>
                <w:b/>
              </w:rPr>
            </w:pPr>
            <w:r w:rsidRPr="00D126AB">
              <w:rPr>
                <w:rFonts w:cstheme="minorHAnsi"/>
                <w:b/>
              </w:rPr>
              <w:t>Name</w:t>
            </w:r>
          </w:p>
        </w:tc>
        <w:tc>
          <w:tcPr>
            <w:tcW w:w="4677" w:type="dxa"/>
            <w:shd w:val="clear" w:color="auto" w:fill="BFBFBF" w:themeFill="background1" w:themeFillShade="BF"/>
          </w:tcPr>
          <w:p w14:paraId="0B617430" w14:textId="77777777" w:rsidR="00531E80" w:rsidRPr="00D126AB" w:rsidRDefault="00531E80" w:rsidP="002232F4">
            <w:pPr>
              <w:rPr>
                <w:rFonts w:cstheme="minorHAnsi"/>
                <w:b/>
              </w:rPr>
            </w:pPr>
            <w:r w:rsidRPr="00D126AB">
              <w:rPr>
                <w:rFonts w:cstheme="minorHAnsi"/>
                <w:b/>
              </w:rPr>
              <w:t>Role and organisation</w:t>
            </w:r>
          </w:p>
        </w:tc>
      </w:tr>
      <w:tr w:rsidR="00531E80" w:rsidRPr="00D126AB" w14:paraId="5F800DFE" w14:textId="77777777" w:rsidTr="002232F4">
        <w:tc>
          <w:tcPr>
            <w:tcW w:w="2122" w:type="dxa"/>
          </w:tcPr>
          <w:p w14:paraId="5113E594" w14:textId="77777777" w:rsidR="00531E80" w:rsidRPr="00D126AB" w:rsidRDefault="00531E80" w:rsidP="002232F4">
            <w:pPr>
              <w:rPr>
                <w:rFonts w:cstheme="minorHAnsi"/>
              </w:rPr>
            </w:pPr>
            <w:proofErr w:type="spellStart"/>
            <w:r w:rsidRPr="00D126AB">
              <w:rPr>
                <w:rFonts w:cstheme="minorHAnsi"/>
              </w:rPr>
              <w:t>Gerardine</w:t>
            </w:r>
            <w:proofErr w:type="spellEnd"/>
            <w:r w:rsidRPr="00D126AB">
              <w:rPr>
                <w:rFonts w:cstheme="minorHAnsi"/>
              </w:rPr>
              <w:t xml:space="preserve"> Clifford-</w:t>
            </w:r>
            <w:proofErr w:type="spellStart"/>
            <w:r w:rsidRPr="00D126AB">
              <w:rPr>
                <w:rFonts w:cstheme="minorHAnsi"/>
              </w:rPr>
              <w:t>Lidstone</w:t>
            </w:r>
            <w:proofErr w:type="spellEnd"/>
          </w:p>
        </w:tc>
        <w:tc>
          <w:tcPr>
            <w:tcW w:w="4677" w:type="dxa"/>
          </w:tcPr>
          <w:p w14:paraId="035B4559" w14:textId="77777777" w:rsidR="00531E80" w:rsidRPr="00D126AB" w:rsidRDefault="00531E80" w:rsidP="002232F4">
            <w:pPr>
              <w:rPr>
                <w:rFonts w:cstheme="minorHAnsi"/>
              </w:rPr>
            </w:pPr>
            <w:r w:rsidRPr="00D126AB">
              <w:rPr>
                <w:rFonts w:cstheme="minorHAnsi"/>
              </w:rPr>
              <w:t>Director Pacific Health, Population Health and Prevention, Ministry of Health</w:t>
            </w:r>
          </w:p>
        </w:tc>
      </w:tr>
      <w:tr w:rsidR="00531E80" w:rsidRPr="00D126AB" w14:paraId="6142E6F8" w14:textId="77777777" w:rsidTr="002232F4">
        <w:tc>
          <w:tcPr>
            <w:tcW w:w="2122" w:type="dxa"/>
          </w:tcPr>
          <w:p w14:paraId="4EA5BEFC" w14:textId="77777777" w:rsidR="00531E80" w:rsidRPr="00D126AB" w:rsidRDefault="00531E80" w:rsidP="002232F4">
            <w:pPr>
              <w:rPr>
                <w:rFonts w:cstheme="minorHAnsi"/>
              </w:rPr>
            </w:pPr>
            <w:r w:rsidRPr="00D126AB">
              <w:rPr>
                <w:rFonts w:cstheme="minorHAnsi"/>
              </w:rPr>
              <w:t xml:space="preserve">Cory </w:t>
            </w:r>
            <w:proofErr w:type="spellStart"/>
            <w:r w:rsidRPr="00D126AB">
              <w:rPr>
                <w:rFonts w:cstheme="minorHAnsi"/>
              </w:rPr>
              <w:t>Vessey</w:t>
            </w:r>
            <w:proofErr w:type="spellEnd"/>
          </w:p>
        </w:tc>
        <w:tc>
          <w:tcPr>
            <w:tcW w:w="4677" w:type="dxa"/>
          </w:tcPr>
          <w:p w14:paraId="479CB119" w14:textId="77777777" w:rsidR="00531E80" w:rsidRPr="00D126AB" w:rsidRDefault="00531E80" w:rsidP="002232F4">
            <w:pPr>
              <w:rPr>
                <w:rFonts w:cstheme="minorHAnsi"/>
              </w:rPr>
            </w:pPr>
            <w:r w:rsidRPr="00D126AB">
              <w:rPr>
                <w:rFonts w:cstheme="minorHAnsi"/>
              </w:rPr>
              <w:t>Senior Portfolio Manager, Pacific Health</w:t>
            </w:r>
          </w:p>
        </w:tc>
      </w:tr>
      <w:tr w:rsidR="00531E80" w:rsidRPr="00D126AB" w14:paraId="3FCC7C0C" w14:textId="77777777" w:rsidTr="002232F4">
        <w:tc>
          <w:tcPr>
            <w:tcW w:w="2122" w:type="dxa"/>
          </w:tcPr>
          <w:p w14:paraId="5EA39E98" w14:textId="77777777" w:rsidR="00531E80" w:rsidRPr="00D126AB" w:rsidRDefault="00531E80" w:rsidP="002232F4">
            <w:pPr>
              <w:rPr>
                <w:rFonts w:cstheme="minorHAnsi"/>
              </w:rPr>
            </w:pPr>
            <w:proofErr w:type="spellStart"/>
            <w:r w:rsidRPr="00D126AB">
              <w:rPr>
                <w:rFonts w:cstheme="minorHAnsi"/>
              </w:rPr>
              <w:t>Finau</w:t>
            </w:r>
            <w:proofErr w:type="spellEnd"/>
            <w:r w:rsidRPr="00D126AB">
              <w:rPr>
                <w:rFonts w:cstheme="minorHAnsi"/>
              </w:rPr>
              <w:t xml:space="preserve"> K </w:t>
            </w:r>
            <w:proofErr w:type="spellStart"/>
            <w:r w:rsidRPr="00D126AB">
              <w:rPr>
                <w:rFonts w:cstheme="minorHAnsi"/>
              </w:rPr>
              <w:t>Taungapeau</w:t>
            </w:r>
            <w:proofErr w:type="spellEnd"/>
          </w:p>
        </w:tc>
        <w:tc>
          <w:tcPr>
            <w:tcW w:w="4677" w:type="dxa"/>
          </w:tcPr>
          <w:p w14:paraId="460819A4" w14:textId="77777777" w:rsidR="00531E80" w:rsidRPr="00D126AB" w:rsidRDefault="00531E80" w:rsidP="002232F4">
            <w:pPr>
              <w:rPr>
                <w:rFonts w:cstheme="minorHAnsi"/>
              </w:rPr>
            </w:pPr>
            <w:r w:rsidRPr="00D126AB">
              <w:rPr>
                <w:rFonts w:cstheme="minorHAnsi"/>
              </w:rPr>
              <w:t>General Manager Pacific Trust Otago</w:t>
            </w:r>
          </w:p>
        </w:tc>
      </w:tr>
      <w:tr w:rsidR="00531E80" w:rsidRPr="00D126AB" w14:paraId="44E9BE74" w14:textId="77777777" w:rsidTr="00CB2121">
        <w:tc>
          <w:tcPr>
            <w:tcW w:w="2122" w:type="dxa"/>
            <w:tcBorders>
              <w:bottom w:val="single" w:sz="4" w:space="0" w:color="auto"/>
            </w:tcBorders>
          </w:tcPr>
          <w:p w14:paraId="22BFBF8A" w14:textId="77777777" w:rsidR="00531E80" w:rsidRPr="00D126AB" w:rsidRDefault="00531E80" w:rsidP="002232F4">
            <w:pPr>
              <w:rPr>
                <w:rFonts w:cstheme="minorHAnsi"/>
              </w:rPr>
            </w:pPr>
            <w:proofErr w:type="spellStart"/>
            <w:r w:rsidRPr="00D126AB">
              <w:rPr>
                <w:rFonts w:cstheme="minorHAnsi"/>
              </w:rPr>
              <w:t>Liani</w:t>
            </w:r>
            <w:proofErr w:type="spellEnd"/>
            <w:r w:rsidRPr="00D126AB">
              <w:rPr>
                <w:rFonts w:cstheme="minorHAnsi"/>
              </w:rPr>
              <w:t xml:space="preserve"> Sanford</w:t>
            </w:r>
          </w:p>
        </w:tc>
        <w:tc>
          <w:tcPr>
            <w:tcW w:w="4677" w:type="dxa"/>
            <w:tcBorders>
              <w:bottom w:val="single" w:sz="4" w:space="0" w:color="auto"/>
            </w:tcBorders>
          </w:tcPr>
          <w:p w14:paraId="3123C92E" w14:textId="77777777" w:rsidR="00531E80" w:rsidRPr="00D126AB" w:rsidRDefault="00531E80" w:rsidP="002232F4">
            <w:pPr>
              <w:rPr>
                <w:rFonts w:cstheme="minorHAnsi"/>
              </w:rPr>
            </w:pPr>
            <w:r w:rsidRPr="00D126AB">
              <w:rPr>
                <w:rFonts w:cstheme="minorHAnsi"/>
              </w:rPr>
              <w:t xml:space="preserve">Acting Pacific Health Gain Manager </w:t>
            </w:r>
            <w:proofErr w:type="spellStart"/>
            <w:r w:rsidRPr="00D126AB">
              <w:rPr>
                <w:rFonts w:cstheme="minorHAnsi"/>
              </w:rPr>
              <w:t>Waitematā</w:t>
            </w:r>
            <w:proofErr w:type="spellEnd"/>
            <w:r w:rsidRPr="00D126AB">
              <w:rPr>
                <w:rFonts w:cstheme="minorHAnsi"/>
              </w:rPr>
              <w:t xml:space="preserve"> and Auckland DHBs</w:t>
            </w:r>
          </w:p>
        </w:tc>
      </w:tr>
      <w:tr w:rsidR="00531E80" w:rsidRPr="00D126AB" w14:paraId="3875E791" w14:textId="77777777" w:rsidTr="002232F4">
        <w:tc>
          <w:tcPr>
            <w:tcW w:w="2122" w:type="dxa"/>
          </w:tcPr>
          <w:p w14:paraId="563C52B0" w14:textId="77777777" w:rsidR="00531E80" w:rsidRPr="00D126AB" w:rsidRDefault="00531E80" w:rsidP="002232F4">
            <w:pPr>
              <w:rPr>
                <w:rFonts w:cstheme="minorHAnsi"/>
              </w:rPr>
            </w:pPr>
            <w:proofErr w:type="spellStart"/>
            <w:r w:rsidRPr="00D126AB">
              <w:rPr>
                <w:rFonts w:cstheme="minorHAnsi"/>
              </w:rPr>
              <w:t>Nanai</w:t>
            </w:r>
            <w:proofErr w:type="spellEnd"/>
            <w:r w:rsidRPr="00D126AB">
              <w:rPr>
                <w:rFonts w:cstheme="minorHAnsi"/>
              </w:rPr>
              <w:t xml:space="preserve"> </w:t>
            </w:r>
            <w:proofErr w:type="spellStart"/>
            <w:r w:rsidRPr="00D126AB">
              <w:rPr>
                <w:rFonts w:cstheme="minorHAnsi"/>
              </w:rPr>
              <w:t>Muaa</w:t>
            </w:r>
            <w:proofErr w:type="spellEnd"/>
          </w:p>
        </w:tc>
        <w:tc>
          <w:tcPr>
            <w:tcW w:w="4677" w:type="dxa"/>
          </w:tcPr>
          <w:p w14:paraId="633D0F04" w14:textId="77777777" w:rsidR="00531E80" w:rsidRPr="00D126AB" w:rsidRDefault="00531E80" w:rsidP="002232F4">
            <w:pPr>
              <w:rPr>
                <w:rFonts w:cstheme="minorHAnsi"/>
              </w:rPr>
            </w:pPr>
            <w:r w:rsidRPr="00D126AB">
              <w:rPr>
                <w:rFonts w:cstheme="minorHAnsi"/>
              </w:rPr>
              <w:t>Executive Director, Pacific Health Service Hutt Valley</w:t>
            </w:r>
          </w:p>
        </w:tc>
      </w:tr>
      <w:tr w:rsidR="00531E80" w:rsidRPr="00D126AB" w14:paraId="1847A684" w14:textId="77777777" w:rsidTr="002232F4">
        <w:tc>
          <w:tcPr>
            <w:tcW w:w="2122" w:type="dxa"/>
          </w:tcPr>
          <w:p w14:paraId="1E417AB9" w14:textId="77777777" w:rsidR="00531E80" w:rsidRPr="00D126AB" w:rsidRDefault="00531E80" w:rsidP="002232F4">
            <w:pPr>
              <w:rPr>
                <w:rFonts w:cstheme="minorHAnsi"/>
              </w:rPr>
            </w:pPr>
            <w:r w:rsidRPr="00D126AB">
              <w:rPr>
                <w:rFonts w:cstheme="minorHAnsi"/>
              </w:rPr>
              <w:t xml:space="preserve">Rachel </w:t>
            </w:r>
            <w:proofErr w:type="spellStart"/>
            <w:r w:rsidRPr="00D126AB">
              <w:rPr>
                <w:rFonts w:cstheme="minorHAnsi"/>
              </w:rPr>
              <w:t>Karalus</w:t>
            </w:r>
            <w:proofErr w:type="spellEnd"/>
          </w:p>
        </w:tc>
        <w:tc>
          <w:tcPr>
            <w:tcW w:w="4677" w:type="dxa"/>
          </w:tcPr>
          <w:p w14:paraId="510DC4E7" w14:textId="77777777" w:rsidR="00531E80" w:rsidRPr="00D126AB" w:rsidRDefault="00531E80" w:rsidP="002232F4">
            <w:pPr>
              <w:rPr>
                <w:rFonts w:cstheme="minorHAnsi"/>
              </w:rPr>
            </w:pPr>
            <w:r w:rsidRPr="00D126AB">
              <w:rPr>
                <w:rFonts w:cstheme="minorHAnsi"/>
              </w:rPr>
              <w:t xml:space="preserve">CEO, </w:t>
            </w:r>
            <w:proofErr w:type="spellStart"/>
            <w:r w:rsidRPr="00D126AB">
              <w:rPr>
                <w:rFonts w:cstheme="minorHAnsi"/>
              </w:rPr>
              <w:t>K’aute</w:t>
            </w:r>
            <w:proofErr w:type="spellEnd"/>
            <w:r w:rsidRPr="00D126AB">
              <w:rPr>
                <w:rFonts w:cstheme="minorHAnsi"/>
              </w:rPr>
              <w:t xml:space="preserve"> Pasifika Trust</w:t>
            </w:r>
          </w:p>
        </w:tc>
      </w:tr>
      <w:tr w:rsidR="00531E80" w:rsidRPr="00D126AB" w14:paraId="0FCB3833" w14:textId="77777777" w:rsidTr="002232F4">
        <w:tc>
          <w:tcPr>
            <w:tcW w:w="2122" w:type="dxa"/>
          </w:tcPr>
          <w:p w14:paraId="0FCBCC34" w14:textId="19D74182" w:rsidR="00531E80" w:rsidRPr="00D126AB" w:rsidRDefault="008A3617" w:rsidP="002232F4">
            <w:pPr>
              <w:rPr>
                <w:rFonts w:cstheme="minorHAnsi"/>
              </w:rPr>
            </w:pPr>
            <w:r>
              <w:rPr>
                <w:rFonts w:cstheme="minorHAnsi"/>
              </w:rPr>
              <w:t xml:space="preserve">Dr </w:t>
            </w:r>
            <w:r w:rsidR="00531E80" w:rsidRPr="00D126AB">
              <w:rPr>
                <w:rFonts w:cstheme="minorHAnsi"/>
              </w:rPr>
              <w:t xml:space="preserve">Siro </w:t>
            </w:r>
            <w:proofErr w:type="spellStart"/>
            <w:r w:rsidR="00531E80" w:rsidRPr="00D126AB">
              <w:rPr>
                <w:rFonts w:cstheme="minorHAnsi"/>
              </w:rPr>
              <w:t>Fuatai</w:t>
            </w:r>
            <w:proofErr w:type="spellEnd"/>
          </w:p>
        </w:tc>
        <w:tc>
          <w:tcPr>
            <w:tcW w:w="4677" w:type="dxa"/>
          </w:tcPr>
          <w:p w14:paraId="1865ADDA" w14:textId="77777777" w:rsidR="00531E80" w:rsidRPr="00D126AB" w:rsidRDefault="00531E80" w:rsidP="002232F4">
            <w:pPr>
              <w:rPr>
                <w:rFonts w:cstheme="minorHAnsi"/>
              </w:rPr>
            </w:pPr>
            <w:r w:rsidRPr="00D126AB">
              <w:rPr>
                <w:rFonts w:cstheme="minorHAnsi"/>
              </w:rPr>
              <w:t xml:space="preserve">Bader Drive Healthcare </w:t>
            </w:r>
          </w:p>
        </w:tc>
      </w:tr>
      <w:tr w:rsidR="00531E80" w:rsidRPr="00D126AB" w14:paraId="727DE361" w14:textId="77777777" w:rsidTr="00CB2121">
        <w:tc>
          <w:tcPr>
            <w:tcW w:w="2122" w:type="dxa"/>
            <w:tcBorders>
              <w:bottom w:val="single" w:sz="4" w:space="0" w:color="auto"/>
            </w:tcBorders>
          </w:tcPr>
          <w:p w14:paraId="0237B241" w14:textId="77777777" w:rsidR="00531E80" w:rsidRPr="00D126AB" w:rsidRDefault="00531E80" w:rsidP="002232F4">
            <w:pPr>
              <w:rPr>
                <w:rFonts w:cstheme="minorHAnsi"/>
              </w:rPr>
            </w:pPr>
            <w:r w:rsidRPr="00D126AB">
              <w:rPr>
                <w:rFonts w:cstheme="minorHAnsi"/>
              </w:rPr>
              <w:t>Tevita Funaki</w:t>
            </w:r>
          </w:p>
        </w:tc>
        <w:tc>
          <w:tcPr>
            <w:tcW w:w="4677" w:type="dxa"/>
            <w:tcBorders>
              <w:bottom w:val="single" w:sz="4" w:space="0" w:color="auto"/>
            </w:tcBorders>
          </w:tcPr>
          <w:p w14:paraId="2DBE2428" w14:textId="77777777" w:rsidR="00531E80" w:rsidRPr="00D126AB" w:rsidRDefault="00531E80" w:rsidP="002232F4">
            <w:pPr>
              <w:rPr>
                <w:rFonts w:cstheme="minorHAnsi"/>
              </w:rPr>
            </w:pPr>
            <w:r w:rsidRPr="00D126AB">
              <w:rPr>
                <w:rFonts w:cstheme="minorHAnsi"/>
              </w:rPr>
              <w:t xml:space="preserve">CEO, The </w:t>
            </w:r>
            <w:proofErr w:type="spellStart"/>
            <w:r w:rsidRPr="00D126AB">
              <w:rPr>
                <w:rFonts w:cstheme="minorHAnsi"/>
              </w:rPr>
              <w:t>Fono</w:t>
            </w:r>
            <w:proofErr w:type="spellEnd"/>
          </w:p>
        </w:tc>
      </w:tr>
      <w:tr w:rsidR="00531E80" w:rsidRPr="00D126AB" w14:paraId="6C48556D" w14:textId="77777777" w:rsidTr="00CB2121">
        <w:tc>
          <w:tcPr>
            <w:tcW w:w="2122" w:type="dxa"/>
            <w:tcBorders>
              <w:top w:val="single" w:sz="4" w:space="0" w:color="auto"/>
              <w:left w:val="single" w:sz="4" w:space="0" w:color="auto"/>
              <w:bottom w:val="single" w:sz="4" w:space="0" w:color="auto"/>
              <w:right w:val="single" w:sz="4" w:space="0" w:color="auto"/>
            </w:tcBorders>
          </w:tcPr>
          <w:p w14:paraId="6288F0B4" w14:textId="77777777" w:rsidR="00531E80" w:rsidRPr="00D126AB" w:rsidRDefault="00531E80" w:rsidP="002232F4">
            <w:pPr>
              <w:rPr>
                <w:rFonts w:cstheme="minorHAnsi"/>
              </w:rPr>
            </w:pPr>
            <w:r w:rsidRPr="00D126AB">
              <w:rPr>
                <w:rFonts w:cstheme="minorHAnsi"/>
              </w:rPr>
              <w:t>Danilo Coelho de Almeida</w:t>
            </w:r>
          </w:p>
        </w:tc>
        <w:tc>
          <w:tcPr>
            <w:tcW w:w="4677" w:type="dxa"/>
            <w:tcBorders>
              <w:top w:val="single" w:sz="4" w:space="0" w:color="auto"/>
              <w:left w:val="single" w:sz="4" w:space="0" w:color="auto"/>
              <w:bottom w:val="single" w:sz="4" w:space="0" w:color="auto"/>
              <w:right w:val="single" w:sz="4" w:space="0" w:color="auto"/>
            </w:tcBorders>
          </w:tcPr>
          <w:p w14:paraId="3A871BF5" w14:textId="77777777" w:rsidR="00531E80" w:rsidRPr="00D126AB" w:rsidRDefault="00531E80" w:rsidP="002232F4">
            <w:pPr>
              <w:rPr>
                <w:rFonts w:cstheme="minorHAnsi"/>
              </w:rPr>
            </w:pPr>
            <w:r w:rsidRPr="00D126AB">
              <w:rPr>
                <w:rFonts w:cstheme="minorHAnsi"/>
              </w:rPr>
              <w:t>Senior Portfolio Manager, Pacific Health</w:t>
            </w:r>
          </w:p>
        </w:tc>
      </w:tr>
    </w:tbl>
    <w:p w14:paraId="3887CDB7" w14:textId="77777777" w:rsidR="00DC156A" w:rsidRDefault="00DC156A">
      <w:pPr>
        <w:rPr>
          <w:rFonts w:cstheme="minorHAnsi"/>
        </w:rPr>
      </w:pPr>
    </w:p>
    <w:p w14:paraId="2356C6BE" w14:textId="19990855" w:rsidR="00531E80" w:rsidRPr="00D126AB" w:rsidRDefault="00CB2121">
      <w:pPr>
        <w:rPr>
          <w:rFonts w:cstheme="minorHAnsi"/>
        </w:rPr>
      </w:pPr>
      <w:r>
        <w:rPr>
          <w:rFonts w:cstheme="minorHAnsi"/>
        </w:rPr>
        <w:t xml:space="preserve">Steering Committee </w:t>
      </w:r>
      <w:r w:rsidR="005B61FD" w:rsidRPr="00D126AB">
        <w:rPr>
          <w:rFonts w:cstheme="minorHAnsi"/>
        </w:rPr>
        <w:t xml:space="preserve">Members bring a range of perspectives from small, medium and large Pacific health providers, and insights from across Aotearoa New Zealand.  </w:t>
      </w:r>
      <w:r w:rsidR="005B61FD">
        <w:rPr>
          <w:rFonts w:cstheme="minorHAnsi"/>
        </w:rPr>
        <w:t xml:space="preserve"> In </w:t>
      </w:r>
      <w:r>
        <w:rPr>
          <w:rFonts w:cstheme="minorHAnsi"/>
        </w:rPr>
        <w:t>addition,</w:t>
      </w:r>
      <w:r w:rsidR="005B61FD">
        <w:rPr>
          <w:rFonts w:cstheme="minorHAnsi"/>
        </w:rPr>
        <w:t xml:space="preserve"> m</w:t>
      </w:r>
      <w:r w:rsidR="00531E80" w:rsidRPr="00D126AB">
        <w:rPr>
          <w:rFonts w:cstheme="minorHAnsi"/>
        </w:rPr>
        <w:t xml:space="preserve">embers were selected based on their experience </w:t>
      </w:r>
      <w:r w:rsidR="008A3617">
        <w:rPr>
          <w:rFonts w:cstheme="minorHAnsi"/>
        </w:rPr>
        <w:t xml:space="preserve">and involvement </w:t>
      </w:r>
      <w:r w:rsidR="00531E80" w:rsidRPr="00D126AB">
        <w:rPr>
          <w:rFonts w:cstheme="minorHAnsi"/>
        </w:rPr>
        <w:t>in the Pacific health sector</w:t>
      </w:r>
      <w:r w:rsidR="00126A60">
        <w:rPr>
          <w:rFonts w:cstheme="minorHAnsi"/>
        </w:rPr>
        <w:t xml:space="preserve">, as well as a </w:t>
      </w:r>
      <w:r w:rsidR="008B69DC" w:rsidRPr="00D126AB">
        <w:rPr>
          <w:rFonts w:cstheme="minorHAnsi"/>
        </w:rPr>
        <w:t xml:space="preserve">providers’ perspective and insights, </w:t>
      </w:r>
      <w:r w:rsidR="00F628C4" w:rsidRPr="00D126AB">
        <w:rPr>
          <w:rFonts w:cstheme="minorHAnsi"/>
        </w:rPr>
        <w:t xml:space="preserve">we also had Ministry and DHB personnel as part of the Committee. </w:t>
      </w:r>
    </w:p>
    <w:p w14:paraId="4E56FDF2" w14:textId="5E686DBC" w:rsidR="001155EE" w:rsidRPr="00D126AB" w:rsidRDefault="001155EE" w:rsidP="008B5691">
      <w:pPr>
        <w:pStyle w:val="Heading2"/>
      </w:pPr>
      <w:r w:rsidRPr="00D126AB">
        <w:t xml:space="preserve">When will the </w:t>
      </w:r>
      <w:r w:rsidR="00CE59F3" w:rsidRPr="00D126AB">
        <w:t xml:space="preserve">PPDF </w:t>
      </w:r>
      <w:r w:rsidRPr="00D126AB">
        <w:t>process be reviewed again?</w:t>
      </w:r>
    </w:p>
    <w:p w14:paraId="022B707A" w14:textId="2567A361" w:rsidR="001B6FCE" w:rsidRPr="00D126AB" w:rsidRDefault="00F628C4">
      <w:pPr>
        <w:rPr>
          <w:rFonts w:cstheme="minorHAnsi"/>
        </w:rPr>
      </w:pPr>
      <w:r w:rsidRPr="00D126AB">
        <w:rPr>
          <w:rFonts w:cstheme="minorHAnsi"/>
        </w:rPr>
        <w:t xml:space="preserve">At this stage, we are planning to review the process </w:t>
      </w:r>
      <w:r w:rsidR="00247DA9" w:rsidRPr="00D126AB">
        <w:rPr>
          <w:rFonts w:cstheme="minorHAnsi"/>
        </w:rPr>
        <w:t>following the 2021/22 PPDF round.  Th</w:t>
      </w:r>
      <w:r w:rsidR="00D42E2A" w:rsidRPr="00D126AB">
        <w:rPr>
          <w:rFonts w:cstheme="minorHAnsi"/>
        </w:rPr>
        <w:t xml:space="preserve">is will be </w:t>
      </w:r>
      <w:r w:rsidR="00CE59F3" w:rsidRPr="00D126AB">
        <w:rPr>
          <w:rFonts w:cstheme="minorHAnsi"/>
        </w:rPr>
        <w:t>a Ministry conducted</w:t>
      </w:r>
      <w:r w:rsidR="00D42E2A" w:rsidRPr="00D126AB">
        <w:rPr>
          <w:rFonts w:cstheme="minorHAnsi"/>
        </w:rPr>
        <w:t xml:space="preserve"> review to gain a better understanding of what worked well and what could be </w:t>
      </w:r>
      <w:r w:rsidR="00D42E2A" w:rsidRPr="00D126AB">
        <w:rPr>
          <w:rFonts w:cstheme="minorHAnsi"/>
        </w:rPr>
        <w:lastRenderedPageBreak/>
        <w:t>improved</w:t>
      </w:r>
      <w:r w:rsidR="00CE59F3" w:rsidRPr="00D126AB">
        <w:rPr>
          <w:rFonts w:cstheme="minorHAnsi"/>
        </w:rPr>
        <w:t xml:space="preserve"> in the process</w:t>
      </w:r>
      <w:r w:rsidR="00D42E2A" w:rsidRPr="00D126AB">
        <w:rPr>
          <w:rFonts w:cstheme="minorHAnsi"/>
        </w:rPr>
        <w:t>.  We plan to release a survey to applicants once the round is closed to gain insights.</w:t>
      </w:r>
    </w:p>
    <w:p w14:paraId="62D2F5CB" w14:textId="35322959" w:rsidR="001B6FCE" w:rsidRPr="00D126AB" w:rsidRDefault="0018310D" w:rsidP="008B5691">
      <w:pPr>
        <w:pStyle w:val="Heading2"/>
      </w:pPr>
      <w:r w:rsidRPr="00D126AB">
        <w:t xml:space="preserve">Some activities which were previously funded via PPDF, no longer qualify (e.g. </w:t>
      </w:r>
      <w:r w:rsidR="0039338E" w:rsidRPr="00D126AB">
        <w:t>purchase of vehicles, attending conference).  What is the rationale for the exclusion?</w:t>
      </w:r>
    </w:p>
    <w:p w14:paraId="5EDB7D6D" w14:textId="1EE154AF" w:rsidR="0039338E" w:rsidRDefault="0039338E">
      <w:pPr>
        <w:rPr>
          <w:rFonts w:cstheme="minorHAnsi"/>
        </w:rPr>
      </w:pPr>
      <w:r w:rsidRPr="00D126AB">
        <w:rPr>
          <w:rFonts w:cstheme="minorHAnsi"/>
        </w:rPr>
        <w:t xml:space="preserve">The activities in the exclusion list have been identified as </w:t>
      </w:r>
      <w:r w:rsidR="00C77A6D" w:rsidRPr="00D126AB">
        <w:rPr>
          <w:rFonts w:cstheme="minorHAnsi"/>
        </w:rPr>
        <w:t>activities</w:t>
      </w:r>
      <w:r w:rsidRPr="00D126AB">
        <w:rPr>
          <w:rFonts w:cstheme="minorHAnsi"/>
        </w:rPr>
        <w:t xml:space="preserve"> which will not support provider capacity and capability in the long term.  </w:t>
      </w:r>
    </w:p>
    <w:p w14:paraId="457A9311" w14:textId="77777777" w:rsidR="00CB2121" w:rsidRDefault="00CB2121">
      <w:pPr>
        <w:rPr>
          <w:rFonts w:cstheme="minorHAnsi"/>
        </w:rPr>
      </w:pPr>
    </w:p>
    <w:p w14:paraId="5F5BF3B6" w14:textId="7495504D" w:rsidR="00AB6B5F" w:rsidRPr="00C06322" w:rsidRDefault="00416B3D" w:rsidP="008B5691">
      <w:pPr>
        <w:pStyle w:val="Heading2"/>
      </w:pPr>
      <w:r>
        <w:t xml:space="preserve">The only fund I receive is from </w:t>
      </w:r>
      <w:r w:rsidR="00AB6B5F" w:rsidRPr="00C06322">
        <w:t xml:space="preserve">the Ministry </w:t>
      </w:r>
      <w:r>
        <w:t xml:space="preserve">of Health </w:t>
      </w:r>
      <w:r w:rsidR="00C06322" w:rsidRPr="00C06322">
        <w:t xml:space="preserve">to deliver community innovation services and/or </w:t>
      </w:r>
      <w:r>
        <w:t xml:space="preserve">I </w:t>
      </w:r>
      <w:r w:rsidR="00C06322" w:rsidRPr="00C06322">
        <w:t>receive funds via COVID19 Pacific support.  Do I qualify for PPDF?</w:t>
      </w:r>
    </w:p>
    <w:p w14:paraId="3EEEF81D" w14:textId="28B7D43B" w:rsidR="00C06322" w:rsidRDefault="002307AE">
      <w:pPr>
        <w:rPr>
          <w:rFonts w:cstheme="minorHAnsi"/>
        </w:rPr>
      </w:pPr>
      <w:r>
        <w:rPr>
          <w:rFonts w:cstheme="minorHAnsi"/>
        </w:rPr>
        <w:t>No</w:t>
      </w:r>
      <w:r w:rsidR="00B351A1">
        <w:rPr>
          <w:rFonts w:cstheme="minorHAnsi"/>
        </w:rPr>
        <w:t xml:space="preserve">, only Pacific health providers which have as a core business the delivery of Health services for Pacific communities qualify for PPDF. </w:t>
      </w:r>
    </w:p>
    <w:p w14:paraId="00446504" w14:textId="525B1AAB" w:rsidR="00643C51" w:rsidRDefault="00643C51" w:rsidP="008B5691">
      <w:pPr>
        <w:pStyle w:val="Heading2"/>
      </w:pPr>
      <w:r w:rsidRPr="00643C51">
        <w:t xml:space="preserve">What </w:t>
      </w:r>
      <w:r>
        <w:t xml:space="preserve">would qualify as a </w:t>
      </w:r>
      <w:r w:rsidR="00AD1084">
        <w:t>PPDF project?</w:t>
      </w:r>
    </w:p>
    <w:p w14:paraId="0C1B04C4" w14:textId="78D07F99" w:rsidR="00AD1084" w:rsidRDefault="00833C06">
      <w:pPr>
        <w:rPr>
          <w:rFonts w:cstheme="minorHAnsi"/>
          <w:color w:val="202124"/>
          <w:shd w:val="clear" w:color="auto" w:fill="FFFFFF"/>
        </w:rPr>
      </w:pPr>
      <w:r w:rsidRPr="001B7419">
        <w:rPr>
          <w:rFonts w:cstheme="minorHAnsi"/>
        </w:rPr>
        <w:t>A project is a time</w:t>
      </w:r>
      <w:r w:rsidR="00E976EE">
        <w:rPr>
          <w:rFonts w:cstheme="minorHAnsi"/>
        </w:rPr>
        <w:t>-</w:t>
      </w:r>
      <w:r w:rsidR="001B7419" w:rsidRPr="001B7419">
        <w:rPr>
          <w:rFonts w:cstheme="minorHAnsi"/>
        </w:rPr>
        <w:t>limited series of tasks which must be completed in order to achieve a</w:t>
      </w:r>
      <w:r w:rsidR="0099699F">
        <w:rPr>
          <w:rFonts w:cstheme="minorHAnsi"/>
        </w:rPr>
        <w:t xml:space="preserve"> desirable</w:t>
      </w:r>
      <w:r w:rsidR="001B7419" w:rsidRPr="001B7419">
        <w:rPr>
          <w:rFonts w:cstheme="minorHAnsi"/>
        </w:rPr>
        <w:t xml:space="preserve"> outcome.</w:t>
      </w:r>
      <w:r w:rsidR="001B7419" w:rsidRPr="001B7419">
        <w:rPr>
          <w:rFonts w:cstheme="minorHAnsi"/>
          <w:color w:val="202124"/>
          <w:shd w:val="clear" w:color="auto" w:fill="FFFFFF"/>
        </w:rPr>
        <w:t xml:space="preserve"> For example</w:t>
      </w:r>
      <w:r w:rsidR="00E55C25">
        <w:rPr>
          <w:rFonts w:cstheme="minorHAnsi"/>
          <w:color w:val="202124"/>
          <w:shd w:val="clear" w:color="auto" w:fill="FFFFFF"/>
        </w:rPr>
        <w:t>:</w:t>
      </w:r>
    </w:p>
    <w:p w14:paraId="23AE58F8" w14:textId="1B300B5C" w:rsidR="00FA2C87" w:rsidRDefault="00FA2C87" w:rsidP="00E55C25">
      <w:pPr>
        <w:pStyle w:val="ListParagraph"/>
        <w:numPr>
          <w:ilvl w:val="0"/>
          <w:numId w:val="5"/>
        </w:numPr>
        <w:rPr>
          <w:rFonts w:cstheme="minorHAnsi"/>
        </w:rPr>
      </w:pPr>
      <w:r>
        <w:rPr>
          <w:rFonts w:cstheme="minorHAnsi"/>
        </w:rPr>
        <w:t xml:space="preserve">After doing the </w:t>
      </w:r>
      <w:r w:rsidR="001F1D1C">
        <w:rPr>
          <w:rFonts w:cstheme="minorHAnsi"/>
        </w:rPr>
        <w:t>self-assessment</w:t>
      </w:r>
      <w:r>
        <w:rPr>
          <w:rFonts w:cstheme="minorHAnsi"/>
        </w:rPr>
        <w:t xml:space="preserve"> tool, it was identified that </w:t>
      </w:r>
      <w:r w:rsidR="00D127B9">
        <w:rPr>
          <w:rFonts w:cstheme="minorHAnsi"/>
        </w:rPr>
        <w:t>Recruitment, Development and Retention of General Staff</w:t>
      </w:r>
      <w:r w:rsidR="001F1D1C">
        <w:rPr>
          <w:rFonts w:cstheme="minorHAnsi"/>
        </w:rPr>
        <w:t xml:space="preserve"> (Section </w:t>
      </w:r>
      <w:r w:rsidR="00396091">
        <w:rPr>
          <w:rFonts w:cstheme="minorHAnsi"/>
        </w:rPr>
        <w:t>4.01)</w:t>
      </w:r>
      <w:r w:rsidR="00D127B9">
        <w:rPr>
          <w:rFonts w:cstheme="minorHAnsi"/>
        </w:rPr>
        <w:t xml:space="preserve"> needs development</w:t>
      </w:r>
      <w:r w:rsidR="00CA0A61">
        <w:rPr>
          <w:rFonts w:cstheme="minorHAnsi"/>
        </w:rPr>
        <w:t xml:space="preserve"> (</w:t>
      </w:r>
      <w:r w:rsidR="00396091">
        <w:rPr>
          <w:rFonts w:cstheme="minorHAnsi"/>
        </w:rPr>
        <w:t>C</w:t>
      </w:r>
      <w:r w:rsidR="00CA0A61">
        <w:rPr>
          <w:rFonts w:cstheme="minorHAnsi"/>
        </w:rPr>
        <w:t>urrently at level one</w:t>
      </w:r>
      <w:r w:rsidR="00396091">
        <w:rPr>
          <w:rFonts w:cstheme="minorHAnsi"/>
        </w:rPr>
        <w:t xml:space="preserve"> – clear need for increased capacity</w:t>
      </w:r>
      <w:r w:rsidR="00CA0A61">
        <w:rPr>
          <w:rFonts w:cstheme="minorHAnsi"/>
        </w:rPr>
        <w:t>).</w:t>
      </w:r>
    </w:p>
    <w:p w14:paraId="0A46B52D" w14:textId="77777777" w:rsidR="00CA0A61" w:rsidRDefault="00CA0A61" w:rsidP="00CA0A61">
      <w:pPr>
        <w:pStyle w:val="ListParagraph"/>
        <w:rPr>
          <w:rFonts w:cstheme="minorHAnsi"/>
        </w:rPr>
      </w:pPr>
    </w:p>
    <w:p w14:paraId="46D97115" w14:textId="239CCC94" w:rsidR="006A757C" w:rsidRDefault="00D127B9" w:rsidP="00E55C25">
      <w:pPr>
        <w:pStyle w:val="ListParagraph"/>
        <w:numPr>
          <w:ilvl w:val="0"/>
          <w:numId w:val="5"/>
        </w:numPr>
        <w:rPr>
          <w:rFonts w:cstheme="minorHAnsi"/>
        </w:rPr>
      </w:pPr>
      <w:r>
        <w:rPr>
          <w:rFonts w:cstheme="minorHAnsi"/>
        </w:rPr>
        <w:t xml:space="preserve">The desired </w:t>
      </w:r>
      <w:r w:rsidR="00862645">
        <w:rPr>
          <w:rFonts w:cstheme="minorHAnsi"/>
        </w:rPr>
        <w:t>outcome</w:t>
      </w:r>
      <w:r>
        <w:rPr>
          <w:rFonts w:cstheme="minorHAnsi"/>
        </w:rPr>
        <w:t xml:space="preserve"> is to </w:t>
      </w:r>
      <w:r w:rsidR="006A757C">
        <w:rPr>
          <w:rFonts w:cstheme="minorHAnsi"/>
        </w:rPr>
        <w:t>support staff development via training and a well targeted plan</w:t>
      </w:r>
      <w:r w:rsidR="00A730F3">
        <w:rPr>
          <w:rFonts w:cstheme="minorHAnsi"/>
        </w:rPr>
        <w:t xml:space="preserve"> over a 12-month period</w:t>
      </w:r>
      <w:r w:rsidR="00396091">
        <w:rPr>
          <w:rFonts w:cstheme="minorHAnsi"/>
        </w:rPr>
        <w:t xml:space="preserve"> and move </w:t>
      </w:r>
      <w:r w:rsidR="00CA0A61">
        <w:rPr>
          <w:rFonts w:cstheme="minorHAnsi"/>
        </w:rPr>
        <w:t xml:space="preserve">to </w:t>
      </w:r>
      <w:r w:rsidR="00396091">
        <w:rPr>
          <w:rFonts w:cstheme="minorHAnsi"/>
        </w:rPr>
        <w:t xml:space="preserve">at least </w:t>
      </w:r>
      <w:r w:rsidR="00CA0A61">
        <w:rPr>
          <w:rFonts w:cstheme="minorHAnsi"/>
        </w:rPr>
        <w:t>capacity level two (Basic)</w:t>
      </w:r>
      <w:r w:rsidR="00396091">
        <w:rPr>
          <w:rFonts w:cstheme="minorHAnsi"/>
        </w:rPr>
        <w:t>.</w:t>
      </w:r>
    </w:p>
    <w:p w14:paraId="6591E4CE" w14:textId="77777777" w:rsidR="00CA0A61" w:rsidRPr="00CA0A61" w:rsidRDefault="00CA0A61" w:rsidP="00CA0A61">
      <w:pPr>
        <w:pStyle w:val="ListParagraph"/>
        <w:rPr>
          <w:rFonts w:cstheme="minorHAnsi"/>
        </w:rPr>
      </w:pPr>
    </w:p>
    <w:p w14:paraId="6A543330" w14:textId="5E301D38" w:rsidR="00EB531C" w:rsidRDefault="000664B1" w:rsidP="00E55C25">
      <w:pPr>
        <w:pStyle w:val="ListParagraph"/>
        <w:numPr>
          <w:ilvl w:val="0"/>
          <w:numId w:val="5"/>
        </w:numPr>
        <w:rPr>
          <w:rFonts w:cstheme="minorHAnsi"/>
        </w:rPr>
      </w:pPr>
      <w:r>
        <w:rPr>
          <w:rFonts w:cstheme="minorHAnsi"/>
        </w:rPr>
        <w:t xml:space="preserve"> </w:t>
      </w:r>
      <w:r w:rsidR="00E55C25">
        <w:rPr>
          <w:rFonts w:cstheme="minorHAnsi"/>
        </w:rPr>
        <w:t xml:space="preserve"> </w:t>
      </w:r>
      <w:r w:rsidR="00A730F3">
        <w:rPr>
          <w:rFonts w:cstheme="minorHAnsi"/>
        </w:rPr>
        <w:t>Tasks</w:t>
      </w:r>
      <w:r w:rsidR="000A030F">
        <w:rPr>
          <w:rFonts w:cstheme="minorHAnsi"/>
        </w:rPr>
        <w:t xml:space="preserve"> </w:t>
      </w:r>
      <w:r w:rsidR="00396091">
        <w:rPr>
          <w:rFonts w:cstheme="minorHAnsi"/>
        </w:rPr>
        <w:t xml:space="preserve">to move to level two </w:t>
      </w:r>
      <w:r w:rsidR="000A030F">
        <w:rPr>
          <w:rFonts w:cstheme="minorHAnsi"/>
        </w:rPr>
        <w:t>may</w:t>
      </w:r>
      <w:r w:rsidR="00A730F3">
        <w:rPr>
          <w:rFonts w:cstheme="minorHAnsi"/>
        </w:rPr>
        <w:t xml:space="preserve"> include</w:t>
      </w:r>
      <w:r w:rsidR="00EB531C">
        <w:rPr>
          <w:rFonts w:cstheme="minorHAnsi"/>
        </w:rPr>
        <w:t>:</w:t>
      </w:r>
    </w:p>
    <w:p w14:paraId="34ADCD91" w14:textId="77777777" w:rsidR="000E27A7" w:rsidRPr="000E27A7" w:rsidRDefault="000E27A7" w:rsidP="000E27A7">
      <w:pPr>
        <w:pStyle w:val="ListParagraph"/>
        <w:rPr>
          <w:rFonts w:cstheme="minorHAnsi"/>
        </w:rPr>
      </w:pPr>
    </w:p>
    <w:p w14:paraId="71BBF775" w14:textId="68240EC0" w:rsidR="00E55C25" w:rsidRDefault="000E27A7" w:rsidP="00EB531C">
      <w:pPr>
        <w:pStyle w:val="ListParagraph"/>
        <w:numPr>
          <w:ilvl w:val="1"/>
          <w:numId w:val="5"/>
        </w:numPr>
        <w:rPr>
          <w:rFonts w:cstheme="minorHAnsi"/>
        </w:rPr>
      </w:pPr>
      <w:r>
        <w:rPr>
          <w:rFonts w:cstheme="minorHAnsi"/>
        </w:rPr>
        <w:t xml:space="preserve">Engagement of </w:t>
      </w:r>
      <w:r w:rsidR="00CA0A61">
        <w:rPr>
          <w:rFonts w:cstheme="minorHAnsi"/>
        </w:rPr>
        <w:t>c</w:t>
      </w:r>
      <w:r w:rsidR="000A030F">
        <w:rPr>
          <w:rFonts w:cstheme="minorHAnsi"/>
        </w:rPr>
        <w:t xml:space="preserve">ontractor to </w:t>
      </w:r>
      <w:r w:rsidR="00EB531C">
        <w:rPr>
          <w:rFonts w:cstheme="minorHAnsi"/>
        </w:rPr>
        <w:t>review of current staff development policy</w:t>
      </w:r>
      <w:r w:rsidR="00E72231">
        <w:rPr>
          <w:rFonts w:cstheme="minorHAnsi"/>
        </w:rPr>
        <w:t xml:space="preserve"> (including career path</w:t>
      </w:r>
      <w:r>
        <w:rPr>
          <w:rFonts w:cstheme="minorHAnsi"/>
        </w:rPr>
        <w:t>way</w:t>
      </w:r>
      <w:r w:rsidR="00E72231">
        <w:rPr>
          <w:rFonts w:cstheme="minorHAnsi"/>
        </w:rPr>
        <w:t>)</w:t>
      </w:r>
      <w:r w:rsidR="000A030F">
        <w:rPr>
          <w:rFonts w:cstheme="minorHAnsi"/>
        </w:rPr>
        <w:t>,</w:t>
      </w:r>
      <w:r w:rsidR="00EB531C">
        <w:rPr>
          <w:rFonts w:cstheme="minorHAnsi"/>
        </w:rPr>
        <w:t xml:space="preserve"> </w:t>
      </w:r>
      <w:r w:rsidR="00E72231">
        <w:rPr>
          <w:rFonts w:cstheme="minorHAnsi"/>
        </w:rPr>
        <w:t>and staff</w:t>
      </w:r>
      <w:r w:rsidR="00396091">
        <w:rPr>
          <w:rFonts w:cstheme="minorHAnsi"/>
        </w:rPr>
        <w:t xml:space="preserve"> performance</w:t>
      </w:r>
      <w:r w:rsidR="00E72231">
        <w:rPr>
          <w:rFonts w:cstheme="minorHAnsi"/>
        </w:rPr>
        <w:t xml:space="preserve"> </w:t>
      </w:r>
      <w:r w:rsidR="00EB531C">
        <w:rPr>
          <w:rFonts w:cstheme="minorHAnsi"/>
        </w:rPr>
        <w:t>development plan,</w:t>
      </w:r>
    </w:p>
    <w:p w14:paraId="4CF207D9" w14:textId="1E96760A" w:rsidR="00EB531C" w:rsidRDefault="00EB531C" w:rsidP="00EB531C">
      <w:pPr>
        <w:pStyle w:val="ListParagraph"/>
        <w:numPr>
          <w:ilvl w:val="1"/>
          <w:numId w:val="5"/>
        </w:numPr>
        <w:rPr>
          <w:rFonts w:cstheme="minorHAnsi"/>
        </w:rPr>
      </w:pPr>
      <w:r>
        <w:rPr>
          <w:rFonts w:cstheme="minorHAnsi"/>
        </w:rPr>
        <w:t xml:space="preserve">meet with </w:t>
      </w:r>
      <w:r w:rsidR="008F0227">
        <w:rPr>
          <w:rFonts w:cstheme="minorHAnsi"/>
        </w:rPr>
        <w:t xml:space="preserve">individual </w:t>
      </w:r>
      <w:r>
        <w:rPr>
          <w:rFonts w:cstheme="minorHAnsi"/>
        </w:rPr>
        <w:t xml:space="preserve">staff </w:t>
      </w:r>
      <w:r w:rsidR="00646033">
        <w:rPr>
          <w:rFonts w:cstheme="minorHAnsi"/>
        </w:rPr>
        <w:t xml:space="preserve">to discuss </w:t>
      </w:r>
      <w:r w:rsidR="00935B5F">
        <w:rPr>
          <w:rFonts w:cstheme="minorHAnsi"/>
        </w:rPr>
        <w:t>their</w:t>
      </w:r>
      <w:r w:rsidR="00CA0A61">
        <w:rPr>
          <w:rFonts w:cstheme="minorHAnsi"/>
        </w:rPr>
        <w:t xml:space="preserve"> career aspirations and</w:t>
      </w:r>
      <w:r w:rsidR="00935B5F">
        <w:rPr>
          <w:rFonts w:cstheme="minorHAnsi"/>
        </w:rPr>
        <w:t xml:space="preserve"> development plan</w:t>
      </w:r>
      <w:r w:rsidR="00CA0A61">
        <w:rPr>
          <w:rFonts w:cstheme="minorHAnsi"/>
        </w:rPr>
        <w:t xml:space="preserve"> (this may include support of a contractor with the aim of upskilling the organisation to </w:t>
      </w:r>
      <w:r w:rsidR="00396091">
        <w:rPr>
          <w:rFonts w:cstheme="minorHAnsi"/>
        </w:rPr>
        <w:t xml:space="preserve">do it on </w:t>
      </w:r>
      <w:r w:rsidR="000E27A7">
        <w:rPr>
          <w:rFonts w:cstheme="minorHAnsi"/>
        </w:rPr>
        <w:t>an</w:t>
      </w:r>
      <w:r w:rsidR="00396091">
        <w:rPr>
          <w:rFonts w:cstheme="minorHAnsi"/>
        </w:rPr>
        <w:t xml:space="preserve"> ongoing basis),</w:t>
      </w:r>
      <w:r w:rsidR="009C379F">
        <w:rPr>
          <w:rFonts w:cstheme="minorHAnsi"/>
        </w:rPr>
        <w:t xml:space="preserve"> how does the staff development plan link</w:t>
      </w:r>
      <w:r w:rsidR="006E64A1">
        <w:rPr>
          <w:rFonts w:cstheme="minorHAnsi"/>
        </w:rPr>
        <w:t xml:space="preserve">s with the organisation’s overall strategy and mission (note that </w:t>
      </w:r>
      <w:r w:rsidR="00180C89">
        <w:rPr>
          <w:rFonts w:cstheme="minorHAnsi"/>
        </w:rPr>
        <w:t>PPDF support may be required to address these areas, section 2.01 and 2.02</w:t>
      </w:r>
      <w:r w:rsidR="006C0653">
        <w:rPr>
          <w:rFonts w:cstheme="minorHAnsi"/>
        </w:rPr>
        <w:t xml:space="preserve"> – if development needed, this can be listed as a separate PPDF project</w:t>
      </w:r>
      <w:r w:rsidR="00180C89">
        <w:rPr>
          <w:rFonts w:cstheme="minorHAnsi"/>
        </w:rPr>
        <w:t>)</w:t>
      </w:r>
      <w:r w:rsidR="006C0653">
        <w:rPr>
          <w:rFonts w:cstheme="minorHAnsi"/>
        </w:rPr>
        <w:t>,</w:t>
      </w:r>
    </w:p>
    <w:p w14:paraId="4B86EA7F" w14:textId="665EF5A2" w:rsidR="000E27A7" w:rsidRPr="000E27A7" w:rsidRDefault="00935B5F" w:rsidP="000E27A7">
      <w:pPr>
        <w:pStyle w:val="ListParagraph"/>
        <w:numPr>
          <w:ilvl w:val="1"/>
          <w:numId w:val="5"/>
        </w:numPr>
        <w:rPr>
          <w:rFonts w:cstheme="minorHAnsi"/>
        </w:rPr>
      </w:pPr>
      <w:r>
        <w:rPr>
          <w:rFonts w:cstheme="minorHAnsi"/>
        </w:rPr>
        <w:t xml:space="preserve">agree to potential training / mentoring / support to allow for </w:t>
      </w:r>
      <w:r w:rsidR="00180C89">
        <w:rPr>
          <w:rFonts w:cstheme="minorHAnsi"/>
        </w:rPr>
        <w:t xml:space="preserve">staff </w:t>
      </w:r>
      <w:r>
        <w:rPr>
          <w:rFonts w:cstheme="minorHAnsi"/>
        </w:rPr>
        <w:t>development</w:t>
      </w:r>
      <w:r w:rsidR="00180C89">
        <w:rPr>
          <w:rFonts w:cstheme="minorHAnsi"/>
        </w:rPr>
        <w:t xml:space="preserve"> which meets the individual’s needs</w:t>
      </w:r>
      <w:r w:rsidR="006C0653">
        <w:rPr>
          <w:rFonts w:cstheme="minorHAnsi"/>
        </w:rPr>
        <w:t xml:space="preserve"> and organisational strategy</w:t>
      </w:r>
      <w:r w:rsidR="004748CF">
        <w:rPr>
          <w:rFonts w:cstheme="minorHAnsi"/>
        </w:rPr>
        <w:t xml:space="preserve"> (PPDF may be required to fund training)</w:t>
      </w:r>
      <w:r w:rsidR="000E27A7">
        <w:rPr>
          <w:rFonts w:cstheme="minorHAnsi"/>
        </w:rPr>
        <w:t>,</w:t>
      </w:r>
    </w:p>
    <w:p w14:paraId="243D58DF" w14:textId="77777777" w:rsidR="00974E43" w:rsidRDefault="008F0227" w:rsidP="00EB531C">
      <w:pPr>
        <w:pStyle w:val="ListParagraph"/>
        <w:numPr>
          <w:ilvl w:val="1"/>
          <w:numId w:val="5"/>
        </w:numPr>
        <w:rPr>
          <w:rFonts w:cstheme="minorHAnsi"/>
        </w:rPr>
      </w:pPr>
      <w:r>
        <w:rPr>
          <w:rFonts w:cstheme="minorHAnsi"/>
        </w:rPr>
        <w:t xml:space="preserve">review the individual staff development plan </w:t>
      </w:r>
      <w:r w:rsidR="000A030F">
        <w:rPr>
          <w:rFonts w:cstheme="minorHAnsi"/>
        </w:rPr>
        <w:t>after 12 months</w:t>
      </w:r>
      <w:r w:rsidR="004748CF">
        <w:rPr>
          <w:rFonts w:cstheme="minorHAnsi"/>
        </w:rPr>
        <w:t xml:space="preserve"> to find whether it has</w:t>
      </w:r>
      <w:r w:rsidR="00C0386D">
        <w:rPr>
          <w:rFonts w:cstheme="minorHAnsi"/>
        </w:rPr>
        <w:t xml:space="preserve"> supported the staff</w:t>
      </w:r>
      <w:r w:rsidR="004748CF">
        <w:rPr>
          <w:rFonts w:cstheme="minorHAnsi"/>
        </w:rPr>
        <w:t xml:space="preserve"> aspirations</w:t>
      </w:r>
      <w:r w:rsidR="00C0386D">
        <w:rPr>
          <w:rFonts w:cstheme="minorHAnsi"/>
        </w:rPr>
        <w:t xml:space="preserve"> and organisational </w:t>
      </w:r>
      <w:r w:rsidR="006C0653">
        <w:rPr>
          <w:rFonts w:cstheme="minorHAnsi"/>
        </w:rPr>
        <w:t>strategy.</w:t>
      </w:r>
      <w:r w:rsidR="004748CF">
        <w:rPr>
          <w:rFonts w:cstheme="minorHAnsi"/>
        </w:rPr>
        <w:t xml:space="preserve"> What could be improved in the process (a contractor may be engaged </w:t>
      </w:r>
      <w:r w:rsidR="00AA5992">
        <w:rPr>
          <w:rFonts w:cstheme="minorHAnsi"/>
        </w:rPr>
        <w:t>to review the process, and recommend potential improvements going forward).</w:t>
      </w:r>
    </w:p>
    <w:p w14:paraId="63511425" w14:textId="069C6DBC" w:rsidR="00974E43" w:rsidRDefault="00974E43" w:rsidP="008B5691">
      <w:pPr>
        <w:pStyle w:val="Heading2"/>
      </w:pPr>
      <w:r w:rsidRPr="00643C51">
        <w:t xml:space="preserve">What </w:t>
      </w:r>
      <w:r>
        <w:t xml:space="preserve">would </w:t>
      </w:r>
      <w:r w:rsidRPr="00974E43">
        <w:rPr>
          <w:u w:val="single"/>
        </w:rPr>
        <w:t>not</w:t>
      </w:r>
      <w:r>
        <w:t xml:space="preserve"> qualify as a PPDF</w:t>
      </w:r>
      <w:bookmarkStart w:id="0" w:name="_GoBack"/>
      <w:bookmarkEnd w:id="0"/>
      <w:r>
        <w:t xml:space="preserve"> project?</w:t>
      </w:r>
    </w:p>
    <w:p w14:paraId="3C68497D" w14:textId="4D568D6E" w:rsidR="00974E43" w:rsidRDefault="00974E43" w:rsidP="00974E43">
      <w:pPr>
        <w:rPr>
          <w:rFonts w:cstheme="minorHAnsi"/>
        </w:rPr>
      </w:pPr>
      <w:r>
        <w:rPr>
          <w:rFonts w:cstheme="minorHAnsi"/>
        </w:rPr>
        <w:t>Utilising the example above,</w:t>
      </w:r>
      <w:r w:rsidR="00B52FB0">
        <w:rPr>
          <w:rFonts w:cstheme="minorHAnsi"/>
        </w:rPr>
        <w:t xml:space="preserve"> some</w:t>
      </w:r>
      <w:r w:rsidR="00FB4EAF">
        <w:rPr>
          <w:rFonts w:cstheme="minorHAnsi"/>
        </w:rPr>
        <w:t xml:space="preserve"> requests would not qualify as project:</w:t>
      </w:r>
    </w:p>
    <w:p w14:paraId="0C7C8B82" w14:textId="6905EA00" w:rsidR="00FB4EAF" w:rsidRDefault="00FB4EAF" w:rsidP="00FB4EAF">
      <w:pPr>
        <w:pStyle w:val="ListParagraph"/>
        <w:numPr>
          <w:ilvl w:val="0"/>
          <w:numId w:val="5"/>
        </w:numPr>
        <w:rPr>
          <w:rFonts w:cstheme="minorHAnsi"/>
        </w:rPr>
      </w:pPr>
      <w:r>
        <w:rPr>
          <w:rFonts w:cstheme="minorHAnsi"/>
        </w:rPr>
        <w:t>Paying or topping up internal staff to</w:t>
      </w:r>
      <w:r w:rsidR="00EE553C">
        <w:rPr>
          <w:rFonts w:cstheme="minorHAnsi"/>
        </w:rPr>
        <w:t xml:space="preserve"> review and implement the </w:t>
      </w:r>
      <w:r w:rsidR="00BF4753">
        <w:rPr>
          <w:rFonts w:cstheme="minorHAnsi"/>
        </w:rPr>
        <w:t>work,</w:t>
      </w:r>
    </w:p>
    <w:p w14:paraId="1BE94794" w14:textId="4FAC34EA" w:rsidR="00EE553C" w:rsidRDefault="00EE553C" w:rsidP="00FB4EAF">
      <w:pPr>
        <w:pStyle w:val="ListParagraph"/>
        <w:numPr>
          <w:ilvl w:val="0"/>
          <w:numId w:val="5"/>
        </w:numPr>
        <w:rPr>
          <w:rFonts w:cstheme="minorHAnsi"/>
        </w:rPr>
      </w:pPr>
      <w:r>
        <w:rPr>
          <w:rFonts w:cstheme="minorHAnsi"/>
        </w:rPr>
        <w:t>Engaging a contract</w:t>
      </w:r>
      <w:r w:rsidR="003F0EBE">
        <w:rPr>
          <w:rFonts w:cstheme="minorHAnsi"/>
        </w:rPr>
        <w:t>or</w:t>
      </w:r>
      <w:r>
        <w:rPr>
          <w:rFonts w:cstheme="minorHAnsi"/>
        </w:rPr>
        <w:t xml:space="preserve"> for the whole 12 months as opposed to only the relevant milestones,</w:t>
      </w:r>
    </w:p>
    <w:p w14:paraId="68E1B67B" w14:textId="7228468A" w:rsidR="00EE553C" w:rsidRPr="00FB4EAF" w:rsidRDefault="00EE553C" w:rsidP="00FB4EAF">
      <w:pPr>
        <w:pStyle w:val="ListParagraph"/>
        <w:numPr>
          <w:ilvl w:val="0"/>
          <w:numId w:val="5"/>
        </w:numPr>
        <w:rPr>
          <w:rFonts w:cstheme="minorHAnsi"/>
        </w:rPr>
      </w:pPr>
      <w:r>
        <w:rPr>
          <w:rFonts w:cstheme="minorHAnsi"/>
        </w:rPr>
        <w:lastRenderedPageBreak/>
        <w:t>Ha</w:t>
      </w:r>
      <w:r w:rsidR="00EC12A6">
        <w:rPr>
          <w:rFonts w:cstheme="minorHAnsi"/>
        </w:rPr>
        <w:t xml:space="preserve">ve the contractor deliver the project without involvement from </w:t>
      </w:r>
      <w:r w:rsidR="00807B5C">
        <w:rPr>
          <w:rFonts w:cstheme="minorHAnsi"/>
        </w:rPr>
        <w:t xml:space="preserve">personnel from the organisation (i.e. no capability building to continue </w:t>
      </w:r>
      <w:r w:rsidR="00BF4753">
        <w:rPr>
          <w:rFonts w:cstheme="minorHAnsi"/>
        </w:rPr>
        <w:t>doing the work as part of BAU).</w:t>
      </w:r>
    </w:p>
    <w:sectPr w:rsidR="00EE553C" w:rsidRPr="00FB4EA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8BFA1" w14:textId="77777777" w:rsidR="00A636E5" w:rsidRDefault="00A636E5" w:rsidP="00A636E5">
      <w:pPr>
        <w:spacing w:after="0" w:line="240" w:lineRule="auto"/>
      </w:pPr>
      <w:r>
        <w:separator/>
      </w:r>
    </w:p>
  </w:endnote>
  <w:endnote w:type="continuationSeparator" w:id="0">
    <w:p w14:paraId="2149EBBC" w14:textId="77777777" w:rsidR="00A636E5" w:rsidRDefault="00A636E5" w:rsidP="00A6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3638" w14:textId="77777777" w:rsidR="00BF7CFA" w:rsidRDefault="00BF7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F348" w14:textId="77777777" w:rsidR="00BF7CFA" w:rsidRDefault="00BF7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C9FC" w14:textId="77777777" w:rsidR="00BF7CFA" w:rsidRDefault="00BF7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C4C4D" w14:textId="77777777" w:rsidR="00A636E5" w:rsidRDefault="00A636E5" w:rsidP="00A636E5">
      <w:pPr>
        <w:spacing w:after="0" w:line="240" w:lineRule="auto"/>
      </w:pPr>
      <w:r>
        <w:separator/>
      </w:r>
    </w:p>
  </w:footnote>
  <w:footnote w:type="continuationSeparator" w:id="0">
    <w:p w14:paraId="6442F0EA" w14:textId="77777777" w:rsidR="00A636E5" w:rsidRDefault="00A636E5" w:rsidP="00A636E5">
      <w:pPr>
        <w:spacing w:after="0" w:line="240" w:lineRule="auto"/>
      </w:pPr>
      <w:r>
        <w:continuationSeparator/>
      </w:r>
    </w:p>
  </w:footnote>
  <w:footnote w:id="1">
    <w:p w14:paraId="72236EEF" w14:textId="62D93E69" w:rsidR="00A636E5" w:rsidRDefault="00A636E5">
      <w:pPr>
        <w:pStyle w:val="FootnoteText"/>
      </w:pPr>
      <w:r>
        <w:rPr>
          <w:rStyle w:val="FootnoteReference"/>
        </w:rPr>
        <w:footnoteRef/>
      </w:r>
      <w:r>
        <w:t xml:space="preserve"> </w:t>
      </w:r>
      <w:r w:rsidR="004B5CCB">
        <w:t xml:space="preserve">Note that ‘Ala </w:t>
      </w:r>
      <w:proofErr w:type="spellStart"/>
      <w:r w:rsidR="004B5CCB">
        <w:t>Mo’ui</w:t>
      </w:r>
      <w:proofErr w:type="spellEnd"/>
      <w:r w:rsidR="004B5CCB">
        <w:t xml:space="preserve"> has been replaced by Ola </w:t>
      </w:r>
      <w:proofErr w:type="spellStart"/>
      <w:r w:rsidR="004B5CCB">
        <w:t>Manuia</w:t>
      </w:r>
      <w:proofErr w:type="spellEnd"/>
      <w:r w:rsidR="004B5CCB">
        <w:t xml:space="preserve">: </w:t>
      </w:r>
      <w:r w:rsidR="00D126AB">
        <w:t>Pacific Health and Wellbeing Action Plan 2020-2025</w:t>
      </w:r>
    </w:p>
  </w:footnote>
  <w:footnote w:id="2">
    <w:p w14:paraId="473F9827" w14:textId="1F90FB97" w:rsidR="00F62D4F" w:rsidRDefault="00F62D4F">
      <w:pPr>
        <w:pStyle w:val="FootnoteText"/>
      </w:pPr>
      <w:r>
        <w:rPr>
          <w:rStyle w:val="FootnoteReference"/>
        </w:rPr>
        <w:footnoteRef/>
      </w:r>
      <w:r>
        <w:t xml:space="preserve"> Note that Pacific health providers are funded </w:t>
      </w:r>
      <w:r w:rsidR="0069098A">
        <w:t>directly by the Ministry as opposed via a Collective.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BB5F" w14:textId="77777777" w:rsidR="00BF7CFA" w:rsidRDefault="00BF7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043413"/>
      <w:docPartObj>
        <w:docPartGallery w:val="Watermarks"/>
        <w:docPartUnique/>
      </w:docPartObj>
    </w:sdtPr>
    <w:sdtEndPr/>
    <w:sdtContent>
      <w:p w14:paraId="3E29FE64" w14:textId="3A8A8BF8" w:rsidR="00BF7CFA" w:rsidRDefault="00ED39CA">
        <w:pPr>
          <w:pStyle w:val="Header"/>
        </w:pPr>
        <w:r>
          <w:rPr>
            <w:noProof/>
          </w:rPr>
          <w:pict w14:anchorId="5973D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422D" w14:textId="77777777" w:rsidR="00BF7CFA" w:rsidRDefault="00BF7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54C7D"/>
    <w:multiLevelType w:val="hybridMultilevel"/>
    <w:tmpl w:val="57724218"/>
    <w:lvl w:ilvl="0" w:tplc="FD8C8804">
      <w:start w:val="1"/>
      <w:numFmt w:val="lowerLetter"/>
      <w:lvlText w:val="%1."/>
      <w:lvlJc w:val="left"/>
      <w:pPr>
        <w:tabs>
          <w:tab w:val="num" w:pos="720"/>
        </w:tabs>
        <w:ind w:left="720" w:hanging="360"/>
      </w:pPr>
    </w:lvl>
    <w:lvl w:ilvl="1" w:tplc="690209F8" w:tentative="1">
      <w:start w:val="1"/>
      <w:numFmt w:val="lowerLetter"/>
      <w:lvlText w:val="%2."/>
      <w:lvlJc w:val="left"/>
      <w:pPr>
        <w:tabs>
          <w:tab w:val="num" w:pos="1440"/>
        </w:tabs>
        <w:ind w:left="1440" w:hanging="360"/>
      </w:pPr>
    </w:lvl>
    <w:lvl w:ilvl="2" w:tplc="E6C2616A" w:tentative="1">
      <w:start w:val="1"/>
      <w:numFmt w:val="lowerLetter"/>
      <w:lvlText w:val="%3."/>
      <w:lvlJc w:val="left"/>
      <w:pPr>
        <w:tabs>
          <w:tab w:val="num" w:pos="2160"/>
        </w:tabs>
        <w:ind w:left="2160" w:hanging="360"/>
      </w:pPr>
    </w:lvl>
    <w:lvl w:ilvl="3" w:tplc="8A4E5FDC" w:tentative="1">
      <w:start w:val="1"/>
      <w:numFmt w:val="lowerLetter"/>
      <w:lvlText w:val="%4."/>
      <w:lvlJc w:val="left"/>
      <w:pPr>
        <w:tabs>
          <w:tab w:val="num" w:pos="2880"/>
        </w:tabs>
        <w:ind w:left="2880" w:hanging="360"/>
      </w:pPr>
    </w:lvl>
    <w:lvl w:ilvl="4" w:tplc="155A8150" w:tentative="1">
      <w:start w:val="1"/>
      <w:numFmt w:val="lowerLetter"/>
      <w:lvlText w:val="%5."/>
      <w:lvlJc w:val="left"/>
      <w:pPr>
        <w:tabs>
          <w:tab w:val="num" w:pos="3600"/>
        </w:tabs>
        <w:ind w:left="3600" w:hanging="360"/>
      </w:pPr>
    </w:lvl>
    <w:lvl w:ilvl="5" w:tplc="3EBC251E" w:tentative="1">
      <w:start w:val="1"/>
      <w:numFmt w:val="lowerLetter"/>
      <w:lvlText w:val="%6."/>
      <w:lvlJc w:val="left"/>
      <w:pPr>
        <w:tabs>
          <w:tab w:val="num" w:pos="4320"/>
        </w:tabs>
        <w:ind w:left="4320" w:hanging="360"/>
      </w:pPr>
    </w:lvl>
    <w:lvl w:ilvl="6" w:tplc="532C3164" w:tentative="1">
      <w:start w:val="1"/>
      <w:numFmt w:val="lowerLetter"/>
      <w:lvlText w:val="%7."/>
      <w:lvlJc w:val="left"/>
      <w:pPr>
        <w:tabs>
          <w:tab w:val="num" w:pos="5040"/>
        </w:tabs>
        <w:ind w:left="5040" w:hanging="360"/>
      </w:pPr>
    </w:lvl>
    <w:lvl w:ilvl="7" w:tplc="168C5614" w:tentative="1">
      <w:start w:val="1"/>
      <w:numFmt w:val="lowerLetter"/>
      <w:lvlText w:val="%8."/>
      <w:lvlJc w:val="left"/>
      <w:pPr>
        <w:tabs>
          <w:tab w:val="num" w:pos="5760"/>
        </w:tabs>
        <w:ind w:left="5760" w:hanging="360"/>
      </w:pPr>
    </w:lvl>
    <w:lvl w:ilvl="8" w:tplc="C10EB3A8" w:tentative="1">
      <w:start w:val="1"/>
      <w:numFmt w:val="lowerLetter"/>
      <w:lvlText w:val="%9."/>
      <w:lvlJc w:val="left"/>
      <w:pPr>
        <w:tabs>
          <w:tab w:val="num" w:pos="6480"/>
        </w:tabs>
        <w:ind w:left="6480" w:hanging="360"/>
      </w:pPr>
    </w:lvl>
  </w:abstractNum>
  <w:abstractNum w:abstractNumId="1" w15:restartNumberingAfterBreak="0">
    <w:nsid w:val="41A067EB"/>
    <w:multiLevelType w:val="hybridMultilevel"/>
    <w:tmpl w:val="78783296"/>
    <w:lvl w:ilvl="0" w:tplc="4E2679F6">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AE3099B"/>
    <w:multiLevelType w:val="hybridMultilevel"/>
    <w:tmpl w:val="3A7E5364"/>
    <w:lvl w:ilvl="0" w:tplc="9FE0FAC8">
      <w:start w:val="1"/>
      <w:numFmt w:val="lowerLetter"/>
      <w:lvlText w:val="%1."/>
      <w:lvlJc w:val="left"/>
      <w:pPr>
        <w:tabs>
          <w:tab w:val="num" w:pos="720"/>
        </w:tabs>
        <w:ind w:left="720" w:hanging="360"/>
      </w:pPr>
    </w:lvl>
    <w:lvl w:ilvl="1" w:tplc="6376425E" w:tentative="1">
      <w:start w:val="1"/>
      <w:numFmt w:val="lowerLetter"/>
      <w:lvlText w:val="%2."/>
      <w:lvlJc w:val="left"/>
      <w:pPr>
        <w:tabs>
          <w:tab w:val="num" w:pos="1440"/>
        </w:tabs>
        <w:ind w:left="1440" w:hanging="360"/>
      </w:pPr>
    </w:lvl>
    <w:lvl w:ilvl="2" w:tplc="5FEEBCE4" w:tentative="1">
      <w:start w:val="1"/>
      <w:numFmt w:val="lowerLetter"/>
      <w:lvlText w:val="%3."/>
      <w:lvlJc w:val="left"/>
      <w:pPr>
        <w:tabs>
          <w:tab w:val="num" w:pos="2160"/>
        </w:tabs>
        <w:ind w:left="2160" w:hanging="360"/>
      </w:pPr>
    </w:lvl>
    <w:lvl w:ilvl="3" w:tplc="2A1CBEB4" w:tentative="1">
      <w:start w:val="1"/>
      <w:numFmt w:val="lowerLetter"/>
      <w:lvlText w:val="%4."/>
      <w:lvlJc w:val="left"/>
      <w:pPr>
        <w:tabs>
          <w:tab w:val="num" w:pos="2880"/>
        </w:tabs>
        <w:ind w:left="2880" w:hanging="360"/>
      </w:pPr>
    </w:lvl>
    <w:lvl w:ilvl="4" w:tplc="B4780AF8" w:tentative="1">
      <w:start w:val="1"/>
      <w:numFmt w:val="lowerLetter"/>
      <w:lvlText w:val="%5."/>
      <w:lvlJc w:val="left"/>
      <w:pPr>
        <w:tabs>
          <w:tab w:val="num" w:pos="3600"/>
        </w:tabs>
        <w:ind w:left="3600" w:hanging="360"/>
      </w:pPr>
    </w:lvl>
    <w:lvl w:ilvl="5" w:tplc="15360362" w:tentative="1">
      <w:start w:val="1"/>
      <w:numFmt w:val="lowerLetter"/>
      <w:lvlText w:val="%6."/>
      <w:lvlJc w:val="left"/>
      <w:pPr>
        <w:tabs>
          <w:tab w:val="num" w:pos="4320"/>
        </w:tabs>
        <w:ind w:left="4320" w:hanging="360"/>
      </w:pPr>
    </w:lvl>
    <w:lvl w:ilvl="6" w:tplc="326E20D8" w:tentative="1">
      <w:start w:val="1"/>
      <w:numFmt w:val="lowerLetter"/>
      <w:lvlText w:val="%7."/>
      <w:lvlJc w:val="left"/>
      <w:pPr>
        <w:tabs>
          <w:tab w:val="num" w:pos="5040"/>
        </w:tabs>
        <w:ind w:left="5040" w:hanging="360"/>
      </w:pPr>
    </w:lvl>
    <w:lvl w:ilvl="7" w:tplc="6FB29294" w:tentative="1">
      <w:start w:val="1"/>
      <w:numFmt w:val="lowerLetter"/>
      <w:lvlText w:val="%8."/>
      <w:lvlJc w:val="left"/>
      <w:pPr>
        <w:tabs>
          <w:tab w:val="num" w:pos="5760"/>
        </w:tabs>
        <w:ind w:left="5760" w:hanging="360"/>
      </w:pPr>
    </w:lvl>
    <w:lvl w:ilvl="8" w:tplc="B628C890" w:tentative="1">
      <w:start w:val="1"/>
      <w:numFmt w:val="lowerLetter"/>
      <w:lvlText w:val="%9."/>
      <w:lvlJc w:val="left"/>
      <w:pPr>
        <w:tabs>
          <w:tab w:val="num" w:pos="6480"/>
        </w:tabs>
        <w:ind w:left="6480" w:hanging="360"/>
      </w:pPr>
    </w:lvl>
  </w:abstractNum>
  <w:abstractNum w:abstractNumId="3" w15:restartNumberingAfterBreak="0">
    <w:nsid w:val="631A15E8"/>
    <w:multiLevelType w:val="hybridMultilevel"/>
    <w:tmpl w:val="52281DCA"/>
    <w:lvl w:ilvl="0" w:tplc="12489FFA">
      <w:start w:val="1"/>
      <w:numFmt w:val="decimal"/>
      <w:lvlText w:val="%1."/>
      <w:lvlJc w:val="left"/>
      <w:pPr>
        <w:tabs>
          <w:tab w:val="num" w:pos="720"/>
        </w:tabs>
        <w:ind w:left="720" w:hanging="360"/>
      </w:pPr>
    </w:lvl>
    <w:lvl w:ilvl="1" w:tplc="B450D518" w:tentative="1">
      <w:start w:val="1"/>
      <w:numFmt w:val="decimal"/>
      <w:lvlText w:val="%2."/>
      <w:lvlJc w:val="left"/>
      <w:pPr>
        <w:tabs>
          <w:tab w:val="num" w:pos="1440"/>
        </w:tabs>
        <w:ind w:left="1440" w:hanging="360"/>
      </w:pPr>
    </w:lvl>
    <w:lvl w:ilvl="2" w:tplc="A17C88AA" w:tentative="1">
      <w:start w:val="1"/>
      <w:numFmt w:val="decimal"/>
      <w:lvlText w:val="%3."/>
      <w:lvlJc w:val="left"/>
      <w:pPr>
        <w:tabs>
          <w:tab w:val="num" w:pos="2160"/>
        </w:tabs>
        <w:ind w:left="2160" w:hanging="360"/>
      </w:pPr>
    </w:lvl>
    <w:lvl w:ilvl="3" w:tplc="66ECF386" w:tentative="1">
      <w:start w:val="1"/>
      <w:numFmt w:val="decimal"/>
      <w:lvlText w:val="%4."/>
      <w:lvlJc w:val="left"/>
      <w:pPr>
        <w:tabs>
          <w:tab w:val="num" w:pos="2880"/>
        </w:tabs>
        <w:ind w:left="2880" w:hanging="360"/>
      </w:pPr>
    </w:lvl>
    <w:lvl w:ilvl="4" w:tplc="1DFCB87C" w:tentative="1">
      <w:start w:val="1"/>
      <w:numFmt w:val="decimal"/>
      <w:lvlText w:val="%5."/>
      <w:lvlJc w:val="left"/>
      <w:pPr>
        <w:tabs>
          <w:tab w:val="num" w:pos="3600"/>
        </w:tabs>
        <w:ind w:left="3600" w:hanging="360"/>
      </w:pPr>
    </w:lvl>
    <w:lvl w:ilvl="5" w:tplc="1B30894A" w:tentative="1">
      <w:start w:val="1"/>
      <w:numFmt w:val="decimal"/>
      <w:lvlText w:val="%6."/>
      <w:lvlJc w:val="left"/>
      <w:pPr>
        <w:tabs>
          <w:tab w:val="num" w:pos="4320"/>
        </w:tabs>
        <w:ind w:left="4320" w:hanging="360"/>
      </w:pPr>
    </w:lvl>
    <w:lvl w:ilvl="6" w:tplc="81DA12FC" w:tentative="1">
      <w:start w:val="1"/>
      <w:numFmt w:val="decimal"/>
      <w:lvlText w:val="%7."/>
      <w:lvlJc w:val="left"/>
      <w:pPr>
        <w:tabs>
          <w:tab w:val="num" w:pos="5040"/>
        </w:tabs>
        <w:ind w:left="5040" w:hanging="360"/>
      </w:pPr>
    </w:lvl>
    <w:lvl w:ilvl="7" w:tplc="AE489EF0" w:tentative="1">
      <w:start w:val="1"/>
      <w:numFmt w:val="decimal"/>
      <w:lvlText w:val="%8."/>
      <w:lvlJc w:val="left"/>
      <w:pPr>
        <w:tabs>
          <w:tab w:val="num" w:pos="5760"/>
        </w:tabs>
        <w:ind w:left="5760" w:hanging="360"/>
      </w:pPr>
    </w:lvl>
    <w:lvl w:ilvl="8" w:tplc="C35AE394" w:tentative="1">
      <w:start w:val="1"/>
      <w:numFmt w:val="decimal"/>
      <w:lvlText w:val="%9."/>
      <w:lvlJc w:val="left"/>
      <w:pPr>
        <w:tabs>
          <w:tab w:val="num" w:pos="6480"/>
        </w:tabs>
        <w:ind w:left="6480" w:hanging="360"/>
      </w:pPr>
    </w:lvl>
  </w:abstractNum>
  <w:abstractNum w:abstractNumId="4" w15:restartNumberingAfterBreak="0">
    <w:nsid w:val="6A5E6DD2"/>
    <w:multiLevelType w:val="hybridMultilevel"/>
    <w:tmpl w:val="B920B7B8"/>
    <w:lvl w:ilvl="0" w:tplc="9E00D022">
      <w:start w:val="1"/>
      <w:numFmt w:val="bullet"/>
      <w:lvlText w:val="-"/>
      <w:lvlJc w:val="left"/>
      <w:pPr>
        <w:tabs>
          <w:tab w:val="num" w:pos="720"/>
        </w:tabs>
        <w:ind w:left="720" w:hanging="360"/>
      </w:pPr>
      <w:rPr>
        <w:rFonts w:ascii="Times New Roman" w:hAnsi="Times New Roman" w:hint="default"/>
      </w:rPr>
    </w:lvl>
    <w:lvl w:ilvl="1" w:tplc="5302D8C6">
      <w:numFmt w:val="bullet"/>
      <w:lvlText w:val="-"/>
      <w:lvlJc w:val="left"/>
      <w:pPr>
        <w:tabs>
          <w:tab w:val="num" w:pos="1440"/>
        </w:tabs>
        <w:ind w:left="1440" w:hanging="360"/>
      </w:pPr>
      <w:rPr>
        <w:rFonts w:ascii="Times New Roman" w:hAnsi="Times New Roman" w:hint="default"/>
      </w:rPr>
    </w:lvl>
    <w:lvl w:ilvl="2" w:tplc="E4B228E4" w:tentative="1">
      <w:start w:val="1"/>
      <w:numFmt w:val="bullet"/>
      <w:lvlText w:val="-"/>
      <w:lvlJc w:val="left"/>
      <w:pPr>
        <w:tabs>
          <w:tab w:val="num" w:pos="2160"/>
        </w:tabs>
        <w:ind w:left="2160" w:hanging="360"/>
      </w:pPr>
      <w:rPr>
        <w:rFonts w:ascii="Times New Roman" w:hAnsi="Times New Roman" w:hint="default"/>
      </w:rPr>
    </w:lvl>
    <w:lvl w:ilvl="3" w:tplc="0DC6BD24" w:tentative="1">
      <w:start w:val="1"/>
      <w:numFmt w:val="bullet"/>
      <w:lvlText w:val="-"/>
      <w:lvlJc w:val="left"/>
      <w:pPr>
        <w:tabs>
          <w:tab w:val="num" w:pos="2880"/>
        </w:tabs>
        <w:ind w:left="2880" w:hanging="360"/>
      </w:pPr>
      <w:rPr>
        <w:rFonts w:ascii="Times New Roman" w:hAnsi="Times New Roman" w:hint="default"/>
      </w:rPr>
    </w:lvl>
    <w:lvl w:ilvl="4" w:tplc="BB3458B0" w:tentative="1">
      <w:start w:val="1"/>
      <w:numFmt w:val="bullet"/>
      <w:lvlText w:val="-"/>
      <w:lvlJc w:val="left"/>
      <w:pPr>
        <w:tabs>
          <w:tab w:val="num" w:pos="3600"/>
        </w:tabs>
        <w:ind w:left="3600" w:hanging="360"/>
      </w:pPr>
      <w:rPr>
        <w:rFonts w:ascii="Times New Roman" w:hAnsi="Times New Roman" w:hint="default"/>
      </w:rPr>
    </w:lvl>
    <w:lvl w:ilvl="5" w:tplc="D85E4AB2" w:tentative="1">
      <w:start w:val="1"/>
      <w:numFmt w:val="bullet"/>
      <w:lvlText w:val="-"/>
      <w:lvlJc w:val="left"/>
      <w:pPr>
        <w:tabs>
          <w:tab w:val="num" w:pos="4320"/>
        </w:tabs>
        <w:ind w:left="4320" w:hanging="360"/>
      </w:pPr>
      <w:rPr>
        <w:rFonts w:ascii="Times New Roman" w:hAnsi="Times New Roman" w:hint="default"/>
      </w:rPr>
    </w:lvl>
    <w:lvl w:ilvl="6" w:tplc="E8BC32A2" w:tentative="1">
      <w:start w:val="1"/>
      <w:numFmt w:val="bullet"/>
      <w:lvlText w:val="-"/>
      <w:lvlJc w:val="left"/>
      <w:pPr>
        <w:tabs>
          <w:tab w:val="num" w:pos="5040"/>
        </w:tabs>
        <w:ind w:left="5040" w:hanging="360"/>
      </w:pPr>
      <w:rPr>
        <w:rFonts w:ascii="Times New Roman" w:hAnsi="Times New Roman" w:hint="default"/>
      </w:rPr>
    </w:lvl>
    <w:lvl w:ilvl="7" w:tplc="D25A3E72" w:tentative="1">
      <w:start w:val="1"/>
      <w:numFmt w:val="bullet"/>
      <w:lvlText w:val="-"/>
      <w:lvlJc w:val="left"/>
      <w:pPr>
        <w:tabs>
          <w:tab w:val="num" w:pos="5760"/>
        </w:tabs>
        <w:ind w:left="5760" w:hanging="360"/>
      </w:pPr>
      <w:rPr>
        <w:rFonts w:ascii="Times New Roman" w:hAnsi="Times New Roman" w:hint="default"/>
      </w:rPr>
    </w:lvl>
    <w:lvl w:ilvl="8" w:tplc="300804F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A444BF0"/>
    <w:multiLevelType w:val="hybridMultilevel"/>
    <w:tmpl w:val="3EA469F8"/>
    <w:lvl w:ilvl="0" w:tplc="52B4373A">
      <w:start w:val="9"/>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B1"/>
    <w:rsid w:val="00020673"/>
    <w:rsid w:val="000664B1"/>
    <w:rsid w:val="00076F1F"/>
    <w:rsid w:val="000A030F"/>
    <w:rsid w:val="000E27A7"/>
    <w:rsid w:val="000E5498"/>
    <w:rsid w:val="001155EE"/>
    <w:rsid w:val="00126A60"/>
    <w:rsid w:val="00142011"/>
    <w:rsid w:val="001569C3"/>
    <w:rsid w:val="00180C89"/>
    <w:rsid w:val="0018310D"/>
    <w:rsid w:val="00186B49"/>
    <w:rsid w:val="00193FD2"/>
    <w:rsid w:val="001B6FCE"/>
    <w:rsid w:val="001B7419"/>
    <w:rsid w:val="001C27B3"/>
    <w:rsid w:val="001C351B"/>
    <w:rsid w:val="001D0214"/>
    <w:rsid w:val="001F1D1C"/>
    <w:rsid w:val="001F6227"/>
    <w:rsid w:val="002307AE"/>
    <w:rsid w:val="00247DA9"/>
    <w:rsid w:val="002E6218"/>
    <w:rsid w:val="0030145E"/>
    <w:rsid w:val="00347819"/>
    <w:rsid w:val="00372B83"/>
    <w:rsid w:val="00385C05"/>
    <w:rsid w:val="0039338E"/>
    <w:rsid w:val="00396091"/>
    <w:rsid w:val="003F0EBE"/>
    <w:rsid w:val="00405CF4"/>
    <w:rsid w:val="00416B3D"/>
    <w:rsid w:val="00452EA6"/>
    <w:rsid w:val="00466BE6"/>
    <w:rsid w:val="004748CF"/>
    <w:rsid w:val="004B5CCB"/>
    <w:rsid w:val="004F045D"/>
    <w:rsid w:val="00531E80"/>
    <w:rsid w:val="00584878"/>
    <w:rsid w:val="005B61FD"/>
    <w:rsid w:val="005C194E"/>
    <w:rsid w:val="005E3B89"/>
    <w:rsid w:val="00632DFB"/>
    <w:rsid w:val="00636824"/>
    <w:rsid w:val="00643C51"/>
    <w:rsid w:val="00646033"/>
    <w:rsid w:val="00683000"/>
    <w:rsid w:val="0069098A"/>
    <w:rsid w:val="006A0EDF"/>
    <w:rsid w:val="006A757C"/>
    <w:rsid w:val="006B09CD"/>
    <w:rsid w:val="006C0653"/>
    <w:rsid w:val="006E64A1"/>
    <w:rsid w:val="007109BA"/>
    <w:rsid w:val="00767CB1"/>
    <w:rsid w:val="007C0576"/>
    <w:rsid w:val="007C1E9E"/>
    <w:rsid w:val="007C4893"/>
    <w:rsid w:val="007E76AA"/>
    <w:rsid w:val="007F59E6"/>
    <w:rsid w:val="00803542"/>
    <w:rsid w:val="00807B5C"/>
    <w:rsid w:val="0082530B"/>
    <w:rsid w:val="00833C06"/>
    <w:rsid w:val="008455C2"/>
    <w:rsid w:val="00860E08"/>
    <w:rsid w:val="00862645"/>
    <w:rsid w:val="00872799"/>
    <w:rsid w:val="008A35BE"/>
    <w:rsid w:val="008A3617"/>
    <w:rsid w:val="008A7D92"/>
    <w:rsid w:val="008B5691"/>
    <w:rsid w:val="008B69DC"/>
    <w:rsid w:val="008E56CC"/>
    <w:rsid w:val="008E6874"/>
    <w:rsid w:val="008F0227"/>
    <w:rsid w:val="009041C8"/>
    <w:rsid w:val="00935B5F"/>
    <w:rsid w:val="00966365"/>
    <w:rsid w:val="009745E4"/>
    <w:rsid w:val="00974E43"/>
    <w:rsid w:val="0099699F"/>
    <w:rsid w:val="009C379F"/>
    <w:rsid w:val="009F45B4"/>
    <w:rsid w:val="00A23A5F"/>
    <w:rsid w:val="00A34BAD"/>
    <w:rsid w:val="00A42846"/>
    <w:rsid w:val="00A636E5"/>
    <w:rsid w:val="00A730F3"/>
    <w:rsid w:val="00AA0F78"/>
    <w:rsid w:val="00AA5992"/>
    <w:rsid w:val="00AB6584"/>
    <w:rsid w:val="00AB6B5F"/>
    <w:rsid w:val="00AD1084"/>
    <w:rsid w:val="00B158C5"/>
    <w:rsid w:val="00B22A85"/>
    <w:rsid w:val="00B351A1"/>
    <w:rsid w:val="00B52FB0"/>
    <w:rsid w:val="00B62DE2"/>
    <w:rsid w:val="00B773B3"/>
    <w:rsid w:val="00B86AE2"/>
    <w:rsid w:val="00BF4753"/>
    <w:rsid w:val="00BF7CFA"/>
    <w:rsid w:val="00C0386D"/>
    <w:rsid w:val="00C06322"/>
    <w:rsid w:val="00C14031"/>
    <w:rsid w:val="00C21CCB"/>
    <w:rsid w:val="00C54339"/>
    <w:rsid w:val="00C54879"/>
    <w:rsid w:val="00C77A6D"/>
    <w:rsid w:val="00CA0A61"/>
    <w:rsid w:val="00CB2121"/>
    <w:rsid w:val="00CC0919"/>
    <w:rsid w:val="00CC1C0F"/>
    <w:rsid w:val="00CC3FF8"/>
    <w:rsid w:val="00CE59F3"/>
    <w:rsid w:val="00D02D46"/>
    <w:rsid w:val="00D126AB"/>
    <w:rsid w:val="00D127B9"/>
    <w:rsid w:val="00D42E2A"/>
    <w:rsid w:val="00D50493"/>
    <w:rsid w:val="00D75F8F"/>
    <w:rsid w:val="00D86EA2"/>
    <w:rsid w:val="00DC156A"/>
    <w:rsid w:val="00DC602E"/>
    <w:rsid w:val="00DD5AB0"/>
    <w:rsid w:val="00DD7C62"/>
    <w:rsid w:val="00E03110"/>
    <w:rsid w:val="00E162B1"/>
    <w:rsid w:val="00E26997"/>
    <w:rsid w:val="00E338E9"/>
    <w:rsid w:val="00E55C25"/>
    <w:rsid w:val="00E72231"/>
    <w:rsid w:val="00E80C4D"/>
    <w:rsid w:val="00E976EE"/>
    <w:rsid w:val="00EB531C"/>
    <w:rsid w:val="00EC12A6"/>
    <w:rsid w:val="00EE238A"/>
    <w:rsid w:val="00EE553C"/>
    <w:rsid w:val="00EF7A87"/>
    <w:rsid w:val="00F02748"/>
    <w:rsid w:val="00F03E7C"/>
    <w:rsid w:val="00F06B04"/>
    <w:rsid w:val="00F06C9C"/>
    <w:rsid w:val="00F16DC5"/>
    <w:rsid w:val="00F17DA4"/>
    <w:rsid w:val="00F26A34"/>
    <w:rsid w:val="00F27CB5"/>
    <w:rsid w:val="00F30441"/>
    <w:rsid w:val="00F346EC"/>
    <w:rsid w:val="00F628C4"/>
    <w:rsid w:val="00F62D4F"/>
    <w:rsid w:val="00F94B9D"/>
    <w:rsid w:val="00FA2C87"/>
    <w:rsid w:val="00FA3DA6"/>
    <w:rsid w:val="00FB4EAF"/>
    <w:rsid w:val="00FD24C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BA3B36"/>
  <w15:chartTrackingRefBased/>
  <w15:docId w15:val="{597BE10F-646D-487E-90EF-21BBBB4F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FF8"/>
    <w:pPr>
      <w:outlineLvl w:val="0"/>
    </w:pPr>
    <w:rPr>
      <w:rFonts w:cstheme="minorHAnsi"/>
      <w:b/>
      <w:bCs/>
      <w:sz w:val="28"/>
      <w:szCs w:val="28"/>
    </w:rPr>
  </w:style>
  <w:style w:type="paragraph" w:styleId="Heading2">
    <w:name w:val="heading 2"/>
    <w:basedOn w:val="Normal"/>
    <w:next w:val="Normal"/>
    <w:link w:val="Heading2Char"/>
    <w:uiPriority w:val="9"/>
    <w:unhideWhenUsed/>
    <w:qFormat/>
    <w:rsid w:val="00CC3FF8"/>
    <w:pPr>
      <w:outlineLvl w:val="1"/>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74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7E76AA"/>
    <w:rPr>
      <w:color w:val="0563C1" w:themeColor="hyperlink"/>
      <w:u w:val="single"/>
    </w:rPr>
  </w:style>
  <w:style w:type="character" w:styleId="UnresolvedMention">
    <w:name w:val="Unresolved Mention"/>
    <w:basedOn w:val="DefaultParagraphFont"/>
    <w:uiPriority w:val="99"/>
    <w:semiHidden/>
    <w:unhideWhenUsed/>
    <w:rsid w:val="007E76AA"/>
    <w:rPr>
      <w:color w:val="605E5C"/>
      <w:shd w:val="clear" w:color="auto" w:fill="E1DFDD"/>
    </w:rPr>
  </w:style>
  <w:style w:type="paragraph" w:styleId="ListParagraph">
    <w:name w:val="List Paragraph"/>
    <w:basedOn w:val="Normal"/>
    <w:uiPriority w:val="34"/>
    <w:qFormat/>
    <w:rsid w:val="00DC602E"/>
    <w:pPr>
      <w:ind w:left="720"/>
      <w:contextualSpacing/>
    </w:pPr>
  </w:style>
  <w:style w:type="table" w:styleId="TableGrid">
    <w:name w:val="Table Grid"/>
    <w:basedOn w:val="TableNormal"/>
    <w:rsid w:val="00B8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636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6E5"/>
    <w:rPr>
      <w:sz w:val="20"/>
      <w:szCs w:val="20"/>
    </w:rPr>
  </w:style>
  <w:style w:type="character" w:styleId="FootnoteReference">
    <w:name w:val="footnote reference"/>
    <w:basedOn w:val="DefaultParagraphFont"/>
    <w:uiPriority w:val="99"/>
    <w:semiHidden/>
    <w:unhideWhenUsed/>
    <w:rsid w:val="00A636E5"/>
    <w:rPr>
      <w:vertAlign w:val="superscript"/>
    </w:rPr>
  </w:style>
  <w:style w:type="paragraph" w:styleId="Header">
    <w:name w:val="header"/>
    <w:basedOn w:val="Normal"/>
    <w:link w:val="HeaderChar"/>
    <w:uiPriority w:val="99"/>
    <w:unhideWhenUsed/>
    <w:rsid w:val="00BF7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CFA"/>
  </w:style>
  <w:style w:type="paragraph" w:styleId="Footer">
    <w:name w:val="footer"/>
    <w:basedOn w:val="Normal"/>
    <w:link w:val="FooterChar"/>
    <w:uiPriority w:val="99"/>
    <w:unhideWhenUsed/>
    <w:rsid w:val="00BF7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CFA"/>
  </w:style>
  <w:style w:type="paragraph" w:styleId="BalloonText">
    <w:name w:val="Balloon Text"/>
    <w:basedOn w:val="Normal"/>
    <w:link w:val="BalloonTextChar"/>
    <w:uiPriority w:val="99"/>
    <w:semiHidden/>
    <w:unhideWhenUsed/>
    <w:rsid w:val="00F30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441"/>
    <w:rPr>
      <w:rFonts w:ascii="Segoe UI" w:hAnsi="Segoe UI" w:cs="Segoe UI"/>
      <w:sz w:val="18"/>
      <w:szCs w:val="18"/>
    </w:rPr>
  </w:style>
  <w:style w:type="character" w:customStyle="1" w:styleId="Heading1Char">
    <w:name w:val="Heading 1 Char"/>
    <w:basedOn w:val="DefaultParagraphFont"/>
    <w:link w:val="Heading1"/>
    <w:uiPriority w:val="9"/>
    <w:rsid w:val="00CC3FF8"/>
    <w:rPr>
      <w:rFonts w:cstheme="minorHAnsi"/>
      <w:b/>
      <w:bCs/>
      <w:sz w:val="28"/>
      <w:szCs w:val="28"/>
    </w:rPr>
  </w:style>
  <w:style w:type="character" w:customStyle="1" w:styleId="Heading2Char">
    <w:name w:val="Heading 2 Char"/>
    <w:basedOn w:val="DefaultParagraphFont"/>
    <w:link w:val="Heading2"/>
    <w:uiPriority w:val="9"/>
    <w:rsid w:val="00CC3FF8"/>
    <w:rPr>
      <w:rFonts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3587">
      <w:bodyDiv w:val="1"/>
      <w:marLeft w:val="0"/>
      <w:marRight w:val="0"/>
      <w:marTop w:val="0"/>
      <w:marBottom w:val="0"/>
      <w:divBdr>
        <w:top w:val="none" w:sz="0" w:space="0" w:color="auto"/>
        <w:left w:val="none" w:sz="0" w:space="0" w:color="auto"/>
        <w:bottom w:val="none" w:sz="0" w:space="0" w:color="auto"/>
        <w:right w:val="none" w:sz="0" w:space="0" w:color="auto"/>
      </w:divBdr>
      <w:divsChild>
        <w:div w:id="1127510404">
          <w:marLeft w:val="446"/>
          <w:marRight w:val="0"/>
          <w:marTop w:val="0"/>
          <w:marBottom w:val="0"/>
          <w:divBdr>
            <w:top w:val="none" w:sz="0" w:space="0" w:color="auto"/>
            <w:left w:val="none" w:sz="0" w:space="0" w:color="auto"/>
            <w:bottom w:val="none" w:sz="0" w:space="0" w:color="auto"/>
            <w:right w:val="none" w:sz="0" w:space="0" w:color="auto"/>
          </w:divBdr>
        </w:div>
        <w:div w:id="935096336">
          <w:marLeft w:val="1166"/>
          <w:marRight w:val="0"/>
          <w:marTop w:val="0"/>
          <w:marBottom w:val="0"/>
          <w:divBdr>
            <w:top w:val="none" w:sz="0" w:space="0" w:color="auto"/>
            <w:left w:val="none" w:sz="0" w:space="0" w:color="auto"/>
            <w:bottom w:val="none" w:sz="0" w:space="0" w:color="auto"/>
            <w:right w:val="none" w:sz="0" w:space="0" w:color="auto"/>
          </w:divBdr>
        </w:div>
        <w:div w:id="1279530185">
          <w:marLeft w:val="1166"/>
          <w:marRight w:val="0"/>
          <w:marTop w:val="0"/>
          <w:marBottom w:val="0"/>
          <w:divBdr>
            <w:top w:val="none" w:sz="0" w:space="0" w:color="auto"/>
            <w:left w:val="none" w:sz="0" w:space="0" w:color="auto"/>
            <w:bottom w:val="none" w:sz="0" w:space="0" w:color="auto"/>
            <w:right w:val="none" w:sz="0" w:space="0" w:color="auto"/>
          </w:divBdr>
        </w:div>
        <w:div w:id="1812988416">
          <w:marLeft w:val="1166"/>
          <w:marRight w:val="0"/>
          <w:marTop w:val="0"/>
          <w:marBottom w:val="0"/>
          <w:divBdr>
            <w:top w:val="none" w:sz="0" w:space="0" w:color="auto"/>
            <w:left w:val="none" w:sz="0" w:space="0" w:color="auto"/>
            <w:bottom w:val="none" w:sz="0" w:space="0" w:color="auto"/>
            <w:right w:val="none" w:sz="0" w:space="0" w:color="auto"/>
          </w:divBdr>
        </w:div>
        <w:div w:id="374237437">
          <w:marLeft w:val="1166"/>
          <w:marRight w:val="0"/>
          <w:marTop w:val="0"/>
          <w:marBottom w:val="0"/>
          <w:divBdr>
            <w:top w:val="none" w:sz="0" w:space="0" w:color="auto"/>
            <w:left w:val="none" w:sz="0" w:space="0" w:color="auto"/>
            <w:bottom w:val="none" w:sz="0" w:space="0" w:color="auto"/>
            <w:right w:val="none" w:sz="0" w:space="0" w:color="auto"/>
          </w:divBdr>
        </w:div>
        <w:div w:id="714426181">
          <w:marLeft w:val="1166"/>
          <w:marRight w:val="0"/>
          <w:marTop w:val="0"/>
          <w:marBottom w:val="0"/>
          <w:divBdr>
            <w:top w:val="none" w:sz="0" w:space="0" w:color="auto"/>
            <w:left w:val="none" w:sz="0" w:space="0" w:color="auto"/>
            <w:bottom w:val="none" w:sz="0" w:space="0" w:color="auto"/>
            <w:right w:val="none" w:sz="0" w:space="0" w:color="auto"/>
          </w:divBdr>
        </w:div>
        <w:div w:id="1920285775">
          <w:marLeft w:val="1166"/>
          <w:marRight w:val="0"/>
          <w:marTop w:val="0"/>
          <w:marBottom w:val="0"/>
          <w:divBdr>
            <w:top w:val="none" w:sz="0" w:space="0" w:color="auto"/>
            <w:left w:val="none" w:sz="0" w:space="0" w:color="auto"/>
            <w:bottom w:val="none" w:sz="0" w:space="0" w:color="auto"/>
            <w:right w:val="none" w:sz="0" w:space="0" w:color="auto"/>
          </w:divBdr>
        </w:div>
        <w:div w:id="1362315326">
          <w:marLeft w:val="446"/>
          <w:marRight w:val="0"/>
          <w:marTop w:val="0"/>
          <w:marBottom w:val="0"/>
          <w:divBdr>
            <w:top w:val="none" w:sz="0" w:space="0" w:color="auto"/>
            <w:left w:val="none" w:sz="0" w:space="0" w:color="auto"/>
            <w:bottom w:val="none" w:sz="0" w:space="0" w:color="auto"/>
            <w:right w:val="none" w:sz="0" w:space="0" w:color="auto"/>
          </w:divBdr>
        </w:div>
        <w:div w:id="141118952">
          <w:marLeft w:val="446"/>
          <w:marRight w:val="0"/>
          <w:marTop w:val="0"/>
          <w:marBottom w:val="0"/>
          <w:divBdr>
            <w:top w:val="none" w:sz="0" w:space="0" w:color="auto"/>
            <w:left w:val="none" w:sz="0" w:space="0" w:color="auto"/>
            <w:bottom w:val="none" w:sz="0" w:space="0" w:color="auto"/>
            <w:right w:val="none" w:sz="0" w:space="0" w:color="auto"/>
          </w:divBdr>
        </w:div>
        <w:div w:id="1614940968">
          <w:marLeft w:val="446"/>
          <w:marRight w:val="0"/>
          <w:marTop w:val="0"/>
          <w:marBottom w:val="0"/>
          <w:divBdr>
            <w:top w:val="none" w:sz="0" w:space="0" w:color="auto"/>
            <w:left w:val="none" w:sz="0" w:space="0" w:color="auto"/>
            <w:bottom w:val="none" w:sz="0" w:space="0" w:color="auto"/>
            <w:right w:val="none" w:sz="0" w:space="0" w:color="auto"/>
          </w:divBdr>
        </w:div>
      </w:divsChild>
    </w:div>
    <w:div w:id="316342765">
      <w:bodyDiv w:val="1"/>
      <w:marLeft w:val="0"/>
      <w:marRight w:val="0"/>
      <w:marTop w:val="0"/>
      <w:marBottom w:val="0"/>
      <w:divBdr>
        <w:top w:val="none" w:sz="0" w:space="0" w:color="auto"/>
        <w:left w:val="none" w:sz="0" w:space="0" w:color="auto"/>
        <w:bottom w:val="none" w:sz="0" w:space="0" w:color="auto"/>
        <w:right w:val="none" w:sz="0" w:space="0" w:color="auto"/>
      </w:divBdr>
    </w:div>
    <w:div w:id="417217161">
      <w:bodyDiv w:val="1"/>
      <w:marLeft w:val="0"/>
      <w:marRight w:val="0"/>
      <w:marTop w:val="0"/>
      <w:marBottom w:val="0"/>
      <w:divBdr>
        <w:top w:val="none" w:sz="0" w:space="0" w:color="auto"/>
        <w:left w:val="none" w:sz="0" w:space="0" w:color="auto"/>
        <w:bottom w:val="none" w:sz="0" w:space="0" w:color="auto"/>
        <w:right w:val="none" w:sz="0" w:space="0" w:color="auto"/>
      </w:divBdr>
    </w:div>
    <w:div w:id="573317085">
      <w:bodyDiv w:val="1"/>
      <w:marLeft w:val="0"/>
      <w:marRight w:val="0"/>
      <w:marTop w:val="0"/>
      <w:marBottom w:val="0"/>
      <w:divBdr>
        <w:top w:val="none" w:sz="0" w:space="0" w:color="auto"/>
        <w:left w:val="none" w:sz="0" w:space="0" w:color="auto"/>
        <w:bottom w:val="none" w:sz="0" w:space="0" w:color="auto"/>
        <w:right w:val="none" w:sz="0" w:space="0" w:color="auto"/>
      </w:divBdr>
    </w:div>
    <w:div w:id="627588935">
      <w:bodyDiv w:val="1"/>
      <w:marLeft w:val="0"/>
      <w:marRight w:val="0"/>
      <w:marTop w:val="0"/>
      <w:marBottom w:val="0"/>
      <w:divBdr>
        <w:top w:val="none" w:sz="0" w:space="0" w:color="auto"/>
        <w:left w:val="none" w:sz="0" w:space="0" w:color="auto"/>
        <w:bottom w:val="none" w:sz="0" w:space="0" w:color="auto"/>
        <w:right w:val="none" w:sz="0" w:space="0" w:color="auto"/>
      </w:divBdr>
    </w:div>
    <w:div w:id="946888800">
      <w:bodyDiv w:val="1"/>
      <w:marLeft w:val="0"/>
      <w:marRight w:val="0"/>
      <w:marTop w:val="0"/>
      <w:marBottom w:val="0"/>
      <w:divBdr>
        <w:top w:val="none" w:sz="0" w:space="0" w:color="auto"/>
        <w:left w:val="none" w:sz="0" w:space="0" w:color="auto"/>
        <w:bottom w:val="none" w:sz="0" w:space="0" w:color="auto"/>
        <w:right w:val="none" w:sz="0" w:space="0" w:color="auto"/>
      </w:divBdr>
      <w:divsChild>
        <w:div w:id="1237780878">
          <w:marLeft w:val="360"/>
          <w:marRight w:val="0"/>
          <w:marTop w:val="0"/>
          <w:marBottom w:val="0"/>
          <w:divBdr>
            <w:top w:val="none" w:sz="0" w:space="0" w:color="auto"/>
            <w:left w:val="none" w:sz="0" w:space="0" w:color="auto"/>
            <w:bottom w:val="none" w:sz="0" w:space="0" w:color="auto"/>
            <w:right w:val="none" w:sz="0" w:space="0" w:color="auto"/>
          </w:divBdr>
        </w:div>
        <w:div w:id="944851259">
          <w:marLeft w:val="360"/>
          <w:marRight w:val="0"/>
          <w:marTop w:val="0"/>
          <w:marBottom w:val="0"/>
          <w:divBdr>
            <w:top w:val="none" w:sz="0" w:space="0" w:color="auto"/>
            <w:left w:val="none" w:sz="0" w:space="0" w:color="auto"/>
            <w:bottom w:val="none" w:sz="0" w:space="0" w:color="auto"/>
            <w:right w:val="none" w:sz="0" w:space="0" w:color="auto"/>
          </w:divBdr>
        </w:div>
        <w:div w:id="1520317862">
          <w:marLeft w:val="360"/>
          <w:marRight w:val="0"/>
          <w:marTop w:val="0"/>
          <w:marBottom w:val="0"/>
          <w:divBdr>
            <w:top w:val="none" w:sz="0" w:space="0" w:color="auto"/>
            <w:left w:val="none" w:sz="0" w:space="0" w:color="auto"/>
            <w:bottom w:val="none" w:sz="0" w:space="0" w:color="auto"/>
            <w:right w:val="none" w:sz="0" w:space="0" w:color="auto"/>
          </w:divBdr>
        </w:div>
      </w:divsChild>
    </w:div>
    <w:div w:id="1077635228">
      <w:bodyDiv w:val="1"/>
      <w:marLeft w:val="0"/>
      <w:marRight w:val="0"/>
      <w:marTop w:val="0"/>
      <w:marBottom w:val="0"/>
      <w:divBdr>
        <w:top w:val="none" w:sz="0" w:space="0" w:color="auto"/>
        <w:left w:val="none" w:sz="0" w:space="0" w:color="auto"/>
        <w:bottom w:val="none" w:sz="0" w:space="0" w:color="auto"/>
        <w:right w:val="none" w:sz="0" w:space="0" w:color="auto"/>
      </w:divBdr>
    </w:div>
    <w:div w:id="1330212350">
      <w:bodyDiv w:val="1"/>
      <w:marLeft w:val="0"/>
      <w:marRight w:val="0"/>
      <w:marTop w:val="0"/>
      <w:marBottom w:val="0"/>
      <w:divBdr>
        <w:top w:val="none" w:sz="0" w:space="0" w:color="auto"/>
        <w:left w:val="none" w:sz="0" w:space="0" w:color="auto"/>
        <w:bottom w:val="none" w:sz="0" w:space="0" w:color="auto"/>
        <w:right w:val="none" w:sz="0" w:space="0" w:color="auto"/>
      </w:divBdr>
    </w:div>
    <w:div w:id="1963224141">
      <w:bodyDiv w:val="1"/>
      <w:marLeft w:val="0"/>
      <w:marRight w:val="0"/>
      <w:marTop w:val="0"/>
      <w:marBottom w:val="0"/>
      <w:divBdr>
        <w:top w:val="none" w:sz="0" w:space="0" w:color="auto"/>
        <w:left w:val="none" w:sz="0" w:space="0" w:color="auto"/>
        <w:bottom w:val="none" w:sz="0" w:space="0" w:color="auto"/>
        <w:right w:val="none" w:sz="0" w:space="0" w:color="auto"/>
      </w:divBdr>
      <w:divsChild>
        <w:div w:id="1415785279">
          <w:marLeft w:val="360"/>
          <w:marRight w:val="0"/>
          <w:marTop w:val="0"/>
          <w:marBottom w:val="0"/>
          <w:divBdr>
            <w:top w:val="none" w:sz="0" w:space="0" w:color="auto"/>
            <w:left w:val="none" w:sz="0" w:space="0" w:color="auto"/>
            <w:bottom w:val="none" w:sz="0" w:space="0" w:color="auto"/>
            <w:right w:val="none" w:sz="0" w:space="0" w:color="auto"/>
          </w:divBdr>
        </w:div>
        <w:div w:id="401293772">
          <w:marLeft w:val="360"/>
          <w:marRight w:val="0"/>
          <w:marTop w:val="0"/>
          <w:marBottom w:val="0"/>
          <w:divBdr>
            <w:top w:val="none" w:sz="0" w:space="0" w:color="auto"/>
            <w:left w:val="none" w:sz="0" w:space="0" w:color="auto"/>
            <w:bottom w:val="none" w:sz="0" w:space="0" w:color="auto"/>
            <w:right w:val="none" w:sz="0" w:space="0" w:color="auto"/>
          </w:divBdr>
        </w:div>
        <w:div w:id="475146674">
          <w:marLeft w:val="360"/>
          <w:marRight w:val="0"/>
          <w:marTop w:val="0"/>
          <w:marBottom w:val="0"/>
          <w:divBdr>
            <w:top w:val="none" w:sz="0" w:space="0" w:color="auto"/>
            <w:left w:val="none" w:sz="0" w:space="0" w:color="auto"/>
            <w:bottom w:val="none" w:sz="0" w:space="0" w:color="auto"/>
            <w:right w:val="none" w:sz="0" w:space="0" w:color="auto"/>
          </w:divBdr>
        </w:div>
        <w:div w:id="326136707">
          <w:marLeft w:val="360"/>
          <w:marRight w:val="0"/>
          <w:marTop w:val="0"/>
          <w:marBottom w:val="0"/>
          <w:divBdr>
            <w:top w:val="none" w:sz="0" w:space="0" w:color="auto"/>
            <w:left w:val="none" w:sz="0" w:space="0" w:color="auto"/>
            <w:bottom w:val="none" w:sz="0" w:space="0" w:color="auto"/>
            <w:right w:val="none" w:sz="0" w:space="0" w:color="auto"/>
          </w:divBdr>
        </w:div>
        <w:div w:id="1420716958">
          <w:marLeft w:val="360"/>
          <w:marRight w:val="0"/>
          <w:marTop w:val="0"/>
          <w:marBottom w:val="0"/>
          <w:divBdr>
            <w:top w:val="none" w:sz="0" w:space="0" w:color="auto"/>
            <w:left w:val="none" w:sz="0" w:space="0" w:color="auto"/>
            <w:bottom w:val="none" w:sz="0" w:space="0" w:color="auto"/>
            <w:right w:val="none" w:sz="0" w:space="0" w:color="auto"/>
          </w:divBdr>
        </w:div>
        <w:div w:id="1013456937">
          <w:marLeft w:val="360"/>
          <w:marRight w:val="0"/>
          <w:marTop w:val="0"/>
          <w:marBottom w:val="0"/>
          <w:divBdr>
            <w:top w:val="none" w:sz="0" w:space="0" w:color="auto"/>
            <w:left w:val="none" w:sz="0" w:space="0" w:color="auto"/>
            <w:bottom w:val="none" w:sz="0" w:space="0" w:color="auto"/>
            <w:right w:val="none" w:sz="0" w:space="0" w:color="auto"/>
          </w:divBdr>
        </w:div>
        <w:div w:id="134297403">
          <w:marLeft w:val="360"/>
          <w:marRight w:val="0"/>
          <w:marTop w:val="0"/>
          <w:marBottom w:val="0"/>
          <w:divBdr>
            <w:top w:val="none" w:sz="0" w:space="0" w:color="auto"/>
            <w:left w:val="none" w:sz="0" w:space="0" w:color="auto"/>
            <w:bottom w:val="none" w:sz="0" w:space="0" w:color="auto"/>
            <w:right w:val="none" w:sz="0" w:space="0" w:color="auto"/>
          </w:divBdr>
        </w:div>
      </w:divsChild>
    </w:div>
    <w:div w:id="20068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publication/review-ministry-health-pacific-provider-development-fund-201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0356fc8ae0c2352731ca7aff2e00c61c">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777d99a5a2c9f78daf6f337200b1153e"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3126C-A383-4A19-8959-7411189D9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85F2E-C930-4C29-90E9-FAC98C41B697}">
  <ds:schemaRefs>
    <ds:schemaRef ds:uri="http://schemas.microsoft.com/sharepoint/v3/contenttype/forms"/>
  </ds:schemaRefs>
</ds:datastoreItem>
</file>

<file path=customXml/itemProps3.xml><?xml version="1.0" encoding="utf-8"?>
<ds:datastoreItem xmlns:ds="http://schemas.openxmlformats.org/officeDocument/2006/customXml" ds:itemID="{30AC3467-AE79-4FCA-9177-C04BCED7140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aea5d07-0eb0-44bf-96eb-22637babf967"/>
    <ds:schemaRef ds:uri="2ffa5dc2-4451-4ee2-b115-33f870a805e6"/>
    <ds:schemaRef ds:uri="http://www.w3.org/XML/1998/namespace"/>
    <ds:schemaRef ds:uri="http://purl.org/dc/dcmitype/"/>
  </ds:schemaRefs>
</ds:datastoreItem>
</file>

<file path=customXml/itemProps4.xml><?xml version="1.0" encoding="utf-8"?>
<ds:datastoreItem xmlns:ds="http://schemas.openxmlformats.org/officeDocument/2006/customXml" ds:itemID="{52498CB4-A0B8-4C16-A9B7-78629011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Pacific Providers Development Funds process</dc:title>
  <dc:subject/>
  <dc:creator>Danilo Coelho de Almeida</dc:creator>
  <cp:keywords/>
  <dc:description/>
  <cp:lastModifiedBy>Ministry of Health</cp:lastModifiedBy>
  <cp:revision>2</cp:revision>
  <dcterms:created xsi:type="dcterms:W3CDTF">2021-03-01T00:54:00Z</dcterms:created>
  <dcterms:modified xsi:type="dcterms:W3CDTF">2021-03-01T00:54:00Z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